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2C8D3" w14:textId="02AE1881" w:rsidR="00F2740B" w:rsidRPr="00F14CE5" w:rsidRDefault="00FF0BEB" w:rsidP="00FF0BEB">
      <w:pPr>
        <w:spacing w:line="240" w:lineRule="auto"/>
        <w:jc w:val="center"/>
        <w:rPr>
          <w:rFonts w:ascii="Times New Roman" w:eastAsia="Arial" w:hAnsi="Times New Roman" w:cs="Times New Roman"/>
          <w:b/>
          <w:bCs/>
          <w:color w:val="0D0D0D" w:themeColor="text1" w:themeTint="F2"/>
          <w:sz w:val="36"/>
          <w:szCs w:val="36"/>
        </w:rPr>
      </w:pPr>
      <w:r w:rsidRPr="00F14CE5">
        <w:rPr>
          <w:rFonts w:ascii="Times New Roman" w:eastAsia="Arial" w:hAnsi="Times New Roman" w:cs="Times New Roman"/>
          <w:b/>
          <w:bCs/>
          <w:color w:val="0D0D0D" w:themeColor="text1" w:themeTint="F2"/>
          <w:sz w:val="36"/>
          <w:szCs w:val="36"/>
        </w:rPr>
        <w:t>BRIDGING COMPETENCY GAPS BETWEEN THE MATATAG CURRICULUM AND PRE-SERVICE TEACHER EDUCATION PROGRAMS</w:t>
      </w:r>
    </w:p>
    <w:p w14:paraId="452D1BBA" w14:textId="10F06CCB" w:rsidR="000233DF" w:rsidRPr="00F14CE5" w:rsidRDefault="00FF0BEB" w:rsidP="00491DBD">
      <w:pPr>
        <w:spacing w:line="240" w:lineRule="auto"/>
        <w:rPr>
          <w:rFonts w:ascii="Times New Roman" w:eastAsia="Arial" w:hAnsi="Times New Roman" w:cs="Times New Roman"/>
          <w:b/>
          <w:bCs/>
          <w:color w:val="0D0D0D" w:themeColor="text1" w:themeTint="F2"/>
          <w:sz w:val="28"/>
          <w:szCs w:val="28"/>
        </w:rPr>
      </w:pPr>
      <w:bookmarkStart w:id="0" w:name="_GoBack"/>
      <w:bookmarkEnd w:id="0"/>
      <w:r w:rsidRPr="00F14CE5">
        <w:rPr>
          <w:rFonts w:ascii="Times New Roman" w:eastAsia="Arial" w:hAnsi="Times New Roman" w:cs="Times New Roman"/>
          <w:b/>
          <w:bCs/>
          <w:color w:val="0D0D0D" w:themeColor="text1" w:themeTint="F2"/>
          <w:sz w:val="28"/>
          <w:szCs w:val="28"/>
        </w:rPr>
        <w:t>ABSTRACT</w:t>
      </w:r>
    </w:p>
    <w:p w14:paraId="5BC472D8" w14:textId="7E2E4088" w:rsidR="00780BA4" w:rsidRPr="00F14CE5" w:rsidRDefault="0024588E" w:rsidP="00406EBF">
      <w:pPr>
        <w:pStyle w:val="BodyText"/>
        <w:ind w:right="-7" w:firstLine="720"/>
        <w:jc w:val="both"/>
        <w:rPr>
          <w:rFonts w:ascii="Times New Roman" w:hAnsi="Times New Roman" w:cs="Times New Roman"/>
          <w:color w:val="0D0D0D" w:themeColor="text1" w:themeTint="F2"/>
        </w:rPr>
      </w:pPr>
      <w:r w:rsidRPr="00F14CE5">
        <w:rPr>
          <w:rFonts w:ascii="Times New Roman" w:hAnsi="Times New Roman" w:cs="Times New Roman"/>
          <w:color w:val="0D0D0D" w:themeColor="text1" w:themeTint="F2"/>
        </w:rPr>
        <w:t xml:space="preserve">This research aimed to assess </w:t>
      </w:r>
      <w:r w:rsidR="00476C98" w:rsidRPr="00F14CE5">
        <w:rPr>
          <w:rFonts w:ascii="Times New Roman" w:hAnsi="Times New Roman" w:cs="Times New Roman"/>
          <w:color w:val="0D0D0D" w:themeColor="text1" w:themeTint="F2"/>
        </w:rPr>
        <w:t xml:space="preserve">the alignment between the MATATAG Curriculum and the Bachelor </w:t>
      </w:r>
      <w:r w:rsidR="00780BA4" w:rsidRPr="00F14CE5">
        <w:rPr>
          <w:rFonts w:ascii="Times New Roman" w:hAnsi="Times New Roman" w:cs="Times New Roman"/>
          <w:color w:val="0D0D0D" w:themeColor="text1" w:themeTint="F2"/>
        </w:rPr>
        <w:t>of</w:t>
      </w:r>
      <w:r w:rsidR="00476C98" w:rsidRPr="00F14CE5">
        <w:rPr>
          <w:rFonts w:ascii="Times New Roman" w:hAnsi="Times New Roman" w:cs="Times New Roman"/>
          <w:color w:val="0D0D0D" w:themeColor="text1" w:themeTint="F2"/>
        </w:rPr>
        <w:t xml:space="preserve"> Technical-Vocational Teacher Education (BTVTEd) program as perceived by pre-service teachers at Cebu Technological University – Main Cam</w:t>
      </w:r>
      <w:r w:rsidR="00B41A72" w:rsidRPr="00F14CE5">
        <w:rPr>
          <w:rFonts w:ascii="Times New Roman" w:hAnsi="Times New Roman" w:cs="Times New Roman"/>
          <w:color w:val="0D0D0D" w:themeColor="text1" w:themeTint="F2"/>
        </w:rPr>
        <w:t>pus. The study examined the extent of curriculum emphasis, program efficiency, competenc</w:t>
      </w:r>
      <w:r w:rsidR="00780BA4" w:rsidRPr="00F14CE5">
        <w:rPr>
          <w:rFonts w:ascii="Times New Roman" w:hAnsi="Times New Roman" w:cs="Times New Roman"/>
          <w:color w:val="0D0D0D" w:themeColor="text1" w:themeTint="F2"/>
        </w:rPr>
        <w:t>y</w:t>
      </w:r>
      <w:r w:rsidR="00B41A72" w:rsidRPr="00F14CE5">
        <w:rPr>
          <w:rFonts w:ascii="Times New Roman" w:hAnsi="Times New Roman" w:cs="Times New Roman"/>
          <w:color w:val="0D0D0D" w:themeColor="text1" w:themeTint="F2"/>
        </w:rPr>
        <w:t xml:space="preserve"> alignment and </w:t>
      </w:r>
      <w:r w:rsidR="00780BA4" w:rsidRPr="00F14CE5">
        <w:rPr>
          <w:rFonts w:ascii="Times New Roman" w:hAnsi="Times New Roman" w:cs="Times New Roman"/>
          <w:color w:val="0D0D0D" w:themeColor="text1" w:themeTint="F2"/>
        </w:rPr>
        <w:t xml:space="preserve">areas </w:t>
      </w:r>
      <w:r w:rsidR="00B41A72" w:rsidRPr="00F14CE5">
        <w:rPr>
          <w:rFonts w:ascii="Times New Roman" w:hAnsi="Times New Roman" w:cs="Times New Roman"/>
          <w:color w:val="0D0D0D" w:themeColor="text1" w:themeTint="F2"/>
        </w:rPr>
        <w:t xml:space="preserve">for enhancement </w:t>
      </w:r>
      <w:r w:rsidR="00780BA4" w:rsidRPr="00F14CE5">
        <w:rPr>
          <w:rFonts w:ascii="Times New Roman" w:hAnsi="Times New Roman" w:cs="Times New Roman"/>
          <w:color w:val="0D0D0D" w:themeColor="text1" w:themeTint="F2"/>
        </w:rPr>
        <w:t>among</w:t>
      </w:r>
      <w:r w:rsidR="00B41A72" w:rsidRPr="00F14CE5">
        <w:rPr>
          <w:rFonts w:ascii="Times New Roman" w:hAnsi="Times New Roman" w:cs="Times New Roman"/>
          <w:color w:val="0D0D0D" w:themeColor="text1" w:themeTint="F2"/>
        </w:rPr>
        <w:t xml:space="preserve"> fifty respondents by applying descriptive and inferential statistics </w:t>
      </w:r>
      <w:r w:rsidR="00780BA4" w:rsidRPr="00F14CE5">
        <w:rPr>
          <w:rFonts w:ascii="Times New Roman" w:hAnsi="Times New Roman" w:cs="Times New Roman"/>
          <w:color w:val="0D0D0D" w:themeColor="text1" w:themeTint="F2"/>
        </w:rPr>
        <w:t xml:space="preserve">to the </w:t>
      </w:r>
      <w:r w:rsidR="00B41A72" w:rsidRPr="00F14CE5">
        <w:rPr>
          <w:rFonts w:ascii="Times New Roman" w:hAnsi="Times New Roman" w:cs="Times New Roman"/>
          <w:color w:val="0D0D0D" w:themeColor="text1" w:themeTint="F2"/>
        </w:rPr>
        <w:t xml:space="preserve">obtained data. The findings indicate that the MATATAG Curriculum is </w:t>
      </w:r>
      <w:r w:rsidR="009A4872" w:rsidRPr="00F14CE5">
        <w:rPr>
          <w:rFonts w:ascii="Times New Roman" w:hAnsi="Times New Roman" w:cs="Times New Roman"/>
          <w:color w:val="0D0D0D" w:themeColor="text1" w:themeTint="F2"/>
        </w:rPr>
        <w:t xml:space="preserve">viewed as highly relevant </w:t>
      </w:r>
      <w:r w:rsidR="00780BA4" w:rsidRPr="00F14CE5">
        <w:rPr>
          <w:rFonts w:ascii="Times New Roman" w:hAnsi="Times New Roman" w:cs="Times New Roman"/>
          <w:color w:val="0D0D0D" w:themeColor="text1" w:themeTint="F2"/>
        </w:rPr>
        <w:t xml:space="preserve">in </w:t>
      </w:r>
      <w:r w:rsidR="009A4872" w:rsidRPr="00F14CE5">
        <w:rPr>
          <w:rFonts w:ascii="Times New Roman" w:hAnsi="Times New Roman" w:cs="Times New Roman"/>
          <w:color w:val="0D0D0D" w:themeColor="text1" w:themeTint="F2"/>
        </w:rPr>
        <w:t>enhanc</w:t>
      </w:r>
      <w:r w:rsidR="00780BA4" w:rsidRPr="00F14CE5">
        <w:rPr>
          <w:rFonts w:ascii="Times New Roman" w:hAnsi="Times New Roman" w:cs="Times New Roman"/>
          <w:color w:val="0D0D0D" w:themeColor="text1" w:themeTint="F2"/>
        </w:rPr>
        <w:t>ing</w:t>
      </w:r>
      <w:r w:rsidR="009A4872" w:rsidRPr="00F14CE5">
        <w:rPr>
          <w:rFonts w:ascii="Times New Roman" w:hAnsi="Times New Roman" w:cs="Times New Roman"/>
          <w:color w:val="0D0D0D" w:themeColor="text1" w:themeTint="F2"/>
        </w:rPr>
        <w:t xml:space="preserve"> core competencies such as technical skills, occupational safety, entrepreneurship, sustainable development, and hands-on learning. Additionally, </w:t>
      </w:r>
      <w:r w:rsidR="00780BA4" w:rsidRPr="00F14CE5">
        <w:rPr>
          <w:rFonts w:ascii="Times New Roman" w:hAnsi="Times New Roman" w:cs="Times New Roman"/>
          <w:color w:val="0D0D0D" w:themeColor="text1" w:themeTint="F2"/>
        </w:rPr>
        <w:t xml:space="preserve">the </w:t>
      </w:r>
      <w:r w:rsidR="009A4872" w:rsidRPr="00F14CE5">
        <w:rPr>
          <w:rFonts w:ascii="Times New Roman" w:hAnsi="Times New Roman" w:cs="Times New Roman"/>
          <w:color w:val="0D0D0D" w:themeColor="text1" w:themeTint="F2"/>
        </w:rPr>
        <w:t>BTVTEd program</w:t>
      </w:r>
      <w:r w:rsidR="00505558" w:rsidRPr="00F14CE5">
        <w:rPr>
          <w:rFonts w:ascii="Times New Roman" w:hAnsi="Times New Roman" w:cs="Times New Roman"/>
          <w:color w:val="0D0D0D" w:themeColor="text1" w:themeTint="F2"/>
        </w:rPr>
        <w:t xml:space="preserve"> provides necessary technical and pedagogical skills and its contents are highly aligned with </w:t>
      </w:r>
      <w:r w:rsidR="00406EBF" w:rsidRPr="00F14CE5">
        <w:rPr>
          <w:rFonts w:ascii="Times New Roman" w:hAnsi="Times New Roman" w:cs="Times New Roman"/>
          <w:color w:val="0D0D0D" w:themeColor="text1" w:themeTint="F2"/>
        </w:rPr>
        <w:t xml:space="preserve">the </w:t>
      </w:r>
      <w:r w:rsidR="00505558" w:rsidRPr="00F14CE5">
        <w:rPr>
          <w:rFonts w:ascii="Times New Roman" w:hAnsi="Times New Roman" w:cs="Times New Roman"/>
          <w:color w:val="0D0D0D" w:themeColor="text1" w:themeTint="F2"/>
        </w:rPr>
        <w:t>curriculum requirement</w:t>
      </w:r>
      <w:r w:rsidR="00406EBF" w:rsidRPr="00F14CE5">
        <w:rPr>
          <w:rFonts w:ascii="Times New Roman" w:hAnsi="Times New Roman" w:cs="Times New Roman"/>
          <w:color w:val="0D0D0D" w:themeColor="text1" w:themeTint="F2"/>
        </w:rPr>
        <w:t>s</w:t>
      </w:r>
      <w:r w:rsidR="00505558" w:rsidRPr="00F14CE5">
        <w:rPr>
          <w:rFonts w:ascii="Times New Roman" w:hAnsi="Times New Roman" w:cs="Times New Roman"/>
          <w:color w:val="0D0D0D" w:themeColor="text1" w:themeTint="F2"/>
        </w:rPr>
        <w:t>. Nevertheless, pre-service teachers reported a strong need for curriculum enhancement, faculty professional</w:t>
      </w:r>
      <w:r w:rsidR="00406EBF" w:rsidRPr="00F14CE5">
        <w:rPr>
          <w:rFonts w:ascii="Times New Roman" w:hAnsi="Times New Roman" w:cs="Times New Roman"/>
          <w:color w:val="0D0D0D" w:themeColor="text1" w:themeTint="F2"/>
        </w:rPr>
        <w:t xml:space="preserve"> </w:t>
      </w:r>
      <w:r w:rsidR="00505558" w:rsidRPr="00F14CE5">
        <w:rPr>
          <w:rFonts w:ascii="Times New Roman" w:hAnsi="Times New Roman" w:cs="Times New Roman"/>
          <w:color w:val="0D0D0D" w:themeColor="text1" w:themeTint="F2"/>
        </w:rPr>
        <w:t>development</w:t>
      </w:r>
      <w:r w:rsidR="00406EBF" w:rsidRPr="00F14CE5">
        <w:rPr>
          <w:rFonts w:ascii="Times New Roman" w:hAnsi="Times New Roman" w:cs="Times New Roman"/>
          <w:color w:val="0D0D0D" w:themeColor="text1" w:themeTint="F2"/>
        </w:rPr>
        <w:t>, collaboration</w:t>
      </w:r>
      <w:r w:rsidR="00505558" w:rsidRPr="00F14CE5">
        <w:rPr>
          <w:rFonts w:ascii="Times New Roman" w:hAnsi="Times New Roman" w:cs="Times New Roman"/>
          <w:color w:val="0D0D0D" w:themeColor="text1" w:themeTint="F2"/>
        </w:rPr>
        <w:t xml:space="preserve"> among different institutions, and </w:t>
      </w:r>
      <w:r w:rsidR="00406EBF" w:rsidRPr="00F14CE5">
        <w:rPr>
          <w:rFonts w:ascii="Times New Roman" w:hAnsi="Times New Roman" w:cs="Times New Roman"/>
          <w:color w:val="0D0D0D" w:themeColor="text1" w:themeTint="F2"/>
        </w:rPr>
        <w:t xml:space="preserve">improved </w:t>
      </w:r>
      <w:r w:rsidR="00505558" w:rsidRPr="00F14CE5">
        <w:rPr>
          <w:rFonts w:ascii="Times New Roman" w:hAnsi="Times New Roman" w:cs="Times New Roman"/>
          <w:color w:val="0D0D0D" w:themeColor="text1" w:themeTint="F2"/>
        </w:rPr>
        <w:t>availability of instruction</w:t>
      </w:r>
      <w:r w:rsidR="00406EBF" w:rsidRPr="00F14CE5">
        <w:rPr>
          <w:rFonts w:ascii="Times New Roman" w:hAnsi="Times New Roman" w:cs="Times New Roman"/>
          <w:color w:val="0D0D0D" w:themeColor="text1" w:themeTint="F2"/>
        </w:rPr>
        <w:t>al resources</w:t>
      </w:r>
      <w:r w:rsidR="00505558" w:rsidRPr="00F14CE5">
        <w:rPr>
          <w:rFonts w:ascii="Times New Roman" w:hAnsi="Times New Roman" w:cs="Times New Roman"/>
          <w:color w:val="0D0D0D" w:themeColor="text1" w:themeTint="F2"/>
        </w:rPr>
        <w:t>.</w:t>
      </w:r>
      <w:r w:rsidR="00406EBF" w:rsidRPr="00F14CE5">
        <w:rPr>
          <w:rFonts w:ascii="Times New Roman" w:hAnsi="Times New Roman" w:cs="Times New Roman"/>
          <w:color w:val="0D0D0D" w:themeColor="text1" w:themeTint="F2"/>
        </w:rPr>
        <w:t xml:space="preserve"> These were</w:t>
      </w:r>
      <w:r w:rsidR="00A95C73" w:rsidRPr="00F14CE5">
        <w:rPr>
          <w:rFonts w:ascii="Times New Roman" w:hAnsi="Times New Roman" w:cs="Times New Roman"/>
          <w:color w:val="0D0D0D" w:themeColor="text1" w:themeTint="F2"/>
        </w:rPr>
        <w:t xml:space="preserve"> </w:t>
      </w:r>
      <w:r w:rsidR="00406EBF" w:rsidRPr="00F14CE5">
        <w:rPr>
          <w:rFonts w:ascii="Times New Roman" w:hAnsi="Times New Roman" w:cs="Times New Roman"/>
          <w:color w:val="0D0D0D" w:themeColor="text1" w:themeTint="F2"/>
        </w:rPr>
        <w:t>no</w:t>
      </w:r>
      <w:r w:rsidR="00A95C73" w:rsidRPr="00F14CE5">
        <w:rPr>
          <w:rFonts w:ascii="Times New Roman" w:hAnsi="Times New Roman" w:cs="Times New Roman"/>
          <w:color w:val="0D0D0D" w:themeColor="text1" w:themeTint="F2"/>
        </w:rPr>
        <w:t xml:space="preserve"> significant differences in perception based on age, gender and specialization. </w:t>
      </w:r>
      <w:r w:rsidR="00A95C73" w:rsidRPr="00F14CE5">
        <w:rPr>
          <w:rFonts w:ascii="Times New Roman" w:hAnsi="Times New Roman" w:cs="Times New Roman"/>
          <w:color w:val="0D0D0D" w:themeColor="text1" w:themeTint="F2"/>
          <w:lang w:val="en-PH"/>
        </w:rPr>
        <w:t xml:space="preserve">The study concluded that </w:t>
      </w:r>
      <w:r w:rsidR="00406EBF" w:rsidRPr="00F14CE5">
        <w:rPr>
          <w:rFonts w:ascii="Times New Roman" w:hAnsi="Times New Roman" w:cs="Times New Roman"/>
          <w:color w:val="0D0D0D" w:themeColor="text1" w:themeTint="F2"/>
          <w:lang w:val="en-PH"/>
        </w:rPr>
        <w:t xml:space="preserve">the </w:t>
      </w:r>
      <w:r w:rsidR="00A95C73" w:rsidRPr="00F14CE5">
        <w:rPr>
          <w:rFonts w:ascii="Times New Roman" w:hAnsi="Times New Roman" w:cs="Times New Roman"/>
          <w:color w:val="0D0D0D" w:themeColor="text1" w:themeTint="F2"/>
          <w:lang w:val="en-PH"/>
        </w:rPr>
        <w:t>MATATAG Curriculum efficiently enhances the learners</w:t>
      </w:r>
      <w:r w:rsidR="00406EBF" w:rsidRPr="00F14CE5">
        <w:rPr>
          <w:rFonts w:ascii="Times New Roman" w:hAnsi="Times New Roman" w:cs="Times New Roman"/>
          <w:color w:val="0D0D0D" w:themeColor="text1" w:themeTint="F2"/>
          <w:lang w:val="en-PH"/>
        </w:rPr>
        <w:t>’</w:t>
      </w:r>
      <w:r w:rsidR="00A95C73" w:rsidRPr="00F14CE5">
        <w:rPr>
          <w:rFonts w:ascii="Times New Roman" w:hAnsi="Times New Roman" w:cs="Times New Roman"/>
          <w:color w:val="0D0D0D" w:themeColor="text1" w:themeTint="F2"/>
          <w:lang w:val="en-PH"/>
        </w:rPr>
        <w:t xml:space="preserve"> competenc</w:t>
      </w:r>
      <w:r w:rsidR="00406EBF" w:rsidRPr="00F14CE5">
        <w:rPr>
          <w:rFonts w:ascii="Times New Roman" w:hAnsi="Times New Roman" w:cs="Times New Roman"/>
          <w:color w:val="0D0D0D" w:themeColor="text1" w:themeTint="F2"/>
          <w:lang w:val="en-PH"/>
        </w:rPr>
        <w:t>ies</w:t>
      </w:r>
      <w:r w:rsidR="00A95C73" w:rsidRPr="00F14CE5">
        <w:rPr>
          <w:rFonts w:ascii="Times New Roman" w:hAnsi="Times New Roman" w:cs="Times New Roman"/>
          <w:color w:val="0D0D0D" w:themeColor="text1" w:themeTint="F2"/>
          <w:lang w:val="en-PH"/>
        </w:rPr>
        <w:t xml:space="preserve"> and the BTVTED program efficiently trains the pre-service teachers to align their instruction with </w:t>
      </w:r>
      <w:r w:rsidR="00406EBF" w:rsidRPr="00F14CE5">
        <w:rPr>
          <w:rFonts w:ascii="Times New Roman" w:hAnsi="Times New Roman" w:cs="Times New Roman"/>
          <w:color w:val="0D0D0D" w:themeColor="text1" w:themeTint="F2"/>
          <w:lang w:val="en-PH"/>
        </w:rPr>
        <w:t xml:space="preserve">the </w:t>
      </w:r>
      <w:r w:rsidR="00A95C73" w:rsidRPr="00F14CE5">
        <w:rPr>
          <w:rFonts w:ascii="Times New Roman" w:hAnsi="Times New Roman" w:cs="Times New Roman"/>
          <w:color w:val="0D0D0D" w:themeColor="text1" w:themeTint="F2"/>
          <w:lang w:val="en-PH"/>
        </w:rPr>
        <w:t>curriculum. A regularly updated curriculum, improv</w:t>
      </w:r>
      <w:r w:rsidR="00406EBF" w:rsidRPr="00F14CE5">
        <w:rPr>
          <w:rFonts w:ascii="Times New Roman" w:hAnsi="Times New Roman" w:cs="Times New Roman"/>
          <w:color w:val="0D0D0D" w:themeColor="text1" w:themeTint="F2"/>
          <w:lang w:val="en-PH"/>
        </w:rPr>
        <w:t>ement in</w:t>
      </w:r>
      <w:r w:rsidR="00A95C73" w:rsidRPr="00F14CE5">
        <w:rPr>
          <w:rFonts w:ascii="Times New Roman" w:hAnsi="Times New Roman" w:cs="Times New Roman"/>
          <w:color w:val="0D0D0D" w:themeColor="text1" w:themeTint="F2"/>
          <w:lang w:val="en-PH"/>
        </w:rPr>
        <w:t xml:space="preserve"> teaching faculty, and provi</w:t>
      </w:r>
      <w:r w:rsidR="00406EBF" w:rsidRPr="00F14CE5">
        <w:rPr>
          <w:rFonts w:ascii="Times New Roman" w:hAnsi="Times New Roman" w:cs="Times New Roman"/>
          <w:color w:val="0D0D0D" w:themeColor="text1" w:themeTint="F2"/>
          <w:lang w:val="en-PH"/>
        </w:rPr>
        <w:t>sion of</w:t>
      </w:r>
      <w:r w:rsidR="00A95C73" w:rsidRPr="00F14CE5">
        <w:rPr>
          <w:rFonts w:ascii="Times New Roman" w:hAnsi="Times New Roman" w:cs="Times New Roman"/>
          <w:color w:val="0D0D0D" w:themeColor="text1" w:themeTint="F2"/>
          <w:lang w:val="en-PH"/>
        </w:rPr>
        <w:t xml:space="preserve"> adequate resources </w:t>
      </w:r>
      <w:r w:rsidR="00406EBF" w:rsidRPr="00F14CE5">
        <w:rPr>
          <w:rFonts w:ascii="Times New Roman" w:hAnsi="Times New Roman" w:cs="Times New Roman"/>
          <w:color w:val="0D0D0D" w:themeColor="text1" w:themeTint="F2"/>
          <w:lang w:val="en-PH"/>
        </w:rPr>
        <w:t xml:space="preserve">by the institution are needed to keep </w:t>
      </w:r>
      <w:r w:rsidR="00A95C73" w:rsidRPr="00F14CE5">
        <w:rPr>
          <w:rFonts w:ascii="Times New Roman" w:hAnsi="Times New Roman" w:cs="Times New Roman"/>
          <w:color w:val="0D0D0D" w:themeColor="text1" w:themeTint="F2"/>
          <w:lang w:val="en-PH"/>
        </w:rPr>
        <w:t>program relevant.</w:t>
      </w:r>
      <w:r w:rsidR="00780BA4" w:rsidRPr="00F14CE5">
        <w:rPr>
          <w:rFonts w:ascii="Times New Roman" w:hAnsi="Times New Roman" w:cs="Times New Roman"/>
          <w:color w:val="0D0D0D" w:themeColor="text1" w:themeTint="F2"/>
          <w:lang w:val="en-PH"/>
        </w:rPr>
        <w:t xml:space="preserve"> </w:t>
      </w:r>
      <w:r w:rsidR="00780BA4" w:rsidRPr="00F14CE5">
        <w:rPr>
          <w:rFonts w:ascii="Times New Roman" w:hAnsi="Times New Roman" w:cs="Times New Roman"/>
          <w:color w:val="0D0D0D" w:themeColor="text1" w:themeTint="F2"/>
        </w:rPr>
        <w:t>Recommendations include regular</w:t>
      </w:r>
      <w:r w:rsidR="00780BA4" w:rsidRPr="00F14CE5">
        <w:rPr>
          <w:rFonts w:ascii="Times New Roman" w:hAnsi="Times New Roman" w:cs="Times New Roman"/>
          <w:color w:val="0D0D0D" w:themeColor="text1" w:themeTint="F2"/>
          <w:spacing w:val="-2"/>
        </w:rPr>
        <w:t xml:space="preserve"> </w:t>
      </w:r>
      <w:r w:rsidR="00780BA4" w:rsidRPr="00F14CE5">
        <w:rPr>
          <w:rFonts w:ascii="Times New Roman" w:hAnsi="Times New Roman" w:cs="Times New Roman"/>
          <w:color w:val="0D0D0D" w:themeColor="text1" w:themeTint="F2"/>
        </w:rPr>
        <w:t>curriculum review,</w:t>
      </w:r>
      <w:r w:rsidR="00780BA4" w:rsidRPr="00F14CE5">
        <w:rPr>
          <w:rFonts w:ascii="Times New Roman" w:hAnsi="Times New Roman" w:cs="Times New Roman"/>
          <w:color w:val="0D0D0D" w:themeColor="text1" w:themeTint="F2"/>
          <w:spacing w:val="-1"/>
        </w:rPr>
        <w:t xml:space="preserve"> </w:t>
      </w:r>
      <w:r w:rsidR="00780BA4" w:rsidRPr="00F14CE5">
        <w:rPr>
          <w:rFonts w:ascii="Times New Roman" w:hAnsi="Times New Roman" w:cs="Times New Roman"/>
          <w:color w:val="0D0D0D" w:themeColor="text1" w:themeTint="F2"/>
        </w:rPr>
        <w:t>enhanced practical training, mentorship programs, and strengthened collaboration between educational</w:t>
      </w:r>
      <w:r w:rsidR="00780BA4" w:rsidRPr="00F14CE5">
        <w:rPr>
          <w:rFonts w:ascii="Times New Roman" w:hAnsi="Times New Roman" w:cs="Times New Roman"/>
          <w:color w:val="0D0D0D" w:themeColor="text1" w:themeTint="F2"/>
          <w:spacing w:val="-7"/>
        </w:rPr>
        <w:t xml:space="preserve"> </w:t>
      </w:r>
      <w:r w:rsidR="00780BA4" w:rsidRPr="00F14CE5">
        <w:rPr>
          <w:rFonts w:ascii="Times New Roman" w:hAnsi="Times New Roman" w:cs="Times New Roman"/>
          <w:color w:val="0D0D0D" w:themeColor="text1" w:themeTint="F2"/>
        </w:rPr>
        <w:t>agencies.</w:t>
      </w:r>
    </w:p>
    <w:p w14:paraId="291138C5" w14:textId="1A76A023" w:rsidR="0024588E" w:rsidRPr="00F14CE5" w:rsidRDefault="0024588E" w:rsidP="0024588E">
      <w:pPr>
        <w:pStyle w:val="BodyText"/>
        <w:ind w:right="-7"/>
        <w:jc w:val="both"/>
        <w:rPr>
          <w:rFonts w:ascii="Times New Roman" w:hAnsi="Times New Roman" w:cs="Times New Roman"/>
          <w:color w:val="0D0D0D" w:themeColor="text1" w:themeTint="F2"/>
        </w:rPr>
      </w:pPr>
    </w:p>
    <w:p w14:paraId="34ABA4AB" w14:textId="7230BA71" w:rsidR="004A2164" w:rsidRPr="00F14CE5" w:rsidRDefault="004A2164" w:rsidP="004A2164">
      <w:pPr>
        <w:spacing w:before="223"/>
        <w:ind w:right="-7"/>
        <w:jc w:val="both"/>
        <w:rPr>
          <w:rFonts w:ascii="Times New Roman" w:hAnsi="Times New Roman" w:cs="Times New Roman"/>
          <w:iCs/>
          <w:color w:val="0D0D0D" w:themeColor="text1" w:themeTint="F2"/>
          <w:sz w:val="24"/>
        </w:rPr>
      </w:pPr>
      <w:r w:rsidRPr="00F14CE5">
        <w:rPr>
          <w:rFonts w:ascii="Times New Roman" w:hAnsi="Times New Roman" w:cs="Times New Roman"/>
          <w:b/>
          <w:iCs/>
          <w:color w:val="0D0D0D" w:themeColor="text1" w:themeTint="F2"/>
          <w:sz w:val="24"/>
        </w:rPr>
        <w:t>Keywords:</w:t>
      </w:r>
      <w:r w:rsidRPr="00F14CE5">
        <w:rPr>
          <w:rFonts w:ascii="Times New Roman" w:hAnsi="Times New Roman" w:cs="Times New Roman"/>
          <w:iCs/>
          <w:color w:val="0D0D0D" w:themeColor="text1" w:themeTint="F2"/>
          <w:sz w:val="24"/>
        </w:rPr>
        <w:t xml:space="preserve"> Technical-vocational education, MATATAG Curriculum, Competency gaps, pre-service teachers, Curriculum alignment, Teacher preparation</w:t>
      </w:r>
    </w:p>
    <w:p w14:paraId="21E4C5A6" w14:textId="3A87D831" w:rsidR="005865C1" w:rsidRPr="00F14CE5" w:rsidRDefault="004A2164" w:rsidP="00102CAC">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INTRODUCTION</w:t>
      </w:r>
      <w:r w:rsidR="00102CAC" w:rsidRPr="00F14CE5">
        <w:rPr>
          <w:rFonts w:ascii="Times New Roman" w:hAnsi="Times New Roman" w:cs="Times New Roman"/>
          <w:color w:val="0D0D0D" w:themeColor="text1" w:themeTint="F2"/>
          <w:kern w:val="2"/>
          <w:sz w:val="24"/>
          <w:szCs w:val="24"/>
        </w:rPr>
        <w:t xml:space="preserve"> </w:t>
      </w:r>
    </w:p>
    <w:p w14:paraId="63C43C43" w14:textId="4A2AD828" w:rsidR="005865C1" w:rsidRPr="00F14CE5" w:rsidRDefault="00102CAC"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The MATATAG Curriculum marks a significant shift from Philippine basic education, focusing on foundational learning, condensed content, and enhanced career-ready competencies in all learning areas, including Technology and Livelihood Education (TLE), which prepares learners with practical, technical, and entrepreneurial skills needed for local and global industries. With the introduction of new competencies, decongested learning standards, and more focused skill-based outcomes, it is clear that pre-service TLE teacher education programs must be preparing future educators to meet the demands of the MATATAG classroom.</w:t>
      </w:r>
    </w:p>
    <w:p w14:paraId="58BD521D" w14:textId="19E4F94C" w:rsidR="00102CAC"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In this context, the curriculum’s reorientation toward </w:t>
      </w:r>
      <w:r w:rsidR="00102CAC" w:rsidRPr="00F14CE5">
        <w:rPr>
          <w:rFonts w:ascii="Times New Roman" w:hAnsi="Times New Roman" w:cs="Times New Roman"/>
          <w:color w:val="0D0D0D" w:themeColor="text1" w:themeTint="F2"/>
          <w:kern w:val="2"/>
          <w:sz w:val="24"/>
          <w:szCs w:val="24"/>
        </w:rPr>
        <w:t xml:space="preserve">basic competencies and authentic experiences increases the demands on the TLE teachers. TLE teachers are now called upon not only to transmit information, but to facilitate the students in experiencing real-world situations in learning activities based on their industry. This requires teachers to be proficient in their technical skills and in creating the learner-centered activities based on their industries. </w:t>
      </w:r>
      <w:r w:rsidRPr="00F14CE5">
        <w:rPr>
          <w:rFonts w:ascii="Times New Roman" w:hAnsi="Times New Roman" w:cs="Times New Roman"/>
          <w:color w:val="0D0D0D" w:themeColor="text1" w:themeTint="F2"/>
          <w:kern w:val="2"/>
          <w:sz w:val="24"/>
          <w:szCs w:val="24"/>
        </w:rPr>
        <w:t xml:space="preserve"> </w:t>
      </w:r>
      <w:r w:rsidR="00102CAC" w:rsidRPr="00F14CE5">
        <w:rPr>
          <w:rFonts w:ascii="Times New Roman" w:hAnsi="Times New Roman" w:cs="Times New Roman"/>
          <w:color w:val="0D0D0D" w:themeColor="text1" w:themeTint="F2"/>
          <w:kern w:val="2"/>
          <w:sz w:val="24"/>
          <w:szCs w:val="24"/>
        </w:rPr>
        <w:t>Therefore, pre-service TLE teachers’ education programs should produce individuals that could integrate modern instructional technologies, apply competency-based assessments and embed entrepreneurship which is strongly emphasizes by the MATATAG curriculum as central components in their delivery.</w:t>
      </w:r>
    </w:p>
    <w:p w14:paraId="67510BA4" w14:textId="0D4C10E6" w:rsidR="00102CAC"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102CAC" w:rsidRPr="00F14CE5">
        <w:rPr>
          <w:rFonts w:ascii="Times New Roman" w:hAnsi="Times New Roman" w:cs="Times New Roman"/>
          <w:color w:val="0D0D0D" w:themeColor="text1" w:themeTint="F2"/>
          <w:kern w:val="2"/>
          <w:sz w:val="24"/>
          <w:szCs w:val="24"/>
        </w:rPr>
        <w:t>In addition, as TLE develops with the fast pace of technology and the demands of the economy, there must be parallel developments to the TLE teacher. The MATATAG Curriculum necessitates that teachers be flexible, reflective, and be able to continue developing their skills in response to industry needs. To prepare TLE pre-service teachers adequately, therefore, teacher education must involve more than just training inside a classroom. They must be exposed to industry settings through on-the-job training and apprenticeship, modernized lab exercises, and innovations in the technical fields that are creating livelihoods today. Otherwise, pre-service teacher graduates will only come out with outdated and incomplete skills that cannot respond to the new curriculum requirements.</w:t>
      </w:r>
    </w:p>
    <w:p w14:paraId="30585F19" w14:textId="49451973" w:rsidR="00242D5A"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lastRenderedPageBreak/>
        <w:tab/>
        <w:t xml:space="preserve">However, </w:t>
      </w:r>
      <w:r w:rsidR="00242D5A" w:rsidRPr="00F14CE5">
        <w:rPr>
          <w:rFonts w:ascii="Times New Roman" w:hAnsi="Times New Roman" w:cs="Times New Roman"/>
          <w:color w:val="0D0D0D" w:themeColor="text1" w:themeTint="F2"/>
          <w:kern w:val="2"/>
          <w:sz w:val="24"/>
          <w:szCs w:val="24"/>
        </w:rPr>
        <w:t xml:space="preserve">the </w:t>
      </w:r>
      <w:r w:rsidRPr="00F14CE5">
        <w:rPr>
          <w:rFonts w:ascii="Times New Roman" w:hAnsi="Times New Roman" w:cs="Times New Roman"/>
          <w:color w:val="0D0D0D" w:themeColor="text1" w:themeTint="F2"/>
          <w:kern w:val="2"/>
          <w:sz w:val="24"/>
          <w:szCs w:val="24"/>
        </w:rPr>
        <w:t xml:space="preserve">initial curriculum </w:t>
      </w:r>
      <w:r w:rsidR="00242D5A" w:rsidRPr="00F14CE5">
        <w:rPr>
          <w:rFonts w:ascii="Times New Roman" w:hAnsi="Times New Roman" w:cs="Times New Roman"/>
          <w:color w:val="0D0D0D" w:themeColor="text1" w:themeTint="F2"/>
          <w:kern w:val="2"/>
          <w:sz w:val="24"/>
          <w:szCs w:val="24"/>
        </w:rPr>
        <w:t>analyses showed a widening gap between what pre-service teachers learning in their Teacher Education Institutions (TEIs) and what competencies were necessary to implement the MATATAG Curriculum, particularly in TLE, as many TEIs are still following traditional course structures, outdated syllabi, and limited technical training opportunities that do not align with the new TLE standards, and struggle with aligning pedagogical strategies, technical skills, and content knowledge with the updated curriculum frameworks during their field experiences.</w:t>
      </w:r>
    </w:p>
    <w:p w14:paraId="48056E7E" w14:textId="61B838C5" w:rsidR="000233DF"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These gaps </w:t>
      </w:r>
      <w:r w:rsidR="00242D5A" w:rsidRPr="00F14CE5">
        <w:rPr>
          <w:rFonts w:ascii="Times New Roman" w:hAnsi="Times New Roman" w:cs="Times New Roman"/>
          <w:color w:val="0D0D0D" w:themeColor="text1" w:themeTint="F2"/>
          <w:kern w:val="2"/>
          <w:sz w:val="24"/>
          <w:szCs w:val="24"/>
        </w:rPr>
        <w:t>issues be addressed not only to pre-service teachers but also to basic education schools which depend on newly trained teachers for continuing quality TLE education, to have ineffective learners, less proficient skill development and inconsistency in application of competency-based approach and to make learning meaningful in livelihood preparation and the socio-economic development in the whole society.</w:t>
      </w:r>
    </w:p>
    <w:p w14:paraId="03A6181E" w14:textId="5BB2B6A9" w:rsidR="00242D5A"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BA17F5" w:rsidRPr="00F14CE5">
        <w:rPr>
          <w:rFonts w:ascii="Times New Roman" w:hAnsi="Times New Roman" w:cs="Times New Roman"/>
          <w:color w:val="0D0D0D" w:themeColor="text1" w:themeTint="F2"/>
          <w:sz w:val="24"/>
          <w:szCs w:val="24"/>
        </w:rPr>
        <w:t>Given these concerns, this study aimed to analyze the relationship of pre-service TLE teacher education programs with the MATATAG Curriculum, identify specific gaps in competencies, and suggest recommendations to improve the curriculum coherence based on evidence-based interventions. More specifically, this study identified the importance of incorporating the TESDA National Certificate (NC II) guidelines to the program, improving the certification options of the pre-service teachers, increasing the on-the-job immersion of the pre-service teachers with their respective industries, and providing advanced faculty skills by having Trainer Methodology (TM II) certification.</w:t>
      </w:r>
    </w:p>
    <w:p w14:paraId="165CA92F" w14:textId="77777777" w:rsidR="00DE113A" w:rsidRPr="00F14CE5" w:rsidRDefault="000233DF" w:rsidP="00DE113A">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Ultimately, bridging the competency gaps is essential </w:t>
      </w:r>
      <w:r w:rsidR="00DE113A" w:rsidRPr="00F14CE5">
        <w:rPr>
          <w:rFonts w:ascii="Times New Roman" w:hAnsi="Times New Roman" w:cs="Times New Roman"/>
          <w:color w:val="0D0D0D" w:themeColor="text1" w:themeTint="F2"/>
          <w:kern w:val="2"/>
          <w:sz w:val="24"/>
          <w:szCs w:val="24"/>
        </w:rPr>
        <w:t>to ensure that future TLE teachers have the technical, pedagogical, and curricular competencies required to deliver high-quality, relevant, and forward-looking TLE education that equips learners with employable skills, community livelihood, and national development.</w:t>
      </w:r>
      <w:r w:rsidRPr="00F14CE5">
        <w:rPr>
          <w:rFonts w:ascii="Times New Roman" w:hAnsi="Times New Roman" w:cs="Times New Roman"/>
          <w:color w:val="0D0D0D" w:themeColor="text1" w:themeTint="F2"/>
          <w:kern w:val="2"/>
          <w:sz w:val="24"/>
          <w:szCs w:val="24"/>
        </w:rPr>
        <w:t xml:space="preserve"> In line with this</w:t>
      </w:r>
      <w:r w:rsidRPr="00F14CE5">
        <w:rPr>
          <w:rFonts w:ascii="Times New Roman" w:hAnsi="Times New Roman" w:cs="Times New Roman"/>
          <w:b/>
          <w:bCs/>
          <w:color w:val="0D0D0D" w:themeColor="text1" w:themeTint="F2"/>
          <w:kern w:val="2"/>
          <w:sz w:val="24"/>
          <w:szCs w:val="24"/>
        </w:rPr>
        <w:t xml:space="preserve">, </w:t>
      </w:r>
      <w:r w:rsidRPr="00F14CE5">
        <w:rPr>
          <w:rFonts w:ascii="Times New Roman" w:hAnsi="Times New Roman" w:cs="Times New Roman"/>
          <w:b/>
          <w:bCs/>
          <w:color w:val="0D0D0D" w:themeColor="text1" w:themeTint="F2"/>
          <w:kern w:val="2"/>
          <w:sz w:val="24"/>
          <w:szCs w:val="24"/>
        </w:rPr>
        <w:fldChar w:fldCharType="begin"/>
      </w:r>
      <w:r w:rsidRPr="00F14CE5">
        <w:rPr>
          <w:rFonts w:ascii="Times New Roman" w:hAnsi="Times New Roman" w:cs="Times New Roman"/>
          <w:b/>
          <w:bCs/>
          <w:color w:val="0D0D0D" w:themeColor="text1" w:themeTint="F2"/>
          <w:kern w:val="2"/>
          <w:sz w:val="24"/>
          <w:szCs w:val="24"/>
        </w:rPr>
        <w:instrText xml:space="preserve"> ADDIN ZOTERO_ITEM CSL_CITATION {"citationID":"gioYk4CK","properties":{"formattedCitation":"(Fiel &amp; Sermona, 2024)","plainCitation":"(Fiel &amp; Sermona, 2024)","noteIndex":0},"citationItems":[{"id":1465,"uris":["http://zotero.org/users/local/pdR0I0Iy/items/H8QVPB7N"],"itemData":{"id":1465,"type":"article-journal","container-title":"IJFMR - International Journal For Multidisciplinary Research","DOI":"10.36948/ijfmr.2024.v06i06.31494","ISSN":"2582-2160","issue":"6","license":"Creative Commons Attribution-ShareAlike 4.0 International License","publisher":"IJFMR","source":"www.ijfmr.com","title":"Assessing Pre-service Teachers' Level of Technical-vocational and Pedagogical Competencies in Southern Philippines","URL":"https://www.ijfmr.com/research-paper.php?id=31494","volume":"6","author":[{"family":"Fiel","given":"Sylvia S."},{"family":"Sermona","given":"Nivea Louwah D."}],"accessed":{"date-parts":[["2026",4,11]]},"issued":{"date-parts":[["2024",11,27]]}}}],"schema":"https://github.com/citation-style-language/schema/raw/master/csl-citation.json"} </w:instrText>
      </w:r>
      <w:r w:rsidRPr="00F14CE5">
        <w:rPr>
          <w:rFonts w:ascii="Times New Roman" w:hAnsi="Times New Roman" w:cs="Times New Roman"/>
          <w:b/>
          <w:bCs/>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(Fiel &amp; Sermona, 2024)</w:t>
      </w:r>
      <w:r w:rsidRPr="00F14CE5">
        <w:rPr>
          <w:rFonts w:ascii="Times New Roman" w:hAnsi="Times New Roman" w:cs="Times New Roman"/>
          <w:b/>
          <w:bCs/>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found that </w:t>
      </w:r>
      <w:r w:rsidR="00DE113A" w:rsidRPr="00F14CE5">
        <w:rPr>
          <w:rFonts w:ascii="Times New Roman" w:hAnsi="Times New Roman" w:cs="Times New Roman"/>
          <w:color w:val="0D0D0D" w:themeColor="text1" w:themeTint="F2"/>
          <w:kern w:val="2"/>
          <w:sz w:val="24"/>
          <w:szCs w:val="24"/>
        </w:rPr>
        <w:t>pre-service TVET teachers exhibit varying levels of technical and pedagogical competencies, underscoring the importance of improving their training and curriculum alignment to adapt to changing educational and industrial requirements</w:t>
      </w:r>
    </w:p>
    <w:p w14:paraId="42DD8E3C" w14:textId="0EE58644" w:rsidR="004A2164" w:rsidRPr="00F14CE5" w:rsidRDefault="004A2164" w:rsidP="00DE113A">
      <w:pPr>
        <w:tabs>
          <w:tab w:val="left" w:pos="0"/>
        </w:tabs>
        <w:spacing w:line="240" w:lineRule="auto"/>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METHODOLOGY</w:t>
      </w:r>
    </w:p>
    <w:p w14:paraId="7A981FE0" w14:textId="235EBD53" w:rsidR="00C230C3" w:rsidRPr="00F14CE5" w:rsidRDefault="005D79ED" w:rsidP="00C230C3">
      <w:pPr>
        <w:spacing w:before="223" w:line="240" w:lineRule="auto"/>
        <w:ind w:right="-7"/>
        <w:jc w:val="both"/>
        <w:rPr>
          <w:rFonts w:ascii="Times New Roman" w:hAnsi="Times New Roman" w:cs="Times New Roman"/>
          <w:b/>
          <w:bCs/>
          <w:iCs/>
          <w:color w:val="0D0D0D" w:themeColor="text1" w:themeTint="F2"/>
          <w:sz w:val="24"/>
          <w:szCs w:val="24"/>
          <w:lang w:val="en-US"/>
        </w:rPr>
      </w:pPr>
      <w:r w:rsidRPr="00F14CE5">
        <w:rPr>
          <w:rFonts w:ascii="Times New Roman" w:hAnsi="Times New Roman" w:cs="Times New Roman"/>
          <w:b/>
          <w:bCs/>
          <w:iCs/>
          <w:color w:val="0D0D0D" w:themeColor="text1" w:themeTint="F2"/>
          <w:sz w:val="24"/>
          <w:szCs w:val="24"/>
        </w:rPr>
        <w:t xml:space="preserve">Research </w:t>
      </w:r>
      <w:r w:rsidR="00C230C3" w:rsidRPr="00F14CE5">
        <w:rPr>
          <w:rFonts w:ascii="Times New Roman" w:hAnsi="Times New Roman" w:cs="Times New Roman"/>
          <w:b/>
          <w:bCs/>
          <w:iCs/>
          <w:color w:val="0D0D0D" w:themeColor="text1" w:themeTint="F2"/>
          <w:sz w:val="24"/>
          <w:szCs w:val="24"/>
          <w:lang w:val="en-US"/>
        </w:rPr>
        <w:t>Design</w:t>
      </w:r>
    </w:p>
    <w:p w14:paraId="390BCAD6" w14:textId="2561CF68" w:rsidR="00C230C3" w:rsidRPr="00F14CE5" w:rsidRDefault="00C230C3" w:rsidP="00C230C3">
      <w:pPr>
        <w:spacing w:before="223" w:line="240" w:lineRule="auto"/>
        <w:ind w:right="-7"/>
        <w:jc w:val="both"/>
        <w:rPr>
          <w:rFonts w:ascii="Times New Roman" w:hAnsi="Times New Roman" w:cs="Times New Roman"/>
          <w:iCs/>
          <w:color w:val="0D0D0D" w:themeColor="text1" w:themeTint="F2"/>
          <w:sz w:val="24"/>
          <w:szCs w:val="24"/>
        </w:rPr>
      </w:pPr>
      <w:r w:rsidRPr="00F14CE5">
        <w:rPr>
          <w:rFonts w:ascii="Times New Roman" w:hAnsi="Times New Roman" w:cs="Times New Roman"/>
          <w:iCs/>
          <w:color w:val="0D0D0D" w:themeColor="text1" w:themeTint="F2"/>
          <w:sz w:val="24"/>
          <w:szCs w:val="24"/>
        </w:rPr>
        <w:tab/>
      </w:r>
      <w:r w:rsidR="00B318FF" w:rsidRPr="00F14CE5">
        <w:rPr>
          <w:rFonts w:ascii="Times New Roman" w:hAnsi="Times New Roman" w:cs="Times New Roman"/>
          <w:iCs/>
          <w:color w:val="0D0D0D" w:themeColor="text1" w:themeTint="F2"/>
          <w:sz w:val="24"/>
          <w:szCs w:val="24"/>
        </w:rPr>
        <w:t xml:space="preserve">The study used a descriptive-correlational design of research to investigated the congruence of the MATATAG Curriculum with the pre-service teacher education program of Bachelor of Technical-Vocational Teacher Education (BTVTEd). It identified the extent of the implementation of the MATATAG Curriculum through descriptive method and the extent to which pre-service programs are preparing teachers through identifying their competency. This method descriptively and correlates with no manipulation of the variables which systematically defined and describe what is and what is related on this subject which in relation to a real data would be interpreted objectively. </w:t>
      </w:r>
      <w:r w:rsidRPr="00F14CE5">
        <w:rPr>
          <w:rFonts w:ascii="Times New Roman" w:hAnsi="Times New Roman" w:cs="Times New Roman"/>
          <w:iCs/>
          <w:color w:val="0D0D0D" w:themeColor="text1" w:themeTint="F2"/>
          <w:sz w:val="24"/>
          <w:szCs w:val="24"/>
        </w:rPr>
        <w:t xml:space="preserve">As supported by </w:t>
      </w:r>
      <w:r w:rsidRPr="00F14CE5">
        <w:rPr>
          <w:rFonts w:ascii="Times New Roman" w:hAnsi="Times New Roman" w:cs="Times New Roman"/>
          <w:iCs/>
          <w:color w:val="0D0D0D" w:themeColor="text1" w:themeTint="F2"/>
          <w:sz w:val="24"/>
          <w:szCs w:val="24"/>
        </w:rPr>
        <w:fldChar w:fldCharType="begin"/>
      </w:r>
      <w:r w:rsidR="007D4FDD" w:rsidRPr="00F14CE5">
        <w:rPr>
          <w:rFonts w:ascii="Times New Roman" w:hAnsi="Times New Roman" w:cs="Times New Roman"/>
          <w:iCs/>
          <w:color w:val="0D0D0D" w:themeColor="text1" w:themeTint="F2"/>
          <w:sz w:val="24"/>
          <w:szCs w:val="24"/>
        </w:rPr>
        <w:instrText xml:space="preserve"> ADDIN ZOTERO_ITEM CSL_CITATION {"citationID":"YXylKcxl","properties":{"formattedCitation":"(Clarete et al., 2023)","plainCitation":"(Clarete et al., 2023)","noteIndex":0},"citationItems":[{"id":"i2yCDwO7/N0SqDxDe","uris":["http://zotero.org/users/18683385/items/PW3FGJFV"],"itemData":{"id":68,"type":"article-journal","container-title":"International Journal of Multidisciplinary: Applied Business and Education Research","DOI":"10.11594/ijmaber.04.12.22","ISSN":"2774-5368","issue":"12","language":"en","page":"4460-4472","source":"ijmaberjournal.org","title":"A Descriptive-Correlational Study on Personality Traits and Entrepreneurial Intentions of Senior High School Learners","volume":"4","author":[{"family":"Clarete","given":"Princess Maejoy D."},{"family":"Mondejar","given":"Marlou Antonio D."},{"family":"Quimba","given":"Nel Rose L."},{"family":"Carlos","given":"Jr Gaygay"}],"issued":{"date-parts":[["2023",12,23]]}}}],"schema":"https://github.com/citation-style-language/schema/raw/master/csl-citation.json"} </w:instrText>
      </w:r>
      <w:r w:rsidRPr="00F14CE5">
        <w:rPr>
          <w:rFonts w:ascii="Times New Roman" w:hAnsi="Times New Roman" w:cs="Times New Roman"/>
          <w:iCs/>
          <w:color w:val="0D0D0D" w:themeColor="text1" w:themeTint="F2"/>
          <w:sz w:val="24"/>
          <w:szCs w:val="24"/>
        </w:rPr>
        <w:fldChar w:fldCharType="separate"/>
      </w:r>
      <w:r w:rsidRPr="00F14CE5">
        <w:rPr>
          <w:rFonts w:ascii="Times New Roman" w:hAnsi="Times New Roman" w:cs="Times New Roman"/>
          <w:iCs/>
          <w:color w:val="0D0D0D" w:themeColor="text1" w:themeTint="F2"/>
          <w:sz w:val="24"/>
          <w:szCs w:val="24"/>
        </w:rPr>
        <w:t>(Clarete et al., 2023)</w:t>
      </w:r>
      <w:r w:rsidRPr="00F14CE5">
        <w:rPr>
          <w:rFonts w:ascii="Times New Roman" w:hAnsi="Times New Roman" w:cs="Times New Roman"/>
          <w:iCs/>
          <w:color w:val="0D0D0D" w:themeColor="text1" w:themeTint="F2"/>
          <w:sz w:val="24"/>
          <w:szCs w:val="24"/>
        </w:rPr>
        <w:fldChar w:fldCharType="end"/>
      </w:r>
      <w:r w:rsidRPr="00F14CE5">
        <w:rPr>
          <w:rFonts w:ascii="Times New Roman" w:hAnsi="Times New Roman" w:cs="Times New Roman"/>
          <w:iCs/>
          <w:color w:val="0D0D0D" w:themeColor="text1" w:themeTint="F2"/>
          <w:sz w:val="24"/>
          <w:szCs w:val="24"/>
        </w:rPr>
        <w:t xml:space="preserve">, </w:t>
      </w:r>
      <w:r w:rsidR="00B318FF" w:rsidRPr="00F14CE5">
        <w:rPr>
          <w:rFonts w:ascii="Times New Roman" w:hAnsi="Times New Roman" w:cs="Times New Roman"/>
          <w:iCs/>
          <w:color w:val="0D0D0D" w:themeColor="text1" w:themeTint="F2"/>
          <w:sz w:val="24"/>
          <w:szCs w:val="24"/>
        </w:rPr>
        <w:t>the descriptive-correlational design enabled researchers to investigate and interpret the relationship between the education constructs</w:t>
      </w:r>
      <w:r w:rsidRPr="00F14CE5">
        <w:rPr>
          <w:rFonts w:ascii="Times New Roman" w:hAnsi="Times New Roman" w:cs="Times New Roman"/>
          <w:iCs/>
          <w:color w:val="0D0D0D" w:themeColor="text1" w:themeTint="F2"/>
          <w:sz w:val="24"/>
          <w:szCs w:val="24"/>
        </w:rPr>
        <w:t xml:space="preserve"> in a natural setting, offering valid insights into program effectiveness</w:t>
      </w:r>
    </w:p>
    <w:p w14:paraId="6CF40D15" w14:textId="42FA0B2B" w:rsidR="000233DF" w:rsidRPr="00F14CE5" w:rsidRDefault="00C230C3" w:rsidP="00C230C3">
      <w:pPr>
        <w:spacing w:before="223" w:line="240" w:lineRule="auto"/>
        <w:ind w:right="-7"/>
        <w:jc w:val="both"/>
        <w:rPr>
          <w:rFonts w:ascii="Times New Roman" w:hAnsi="Times New Roman" w:cs="Times New Roman"/>
          <w:iCs/>
          <w:color w:val="0D0D0D" w:themeColor="text1" w:themeTint="F2"/>
          <w:sz w:val="24"/>
          <w:szCs w:val="24"/>
          <w:lang w:val="en-US"/>
        </w:rPr>
      </w:pPr>
      <w:r w:rsidRPr="00F14CE5">
        <w:rPr>
          <w:rFonts w:ascii="Times New Roman" w:hAnsi="Times New Roman" w:cs="Times New Roman"/>
          <w:iCs/>
          <w:color w:val="0D0D0D" w:themeColor="text1" w:themeTint="F2"/>
          <w:sz w:val="24"/>
          <w:szCs w:val="24"/>
          <w:lang w:val="en-US"/>
        </w:rPr>
        <w:tab/>
        <w:t xml:space="preserve">Furthermore, the correlational aspect of the study determined the strength and direction of relationships between curriculum implementation, competency development, and alignment perceptions among pre-service teachers. This approach was particularly suitable in educational contexts where experimental manipulation was neither ethical nor practical. As demonstrated by </w:t>
      </w:r>
      <w:r w:rsidRPr="00F14CE5">
        <w:rPr>
          <w:rFonts w:ascii="Times New Roman" w:hAnsi="Times New Roman" w:cs="Times New Roman"/>
          <w:iCs/>
          <w:color w:val="0D0D0D" w:themeColor="text1" w:themeTint="F2"/>
          <w:sz w:val="24"/>
          <w:szCs w:val="24"/>
          <w:lang w:val="en-US"/>
        </w:rPr>
        <w:fldChar w:fldCharType="begin"/>
      </w:r>
      <w:r w:rsidR="007D4FDD" w:rsidRPr="00F14CE5">
        <w:rPr>
          <w:rFonts w:ascii="Times New Roman" w:hAnsi="Times New Roman" w:cs="Times New Roman"/>
          <w:iCs/>
          <w:color w:val="0D0D0D" w:themeColor="text1" w:themeTint="F2"/>
          <w:sz w:val="24"/>
          <w:szCs w:val="24"/>
          <w:lang w:val="en-US"/>
        </w:rPr>
        <w:instrText xml:space="preserve"> ADDIN ZOTERO_ITEM CSL_CITATION {"citationID":"LVGvJ0NG","properties":{"formattedCitation":"(Cubillas et al., 2021)","plainCitation":"(Cubillas et al., 2021)","noteIndex":0},"citationItems":[{"id":"i2yCDwO7/Bu1U3bIt","uris":["http://zotero.org/users/18683385/items/LF7BU88V"],"itemData":{"id":70,"type":"article-journal","abstract":"The study ascertained the extent of curriculum contextualization in public schools using the descriptive-correlational method.Simple random sampling was used to identify the 48 teachers-participants and 437 pupil-participants. The results showed thatcurriculum implementation, instructional process, and instructional materials are found to be very extensive while the learners’academic achievement in contextualized lessons is very satisfactory. Furthermore, the instructional process and the instructionalmaterials are significantly correlated with learners’ academic achievement. Data revealed that the curriculum implementation andthe instructional process are consistent with the learners’ academic achievement but the instructional materials used are notsignificantly congruous with the latter. The dearth of contextualized IMs, teachers’ lack of training, and the resistance towardscontextualization impede the full implementation of contextualized curriculum.","container-title":"Psychology and Education Journal","ISSN":"1553-6939","issue":"5","language":"en","license":"Copyright (c) 2021","page":"4996-5006","source":"psychologyandeducation.net","title":"Linking the Extent of Curriculum Contextualization to the Learners’ Level of Academic Achievement: Basis for a Teacher-Training Design","title-short":"Linking the Extent of Curriculum Contextualization to the Learners’ Level of Academic Achievement","volume":"58","author":[{"family":"Cubillas","given":"Trixie E."},{"family":"Cubillas","given":"Ariel U."},{"family":"Matuguina","given":"Cherrydel A."}],"issued":{"date-parts":[["2021",7,22]]}}}],"schema":"https://github.com/citation-style-language/schema/raw/master/csl-citation.json"} </w:instrText>
      </w:r>
      <w:r w:rsidRPr="00F14CE5">
        <w:rPr>
          <w:rFonts w:ascii="Times New Roman" w:hAnsi="Times New Roman" w:cs="Times New Roman"/>
          <w:iCs/>
          <w:color w:val="0D0D0D" w:themeColor="text1" w:themeTint="F2"/>
          <w:sz w:val="24"/>
          <w:szCs w:val="24"/>
          <w:lang w:val="en-US"/>
        </w:rPr>
        <w:fldChar w:fldCharType="separate"/>
      </w:r>
      <w:r w:rsidRPr="00F14CE5">
        <w:rPr>
          <w:rFonts w:ascii="Times New Roman" w:hAnsi="Times New Roman" w:cs="Times New Roman"/>
          <w:iCs/>
          <w:color w:val="0D0D0D" w:themeColor="text1" w:themeTint="F2"/>
          <w:sz w:val="24"/>
          <w:szCs w:val="24"/>
          <w:lang w:val="en-US"/>
        </w:rPr>
        <w:t>(Cubillas et al., 2021)</w:t>
      </w:r>
      <w:r w:rsidRPr="00F14CE5">
        <w:rPr>
          <w:rFonts w:ascii="Times New Roman" w:hAnsi="Times New Roman" w:cs="Times New Roman"/>
          <w:iCs/>
          <w:color w:val="0D0D0D" w:themeColor="text1" w:themeTint="F2"/>
          <w:sz w:val="24"/>
          <w:szCs w:val="24"/>
        </w:rPr>
        <w:fldChar w:fldCharType="end"/>
      </w:r>
      <w:r w:rsidRPr="00F14CE5">
        <w:rPr>
          <w:rFonts w:ascii="Times New Roman" w:hAnsi="Times New Roman" w:cs="Times New Roman"/>
          <w:iCs/>
          <w:color w:val="0D0D0D" w:themeColor="text1" w:themeTint="F2"/>
          <w:sz w:val="24"/>
          <w:szCs w:val="24"/>
          <w:lang w:val="en-US"/>
        </w:rPr>
        <w:t xml:space="preserve">, this method effectively establishes links between curriculum contextualization and learner performance, while </w:t>
      </w:r>
      <w:r w:rsidRPr="00F14CE5">
        <w:rPr>
          <w:rFonts w:ascii="Times New Roman" w:hAnsi="Times New Roman" w:cs="Times New Roman"/>
          <w:iCs/>
          <w:color w:val="0D0D0D" w:themeColor="text1" w:themeTint="F2"/>
          <w:sz w:val="24"/>
          <w:szCs w:val="24"/>
          <w:lang w:val="en-US"/>
        </w:rPr>
        <w:fldChar w:fldCharType="begin"/>
      </w:r>
      <w:r w:rsidR="007D4FDD" w:rsidRPr="00F14CE5">
        <w:rPr>
          <w:rFonts w:ascii="Times New Roman" w:hAnsi="Times New Roman" w:cs="Times New Roman"/>
          <w:iCs/>
          <w:color w:val="0D0D0D" w:themeColor="text1" w:themeTint="F2"/>
          <w:sz w:val="24"/>
          <w:szCs w:val="24"/>
          <w:lang w:val="en-US"/>
        </w:rPr>
        <w:instrText xml:space="preserve"> ADDIN ZOTERO_ITEM CSL_CITATION {"citationID":"uVEhtdXN","properties":{"formattedCitation":"(Bacosa &amp; Caballes, 2022)","plainCitation":"(Bacosa &amp; Caballes, 2022)","noteIndex":0},"citationItems":[{"id":"i2yCDwO7/NSzhpSEm","uris":["http://zotero.org/users/18683385/items/84TK8RL7"],"itemData":{"id":72,"type":"article-journal","abstract":"The disruptions caused by the Covid-19 Pandemic do not excuse science schools from continuing to provide holistic quality education to their learners. This study determined teachers' practices in the Curriculum and instruction as part of School-Based Management Level-3 of a public science high school. The descriptive-correlation quantitative research design and data triangulation were employed. The teachers were on average age of 32.90 years, 75% of the respondents were female, the average years in service of the teachers is eight years, and the majority are Teachers I-III, about 93.8% of the respondents. About 18.8% of the respondents were full-fledged in their Master's Program. Results of the study showed that teachers' overall level of practice in Curriculum and instruction was denoted as highly practiced. Correlational analyses revealed a significant relationship between the highest educational attainment and general practices of teachers in Curriculum and instructions (r=0.478,p=0.002&amp;lt;0.05). A significant relationship between the provision for the development needs of learners and the Review, improvement, and contextualization of assessment tools for teaching and learning as teachers' practices in the Curriculum and Instruction was also presented (r=0.449,p=0.010&amp;lt;0.05). A significant relationship between the regular collaboration of the learning system and the Review, improvement, and contextualization of assessment tools for teaching and learning (r=0.430,p=0.014&amp;lt; 0.05) was also significant.","container-title":"International Journal of Humanities and Education Development (IJHED)","DOI":"10.22161/jhed.4.3.25","ISSN":"2581-8651","issue":"3","language":"en","license":"https://creativecommons.org/licenses/by-nc/4.0","page":"214-221","source":"theshillonga.com","title":"Teachers’ Practices in Curriculum and Instruction in a Science High School Amidst the Covid-19 Pandemic","volume":"4","author":[{"family":"Bacosa","given":"Dennis P."},{"family":"Caballes","given":"Dennis G."}],"issued":{"date-parts":[["2022",6,30]]}}}],"schema":"https://github.com/citation-style-language/schema/raw/master/csl-citation.json"} </w:instrText>
      </w:r>
      <w:r w:rsidRPr="00F14CE5">
        <w:rPr>
          <w:rFonts w:ascii="Times New Roman" w:hAnsi="Times New Roman" w:cs="Times New Roman"/>
          <w:iCs/>
          <w:color w:val="0D0D0D" w:themeColor="text1" w:themeTint="F2"/>
          <w:sz w:val="24"/>
          <w:szCs w:val="24"/>
          <w:lang w:val="en-US"/>
        </w:rPr>
        <w:fldChar w:fldCharType="separate"/>
      </w:r>
      <w:r w:rsidRPr="00F14CE5">
        <w:rPr>
          <w:rFonts w:ascii="Times New Roman" w:hAnsi="Times New Roman" w:cs="Times New Roman"/>
          <w:iCs/>
          <w:color w:val="0D0D0D" w:themeColor="text1" w:themeTint="F2"/>
          <w:sz w:val="24"/>
          <w:szCs w:val="24"/>
          <w:lang w:val="en-US"/>
        </w:rPr>
        <w:t>(Bacosa &amp; Caballes, 2022)</w:t>
      </w:r>
      <w:r w:rsidRPr="00F14CE5">
        <w:rPr>
          <w:rFonts w:ascii="Times New Roman" w:hAnsi="Times New Roman" w:cs="Times New Roman"/>
          <w:iCs/>
          <w:color w:val="0D0D0D" w:themeColor="text1" w:themeTint="F2"/>
          <w:sz w:val="24"/>
          <w:szCs w:val="24"/>
        </w:rPr>
        <w:fldChar w:fldCharType="end"/>
      </w:r>
      <w:r w:rsidRPr="00F14CE5">
        <w:rPr>
          <w:rFonts w:ascii="Times New Roman" w:hAnsi="Times New Roman" w:cs="Times New Roman"/>
          <w:iCs/>
          <w:color w:val="0D0D0D" w:themeColor="text1" w:themeTint="F2"/>
          <w:sz w:val="24"/>
          <w:szCs w:val="24"/>
          <w:lang w:val="en-US"/>
        </w:rPr>
        <w:t xml:space="preserve"> highlight its usefulness in evaluating instructional practices amid changing educational frameworks. Integrating both descriptive and correlational approaches, ensured a comprehensive, systematic, and evidence-based understanding of how the MATATAG Curriculum aligned with pre-service teacher preparation programs.</w:t>
      </w:r>
    </w:p>
    <w:p w14:paraId="0FB7974F" w14:textId="40110590" w:rsidR="000233DF" w:rsidRPr="00F14CE5" w:rsidRDefault="005D79ED" w:rsidP="000233DF">
      <w:pPr>
        <w:spacing w:line="240" w:lineRule="auto"/>
        <w:rPr>
          <w:rFonts w:ascii="Times New Roman" w:hAnsi="Times New Roman" w:cs="Times New Roman"/>
          <w:b/>
          <w:bCs/>
          <w:color w:val="0D0D0D" w:themeColor="text1" w:themeTint="F2"/>
          <w:sz w:val="24"/>
          <w:szCs w:val="24"/>
        </w:rPr>
      </w:pPr>
      <w:r w:rsidRPr="00F14CE5">
        <w:rPr>
          <w:rFonts w:ascii="Times New Roman" w:hAnsi="Times New Roman" w:cs="Times New Roman"/>
          <w:b/>
          <w:bCs/>
          <w:color w:val="0D0D0D" w:themeColor="text1" w:themeTint="F2"/>
          <w:sz w:val="24"/>
          <w:szCs w:val="24"/>
        </w:rPr>
        <w:t>Research Locale</w:t>
      </w:r>
    </w:p>
    <w:p w14:paraId="3FC4AF1B" w14:textId="06337F1E" w:rsidR="00135D30" w:rsidRPr="00F14CE5" w:rsidRDefault="00135D30" w:rsidP="00135D30">
      <w:pPr>
        <w:spacing w:before="223"/>
        <w:ind w:right="-7"/>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This study was conducted at Cebu Technological University-Main Campus, Cebu City among BTVTED preservice teachers SY 2023-2024. The College of Education provides CHED-COPC complaint programs, </w:t>
      </w:r>
      <w:r w:rsidR="000233DF" w:rsidRPr="00F14CE5">
        <w:rPr>
          <w:rFonts w:ascii="Times New Roman" w:eastAsia="Arial" w:hAnsi="Times New Roman" w:cs="Times New Roman"/>
          <w:color w:val="0D0D0D" w:themeColor="text1" w:themeTint="F2"/>
          <w:sz w:val="24"/>
          <w:szCs w:val="24"/>
          <w:lang w:val="en-US"/>
        </w:rPr>
        <w:t>including the Bachelor of Technical-Vocational Teacher Education (BTVTED) program</w:t>
      </w:r>
      <w:r w:rsidRPr="00F14CE5">
        <w:rPr>
          <w:rFonts w:ascii="Arial" w:hAnsi="Arial" w:cs="Arial"/>
          <w:color w:val="0D0D0D" w:themeColor="text1" w:themeTint="F2"/>
          <w:sz w:val="27"/>
          <w:szCs w:val="27"/>
        </w:rPr>
        <w:t xml:space="preserve"> </w:t>
      </w:r>
      <w:r w:rsidRPr="00F14CE5">
        <w:rPr>
          <w:rFonts w:ascii="Times New Roman" w:eastAsia="Arial" w:hAnsi="Times New Roman" w:cs="Times New Roman"/>
          <w:color w:val="0D0D0D" w:themeColor="text1" w:themeTint="F2"/>
          <w:sz w:val="24"/>
          <w:szCs w:val="24"/>
        </w:rPr>
        <w:t xml:space="preserve">that provides education of competent educators for technical vocational areas. It had 8 major specializations namely, </w:t>
      </w:r>
      <w:r w:rsidRPr="00F14CE5">
        <w:rPr>
          <w:rFonts w:ascii="Times New Roman" w:eastAsia="Arial" w:hAnsi="Times New Roman" w:cs="Times New Roman"/>
          <w:color w:val="0D0D0D" w:themeColor="text1" w:themeTint="F2"/>
          <w:sz w:val="24"/>
          <w:szCs w:val="24"/>
        </w:rPr>
        <w:lastRenderedPageBreak/>
        <w:t>Architectural Drafting, Automotive Technology, Civil and construction technology, electrical technology, electronics technology, Food Service management, Garments, Fashion and Design, and Welding and fabrication technology. The program aimed in developing pedagogical and technical knowledge to teach the TLE subject of MATATAG Curriculum by combining the program with industry-based competencies, hands-on practice and application of modern technologies, sustainable practices and the implementation of innovative teaching techniques for teaching purposes.</w:t>
      </w:r>
    </w:p>
    <w:p w14:paraId="630E7B03" w14:textId="61D1916B" w:rsidR="00BA17F5" w:rsidRPr="00F14CE5" w:rsidRDefault="005D79ED" w:rsidP="00135D30">
      <w:pPr>
        <w:spacing w:before="223"/>
        <w:ind w:right="-7"/>
        <w:jc w:val="both"/>
        <w:rPr>
          <w:rFonts w:ascii="Times New Roman" w:hAnsi="Times New Roman" w:cs="Times New Roman"/>
          <w:b/>
          <w:bCs/>
          <w:color w:val="0D0D0D" w:themeColor="text1" w:themeTint="F2"/>
          <w:sz w:val="24"/>
          <w:szCs w:val="24"/>
        </w:rPr>
      </w:pPr>
      <w:r w:rsidRPr="00F14CE5">
        <w:rPr>
          <w:rFonts w:ascii="Times New Roman" w:hAnsi="Times New Roman" w:cs="Times New Roman"/>
          <w:b/>
          <w:bCs/>
          <w:color w:val="0D0D0D" w:themeColor="text1" w:themeTint="F2"/>
          <w:sz w:val="24"/>
          <w:szCs w:val="24"/>
        </w:rPr>
        <w:t>Research Participants</w:t>
      </w:r>
    </w:p>
    <w:p w14:paraId="33CDDD5E" w14:textId="77777777" w:rsidR="00BA17F5" w:rsidRPr="00F14CE5" w:rsidRDefault="00BA17F5" w:rsidP="00BA17F5">
      <w:pPr>
        <w:pStyle w:val="BodyText"/>
        <w:spacing w:before="189"/>
        <w:ind w:right="-7" w:firstLine="720"/>
        <w:jc w:val="both"/>
        <w:rPr>
          <w:rFonts w:ascii="Times New Roman" w:hAnsi="Times New Roman" w:cs="Times New Roman"/>
          <w:color w:val="0D0D0D" w:themeColor="text1" w:themeTint="F2"/>
        </w:rPr>
      </w:pPr>
      <w:r w:rsidRPr="00F14CE5">
        <w:rPr>
          <w:rFonts w:ascii="Times New Roman" w:hAnsi="Times New Roman" w:cs="Times New Roman"/>
          <w:color w:val="0D0D0D" w:themeColor="text1" w:themeTint="F2"/>
        </w:rPr>
        <w:t>The</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respondents</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of</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this</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study</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were</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the</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pre-service</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teachers</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enrolled</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in</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the Bachelor of Technical-Vocational Teacher Education (BTVTED) program at Cebu Technological University – Main Campus SY 2023-2024.</w:t>
      </w:r>
    </w:p>
    <w:p w14:paraId="7BB220C8" w14:textId="77777777" w:rsidR="00BA17F5" w:rsidRPr="00F14CE5" w:rsidRDefault="00BA17F5" w:rsidP="00BA17F5">
      <w:pPr>
        <w:spacing w:after="0" w:line="240" w:lineRule="auto"/>
        <w:ind w:firstLine="720"/>
        <w:jc w:val="center"/>
        <w:rPr>
          <w:rFonts w:ascii="Times New Roman" w:hAnsi="Times New Roman" w:cs="Times New Roman"/>
          <w:b/>
          <w:color w:val="0D0D0D" w:themeColor="text1" w:themeTint="F2"/>
        </w:rPr>
      </w:pPr>
      <w:r w:rsidRPr="00F14CE5">
        <w:rPr>
          <w:rFonts w:ascii="Times New Roman" w:hAnsi="Times New Roman" w:cs="Times New Roman"/>
          <w:b/>
          <w:color w:val="0D0D0D" w:themeColor="text1" w:themeTint="F2"/>
        </w:rPr>
        <w:t>Table 1</w:t>
      </w:r>
    </w:p>
    <w:p w14:paraId="69D72DEB" w14:textId="1A7E646C" w:rsidR="00BA17F5" w:rsidRPr="00F14CE5" w:rsidRDefault="00BA17F5" w:rsidP="00BA17F5">
      <w:pPr>
        <w:spacing w:after="0" w:line="240" w:lineRule="auto"/>
        <w:ind w:firstLine="720"/>
        <w:jc w:val="center"/>
        <w:rPr>
          <w:rFonts w:ascii="Times New Roman" w:hAnsi="Times New Roman" w:cs="Times New Roman"/>
          <w:b/>
          <w:color w:val="0D0D0D" w:themeColor="text1" w:themeTint="F2"/>
        </w:rPr>
      </w:pPr>
      <w:r w:rsidRPr="00F14CE5">
        <w:rPr>
          <w:rFonts w:ascii="Times New Roman" w:hAnsi="Times New Roman" w:cs="Times New Roman"/>
          <w:b/>
          <w:color w:val="0D0D0D" w:themeColor="text1" w:themeTint="F2"/>
        </w:rPr>
        <w:t xml:space="preserve">Distribution of Respondents </w:t>
      </w:r>
    </w:p>
    <w:tbl>
      <w:tblPr>
        <w:tblStyle w:val="TableGrid"/>
        <w:tblpPr w:leftFromText="180" w:rightFromText="180" w:vertAnchor="text" w:horzAnchor="margin" w:tblpXSpec="center" w:tblpY="184"/>
        <w:tblW w:w="7578" w:type="dxa"/>
        <w:tblLook w:val="04A0" w:firstRow="1" w:lastRow="0" w:firstColumn="1" w:lastColumn="0" w:noHBand="0" w:noVBand="1"/>
      </w:tblPr>
      <w:tblGrid>
        <w:gridCol w:w="1532"/>
        <w:gridCol w:w="3564"/>
        <w:gridCol w:w="1145"/>
        <w:gridCol w:w="1337"/>
      </w:tblGrid>
      <w:tr w:rsidR="00597834" w:rsidRPr="00F14CE5" w14:paraId="2CEF405F" w14:textId="77777777" w:rsidTr="00BA17F5">
        <w:trPr>
          <w:trHeight w:val="241"/>
        </w:trPr>
        <w:tc>
          <w:tcPr>
            <w:tcW w:w="1532" w:type="dxa"/>
            <w:tcBorders>
              <w:left w:val="nil"/>
              <w:bottom w:val="single" w:sz="4" w:space="0" w:color="auto"/>
              <w:right w:val="nil"/>
            </w:tcBorders>
            <w:vAlign w:val="center"/>
          </w:tcPr>
          <w:p w14:paraId="55CF3E01"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Variable</w:t>
            </w:r>
          </w:p>
        </w:tc>
        <w:tc>
          <w:tcPr>
            <w:tcW w:w="3564" w:type="dxa"/>
            <w:tcBorders>
              <w:left w:val="nil"/>
              <w:bottom w:val="single" w:sz="4" w:space="0" w:color="auto"/>
              <w:right w:val="nil"/>
            </w:tcBorders>
            <w:vAlign w:val="center"/>
          </w:tcPr>
          <w:p w14:paraId="0A8A884E"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Category</w:t>
            </w:r>
          </w:p>
        </w:tc>
        <w:tc>
          <w:tcPr>
            <w:tcW w:w="1145" w:type="dxa"/>
            <w:tcBorders>
              <w:left w:val="nil"/>
              <w:bottom w:val="single" w:sz="4" w:space="0" w:color="auto"/>
              <w:right w:val="nil"/>
            </w:tcBorders>
            <w:vAlign w:val="center"/>
          </w:tcPr>
          <w:p w14:paraId="7F9BC6F0"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Frequency (f)</w:t>
            </w:r>
          </w:p>
        </w:tc>
        <w:tc>
          <w:tcPr>
            <w:tcW w:w="1337" w:type="dxa"/>
            <w:tcBorders>
              <w:left w:val="nil"/>
              <w:bottom w:val="single" w:sz="4" w:space="0" w:color="auto"/>
              <w:right w:val="nil"/>
            </w:tcBorders>
            <w:vAlign w:val="center"/>
          </w:tcPr>
          <w:p w14:paraId="162BE4A5"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Percentage</w:t>
            </w:r>
            <w:r w:rsidRPr="00F14CE5">
              <w:rPr>
                <w:rFonts w:ascii="Times New Roman" w:hAnsi="Times New Roman" w:cs="Times New Roman"/>
                <w:bCs/>
                <w:color w:val="0D0D0D" w:themeColor="text1" w:themeTint="F2"/>
              </w:rPr>
              <w:br/>
              <w:t>%</w:t>
            </w:r>
          </w:p>
        </w:tc>
      </w:tr>
      <w:tr w:rsidR="00597834" w:rsidRPr="00F14CE5" w14:paraId="454EDA44" w14:textId="77777777" w:rsidTr="00BA17F5">
        <w:trPr>
          <w:trHeight w:val="129"/>
        </w:trPr>
        <w:tc>
          <w:tcPr>
            <w:tcW w:w="1532" w:type="dxa"/>
            <w:tcBorders>
              <w:left w:val="nil"/>
              <w:bottom w:val="nil"/>
              <w:right w:val="nil"/>
            </w:tcBorders>
            <w:vAlign w:val="center"/>
          </w:tcPr>
          <w:p w14:paraId="7185395A"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Age</w:t>
            </w:r>
          </w:p>
        </w:tc>
        <w:tc>
          <w:tcPr>
            <w:tcW w:w="3564" w:type="dxa"/>
            <w:tcBorders>
              <w:left w:val="nil"/>
              <w:bottom w:val="nil"/>
              <w:right w:val="nil"/>
            </w:tcBorders>
            <w:vAlign w:val="center"/>
          </w:tcPr>
          <w:p w14:paraId="1EF61E6B"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21</w:t>
            </w:r>
          </w:p>
        </w:tc>
        <w:tc>
          <w:tcPr>
            <w:tcW w:w="1145" w:type="dxa"/>
            <w:tcBorders>
              <w:left w:val="nil"/>
              <w:bottom w:val="nil"/>
              <w:right w:val="nil"/>
            </w:tcBorders>
            <w:vAlign w:val="center"/>
          </w:tcPr>
          <w:p w14:paraId="62F9B7ED"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18</w:t>
            </w:r>
          </w:p>
        </w:tc>
        <w:tc>
          <w:tcPr>
            <w:tcW w:w="1337" w:type="dxa"/>
            <w:tcBorders>
              <w:left w:val="nil"/>
              <w:bottom w:val="nil"/>
              <w:right w:val="nil"/>
            </w:tcBorders>
            <w:vAlign w:val="center"/>
          </w:tcPr>
          <w:p w14:paraId="2111DCC3"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36.00</w:t>
            </w:r>
          </w:p>
        </w:tc>
      </w:tr>
      <w:tr w:rsidR="00597834" w:rsidRPr="00F14CE5" w14:paraId="4EECE973" w14:textId="77777777" w:rsidTr="00BA17F5">
        <w:trPr>
          <w:trHeight w:val="248"/>
        </w:trPr>
        <w:tc>
          <w:tcPr>
            <w:tcW w:w="1532" w:type="dxa"/>
            <w:tcBorders>
              <w:top w:val="nil"/>
              <w:left w:val="nil"/>
              <w:bottom w:val="nil"/>
              <w:right w:val="nil"/>
            </w:tcBorders>
            <w:vAlign w:val="center"/>
          </w:tcPr>
          <w:p w14:paraId="7D1829BB"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2305F2A1"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22</w:t>
            </w:r>
          </w:p>
        </w:tc>
        <w:tc>
          <w:tcPr>
            <w:tcW w:w="1145" w:type="dxa"/>
            <w:tcBorders>
              <w:top w:val="nil"/>
              <w:left w:val="nil"/>
              <w:bottom w:val="nil"/>
              <w:right w:val="nil"/>
            </w:tcBorders>
            <w:vAlign w:val="center"/>
          </w:tcPr>
          <w:p w14:paraId="3639E28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19</w:t>
            </w:r>
          </w:p>
        </w:tc>
        <w:tc>
          <w:tcPr>
            <w:tcW w:w="1337" w:type="dxa"/>
            <w:tcBorders>
              <w:top w:val="nil"/>
              <w:left w:val="nil"/>
              <w:bottom w:val="nil"/>
              <w:right w:val="nil"/>
            </w:tcBorders>
            <w:vAlign w:val="center"/>
          </w:tcPr>
          <w:p w14:paraId="65B43F4A"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38.00</w:t>
            </w:r>
          </w:p>
        </w:tc>
      </w:tr>
      <w:tr w:rsidR="00597834" w:rsidRPr="00F14CE5" w14:paraId="2CF40809" w14:textId="77777777" w:rsidTr="00BA17F5">
        <w:trPr>
          <w:trHeight w:val="195"/>
        </w:trPr>
        <w:tc>
          <w:tcPr>
            <w:tcW w:w="1532" w:type="dxa"/>
            <w:tcBorders>
              <w:top w:val="nil"/>
              <w:left w:val="nil"/>
              <w:bottom w:val="nil"/>
              <w:right w:val="nil"/>
            </w:tcBorders>
            <w:vAlign w:val="center"/>
          </w:tcPr>
          <w:p w14:paraId="71C4CC5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25E1526C"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23</w:t>
            </w:r>
          </w:p>
        </w:tc>
        <w:tc>
          <w:tcPr>
            <w:tcW w:w="1145" w:type="dxa"/>
            <w:tcBorders>
              <w:top w:val="nil"/>
              <w:left w:val="nil"/>
              <w:bottom w:val="nil"/>
              <w:right w:val="nil"/>
            </w:tcBorders>
            <w:vAlign w:val="center"/>
          </w:tcPr>
          <w:p w14:paraId="5023C117"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10</w:t>
            </w:r>
          </w:p>
        </w:tc>
        <w:tc>
          <w:tcPr>
            <w:tcW w:w="1337" w:type="dxa"/>
            <w:tcBorders>
              <w:top w:val="nil"/>
              <w:left w:val="nil"/>
              <w:bottom w:val="nil"/>
              <w:right w:val="nil"/>
            </w:tcBorders>
            <w:vAlign w:val="center"/>
          </w:tcPr>
          <w:p w14:paraId="06B3709E"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20.00</w:t>
            </w:r>
          </w:p>
        </w:tc>
      </w:tr>
      <w:tr w:rsidR="00597834" w:rsidRPr="00F14CE5" w14:paraId="30D6FD2A" w14:textId="77777777" w:rsidTr="00BA17F5">
        <w:trPr>
          <w:trHeight w:val="241"/>
        </w:trPr>
        <w:tc>
          <w:tcPr>
            <w:tcW w:w="1532" w:type="dxa"/>
            <w:tcBorders>
              <w:top w:val="nil"/>
              <w:left w:val="nil"/>
              <w:bottom w:val="single" w:sz="4" w:space="0" w:color="auto"/>
              <w:right w:val="nil"/>
            </w:tcBorders>
            <w:vAlign w:val="center"/>
          </w:tcPr>
          <w:p w14:paraId="28E5024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single" w:sz="4" w:space="0" w:color="auto"/>
              <w:right w:val="nil"/>
            </w:tcBorders>
            <w:vAlign w:val="center"/>
          </w:tcPr>
          <w:p w14:paraId="74965DA6"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24</w:t>
            </w:r>
          </w:p>
        </w:tc>
        <w:tc>
          <w:tcPr>
            <w:tcW w:w="1145" w:type="dxa"/>
            <w:tcBorders>
              <w:top w:val="nil"/>
              <w:left w:val="nil"/>
              <w:bottom w:val="single" w:sz="4" w:space="0" w:color="auto"/>
              <w:right w:val="nil"/>
            </w:tcBorders>
            <w:vAlign w:val="center"/>
          </w:tcPr>
          <w:p w14:paraId="4793980C"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w:t>
            </w:r>
          </w:p>
        </w:tc>
        <w:tc>
          <w:tcPr>
            <w:tcW w:w="1337" w:type="dxa"/>
            <w:tcBorders>
              <w:top w:val="nil"/>
              <w:left w:val="nil"/>
              <w:bottom w:val="single" w:sz="4" w:space="0" w:color="auto"/>
              <w:right w:val="nil"/>
            </w:tcBorders>
            <w:vAlign w:val="center"/>
          </w:tcPr>
          <w:p w14:paraId="043CF02F"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6.00</w:t>
            </w:r>
          </w:p>
        </w:tc>
      </w:tr>
      <w:tr w:rsidR="00597834" w:rsidRPr="00F14CE5" w14:paraId="02415073" w14:textId="77777777" w:rsidTr="00BA17F5">
        <w:trPr>
          <w:trHeight w:val="260"/>
        </w:trPr>
        <w:tc>
          <w:tcPr>
            <w:tcW w:w="1532" w:type="dxa"/>
            <w:tcBorders>
              <w:top w:val="single" w:sz="4" w:space="0" w:color="auto"/>
              <w:left w:val="nil"/>
              <w:bottom w:val="nil"/>
              <w:right w:val="nil"/>
            </w:tcBorders>
            <w:vAlign w:val="center"/>
          </w:tcPr>
          <w:p w14:paraId="42BAEFAD"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Gender</w:t>
            </w:r>
          </w:p>
        </w:tc>
        <w:tc>
          <w:tcPr>
            <w:tcW w:w="3564" w:type="dxa"/>
            <w:tcBorders>
              <w:top w:val="single" w:sz="4" w:space="0" w:color="auto"/>
              <w:left w:val="nil"/>
              <w:bottom w:val="nil"/>
              <w:right w:val="nil"/>
            </w:tcBorders>
            <w:vAlign w:val="center"/>
          </w:tcPr>
          <w:p w14:paraId="18899B43"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Male</w:t>
            </w:r>
          </w:p>
        </w:tc>
        <w:tc>
          <w:tcPr>
            <w:tcW w:w="1145" w:type="dxa"/>
            <w:tcBorders>
              <w:top w:val="single" w:sz="4" w:space="0" w:color="auto"/>
              <w:left w:val="nil"/>
              <w:bottom w:val="nil"/>
              <w:right w:val="nil"/>
            </w:tcBorders>
            <w:vAlign w:val="center"/>
          </w:tcPr>
          <w:p w14:paraId="721623E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19</w:t>
            </w:r>
          </w:p>
        </w:tc>
        <w:tc>
          <w:tcPr>
            <w:tcW w:w="1337" w:type="dxa"/>
            <w:tcBorders>
              <w:top w:val="single" w:sz="4" w:space="0" w:color="auto"/>
              <w:left w:val="nil"/>
              <w:bottom w:val="nil"/>
              <w:right w:val="nil"/>
            </w:tcBorders>
            <w:vAlign w:val="center"/>
          </w:tcPr>
          <w:p w14:paraId="566BD7C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38.00</w:t>
            </w:r>
          </w:p>
        </w:tc>
      </w:tr>
      <w:tr w:rsidR="00597834" w:rsidRPr="00F14CE5" w14:paraId="034D481E" w14:textId="77777777" w:rsidTr="00BA17F5">
        <w:trPr>
          <w:trHeight w:val="261"/>
        </w:trPr>
        <w:tc>
          <w:tcPr>
            <w:tcW w:w="1532" w:type="dxa"/>
            <w:tcBorders>
              <w:top w:val="nil"/>
              <w:left w:val="nil"/>
              <w:bottom w:val="single" w:sz="4" w:space="0" w:color="auto"/>
              <w:right w:val="nil"/>
            </w:tcBorders>
            <w:vAlign w:val="center"/>
          </w:tcPr>
          <w:p w14:paraId="1EB801E1"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single" w:sz="4" w:space="0" w:color="auto"/>
              <w:right w:val="nil"/>
            </w:tcBorders>
            <w:vAlign w:val="center"/>
          </w:tcPr>
          <w:p w14:paraId="142CCDC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Female</w:t>
            </w:r>
          </w:p>
        </w:tc>
        <w:tc>
          <w:tcPr>
            <w:tcW w:w="1145" w:type="dxa"/>
            <w:tcBorders>
              <w:top w:val="nil"/>
              <w:left w:val="nil"/>
              <w:bottom w:val="single" w:sz="4" w:space="0" w:color="auto"/>
              <w:right w:val="nil"/>
            </w:tcBorders>
            <w:vAlign w:val="center"/>
          </w:tcPr>
          <w:p w14:paraId="15DE8517"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31</w:t>
            </w:r>
          </w:p>
        </w:tc>
        <w:tc>
          <w:tcPr>
            <w:tcW w:w="1337" w:type="dxa"/>
            <w:tcBorders>
              <w:top w:val="nil"/>
              <w:left w:val="nil"/>
              <w:bottom w:val="single" w:sz="4" w:space="0" w:color="auto"/>
              <w:right w:val="nil"/>
            </w:tcBorders>
            <w:vAlign w:val="center"/>
          </w:tcPr>
          <w:p w14:paraId="14A46F4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62.00</w:t>
            </w:r>
          </w:p>
        </w:tc>
      </w:tr>
      <w:tr w:rsidR="00597834" w:rsidRPr="00F14CE5" w14:paraId="7859DFE0" w14:textId="77777777" w:rsidTr="00BA17F5">
        <w:trPr>
          <w:trHeight w:val="247"/>
        </w:trPr>
        <w:tc>
          <w:tcPr>
            <w:tcW w:w="1532" w:type="dxa"/>
            <w:tcBorders>
              <w:top w:val="single" w:sz="4" w:space="0" w:color="auto"/>
              <w:left w:val="nil"/>
              <w:bottom w:val="nil"/>
              <w:right w:val="nil"/>
            </w:tcBorders>
            <w:vAlign w:val="center"/>
          </w:tcPr>
          <w:p w14:paraId="46D4542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Specialization</w:t>
            </w:r>
          </w:p>
        </w:tc>
        <w:tc>
          <w:tcPr>
            <w:tcW w:w="3564" w:type="dxa"/>
            <w:tcBorders>
              <w:top w:val="single" w:sz="4" w:space="0" w:color="auto"/>
              <w:left w:val="nil"/>
              <w:bottom w:val="nil"/>
              <w:right w:val="nil"/>
            </w:tcBorders>
            <w:vAlign w:val="center"/>
          </w:tcPr>
          <w:p w14:paraId="5AAD514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Architectural Drafting</w:t>
            </w:r>
          </w:p>
        </w:tc>
        <w:tc>
          <w:tcPr>
            <w:tcW w:w="1145" w:type="dxa"/>
            <w:tcBorders>
              <w:top w:val="single" w:sz="4" w:space="0" w:color="auto"/>
              <w:left w:val="nil"/>
              <w:bottom w:val="nil"/>
              <w:right w:val="nil"/>
            </w:tcBorders>
            <w:vAlign w:val="center"/>
          </w:tcPr>
          <w:p w14:paraId="4614245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7</w:t>
            </w:r>
          </w:p>
        </w:tc>
        <w:tc>
          <w:tcPr>
            <w:tcW w:w="1337" w:type="dxa"/>
            <w:tcBorders>
              <w:top w:val="single" w:sz="4" w:space="0" w:color="auto"/>
              <w:left w:val="nil"/>
              <w:bottom w:val="nil"/>
              <w:right w:val="nil"/>
            </w:tcBorders>
            <w:vAlign w:val="center"/>
          </w:tcPr>
          <w:p w14:paraId="0DC276F2"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14.00</w:t>
            </w:r>
          </w:p>
        </w:tc>
      </w:tr>
      <w:tr w:rsidR="00597834" w:rsidRPr="00F14CE5" w14:paraId="4DB929E4" w14:textId="77777777" w:rsidTr="00BA17F5">
        <w:trPr>
          <w:trHeight w:val="261"/>
        </w:trPr>
        <w:tc>
          <w:tcPr>
            <w:tcW w:w="1532" w:type="dxa"/>
            <w:tcBorders>
              <w:top w:val="nil"/>
              <w:left w:val="nil"/>
              <w:bottom w:val="nil"/>
              <w:right w:val="nil"/>
            </w:tcBorders>
            <w:vAlign w:val="center"/>
          </w:tcPr>
          <w:p w14:paraId="2AEE9CE5"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1F05D53C"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Automotive</w:t>
            </w:r>
            <w:r w:rsidRPr="00F14CE5">
              <w:rPr>
                <w:rFonts w:ascii="Times New Roman" w:hAnsi="Times New Roman" w:cs="Times New Roman"/>
                <w:color w:val="0D0D0D" w:themeColor="text1" w:themeTint="F2"/>
                <w:spacing w:val="-13"/>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3DD222AF"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5</w:t>
            </w:r>
          </w:p>
        </w:tc>
        <w:tc>
          <w:tcPr>
            <w:tcW w:w="1337" w:type="dxa"/>
            <w:tcBorders>
              <w:top w:val="nil"/>
              <w:left w:val="nil"/>
              <w:bottom w:val="nil"/>
              <w:right w:val="nil"/>
            </w:tcBorders>
            <w:vAlign w:val="center"/>
          </w:tcPr>
          <w:p w14:paraId="41895CC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10.00</w:t>
            </w:r>
          </w:p>
        </w:tc>
      </w:tr>
      <w:tr w:rsidR="00597834" w:rsidRPr="00F14CE5" w14:paraId="4F38354F" w14:textId="77777777" w:rsidTr="00BA17F5">
        <w:trPr>
          <w:trHeight w:val="268"/>
        </w:trPr>
        <w:tc>
          <w:tcPr>
            <w:tcW w:w="1532" w:type="dxa"/>
            <w:tcBorders>
              <w:top w:val="nil"/>
              <w:left w:val="nil"/>
              <w:bottom w:val="nil"/>
              <w:right w:val="nil"/>
            </w:tcBorders>
            <w:vAlign w:val="center"/>
          </w:tcPr>
          <w:p w14:paraId="5388E35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4587A1A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Civil</w:t>
            </w:r>
            <w:r w:rsidRPr="00F14CE5">
              <w:rPr>
                <w:rFonts w:ascii="Times New Roman" w:hAnsi="Times New Roman" w:cs="Times New Roman"/>
                <w:color w:val="0D0D0D" w:themeColor="text1" w:themeTint="F2"/>
                <w:spacing w:val="-7"/>
              </w:rPr>
              <w:t xml:space="preserve"> </w:t>
            </w:r>
            <w:r w:rsidRPr="00F14CE5">
              <w:rPr>
                <w:rFonts w:ascii="Times New Roman" w:hAnsi="Times New Roman" w:cs="Times New Roman"/>
                <w:color w:val="0D0D0D" w:themeColor="text1" w:themeTint="F2"/>
              </w:rPr>
              <w:t>and</w:t>
            </w:r>
            <w:r w:rsidRPr="00F14CE5">
              <w:rPr>
                <w:rFonts w:ascii="Times New Roman" w:hAnsi="Times New Roman" w:cs="Times New Roman"/>
                <w:color w:val="0D0D0D" w:themeColor="text1" w:themeTint="F2"/>
                <w:spacing w:val="-7"/>
              </w:rPr>
              <w:t xml:space="preserve"> </w:t>
            </w:r>
            <w:r w:rsidRPr="00F14CE5">
              <w:rPr>
                <w:rFonts w:ascii="Times New Roman" w:hAnsi="Times New Roman" w:cs="Times New Roman"/>
                <w:color w:val="0D0D0D" w:themeColor="text1" w:themeTint="F2"/>
              </w:rPr>
              <w:t>Construction</w:t>
            </w:r>
            <w:r w:rsidRPr="00F14CE5">
              <w:rPr>
                <w:rFonts w:ascii="Times New Roman" w:hAnsi="Times New Roman" w:cs="Times New Roman"/>
                <w:color w:val="0D0D0D" w:themeColor="text1" w:themeTint="F2"/>
                <w:spacing w:val="-10"/>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7F518451"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w:t>
            </w:r>
          </w:p>
        </w:tc>
        <w:tc>
          <w:tcPr>
            <w:tcW w:w="1337" w:type="dxa"/>
            <w:tcBorders>
              <w:top w:val="nil"/>
              <w:left w:val="nil"/>
              <w:bottom w:val="nil"/>
              <w:right w:val="nil"/>
            </w:tcBorders>
            <w:vAlign w:val="center"/>
          </w:tcPr>
          <w:p w14:paraId="754E12E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4.00</w:t>
            </w:r>
          </w:p>
        </w:tc>
      </w:tr>
      <w:tr w:rsidR="00597834" w:rsidRPr="00F14CE5" w14:paraId="62D0B49B" w14:textId="77777777" w:rsidTr="00BA17F5">
        <w:trPr>
          <w:trHeight w:val="261"/>
        </w:trPr>
        <w:tc>
          <w:tcPr>
            <w:tcW w:w="1532" w:type="dxa"/>
            <w:tcBorders>
              <w:top w:val="nil"/>
              <w:left w:val="nil"/>
              <w:bottom w:val="nil"/>
              <w:right w:val="nil"/>
            </w:tcBorders>
            <w:vAlign w:val="center"/>
          </w:tcPr>
          <w:p w14:paraId="3A61E83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59179CD7"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Electrical</w:t>
            </w:r>
            <w:r w:rsidRPr="00F14CE5">
              <w:rPr>
                <w:rFonts w:ascii="Times New Roman" w:hAnsi="Times New Roman" w:cs="Times New Roman"/>
                <w:color w:val="0D0D0D" w:themeColor="text1" w:themeTint="F2"/>
                <w:spacing w:val="-12"/>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79E8C9C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7</w:t>
            </w:r>
          </w:p>
        </w:tc>
        <w:tc>
          <w:tcPr>
            <w:tcW w:w="1337" w:type="dxa"/>
            <w:tcBorders>
              <w:top w:val="nil"/>
              <w:left w:val="nil"/>
              <w:bottom w:val="nil"/>
              <w:right w:val="nil"/>
            </w:tcBorders>
            <w:vAlign w:val="center"/>
          </w:tcPr>
          <w:p w14:paraId="7291EA26"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14.00</w:t>
            </w:r>
          </w:p>
        </w:tc>
      </w:tr>
      <w:tr w:rsidR="00597834" w:rsidRPr="00F14CE5" w14:paraId="1E7FD543" w14:textId="77777777" w:rsidTr="00BA17F5">
        <w:trPr>
          <w:trHeight w:val="254"/>
        </w:trPr>
        <w:tc>
          <w:tcPr>
            <w:tcW w:w="1532" w:type="dxa"/>
            <w:tcBorders>
              <w:top w:val="nil"/>
              <w:left w:val="nil"/>
              <w:bottom w:val="nil"/>
              <w:right w:val="nil"/>
            </w:tcBorders>
            <w:vAlign w:val="center"/>
          </w:tcPr>
          <w:p w14:paraId="7BAD816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4A4B8B71"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Electronics</w:t>
            </w:r>
            <w:r w:rsidRPr="00F14CE5">
              <w:rPr>
                <w:rFonts w:ascii="Times New Roman" w:hAnsi="Times New Roman" w:cs="Times New Roman"/>
                <w:color w:val="0D0D0D" w:themeColor="text1" w:themeTint="F2"/>
                <w:spacing w:val="-13"/>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4F313B4D"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4</w:t>
            </w:r>
          </w:p>
        </w:tc>
        <w:tc>
          <w:tcPr>
            <w:tcW w:w="1337" w:type="dxa"/>
            <w:tcBorders>
              <w:top w:val="nil"/>
              <w:left w:val="nil"/>
              <w:bottom w:val="nil"/>
              <w:right w:val="nil"/>
            </w:tcBorders>
            <w:vAlign w:val="center"/>
          </w:tcPr>
          <w:p w14:paraId="2EBCDD3A"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8.00</w:t>
            </w:r>
          </w:p>
        </w:tc>
      </w:tr>
      <w:tr w:rsidR="00597834" w:rsidRPr="00F14CE5" w14:paraId="41E0F407" w14:textId="77777777" w:rsidTr="00BA17F5">
        <w:trPr>
          <w:trHeight w:val="261"/>
        </w:trPr>
        <w:tc>
          <w:tcPr>
            <w:tcW w:w="1532" w:type="dxa"/>
            <w:tcBorders>
              <w:top w:val="nil"/>
              <w:left w:val="nil"/>
              <w:bottom w:val="nil"/>
              <w:right w:val="nil"/>
            </w:tcBorders>
            <w:vAlign w:val="center"/>
          </w:tcPr>
          <w:p w14:paraId="292520FD"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106F65DA"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Food</w:t>
            </w:r>
            <w:r w:rsidRPr="00F14CE5">
              <w:rPr>
                <w:rFonts w:ascii="Times New Roman" w:hAnsi="Times New Roman" w:cs="Times New Roman"/>
                <w:color w:val="0D0D0D" w:themeColor="text1" w:themeTint="F2"/>
                <w:spacing w:val="-5"/>
              </w:rPr>
              <w:t xml:space="preserve"> </w:t>
            </w:r>
            <w:r w:rsidRPr="00F14CE5">
              <w:rPr>
                <w:rFonts w:ascii="Times New Roman" w:hAnsi="Times New Roman" w:cs="Times New Roman"/>
                <w:color w:val="0D0D0D" w:themeColor="text1" w:themeTint="F2"/>
              </w:rPr>
              <w:t>Service</w:t>
            </w:r>
            <w:r w:rsidRPr="00F14CE5">
              <w:rPr>
                <w:rFonts w:ascii="Times New Roman" w:hAnsi="Times New Roman" w:cs="Times New Roman"/>
                <w:color w:val="0D0D0D" w:themeColor="text1" w:themeTint="F2"/>
                <w:spacing w:val="-5"/>
              </w:rPr>
              <w:t xml:space="preserve"> </w:t>
            </w:r>
            <w:r w:rsidRPr="00F14CE5">
              <w:rPr>
                <w:rFonts w:ascii="Times New Roman" w:hAnsi="Times New Roman" w:cs="Times New Roman"/>
                <w:color w:val="0D0D0D" w:themeColor="text1" w:themeTint="F2"/>
                <w:spacing w:val="-2"/>
              </w:rPr>
              <w:t>Management</w:t>
            </w:r>
          </w:p>
        </w:tc>
        <w:tc>
          <w:tcPr>
            <w:tcW w:w="1145" w:type="dxa"/>
            <w:tcBorders>
              <w:top w:val="nil"/>
              <w:left w:val="nil"/>
              <w:bottom w:val="nil"/>
              <w:right w:val="nil"/>
            </w:tcBorders>
            <w:vAlign w:val="center"/>
          </w:tcPr>
          <w:p w14:paraId="1CA30ACE"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8</w:t>
            </w:r>
          </w:p>
        </w:tc>
        <w:tc>
          <w:tcPr>
            <w:tcW w:w="1337" w:type="dxa"/>
            <w:tcBorders>
              <w:top w:val="nil"/>
              <w:left w:val="nil"/>
              <w:bottom w:val="nil"/>
              <w:right w:val="nil"/>
            </w:tcBorders>
            <w:vAlign w:val="center"/>
          </w:tcPr>
          <w:p w14:paraId="35E23390"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16.00</w:t>
            </w:r>
          </w:p>
        </w:tc>
      </w:tr>
      <w:tr w:rsidR="00597834" w:rsidRPr="00F14CE5" w14:paraId="34B8764C" w14:textId="77777777" w:rsidTr="00BA17F5">
        <w:trPr>
          <w:trHeight w:val="268"/>
        </w:trPr>
        <w:tc>
          <w:tcPr>
            <w:tcW w:w="1532" w:type="dxa"/>
            <w:tcBorders>
              <w:top w:val="nil"/>
              <w:left w:val="nil"/>
              <w:bottom w:val="nil"/>
              <w:right w:val="nil"/>
            </w:tcBorders>
            <w:vAlign w:val="center"/>
          </w:tcPr>
          <w:p w14:paraId="6DFE8CC7"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596B9F22"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Garments,</w:t>
            </w:r>
            <w:r w:rsidRPr="00F14CE5">
              <w:rPr>
                <w:rFonts w:ascii="Times New Roman" w:hAnsi="Times New Roman" w:cs="Times New Roman"/>
                <w:color w:val="0D0D0D" w:themeColor="text1" w:themeTint="F2"/>
                <w:spacing w:val="-6"/>
              </w:rPr>
              <w:t xml:space="preserve"> </w:t>
            </w:r>
            <w:r w:rsidRPr="00F14CE5">
              <w:rPr>
                <w:rFonts w:ascii="Times New Roman" w:hAnsi="Times New Roman" w:cs="Times New Roman"/>
                <w:color w:val="0D0D0D" w:themeColor="text1" w:themeTint="F2"/>
              </w:rPr>
              <w:t>Fashion</w:t>
            </w:r>
            <w:r w:rsidRPr="00F14CE5">
              <w:rPr>
                <w:rFonts w:ascii="Times New Roman" w:hAnsi="Times New Roman" w:cs="Times New Roman"/>
                <w:color w:val="0D0D0D" w:themeColor="text1" w:themeTint="F2"/>
                <w:spacing w:val="-5"/>
              </w:rPr>
              <w:t xml:space="preserve"> </w:t>
            </w:r>
            <w:r w:rsidRPr="00F14CE5">
              <w:rPr>
                <w:rFonts w:ascii="Times New Roman" w:hAnsi="Times New Roman" w:cs="Times New Roman"/>
                <w:color w:val="0D0D0D" w:themeColor="text1" w:themeTint="F2"/>
              </w:rPr>
              <w:t>and</w:t>
            </w:r>
            <w:r w:rsidRPr="00F14CE5">
              <w:rPr>
                <w:rFonts w:ascii="Times New Roman" w:hAnsi="Times New Roman" w:cs="Times New Roman"/>
                <w:color w:val="0D0D0D" w:themeColor="text1" w:themeTint="F2"/>
                <w:spacing w:val="-8"/>
              </w:rPr>
              <w:t xml:space="preserve"> </w:t>
            </w:r>
            <w:r w:rsidRPr="00F14CE5">
              <w:rPr>
                <w:rFonts w:ascii="Times New Roman" w:hAnsi="Times New Roman" w:cs="Times New Roman"/>
                <w:color w:val="0D0D0D" w:themeColor="text1" w:themeTint="F2"/>
                <w:spacing w:val="-2"/>
              </w:rPr>
              <w:t>Design</w:t>
            </w:r>
          </w:p>
        </w:tc>
        <w:tc>
          <w:tcPr>
            <w:tcW w:w="1145" w:type="dxa"/>
            <w:tcBorders>
              <w:top w:val="nil"/>
              <w:left w:val="nil"/>
              <w:bottom w:val="nil"/>
              <w:right w:val="nil"/>
            </w:tcBorders>
            <w:vAlign w:val="center"/>
          </w:tcPr>
          <w:p w14:paraId="10C4CA79"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12</w:t>
            </w:r>
          </w:p>
        </w:tc>
        <w:tc>
          <w:tcPr>
            <w:tcW w:w="1337" w:type="dxa"/>
            <w:tcBorders>
              <w:top w:val="nil"/>
              <w:left w:val="nil"/>
              <w:bottom w:val="nil"/>
              <w:right w:val="nil"/>
            </w:tcBorders>
            <w:vAlign w:val="center"/>
          </w:tcPr>
          <w:p w14:paraId="689845BE"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24.00</w:t>
            </w:r>
          </w:p>
        </w:tc>
      </w:tr>
      <w:tr w:rsidR="00597834" w:rsidRPr="00F14CE5" w14:paraId="24E0FF97" w14:textId="77777777" w:rsidTr="00BA17F5">
        <w:trPr>
          <w:trHeight w:val="261"/>
        </w:trPr>
        <w:tc>
          <w:tcPr>
            <w:tcW w:w="1532" w:type="dxa"/>
            <w:tcBorders>
              <w:top w:val="nil"/>
              <w:left w:val="nil"/>
              <w:bottom w:val="nil"/>
              <w:right w:val="nil"/>
            </w:tcBorders>
            <w:vAlign w:val="center"/>
          </w:tcPr>
          <w:p w14:paraId="239F0725"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26E1DF80"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Welding</w:t>
            </w:r>
            <w:r w:rsidRPr="00F14CE5">
              <w:rPr>
                <w:rFonts w:ascii="Times New Roman" w:hAnsi="Times New Roman" w:cs="Times New Roman"/>
                <w:color w:val="0D0D0D" w:themeColor="text1" w:themeTint="F2"/>
                <w:spacing w:val="-6"/>
              </w:rPr>
              <w:t xml:space="preserve"> </w:t>
            </w:r>
            <w:r w:rsidRPr="00F14CE5">
              <w:rPr>
                <w:rFonts w:ascii="Times New Roman" w:hAnsi="Times New Roman" w:cs="Times New Roman"/>
                <w:color w:val="0D0D0D" w:themeColor="text1" w:themeTint="F2"/>
              </w:rPr>
              <w:t>and</w:t>
            </w:r>
            <w:r w:rsidRPr="00F14CE5">
              <w:rPr>
                <w:rFonts w:ascii="Times New Roman" w:hAnsi="Times New Roman" w:cs="Times New Roman"/>
                <w:color w:val="0D0D0D" w:themeColor="text1" w:themeTint="F2"/>
                <w:spacing w:val="-6"/>
              </w:rPr>
              <w:t xml:space="preserve"> </w:t>
            </w:r>
            <w:r w:rsidRPr="00F14CE5">
              <w:rPr>
                <w:rFonts w:ascii="Times New Roman" w:hAnsi="Times New Roman" w:cs="Times New Roman"/>
                <w:color w:val="0D0D0D" w:themeColor="text1" w:themeTint="F2"/>
              </w:rPr>
              <w:t>Fabrication</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4247E8CC"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5</w:t>
            </w:r>
          </w:p>
        </w:tc>
        <w:tc>
          <w:tcPr>
            <w:tcW w:w="1337" w:type="dxa"/>
            <w:tcBorders>
              <w:top w:val="nil"/>
              <w:left w:val="nil"/>
              <w:bottom w:val="nil"/>
              <w:right w:val="nil"/>
            </w:tcBorders>
            <w:vAlign w:val="center"/>
          </w:tcPr>
          <w:p w14:paraId="5BBAB5E5"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10.00</w:t>
            </w:r>
          </w:p>
        </w:tc>
      </w:tr>
      <w:tr w:rsidR="00597834" w:rsidRPr="00F14CE5" w14:paraId="749E8EFD" w14:textId="77777777" w:rsidTr="00BA17F5">
        <w:trPr>
          <w:trHeight w:val="325"/>
        </w:trPr>
        <w:tc>
          <w:tcPr>
            <w:tcW w:w="1532" w:type="dxa"/>
            <w:tcBorders>
              <w:top w:val="nil"/>
              <w:left w:val="nil"/>
              <w:right w:val="nil"/>
            </w:tcBorders>
            <w:vAlign w:val="center"/>
          </w:tcPr>
          <w:p w14:paraId="66B9FED2"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Total</w:t>
            </w:r>
          </w:p>
        </w:tc>
        <w:tc>
          <w:tcPr>
            <w:tcW w:w="3564" w:type="dxa"/>
            <w:tcBorders>
              <w:top w:val="nil"/>
              <w:left w:val="nil"/>
              <w:right w:val="nil"/>
            </w:tcBorders>
            <w:vAlign w:val="center"/>
          </w:tcPr>
          <w:p w14:paraId="0871BC9F" w14:textId="77777777" w:rsidR="00BA17F5" w:rsidRPr="00F14CE5" w:rsidRDefault="00BA17F5" w:rsidP="00BA17F5">
            <w:pPr>
              <w:rPr>
                <w:rFonts w:ascii="Times New Roman" w:hAnsi="Times New Roman" w:cs="Times New Roman"/>
                <w:bCs/>
                <w:color w:val="0D0D0D" w:themeColor="text1" w:themeTint="F2"/>
              </w:rPr>
            </w:pPr>
          </w:p>
        </w:tc>
        <w:tc>
          <w:tcPr>
            <w:tcW w:w="1145" w:type="dxa"/>
            <w:tcBorders>
              <w:top w:val="nil"/>
              <w:left w:val="nil"/>
              <w:right w:val="nil"/>
            </w:tcBorders>
            <w:vAlign w:val="center"/>
          </w:tcPr>
          <w:p w14:paraId="0E5DDCAF"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50</w:t>
            </w:r>
          </w:p>
        </w:tc>
        <w:tc>
          <w:tcPr>
            <w:tcW w:w="1337" w:type="dxa"/>
            <w:tcBorders>
              <w:top w:val="nil"/>
              <w:left w:val="nil"/>
              <w:right w:val="nil"/>
            </w:tcBorders>
            <w:vAlign w:val="center"/>
          </w:tcPr>
          <w:p w14:paraId="41E7CC8A" w14:textId="77777777" w:rsidR="00BA17F5" w:rsidRPr="00F14CE5" w:rsidRDefault="00BA17F5" w:rsidP="00BA17F5">
            <w:pPr>
              <w:jc w:val="center"/>
              <w:rPr>
                <w:rFonts w:ascii="Times New Roman" w:hAnsi="Times New Roman" w:cs="Times New Roman"/>
                <w:b/>
                <w:color w:val="0D0D0D" w:themeColor="text1" w:themeTint="F2"/>
              </w:rPr>
            </w:pPr>
            <w:r w:rsidRPr="00F14CE5">
              <w:rPr>
                <w:rFonts w:ascii="Times New Roman" w:hAnsi="Times New Roman" w:cs="Times New Roman"/>
                <w:b/>
                <w:color w:val="0D0D0D" w:themeColor="text1" w:themeTint="F2"/>
              </w:rPr>
              <w:t>100.00</w:t>
            </w:r>
          </w:p>
        </w:tc>
      </w:tr>
    </w:tbl>
    <w:p w14:paraId="6EA03B0C" w14:textId="7F097B4A" w:rsidR="00BA17F5" w:rsidRPr="00F14CE5" w:rsidRDefault="00BA17F5" w:rsidP="00BA17F5">
      <w:pPr>
        <w:spacing w:line="240" w:lineRule="auto"/>
        <w:rPr>
          <w:rFonts w:ascii="Times New Roman" w:hAnsi="Times New Roman" w:cs="Times New Roman"/>
          <w:b/>
          <w:bCs/>
          <w:color w:val="0D0D0D" w:themeColor="text1" w:themeTint="F2"/>
          <w:sz w:val="24"/>
          <w:szCs w:val="24"/>
        </w:rPr>
      </w:pPr>
    </w:p>
    <w:p w14:paraId="5FE4626E" w14:textId="77777777" w:rsidR="00BA17F5" w:rsidRPr="00F14CE5" w:rsidRDefault="00BA17F5" w:rsidP="00BA17F5">
      <w:pPr>
        <w:spacing w:line="240" w:lineRule="auto"/>
        <w:rPr>
          <w:rFonts w:ascii="Times New Roman" w:hAnsi="Times New Roman" w:cs="Times New Roman"/>
          <w:b/>
          <w:bCs/>
          <w:color w:val="0D0D0D" w:themeColor="text1" w:themeTint="F2"/>
          <w:sz w:val="24"/>
          <w:szCs w:val="24"/>
        </w:rPr>
      </w:pPr>
    </w:p>
    <w:p w14:paraId="14E89074"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7D1E41C5"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5866D05A"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5C780AAC"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6765CF13"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12C2C562"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0554BD7A"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5132F29C"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41C95BB2"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0A6DCA20"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7E64AB10"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5A04DF60"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28AA074A"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0E3FC438" w14:textId="77777777" w:rsidR="00BA17F5" w:rsidRPr="00F14CE5" w:rsidRDefault="00BA17F5" w:rsidP="00BA17F5">
      <w:pPr>
        <w:pStyle w:val="BodyText"/>
        <w:ind w:right="-7"/>
        <w:jc w:val="both"/>
        <w:rPr>
          <w:rFonts w:ascii="Times New Roman" w:hAnsi="Times New Roman" w:cs="Times New Roman"/>
          <w:color w:val="0D0D0D" w:themeColor="text1" w:themeTint="F2"/>
        </w:rPr>
      </w:pPr>
    </w:p>
    <w:p w14:paraId="2981CD54" w14:textId="7060F7FD" w:rsidR="00135D30" w:rsidRPr="00F14CE5" w:rsidRDefault="00135D30" w:rsidP="00135D30">
      <w:pPr>
        <w:spacing w:before="223"/>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 xml:space="preserve">Table 1 showed the sample distribution on age, sex, and choice of specialization. Respondents were picked randomly to have a fair chance in the sampling process and to minimize bias. The age of the respondents varied between 21 and 24 years with majority at the range of 21-22 years old (74%). Women were more numerous in the samples compared to men (women 62%; men 38%). Most of the respondents were from Garments, Fashion, and Design program (24%) and Food Service Management program (16%) while those from Civil and Construction Technology programs were only 4% in all. Fifty pre-service teachers were included in the study; their profile was gathered in order to get the background of the findings and identify possible relations on their profile to their views on MATATAG Curriculum and the BTVTED program. Age, sex and </w:t>
      </w:r>
      <w:r w:rsidR="00597834">
        <w:rPr>
          <w:rFonts w:ascii="Times New Roman" w:eastAsia="Arial" w:hAnsi="Times New Roman" w:cs="Times New Roman"/>
          <w:color w:val="0D0D0D" w:themeColor="text1" w:themeTint="F2"/>
          <w:sz w:val="24"/>
          <w:szCs w:val="24"/>
          <w:lang w:val="en-US"/>
        </w:rPr>
        <w:t xml:space="preserve">specialization </w:t>
      </w:r>
      <w:r w:rsidRPr="00F14CE5">
        <w:rPr>
          <w:rFonts w:ascii="Times New Roman" w:eastAsia="Arial" w:hAnsi="Times New Roman" w:cs="Times New Roman"/>
          <w:color w:val="0D0D0D" w:themeColor="text1" w:themeTint="F2"/>
          <w:sz w:val="24"/>
          <w:szCs w:val="24"/>
          <w:lang w:val="en-US"/>
        </w:rPr>
        <w:t>were chosen as appropriate variables for assessing individual experiences, competence and views.</w:t>
      </w:r>
    </w:p>
    <w:p w14:paraId="49999436" w14:textId="1D06D0B7" w:rsidR="004A2164" w:rsidRPr="00F14CE5" w:rsidRDefault="004A2164" w:rsidP="000233DF">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RESULTS</w:t>
      </w:r>
    </w:p>
    <w:p w14:paraId="0166D924" w14:textId="3A82EBCE" w:rsidR="00135D30" w:rsidRPr="00F14CE5" w:rsidRDefault="00135D30" w:rsidP="00135D30">
      <w:pPr>
        <w:spacing w:before="223"/>
        <w:ind w:right="-7" w:firstLine="720"/>
        <w:jc w:val="both"/>
        <w:rPr>
          <w:rFonts w:ascii="Times New Roman" w:hAnsi="Times New Roman" w:cs="Times New Roman"/>
          <w:iCs/>
          <w:color w:val="0D0D0D" w:themeColor="text1" w:themeTint="F2"/>
          <w:sz w:val="24"/>
          <w:szCs w:val="24"/>
        </w:rPr>
      </w:pPr>
      <w:r w:rsidRPr="00F14CE5">
        <w:rPr>
          <w:rFonts w:ascii="Times New Roman" w:hAnsi="Times New Roman" w:cs="Times New Roman"/>
          <w:iCs/>
          <w:color w:val="0D0D0D" w:themeColor="text1" w:themeTint="F2"/>
          <w:sz w:val="24"/>
          <w:szCs w:val="24"/>
        </w:rPr>
        <w:t xml:space="preserve">The study showed that majority of the pre-service teacher’s respondents fall on the younger age, most were females, and majority are in different specializations under the BTVTEd program. It was noted that the highest focus was on the core and specialized technical skills and hands-on and project-based learning methods of the MATATAG Curriculum, suggesting high implementation on these competencies. Entrepreneurial, sustainability skills, and Occupational Safety and Health (OSH) standards had a lower emphasis. In relation to the BTVTEd program implementation, the highest mean scores were on the program’s ability to develop pre-service teachers with practical teaching skills and technical skills needed for basic education. The MATATAG curriculum and BTVTEd program were noted as highly aligned particularly on the technical and skills-based </w:t>
      </w:r>
      <w:r w:rsidRPr="00F14CE5">
        <w:rPr>
          <w:rFonts w:ascii="Times New Roman" w:hAnsi="Times New Roman" w:cs="Times New Roman"/>
          <w:iCs/>
          <w:color w:val="0D0D0D" w:themeColor="text1" w:themeTint="F2"/>
          <w:sz w:val="24"/>
          <w:szCs w:val="24"/>
        </w:rPr>
        <w:lastRenderedPageBreak/>
        <w:t>competencies. Respondents identified highest need for professional development and workplace skills as most needing improvement. Statistical analysis revealed no significant difference between responses based on age, gender, and specialization of the respondents. Based on the findings, a curriculum enhancement plan was developed to further improve practical skills and industry relatedness as well as continuous professional development.</w:t>
      </w:r>
    </w:p>
    <w:p w14:paraId="1681FBAE" w14:textId="0AAF47EC" w:rsidR="004A2164" w:rsidRPr="00F14CE5" w:rsidRDefault="004A2164" w:rsidP="004A2164">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DISCUSSION</w:t>
      </w:r>
    </w:p>
    <w:p w14:paraId="10099C58" w14:textId="77777777" w:rsidR="00934218" w:rsidRPr="00F14CE5" w:rsidRDefault="000D6EC1" w:rsidP="00934218">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934218" w:rsidRPr="00F14CE5">
        <w:rPr>
          <w:rFonts w:ascii="Times New Roman" w:hAnsi="Times New Roman" w:cs="Times New Roman"/>
          <w:color w:val="0D0D0D" w:themeColor="text1" w:themeTint="F2"/>
          <w:kern w:val="2"/>
          <w:sz w:val="24"/>
          <w:szCs w:val="24"/>
        </w:rPr>
        <w:t>A description of the respondents in the study is necessary because it gives a baseline knowledge of the group studied and can be used to identify possible relations between the characteristics of the respondents and the research variables. In this study, the profile of the respondents is important as a baseline of the group that was studied and for the identification of possible associations between the profile of the respondents and the research variables to be analyzed (age, gender, and specialization). The respondents in this study were the pre-service teachers enrolled in the Bachelor of Technical-Vocational Teacher Education (BTVTED) program of the institution. The profile of the respondents is relevant for contextualizing the findings, and age, gender, and specialization are profile indicators of the respondents that can be used for analysis of patterns and differences among groups, which can help to provide a more complete interpretation of the results.</w:t>
      </w:r>
    </w:p>
    <w:p w14:paraId="27641CD5" w14:textId="36F92B94" w:rsidR="009F6A64" w:rsidRPr="00F14CE5" w:rsidRDefault="000D6EC1" w:rsidP="00934218">
      <w:pPr>
        <w:tabs>
          <w:tab w:val="left" w:pos="720"/>
        </w:tabs>
        <w:spacing w:line="240" w:lineRule="auto"/>
        <w:jc w:val="both"/>
        <w:rPr>
          <w:rFonts w:ascii="Times New Roman" w:hAnsi="Times New Roman" w:cs="Times New Roman"/>
          <w:b/>
          <w:bCs/>
          <w:color w:val="0D0D0D" w:themeColor="text1" w:themeTint="F2"/>
          <w:kern w:val="2"/>
          <w:sz w:val="24"/>
          <w:szCs w:val="24"/>
        </w:rPr>
      </w:pPr>
      <w:r w:rsidRPr="00F14CE5">
        <w:rPr>
          <w:rFonts w:ascii="Times New Roman" w:hAnsi="Times New Roman" w:cs="Times New Roman"/>
          <w:b/>
          <w:bCs/>
          <w:color w:val="0D0D0D" w:themeColor="text1" w:themeTint="F2"/>
          <w:kern w:val="2"/>
          <w:sz w:val="24"/>
          <w:szCs w:val="24"/>
        </w:rPr>
        <w:t xml:space="preserve">Table 2: </w:t>
      </w:r>
      <w:r w:rsidR="009F6A64" w:rsidRPr="00F14CE5">
        <w:rPr>
          <w:rFonts w:ascii="Times New Roman" w:hAnsi="Times New Roman" w:cs="Times New Roman"/>
          <w:b/>
          <w:bCs/>
          <w:color w:val="0D0D0D" w:themeColor="text1" w:themeTint="F2"/>
          <w:kern w:val="2"/>
          <w:sz w:val="24"/>
          <w:szCs w:val="24"/>
        </w:rPr>
        <w:t>Age and Gender</w:t>
      </w:r>
    </w:p>
    <w:p w14:paraId="46B2EF7F" w14:textId="6CA23E6F"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This section examined the demographic characteristics of the respondents, particularly their age and gender distribution. Understanding these variables provides a clearer context for interpreting the results of the study, as age and gender may influence learners’ experiences, perspectives, and academic engagement. </w:t>
      </w:r>
      <w:r w:rsidR="00E509CE" w:rsidRPr="00F14CE5">
        <w:rPr>
          <w:rFonts w:ascii="Times New Roman" w:hAnsi="Times New Roman" w:cs="Times New Roman"/>
          <w:color w:val="0D0D0D" w:themeColor="text1" w:themeTint="F2"/>
          <w:kern w:val="2"/>
          <w:sz w:val="24"/>
          <w:szCs w:val="24"/>
        </w:rPr>
        <w:t>The descriptive data gathered are shown in Table 2</w:t>
      </w:r>
    </w:p>
    <w:tbl>
      <w:tblPr>
        <w:tblpPr w:leftFromText="180" w:rightFromText="180" w:vertAnchor="text" w:horzAnchor="margin" w:tblpXSpec="center" w:tblpY="27"/>
        <w:tblW w:w="7371" w:type="dxa"/>
        <w:tblLook w:val="04A0" w:firstRow="1" w:lastRow="0" w:firstColumn="1" w:lastColumn="0" w:noHBand="0" w:noVBand="1"/>
      </w:tblPr>
      <w:tblGrid>
        <w:gridCol w:w="1917"/>
        <w:gridCol w:w="578"/>
        <w:gridCol w:w="1220"/>
        <w:gridCol w:w="578"/>
        <w:gridCol w:w="1220"/>
        <w:gridCol w:w="578"/>
        <w:gridCol w:w="1280"/>
      </w:tblGrid>
      <w:tr w:rsidR="00597834" w:rsidRPr="00F14CE5" w14:paraId="7858DB87" w14:textId="77777777" w:rsidTr="00AA2931">
        <w:trPr>
          <w:trHeight w:val="306"/>
        </w:trPr>
        <w:tc>
          <w:tcPr>
            <w:tcW w:w="7371" w:type="dxa"/>
            <w:gridSpan w:val="7"/>
            <w:tcBorders>
              <w:bottom w:val="single" w:sz="4" w:space="0" w:color="auto"/>
            </w:tcBorders>
            <w:noWrap/>
            <w:vAlign w:val="bottom"/>
            <w:hideMark/>
          </w:tcPr>
          <w:p w14:paraId="782AE62C"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Table 2</w:t>
            </w:r>
          </w:p>
          <w:p w14:paraId="20CD2032"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Age and Gender</w:t>
            </w:r>
          </w:p>
        </w:tc>
      </w:tr>
      <w:tr w:rsidR="00597834" w:rsidRPr="00F14CE5" w14:paraId="7E5599E3" w14:textId="77777777" w:rsidTr="00AA2931">
        <w:trPr>
          <w:trHeight w:val="306"/>
        </w:trPr>
        <w:tc>
          <w:tcPr>
            <w:tcW w:w="1917" w:type="dxa"/>
            <w:tcBorders>
              <w:top w:val="single" w:sz="4" w:space="0" w:color="auto"/>
            </w:tcBorders>
            <w:noWrap/>
            <w:vAlign w:val="bottom"/>
            <w:hideMark/>
          </w:tcPr>
          <w:p w14:paraId="03EAC12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Age (in years)</w:t>
            </w:r>
          </w:p>
        </w:tc>
        <w:tc>
          <w:tcPr>
            <w:tcW w:w="1798" w:type="dxa"/>
            <w:gridSpan w:val="2"/>
            <w:tcBorders>
              <w:top w:val="single" w:sz="4" w:space="0" w:color="auto"/>
            </w:tcBorders>
            <w:noWrap/>
            <w:vAlign w:val="bottom"/>
            <w:hideMark/>
          </w:tcPr>
          <w:p w14:paraId="6001D45B"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xml:space="preserve">Female </w:t>
            </w:r>
          </w:p>
        </w:tc>
        <w:tc>
          <w:tcPr>
            <w:tcW w:w="1798" w:type="dxa"/>
            <w:gridSpan w:val="2"/>
            <w:tcBorders>
              <w:top w:val="single" w:sz="4" w:space="0" w:color="auto"/>
            </w:tcBorders>
            <w:noWrap/>
            <w:vAlign w:val="bottom"/>
            <w:hideMark/>
          </w:tcPr>
          <w:p w14:paraId="413C8E4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xml:space="preserve">Male </w:t>
            </w:r>
          </w:p>
        </w:tc>
        <w:tc>
          <w:tcPr>
            <w:tcW w:w="1858" w:type="dxa"/>
            <w:gridSpan w:val="2"/>
            <w:tcBorders>
              <w:top w:val="single" w:sz="4" w:space="0" w:color="auto"/>
            </w:tcBorders>
            <w:noWrap/>
            <w:vAlign w:val="bottom"/>
            <w:hideMark/>
          </w:tcPr>
          <w:p w14:paraId="4B2C521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xml:space="preserve">Total </w:t>
            </w:r>
          </w:p>
        </w:tc>
      </w:tr>
      <w:tr w:rsidR="00597834" w:rsidRPr="00F14CE5" w14:paraId="4D28F9F2" w14:textId="77777777" w:rsidTr="00AA2931">
        <w:trPr>
          <w:trHeight w:val="306"/>
        </w:trPr>
        <w:tc>
          <w:tcPr>
            <w:tcW w:w="1917" w:type="dxa"/>
            <w:tcBorders>
              <w:bottom w:val="single" w:sz="4" w:space="0" w:color="auto"/>
            </w:tcBorders>
            <w:noWrap/>
            <w:vAlign w:val="bottom"/>
            <w:hideMark/>
          </w:tcPr>
          <w:p w14:paraId="34FD8463"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w:t>
            </w:r>
          </w:p>
        </w:tc>
        <w:tc>
          <w:tcPr>
            <w:tcW w:w="578" w:type="dxa"/>
            <w:tcBorders>
              <w:bottom w:val="single" w:sz="4" w:space="0" w:color="auto"/>
            </w:tcBorders>
            <w:noWrap/>
            <w:vAlign w:val="bottom"/>
            <w:hideMark/>
          </w:tcPr>
          <w:p w14:paraId="7CCCAB98"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f</w:t>
            </w:r>
          </w:p>
        </w:tc>
        <w:tc>
          <w:tcPr>
            <w:tcW w:w="1220" w:type="dxa"/>
            <w:tcBorders>
              <w:bottom w:val="single" w:sz="4" w:space="0" w:color="auto"/>
            </w:tcBorders>
            <w:noWrap/>
            <w:vAlign w:val="bottom"/>
            <w:hideMark/>
          </w:tcPr>
          <w:p w14:paraId="52DFDA0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w:t>
            </w:r>
          </w:p>
        </w:tc>
        <w:tc>
          <w:tcPr>
            <w:tcW w:w="578" w:type="dxa"/>
            <w:tcBorders>
              <w:bottom w:val="single" w:sz="4" w:space="0" w:color="auto"/>
            </w:tcBorders>
            <w:noWrap/>
            <w:vAlign w:val="bottom"/>
            <w:hideMark/>
          </w:tcPr>
          <w:p w14:paraId="70BD446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f</w:t>
            </w:r>
          </w:p>
        </w:tc>
        <w:tc>
          <w:tcPr>
            <w:tcW w:w="1220" w:type="dxa"/>
            <w:tcBorders>
              <w:bottom w:val="single" w:sz="4" w:space="0" w:color="auto"/>
            </w:tcBorders>
            <w:noWrap/>
            <w:vAlign w:val="bottom"/>
            <w:hideMark/>
          </w:tcPr>
          <w:p w14:paraId="27F5B37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w:t>
            </w:r>
          </w:p>
        </w:tc>
        <w:tc>
          <w:tcPr>
            <w:tcW w:w="578" w:type="dxa"/>
            <w:tcBorders>
              <w:bottom w:val="single" w:sz="4" w:space="0" w:color="auto"/>
            </w:tcBorders>
            <w:noWrap/>
            <w:vAlign w:val="bottom"/>
            <w:hideMark/>
          </w:tcPr>
          <w:p w14:paraId="17F23E30"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f</w:t>
            </w:r>
          </w:p>
        </w:tc>
        <w:tc>
          <w:tcPr>
            <w:tcW w:w="1280" w:type="dxa"/>
            <w:tcBorders>
              <w:bottom w:val="single" w:sz="4" w:space="0" w:color="auto"/>
            </w:tcBorders>
            <w:noWrap/>
            <w:vAlign w:val="bottom"/>
            <w:hideMark/>
          </w:tcPr>
          <w:p w14:paraId="43487122"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w:t>
            </w:r>
          </w:p>
        </w:tc>
      </w:tr>
      <w:tr w:rsidR="00597834" w:rsidRPr="00F14CE5" w14:paraId="09C6D22F" w14:textId="77777777" w:rsidTr="00AA2931">
        <w:trPr>
          <w:trHeight w:val="306"/>
        </w:trPr>
        <w:tc>
          <w:tcPr>
            <w:tcW w:w="1917" w:type="dxa"/>
            <w:tcBorders>
              <w:top w:val="single" w:sz="4" w:space="0" w:color="auto"/>
            </w:tcBorders>
            <w:noWrap/>
            <w:vAlign w:val="center"/>
            <w:hideMark/>
          </w:tcPr>
          <w:p w14:paraId="3809958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24</w:t>
            </w:r>
          </w:p>
        </w:tc>
        <w:tc>
          <w:tcPr>
            <w:tcW w:w="578" w:type="dxa"/>
            <w:tcBorders>
              <w:top w:val="single" w:sz="4" w:space="0" w:color="auto"/>
            </w:tcBorders>
            <w:noWrap/>
            <w:vAlign w:val="center"/>
            <w:hideMark/>
          </w:tcPr>
          <w:p w14:paraId="62BA2300"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w:t>
            </w:r>
          </w:p>
        </w:tc>
        <w:tc>
          <w:tcPr>
            <w:tcW w:w="1220" w:type="dxa"/>
            <w:tcBorders>
              <w:top w:val="single" w:sz="4" w:space="0" w:color="auto"/>
            </w:tcBorders>
            <w:noWrap/>
            <w:vAlign w:val="center"/>
            <w:hideMark/>
          </w:tcPr>
          <w:p w14:paraId="19DD915E"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4.00</w:t>
            </w:r>
          </w:p>
        </w:tc>
        <w:tc>
          <w:tcPr>
            <w:tcW w:w="578" w:type="dxa"/>
            <w:tcBorders>
              <w:top w:val="single" w:sz="4" w:space="0" w:color="auto"/>
            </w:tcBorders>
            <w:noWrap/>
            <w:vAlign w:val="center"/>
            <w:hideMark/>
          </w:tcPr>
          <w:p w14:paraId="641E78D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w:t>
            </w:r>
          </w:p>
        </w:tc>
        <w:tc>
          <w:tcPr>
            <w:tcW w:w="1220" w:type="dxa"/>
            <w:tcBorders>
              <w:top w:val="single" w:sz="4" w:space="0" w:color="auto"/>
            </w:tcBorders>
            <w:noWrap/>
            <w:vAlign w:val="center"/>
            <w:hideMark/>
          </w:tcPr>
          <w:p w14:paraId="000FE5EC"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2.00</w:t>
            </w:r>
          </w:p>
        </w:tc>
        <w:tc>
          <w:tcPr>
            <w:tcW w:w="578" w:type="dxa"/>
            <w:tcBorders>
              <w:top w:val="single" w:sz="4" w:space="0" w:color="auto"/>
            </w:tcBorders>
            <w:noWrap/>
            <w:vAlign w:val="center"/>
            <w:hideMark/>
          </w:tcPr>
          <w:p w14:paraId="7CF4393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3</w:t>
            </w:r>
          </w:p>
        </w:tc>
        <w:tc>
          <w:tcPr>
            <w:tcW w:w="1280" w:type="dxa"/>
            <w:tcBorders>
              <w:top w:val="single" w:sz="4" w:space="0" w:color="auto"/>
            </w:tcBorders>
            <w:noWrap/>
            <w:vAlign w:val="center"/>
            <w:hideMark/>
          </w:tcPr>
          <w:p w14:paraId="4043F2C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6.00</w:t>
            </w:r>
          </w:p>
        </w:tc>
      </w:tr>
      <w:tr w:rsidR="00597834" w:rsidRPr="00F14CE5" w14:paraId="046F270D" w14:textId="77777777" w:rsidTr="00AA2931">
        <w:trPr>
          <w:trHeight w:val="306"/>
        </w:trPr>
        <w:tc>
          <w:tcPr>
            <w:tcW w:w="1917" w:type="dxa"/>
            <w:noWrap/>
            <w:vAlign w:val="center"/>
            <w:hideMark/>
          </w:tcPr>
          <w:p w14:paraId="2B7A068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23</w:t>
            </w:r>
          </w:p>
        </w:tc>
        <w:tc>
          <w:tcPr>
            <w:tcW w:w="578" w:type="dxa"/>
            <w:noWrap/>
            <w:vAlign w:val="center"/>
            <w:hideMark/>
          </w:tcPr>
          <w:p w14:paraId="03593E6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4</w:t>
            </w:r>
          </w:p>
        </w:tc>
        <w:tc>
          <w:tcPr>
            <w:tcW w:w="1220" w:type="dxa"/>
            <w:noWrap/>
            <w:vAlign w:val="center"/>
            <w:hideMark/>
          </w:tcPr>
          <w:p w14:paraId="11BB3189"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8.00</w:t>
            </w:r>
          </w:p>
        </w:tc>
        <w:tc>
          <w:tcPr>
            <w:tcW w:w="578" w:type="dxa"/>
            <w:noWrap/>
            <w:vAlign w:val="center"/>
            <w:hideMark/>
          </w:tcPr>
          <w:p w14:paraId="556818E1"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6</w:t>
            </w:r>
          </w:p>
        </w:tc>
        <w:tc>
          <w:tcPr>
            <w:tcW w:w="1220" w:type="dxa"/>
            <w:noWrap/>
            <w:vAlign w:val="center"/>
            <w:hideMark/>
          </w:tcPr>
          <w:p w14:paraId="158F4DDA"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12.00</w:t>
            </w:r>
          </w:p>
        </w:tc>
        <w:tc>
          <w:tcPr>
            <w:tcW w:w="578" w:type="dxa"/>
            <w:noWrap/>
            <w:vAlign w:val="center"/>
            <w:hideMark/>
          </w:tcPr>
          <w:p w14:paraId="35AA5D11"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10</w:t>
            </w:r>
          </w:p>
        </w:tc>
        <w:tc>
          <w:tcPr>
            <w:tcW w:w="1280" w:type="dxa"/>
            <w:noWrap/>
            <w:vAlign w:val="center"/>
            <w:hideMark/>
          </w:tcPr>
          <w:p w14:paraId="63C129D8"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20.00</w:t>
            </w:r>
          </w:p>
        </w:tc>
      </w:tr>
      <w:tr w:rsidR="00597834" w:rsidRPr="00F14CE5" w14:paraId="194A8CD4" w14:textId="77777777" w:rsidTr="00AA2931">
        <w:trPr>
          <w:trHeight w:val="306"/>
        </w:trPr>
        <w:tc>
          <w:tcPr>
            <w:tcW w:w="1917" w:type="dxa"/>
            <w:noWrap/>
            <w:vAlign w:val="center"/>
            <w:hideMark/>
          </w:tcPr>
          <w:p w14:paraId="3739E08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22</w:t>
            </w:r>
          </w:p>
        </w:tc>
        <w:tc>
          <w:tcPr>
            <w:tcW w:w="578" w:type="dxa"/>
            <w:noWrap/>
            <w:vAlign w:val="center"/>
            <w:hideMark/>
          </w:tcPr>
          <w:p w14:paraId="4268A8B0"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12</w:t>
            </w:r>
          </w:p>
        </w:tc>
        <w:tc>
          <w:tcPr>
            <w:tcW w:w="1220" w:type="dxa"/>
            <w:noWrap/>
            <w:vAlign w:val="center"/>
            <w:hideMark/>
          </w:tcPr>
          <w:p w14:paraId="441C4081"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24.00</w:t>
            </w:r>
          </w:p>
        </w:tc>
        <w:tc>
          <w:tcPr>
            <w:tcW w:w="578" w:type="dxa"/>
            <w:noWrap/>
            <w:vAlign w:val="center"/>
            <w:hideMark/>
          </w:tcPr>
          <w:p w14:paraId="0AE3632B"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7</w:t>
            </w:r>
          </w:p>
        </w:tc>
        <w:tc>
          <w:tcPr>
            <w:tcW w:w="1220" w:type="dxa"/>
            <w:noWrap/>
            <w:vAlign w:val="center"/>
            <w:hideMark/>
          </w:tcPr>
          <w:p w14:paraId="506014FA"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14.00</w:t>
            </w:r>
          </w:p>
        </w:tc>
        <w:tc>
          <w:tcPr>
            <w:tcW w:w="578" w:type="dxa"/>
            <w:noWrap/>
            <w:vAlign w:val="center"/>
            <w:hideMark/>
          </w:tcPr>
          <w:p w14:paraId="1111A90B"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19</w:t>
            </w:r>
          </w:p>
        </w:tc>
        <w:tc>
          <w:tcPr>
            <w:tcW w:w="1280" w:type="dxa"/>
            <w:noWrap/>
            <w:vAlign w:val="center"/>
            <w:hideMark/>
          </w:tcPr>
          <w:p w14:paraId="6D8EC5E3"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38.00</w:t>
            </w:r>
          </w:p>
        </w:tc>
      </w:tr>
      <w:tr w:rsidR="00597834" w:rsidRPr="00F14CE5" w14:paraId="188CC51E" w14:textId="77777777" w:rsidTr="00AA2931">
        <w:trPr>
          <w:trHeight w:val="306"/>
        </w:trPr>
        <w:tc>
          <w:tcPr>
            <w:tcW w:w="1917" w:type="dxa"/>
            <w:noWrap/>
            <w:vAlign w:val="center"/>
            <w:hideMark/>
          </w:tcPr>
          <w:p w14:paraId="5C096220"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21</w:t>
            </w:r>
          </w:p>
        </w:tc>
        <w:tc>
          <w:tcPr>
            <w:tcW w:w="578" w:type="dxa"/>
            <w:noWrap/>
            <w:vAlign w:val="center"/>
            <w:hideMark/>
          </w:tcPr>
          <w:p w14:paraId="6F065FE8"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13</w:t>
            </w:r>
          </w:p>
        </w:tc>
        <w:tc>
          <w:tcPr>
            <w:tcW w:w="1220" w:type="dxa"/>
            <w:noWrap/>
            <w:vAlign w:val="center"/>
            <w:hideMark/>
          </w:tcPr>
          <w:p w14:paraId="629A31E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26.00</w:t>
            </w:r>
          </w:p>
        </w:tc>
        <w:tc>
          <w:tcPr>
            <w:tcW w:w="578" w:type="dxa"/>
            <w:noWrap/>
            <w:vAlign w:val="center"/>
            <w:hideMark/>
          </w:tcPr>
          <w:p w14:paraId="5079570A"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5</w:t>
            </w:r>
          </w:p>
        </w:tc>
        <w:tc>
          <w:tcPr>
            <w:tcW w:w="1220" w:type="dxa"/>
            <w:noWrap/>
            <w:vAlign w:val="center"/>
            <w:hideMark/>
          </w:tcPr>
          <w:p w14:paraId="5A0CF89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10.00</w:t>
            </w:r>
          </w:p>
        </w:tc>
        <w:tc>
          <w:tcPr>
            <w:tcW w:w="578" w:type="dxa"/>
            <w:noWrap/>
            <w:vAlign w:val="center"/>
            <w:hideMark/>
          </w:tcPr>
          <w:p w14:paraId="3EA9B08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18</w:t>
            </w:r>
          </w:p>
        </w:tc>
        <w:tc>
          <w:tcPr>
            <w:tcW w:w="1280" w:type="dxa"/>
            <w:noWrap/>
            <w:vAlign w:val="center"/>
            <w:hideMark/>
          </w:tcPr>
          <w:p w14:paraId="0EE594DE"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36.00</w:t>
            </w:r>
          </w:p>
        </w:tc>
      </w:tr>
      <w:tr w:rsidR="00597834" w:rsidRPr="00F14CE5" w14:paraId="06A07917" w14:textId="77777777" w:rsidTr="00AA2931">
        <w:trPr>
          <w:trHeight w:val="306"/>
        </w:trPr>
        <w:tc>
          <w:tcPr>
            <w:tcW w:w="1917" w:type="dxa"/>
            <w:tcBorders>
              <w:bottom w:val="single" w:sz="4" w:space="0" w:color="auto"/>
            </w:tcBorders>
            <w:noWrap/>
            <w:vAlign w:val="center"/>
            <w:hideMark/>
          </w:tcPr>
          <w:p w14:paraId="6B72D9C7"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Total</w:t>
            </w:r>
          </w:p>
        </w:tc>
        <w:tc>
          <w:tcPr>
            <w:tcW w:w="578" w:type="dxa"/>
            <w:tcBorders>
              <w:bottom w:val="single" w:sz="4" w:space="0" w:color="auto"/>
            </w:tcBorders>
            <w:noWrap/>
            <w:vAlign w:val="center"/>
            <w:hideMark/>
          </w:tcPr>
          <w:p w14:paraId="301984E1"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31</w:t>
            </w:r>
          </w:p>
        </w:tc>
        <w:tc>
          <w:tcPr>
            <w:tcW w:w="1220" w:type="dxa"/>
            <w:tcBorders>
              <w:bottom w:val="single" w:sz="4" w:space="0" w:color="auto"/>
            </w:tcBorders>
            <w:noWrap/>
            <w:vAlign w:val="center"/>
            <w:hideMark/>
          </w:tcPr>
          <w:p w14:paraId="5E0B80A1"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62.00</w:t>
            </w:r>
          </w:p>
        </w:tc>
        <w:tc>
          <w:tcPr>
            <w:tcW w:w="578" w:type="dxa"/>
            <w:tcBorders>
              <w:bottom w:val="single" w:sz="4" w:space="0" w:color="auto"/>
            </w:tcBorders>
            <w:noWrap/>
            <w:vAlign w:val="center"/>
            <w:hideMark/>
          </w:tcPr>
          <w:p w14:paraId="7A5298F8"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19</w:t>
            </w:r>
          </w:p>
        </w:tc>
        <w:tc>
          <w:tcPr>
            <w:tcW w:w="1220" w:type="dxa"/>
            <w:tcBorders>
              <w:bottom w:val="single" w:sz="4" w:space="0" w:color="auto"/>
            </w:tcBorders>
            <w:noWrap/>
            <w:vAlign w:val="center"/>
            <w:hideMark/>
          </w:tcPr>
          <w:p w14:paraId="4DC3654B"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38.00</w:t>
            </w:r>
          </w:p>
        </w:tc>
        <w:tc>
          <w:tcPr>
            <w:tcW w:w="578" w:type="dxa"/>
            <w:tcBorders>
              <w:bottom w:val="single" w:sz="4" w:space="0" w:color="auto"/>
            </w:tcBorders>
            <w:noWrap/>
            <w:vAlign w:val="center"/>
            <w:hideMark/>
          </w:tcPr>
          <w:p w14:paraId="5C11CA2F"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50</w:t>
            </w:r>
          </w:p>
        </w:tc>
        <w:tc>
          <w:tcPr>
            <w:tcW w:w="1280" w:type="dxa"/>
            <w:tcBorders>
              <w:bottom w:val="single" w:sz="4" w:space="0" w:color="auto"/>
            </w:tcBorders>
            <w:noWrap/>
            <w:vAlign w:val="center"/>
            <w:hideMark/>
          </w:tcPr>
          <w:p w14:paraId="3186420B"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100.00</w:t>
            </w:r>
          </w:p>
        </w:tc>
      </w:tr>
    </w:tbl>
    <w:p w14:paraId="6E4B0482"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4"/>
          <w:szCs w:val="4"/>
        </w:rPr>
      </w:pPr>
    </w:p>
    <w:p w14:paraId="4EF8EEFB"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p>
    <w:p w14:paraId="66BB1843" w14:textId="77777777" w:rsidR="000233DF" w:rsidRPr="00F14CE5" w:rsidRDefault="000233DF"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1175EACB" w14:textId="77777777" w:rsidR="00AA2931" w:rsidRPr="00F14CE5" w:rsidRDefault="00AA293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3C651A36" w14:textId="77777777" w:rsidR="00AA2931" w:rsidRPr="00F14CE5" w:rsidRDefault="00AA293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03A8CA74" w14:textId="77777777" w:rsidR="00AA2931" w:rsidRPr="00F14CE5" w:rsidRDefault="00AA293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655C8B74" w14:textId="77777777" w:rsidR="00AA2931" w:rsidRPr="00F14CE5" w:rsidRDefault="00AA293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799DEC38" w14:textId="079B3D04" w:rsidR="00934218" w:rsidRPr="00F14CE5" w:rsidRDefault="00934218" w:rsidP="00AA2931">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Table 2 illustrated the demographic characteristics based on their age and gender. Fifty people completed this survey; there were 31 females (62%) and 19 males (38%). The age of the respondents was between 21 and 24, majority were between 21 to 22, where 22 years old constituted 38% of all respondents and followed by 21 years old with 36%, while respondents of 23 years old occupied 20% of all respondents and 24 years old took 6%.</w:t>
      </w:r>
    </w:p>
    <w:p w14:paraId="48A5ABC5" w14:textId="04694975"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The data </w:t>
      </w:r>
      <w:r w:rsidR="00D34366" w:rsidRPr="00F14CE5">
        <w:rPr>
          <w:rFonts w:ascii="Times New Roman" w:hAnsi="Times New Roman" w:cs="Times New Roman"/>
          <w:color w:val="0D0D0D" w:themeColor="text1" w:themeTint="F2"/>
          <w:kern w:val="2"/>
          <w:sz w:val="24"/>
          <w:szCs w:val="24"/>
        </w:rPr>
        <w:t xml:space="preserve">revealed </w:t>
      </w:r>
      <w:r w:rsidRPr="00F14CE5">
        <w:rPr>
          <w:rFonts w:ascii="Times New Roman" w:hAnsi="Times New Roman" w:cs="Times New Roman"/>
          <w:color w:val="0D0D0D" w:themeColor="text1" w:themeTint="F2"/>
          <w:kern w:val="2"/>
          <w:sz w:val="24"/>
          <w:szCs w:val="24"/>
        </w:rPr>
        <w:t xml:space="preserve">a higher representation of </w:t>
      </w:r>
      <w:r w:rsidR="00D34366" w:rsidRPr="00F14CE5">
        <w:rPr>
          <w:rFonts w:ascii="Times New Roman" w:hAnsi="Times New Roman" w:cs="Times New Roman"/>
          <w:color w:val="0D0D0D" w:themeColor="text1" w:themeTint="F2"/>
          <w:kern w:val="2"/>
          <w:sz w:val="24"/>
          <w:szCs w:val="24"/>
        </w:rPr>
        <w:t xml:space="preserve">female respondents and a greater number in the youngest age group (21-22 years of age), indicating that samples represent young female pre-service teachers primarily. </w:t>
      </w:r>
      <w:r w:rsidRPr="00F14CE5">
        <w:rPr>
          <w:rFonts w:ascii="Times New Roman" w:hAnsi="Times New Roman" w:cs="Times New Roman"/>
          <w:color w:val="0D0D0D" w:themeColor="text1" w:themeTint="F2"/>
          <w:kern w:val="2"/>
          <w:sz w:val="24"/>
          <w:szCs w:val="24"/>
        </w:rPr>
        <w:t xml:space="preserve">According to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{"citationID":"34yudJjv","properties":{"formattedCitation":"(Gaganao &amp; Odon, 2024)","plainCitation":"(Gaganao &amp; Odon, 2024)","noteIndex":0},"citationItems":[{"id":1431,"uris":["http://zotero.org/users/local/pdR0I0Iy/items/RCM6N424"],"itemData":{"id":1431,"type":"article-journal","abstract":"Competent teachers are attributed to student performance, school effectiveness, and the efficiency of an entire education system. Hence, this study compares the respondents' teaching proficiency across their profiles and correlates to their academic performance. The study utilized 30 pre-service secondary teachers of Eastern Samar State University Salcedo selected by complete enumeration, a descriptive comparative and correlational research design, and a questionnaire. Frequency, percentage, mean, and standard deviation were applied for descriptive analysis; t-test for comparison of respondents’ teaching proficiency; and Pearson’s correlation coefficient for the relationship between academic performance and teaching proficiency. The study revealed that respondents had a proficient teaching proficiency. Specifically, they were proficient in subject matter knowledge, lesson planning, classroom management, instructional strategies and motivation, communication skills, questioning skills, and professionalism. They have a very good academic performance in both professional education and major field of specialization. Furthermore, the study found no significant difference in the teaching proficiency across the respondents’ sex and age. However, a significant relationship was found between academic performance and teaching proficiency. Based on the findings, it is recommended that remedial classes on contents, pedagogies, and principles be provided especially for those respondents with low academic performance, to improve their teaching proficiency.","container-title":"Journal of Education and Learning (EduLearn)","DOI":"10.11591/edulearn.v18i3.21070","ISSN":"2302-9277, 2089-9823","issue":"3","journalAbbreviation":"EduLearn","language":"en","license":"http://creativecommons.org/licenses/by/4.0","page":"848-857","source":"DOI.org (Crossref)","title":"Teaching proficiency of pre-service secondary teachers in Eastern Samar State University-Salcedo Campus","URL":"http://edulearn.intelektual.org/index.php/EduLearn/article/view/21070","volume":"18","author":[{"family":"Gaganao","given":"Rovinson D."},{"family":"Odon","given":"Ma. Gracelda B."}],"accessed":{"date-parts":[["2025",12,10]]},"issued":{"date-parts":[["2024",8,1]]}}}],"schema":"https://github.com/citation-style-language/schema/raw/master/csl-citation.json"}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(Gaganao &amp; Odon, 2024)</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D34366" w:rsidRPr="00F14CE5">
        <w:rPr>
          <w:rFonts w:ascii="Times New Roman" w:hAnsi="Times New Roman" w:cs="Times New Roman"/>
          <w:color w:val="0D0D0D" w:themeColor="text1" w:themeTint="F2"/>
          <w:kern w:val="2"/>
          <w:sz w:val="24"/>
          <w:szCs w:val="24"/>
        </w:rPr>
        <w:t>female pre-service teachers in 4th year level in Eastern Samar State University reached 67% and a large proportion of the respondents (90%) aged between 22 to 34 years of age. A study identified female respondents at 88.8% with mean of age 21.5 years old.</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{"citationID":"7oq3mv3l","properties":{"formattedCitation":"(Ramos et al., 2020)","plainCitation":"(Ramos et al., 2020)","noteIndex":0},"citationItems":[{"id":1432,"uris":["http://zotero.org/users/local/pdR0I0Iy/items/C2IEV685"],"itemData":{"id":1432,"type":"article-journal","abstract":"The changing educational landscape of Philippine education in the past decade poses challenges to the implementers of the curriculum innovations – the teachers. Consequently, this has put more pressure on the teacher education institutions (TEIs) to produce a quantity of quality teachers. From this context, this paper examines the technological, pedagogical, and content knowledge (TPACK) confidence level of pre-service teachers in selected Philippine teacher education institutions. The TPACK Model has been a very useful framework for academic stakeholders to understand and measure the level of technology integration in teaching and learning. Using a 64-item self-diagnostic questionnaire designed to measure the dimensions of TPACK in terms of learning experience and practice, and assessing the responses of 187 graduating pre-service teachers from selected Philippine TEIs, the data suggest that the pre-service teachers are fairly confident with the learning experience they get from the TEIs and that by using these experiences they frequently demonstrate the acceptable teacher competency and standards. Furthermore, the levels of TPACK confidence of the secondary and elementary pre-service teachers significantly differ from each other such that the former are more confident with their learning experience and practice. Data also show that there is a significant relationship between the quality of learning experience and the ability of the pre-service teachers to demonstrate the core competencies of TPACK. Hence, teacher education institutions must consider innovating their curriculum through training, subject-focused pedagogical modeling, and subject-specific technologies.","container-title":"International Journal of Education, Psychology and Counseling","DOI":"10.35631/IJEPC.5370016","journalAbbreviation":"International Journal of Education, Psychology and Counseling","page":"196-205","source":"ResearchGate","title":"THE TPACK CONFIDENCE OF PRE-SERVICE TEACHERS IN SELECTED PHILIPPINE TEACHER EDUCATION INSTITUTIONS","volume":"5","author":[{"family":"Ramos","given":"Romell"},{"family":"Asistin","given":"Judith"},{"family":"Vergara","given":"Imelda"},{"family":"Manalo","given":"Bernadeth"},{"family":"Gappi","given":"Lorna"},{"family":"Morfi","given":"Tina"}],"issued":{"date-parts":[["2020",12,3]]}}}],"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(Ramos et al., 2020)</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w:t>
      </w:r>
    </w:p>
    <w:p w14:paraId="16BB8BF8"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Consequently, age and gender may influence engagement, learning preferences, and perceptions of curriculum effectiveness. </w:t>
      </w:r>
    </w:p>
    <w:p w14:paraId="0BE61AD2" w14:textId="77777777" w:rsidR="003223CA" w:rsidRPr="00F14CE5" w:rsidRDefault="003223CA"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21FE9D5F" w14:textId="77777777" w:rsidR="000D6EC1" w:rsidRPr="00F14CE5" w:rsidRDefault="000D6EC1" w:rsidP="009F6A64">
      <w:pPr>
        <w:tabs>
          <w:tab w:val="left" w:pos="720"/>
        </w:tabs>
        <w:spacing w:line="240" w:lineRule="auto"/>
        <w:jc w:val="both"/>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 xml:space="preserve">Table 3: </w:t>
      </w:r>
      <w:r w:rsidR="009F6A64" w:rsidRPr="00F14CE5">
        <w:rPr>
          <w:rFonts w:ascii="Times New Roman" w:eastAsia="Times New Roman" w:hAnsi="Times New Roman" w:cs="Times New Roman"/>
          <w:b/>
          <w:bCs/>
          <w:color w:val="0D0D0D" w:themeColor="text1" w:themeTint="F2"/>
          <w:kern w:val="2"/>
          <w:sz w:val="24"/>
          <w:szCs w:val="24"/>
        </w:rPr>
        <w:t>Specialization</w:t>
      </w:r>
    </w:p>
    <w:p w14:paraId="33F5760C" w14:textId="413328D3" w:rsidR="009F6A64"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ab/>
      </w:r>
      <w:r w:rsidR="009F6A64" w:rsidRPr="00F14CE5">
        <w:rPr>
          <w:rFonts w:ascii="Times New Roman" w:hAnsi="Times New Roman" w:cs="Times New Roman"/>
          <w:color w:val="0D0D0D" w:themeColor="text1" w:themeTint="F2"/>
          <w:kern w:val="2"/>
          <w:sz w:val="24"/>
          <w:szCs w:val="24"/>
        </w:rPr>
        <w:t>This section presented respondents’ specialization distribution, highlighted their academic backgrounds and areas of specialization. Examining specialization helps contextualize learning experiences, practical skills exposure, and competency development, which may affect students’ readiness to meet MATATAG Curriculum expectations.</w:t>
      </w:r>
      <w:r w:rsidR="009F6A64" w:rsidRPr="00F14CE5">
        <w:rPr>
          <w:rFonts w:ascii="Times New Roman" w:hAnsi="Times New Roman" w:cs="Times New Roman"/>
          <w:color w:val="0D0D0D" w:themeColor="text1" w:themeTint="F2"/>
          <w:kern w:val="2"/>
          <w:sz w:val="24"/>
          <w:szCs w:val="24"/>
        </w:rPr>
        <w:tab/>
      </w:r>
    </w:p>
    <w:p w14:paraId="4C3C51C1" w14:textId="6D258FC1" w:rsidR="009F6A64"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lastRenderedPageBreak/>
        <w:tab/>
      </w:r>
      <w:r w:rsidR="009F6A64" w:rsidRPr="00F14CE5">
        <w:rPr>
          <w:rFonts w:ascii="Times New Roman" w:hAnsi="Times New Roman" w:cs="Times New Roman"/>
          <w:color w:val="0D0D0D" w:themeColor="text1" w:themeTint="F2"/>
          <w:kern w:val="2"/>
          <w:sz w:val="24"/>
          <w:szCs w:val="24"/>
        </w:rPr>
        <w:t>The descriptive data on respondents’ specialization are summarized in Table 3.</w:t>
      </w:r>
    </w:p>
    <w:tbl>
      <w:tblPr>
        <w:tblpPr w:leftFromText="180" w:rightFromText="180" w:vertAnchor="text" w:horzAnchor="margin" w:tblpXSpec="center" w:tblpY="16"/>
        <w:tblW w:w="6663" w:type="dxa"/>
        <w:tblLook w:val="04A0" w:firstRow="1" w:lastRow="0" w:firstColumn="1" w:lastColumn="0" w:noHBand="0" w:noVBand="1"/>
      </w:tblPr>
      <w:tblGrid>
        <w:gridCol w:w="4643"/>
        <w:gridCol w:w="461"/>
        <w:gridCol w:w="1559"/>
      </w:tblGrid>
      <w:tr w:rsidR="00597834" w:rsidRPr="00F14CE5" w14:paraId="69FF3FC6" w14:textId="77777777" w:rsidTr="000D6EC1">
        <w:trPr>
          <w:trHeight w:val="288"/>
        </w:trPr>
        <w:tc>
          <w:tcPr>
            <w:tcW w:w="6663" w:type="dxa"/>
            <w:gridSpan w:val="3"/>
            <w:tcBorders>
              <w:bottom w:val="single" w:sz="4" w:space="0" w:color="auto"/>
            </w:tcBorders>
            <w:noWrap/>
            <w:vAlign w:val="bottom"/>
            <w:hideMark/>
          </w:tcPr>
          <w:p w14:paraId="26F55514"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Table 3</w:t>
            </w:r>
          </w:p>
          <w:p w14:paraId="2CCDB0AA"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Specialization</w:t>
            </w:r>
          </w:p>
        </w:tc>
      </w:tr>
      <w:tr w:rsidR="00597834" w:rsidRPr="00F14CE5" w14:paraId="23823441" w14:textId="77777777" w:rsidTr="000D6EC1">
        <w:trPr>
          <w:trHeight w:val="288"/>
        </w:trPr>
        <w:tc>
          <w:tcPr>
            <w:tcW w:w="4643" w:type="dxa"/>
            <w:tcBorders>
              <w:top w:val="single" w:sz="4" w:space="0" w:color="auto"/>
              <w:bottom w:val="single" w:sz="4" w:space="0" w:color="auto"/>
            </w:tcBorders>
            <w:noWrap/>
            <w:vAlign w:val="bottom"/>
            <w:hideMark/>
          </w:tcPr>
          <w:p w14:paraId="003E7CDB" w14:textId="6241394D" w:rsidR="000D6EC1" w:rsidRPr="00F14CE5" w:rsidRDefault="00597834" w:rsidP="000D6EC1">
            <w:pPr>
              <w:spacing w:after="0" w:line="240" w:lineRule="auto"/>
              <w:jc w:val="center"/>
              <w:rPr>
                <w:rFonts w:ascii="Times New Roman" w:eastAsia="Times New Roman" w:hAnsi="Times New Roman" w:cs="Times New Roman"/>
                <w:color w:val="0D0D0D" w:themeColor="text1" w:themeTint="F2"/>
                <w:kern w:val="2"/>
                <w:sz w:val="20"/>
                <w:szCs w:val="20"/>
              </w:rPr>
            </w:pPr>
            <w:r>
              <w:rPr>
                <w:rFonts w:ascii="Times New Roman" w:eastAsia="Times New Roman" w:hAnsi="Times New Roman" w:cs="Times New Roman"/>
                <w:color w:val="0D0D0D" w:themeColor="text1" w:themeTint="F2"/>
                <w:kern w:val="2"/>
                <w:sz w:val="20"/>
                <w:szCs w:val="20"/>
              </w:rPr>
              <w:t>Specialization</w:t>
            </w:r>
          </w:p>
        </w:tc>
        <w:tc>
          <w:tcPr>
            <w:tcW w:w="461" w:type="dxa"/>
            <w:tcBorders>
              <w:top w:val="single" w:sz="4" w:space="0" w:color="auto"/>
              <w:bottom w:val="single" w:sz="4" w:space="0" w:color="auto"/>
            </w:tcBorders>
            <w:noWrap/>
            <w:vAlign w:val="center"/>
            <w:hideMark/>
          </w:tcPr>
          <w:p w14:paraId="78487C93"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f</w:t>
            </w:r>
          </w:p>
        </w:tc>
        <w:tc>
          <w:tcPr>
            <w:tcW w:w="1559" w:type="dxa"/>
            <w:tcBorders>
              <w:top w:val="single" w:sz="4" w:space="0" w:color="auto"/>
              <w:bottom w:val="single" w:sz="4" w:space="0" w:color="auto"/>
            </w:tcBorders>
            <w:noWrap/>
            <w:vAlign w:val="bottom"/>
            <w:hideMark/>
          </w:tcPr>
          <w:p w14:paraId="0FE01B41"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w:t>
            </w:r>
          </w:p>
        </w:tc>
      </w:tr>
      <w:tr w:rsidR="00597834" w:rsidRPr="00F14CE5" w14:paraId="248EF62D" w14:textId="77777777" w:rsidTr="000D6EC1">
        <w:trPr>
          <w:trHeight w:val="288"/>
        </w:trPr>
        <w:tc>
          <w:tcPr>
            <w:tcW w:w="4643" w:type="dxa"/>
            <w:tcBorders>
              <w:top w:val="single" w:sz="4" w:space="0" w:color="auto"/>
            </w:tcBorders>
            <w:noWrap/>
            <w:vAlign w:val="center"/>
            <w:hideMark/>
          </w:tcPr>
          <w:p w14:paraId="551B587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Automotive Technology</w:t>
            </w:r>
          </w:p>
        </w:tc>
        <w:tc>
          <w:tcPr>
            <w:tcW w:w="461" w:type="dxa"/>
            <w:tcBorders>
              <w:top w:val="single" w:sz="4" w:space="0" w:color="auto"/>
            </w:tcBorders>
            <w:noWrap/>
            <w:vAlign w:val="center"/>
            <w:hideMark/>
          </w:tcPr>
          <w:p w14:paraId="151D7F3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5</w:t>
            </w:r>
          </w:p>
        </w:tc>
        <w:tc>
          <w:tcPr>
            <w:tcW w:w="1559" w:type="dxa"/>
            <w:tcBorders>
              <w:top w:val="single" w:sz="4" w:space="0" w:color="auto"/>
            </w:tcBorders>
            <w:noWrap/>
            <w:vAlign w:val="center"/>
            <w:hideMark/>
          </w:tcPr>
          <w:p w14:paraId="27A5F404"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10.00</w:t>
            </w:r>
          </w:p>
        </w:tc>
      </w:tr>
      <w:tr w:rsidR="00597834" w:rsidRPr="00F14CE5" w14:paraId="30B1A6D5" w14:textId="77777777" w:rsidTr="000D6EC1">
        <w:trPr>
          <w:trHeight w:val="288"/>
        </w:trPr>
        <w:tc>
          <w:tcPr>
            <w:tcW w:w="4643" w:type="dxa"/>
            <w:noWrap/>
            <w:vAlign w:val="center"/>
            <w:hideMark/>
          </w:tcPr>
          <w:p w14:paraId="1B86E315"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Civil Construction Technology</w:t>
            </w:r>
          </w:p>
        </w:tc>
        <w:tc>
          <w:tcPr>
            <w:tcW w:w="461" w:type="dxa"/>
            <w:noWrap/>
            <w:vAlign w:val="center"/>
            <w:hideMark/>
          </w:tcPr>
          <w:p w14:paraId="20C26217"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2</w:t>
            </w:r>
          </w:p>
        </w:tc>
        <w:tc>
          <w:tcPr>
            <w:tcW w:w="1559" w:type="dxa"/>
            <w:noWrap/>
            <w:vAlign w:val="center"/>
            <w:hideMark/>
          </w:tcPr>
          <w:p w14:paraId="5C39CE71"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4.00</w:t>
            </w:r>
          </w:p>
        </w:tc>
      </w:tr>
      <w:tr w:rsidR="00597834" w:rsidRPr="00F14CE5" w14:paraId="455DEFF4" w14:textId="77777777" w:rsidTr="000D6EC1">
        <w:trPr>
          <w:trHeight w:val="288"/>
        </w:trPr>
        <w:tc>
          <w:tcPr>
            <w:tcW w:w="4643" w:type="dxa"/>
            <w:noWrap/>
            <w:vAlign w:val="center"/>
            <w:hideMark/>
          </w:tcPr>
          <w:p w14:paraId="2A5A14CB"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Drafting Technology</w:t>
            </w:r>
          </w:p>
        </w:tc>
        <w:tc>
          <w:tcPr>
            <w:tcW w:w="461" w:type="dxa"/>
            <w:noWrap/>
            <w:vAlign w:val="center"/>
            <w:hideMark/>
          </w:tcPr>
          <w:p w14:paraId="5CDC7A4C"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7</w:t>
            </w:r>
          </w:p>
        </w:tc>
        <w:tc>
          <w:tcPr>
            <w:tcW w:w="1559" w:type="dxa"/>
            <w:noWrap/>
            <w:vAlign w:val="center"/>
            <w:hideMark/>
          </w:tcPr>
          <w:p w14:paraId="114CAB8D"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14.00</w:t>
            </w:r>
          </w:p>
        </w:tc>
      </w:tr>
      <w:tr w:rsidR="00597834" w:rsidRPr="00F14CE5" w14:paraId="5B8B3889" w14:textId="77777777" w:rsidTr="000D6EC1">
        <w:trPr>
          <w:trHeight w:val="288"/>
        </w:trPr>
        <w:tc>
          <w:tcPr>
            <w:tcW w:w="4643" w:type="dxa"/>
            <w:noWrap/>
            <w:vAlign w:val="center"/>
            <w:hideMark/>
          </w:tcPr>
          <w:p w14:paraId="3FCB322A"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Electricity Technology</w:t>
            </w:r>
          </w:p>
        </w:tc>
        <w:tc>
          <w:tcPr>
            <w:tcW w:w="461" w:type="dxa"/>
            <w:noWrap/>
            <w:vAlign w:val="center"/>
            <w:hideMark/>
          </w:tcPr>
          <w:p w14:paraId="71505CE2"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7</w:t>
            </w:r>
          </w:p>
        </w:tc>
        <w:tc>
          <w:tcPr>
            <w:tcW w:w="1559" w:type="dxa"/>
            <w:noWrap/>
            <w:vAlign w:val="center"/>
            <w:hideMark/>
          </w:tcPr>
          <w:p w14:paraId="33082BF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14.00</w:t>
            </w:r>
          </w:p>
        </w:tc>
      </w:tr>
      <w:tr w:rsidR="00597834" w:rsidRPr="00F14CE5" w14:paraId="0517DCD9" w14:textId="77777777" w:rsidTr="000D6EC1">
        <w:trPr>
          <w:trHeight w:val="288"/>
        </w:trPr>
        <w:tc>
          <w:tcPr>
            <w:tcW w:w="4643" w:type="dxa"/>
            <w:noWrap/>
            <w:vAlign w:val="center"/>
            <w:hideMark/>
          </w:tcPr>
          <w:p w14:paraId="0704B425"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Electronics</w:t>
            </w:r>
          </w:p>
        </w:tc>
        <w:tc>
          <w:tcPr>
            <w:tcW w:w="461" w:type="dxa"/>
            <w:noWrap/>
            <w:vAlign w:val="center"/>
            <w:hideMark/>
          </w:tcPr>
          <w:p w14:paraId="5A7F90C9"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4</w:t>
            </w:r>
          </w:p>
        </w:tc>
        <w:tc>
          <w:tcPr>
            <w:tcW w:w="1559" w:type="dxa"/>
            <w:noWrap/>
            <w:vAlign w:val="center"/>
            <w:hideMark/>
          </w:tcPr>
          <w:p w14:paraId="6AE2425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8.00</w:t>
            </w:r>
          </w:p>
        </w:tc>
      </w:tr>
      <w:tr w:rsidR="00597834" w:rsidRPr="00F14CE5" w14:paraId="48744BD6" w14:textId="77777777" w:rsidTr="000D6EC1">
        <w:trPr>
          <w:trHeight w:val="288"/>
        </w:trPr>
        <w:tc>
          <w:tcPr>
            <w:tcW w:w="4643" w:type="dxa"/>
            <w:noWrap/>
            <w:vAlign w:val="center"/>
            <w:hideMark/>
          </w:tcPr>
          <w:p w14:paraId="7F803131"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Food Service Management</w:t>
            </w:r>
          </w:p>
        </w:tc>
        <w:tc>
          <w:tcPr>
            <w:tcW w:w="461" w:type="dxa"/>
            <w:noWrap/>
            <w:vAlign w:val="center"/>
            <w:hideMark/>
          </w:tcPr>
          <w:p w14:paraId="73EC2620"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8</w:t>
            </w:r>
          </w:p>
        </w:tc>
        <w:tc>
          <w:tcPr>
            <w:tcW w:w="1559" w:type="dxa"/>
            <w:noWrap/>
            <w:vAlign w:val="center"/>
            <w:hideMark/>
          </w:tcPr>
          <w:p w14:paraId="457F873F"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16.00</w:t>
            </w:r>
          </w:p>
        </w:tc>
      </w:tr>
      <w:tr w:rsidR="00597834" w:rsidRPr="00F14CE5" w14:paraId="2F1D14D8" w14:textId="77777777" w:rsidTr="000D6EC1">
        <w:trPr>
          <w:trHeight w:val="288"/>
        </w:trPr>
        <w:tc>
          <w:tcPr>
            <w:tcW w:w="4643" w:type="dxa"/>
            <w:noWrap/>
            <w:vAlign w:val="center"/>
            <w:hideMark/>
          </w:tcPr>
          <w:p w14:paraId="308E2350"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Garments Fashion and Design</w:t>
            </w:r>
          </w:p>
        </w:tc>
        <w:tc>
          <w:tcPr>
            <w:tcW w:w="461" w:type="dxa"/>
            <w:noWrap/>
            <w:vAlign w:val="center"/>
            <w:hideMark/>
          </w:tcPr>
          <w:p w14:paraId="57ED9458"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12</w:t>
            </w:r>
          </w:p>
        </w:tc>
        <w:tc>
          <w:tcPr>
            <w:tcW w:w="1559" w:type="dxa"/>
            <w:noWrap/>
            <w:vAlign w:val="center"/>
            <w:hideMark/>
          </w:tcPr>
          <w:p w14:paraId="5060DD78"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24.00</w:t>
            </w:r>
          </w:p>
        </w:tc>
      </w:tr>
      <w:tr w:rsidR="00597834" w:rsidRPr="00F14CE5" w14:paraId="6B4D2116" w14:textId="77777777" w:rsidTr="000D6EC1">
        <w:trPr>
          <w:trHeight w:val="288"/>
        </w:trPr>
        <w:tc>
          <w:tcPr>
            <w:tcW w:w="4643" w:type="dxa"/>
            <w:noWrap/>
            <w:vAlign w:val="center"/>
            <w:hideMark/>
          </w:tcPr>
          <w:p w14:paraId="09B56A8E"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Welding Fabrication Technology</w:t>
            </w:r>
          </w:p>
        </w:tc>
        <w:tc>
          <w:tcPr>
            <w:tcW w:w="461" w:type="dxa"/>
            <w:noWrap/>
            <w:vAlign w:val="center"/>
            <w:hideMark/>
          </w:tcPr>
          <w:p w14:paraId="0FC5730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5</w:t>
            </w:r>
          </w:p>
        </w:tc>
        <w:tc>
          <w:tcPr>
            <w:tcW w:w="1559" w:type="dxa"/>
            <w:noWrap/>
            <w:vAlign w:val="center"/>
            <w:hideMark/>
          </w:tcPr>
          <w:p w14:paraId="24DA71D1"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10.00</w:t>
            </w:r>
          </w:p>
        </w:tc>
      </w:tr>
      <w:tr w:rsidR="00597834" w:rsidRPr="00F14CE5" w14:paraId="54B97DE4" w14:textId="77777777" w:rsidTr="000D6EC1">
        <w:trPr>
          <w:trHeight w:val="288"/>
        </w:trPr>
        <w:tc>
          <w:tcPr>
            <w:tcW w:w="4643" w:type="dxa"/>
            <w:tcBorders>
              <w:bottom w:val="single" w:sz="4" w:space="0" w:color="auto"/>
            </w:tcBorders>
            <w:noWrap/>
            <w:vAlign w:val="center"/>
            <w:hideMark/>
          </w:tcPr>
          <w:p w14:paraId="08FB31BF"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Total</w:t>
            </w:r>
          </w:p>
        </w:tc>
        <w:tc>
          <w:tcPr>
            <w:tcW w:w="461" w:type="dxa"/>
            <w:tcBorders>
              <w:bottom w:val="single" w:sz="4" w:space="0" w:color="auto"/>
            </w:tcBorders>
            <w:noWrap/>
            <w:vAlign w:val="center"/>
            <w:hideMark/>
          </w:tcPr>
          <w:p w14:paraId="27B01D77"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50</w:t>
            </w:r>
          </w:p>
        </w:tc>
        <w:tc>
          <w:tcPr>
            <w:tcW w:w="1559" w:type="dxa"/>
            <w:tcBorders>
              <w:bottom w:val="single" w:sz="4" w:space="0" w:color="auto"/>
            </w:tcBorders>
            <w:noWrap/>
            <w:vAlign w:val="center"/>
            <w:hideMark/>
          </w:tcPr>
          <w:p w14:paraId="2A673719"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100.00</w:t>
            </w:r>
          </w:p>
        </w:tc>
      </w:tr>
    </w:tbl>
    <w:p w14:paraId="411941A3"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p>
    <w:p w14:paraId="00F7F2F8"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4330C506"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4103421C"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350C03B0"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421C8A03" w14:textId="77777777" w:rsidR="000D6EC1"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p>
    <w:p w14:paraId="58D0EF8C" w14:textId="77777777" w:rsidR="000D6EC1"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487C9A4E" w14:textId="77777777" w:rsidR="000D6EC1"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57E4798C" w14:textId="77777777" w:rsidR="003223CA"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9F6A64" w:rsidRPr="00F14CE5">
        <w:rPr>
          <w:rFonts w:ascii="Times New Roman" w:hAnsi="Times New Roman" w:cs="Times New Roman"/>
          <w:color w:val="0D0D0D" w:themeColor="text1" w:themeTint="F2"/>
          <w:kern w:val="2"/>
          <w:sz w:val="24"/>
          <w:szCs w:val="24"/>
        </w:rPr>
        <w:t xml:space="preserve">The Table 3 indicated that the largest proportion of respondents are enrolled in </w:t>
      </w:r>
      <w:r w:rsidR="003223CA" w:rsidRPr="00F14CE5">
        <w:rPr>
          <w:rFonts w:ascii="Times New Roman" w:hAnsi="Times New Roman" w:cs="Times New Roman"/>
          <w:color w:val="0D0D0D" w:themeColor="text1" w:themeTint="F2"/>
          <w:kern w:val="2"/>
          <w:sz w:val="24"/>
          <w:szCs w:val="24"/>
        </w:rPr>
        <w:t>Garments Fashion and Design (24%). Food Service Management (16%) is the second popular course. Drafting technology and Electricity technology have the equal number of respondents (14% each), Automobile technology and Welding fabrication technology share the same amount of respondents (10% each). The minority respondents are Electronics and Civil construction technology (8% and 4% respectively). This result shows the variance of people taking technical-vocational courses due to different interests, sense of career prospect or contact with technical based learning environment.</w:t>
      </w:r>
    </w:p>
    <w:p w14:paraId="7656FB5F" w14:textId="78DC4099"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The data shown a varied distribution of respondents across technical and vocational programs, with a notable concentration in Garments Fashion and Design and Food Service Management, suggesting that these specializations attract higher enrollment due to perceived career opportunities, program popularity, and available resources. Supporting this,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{"citationID":"neEZ4wDY","properties":{"formattedCitation":"(Dumaplin, 2024)","plainCitation":"(Dumaplin, 2024)","noteIndex":0},"citationItems":[{"id":1434,"uris":["http://zotero.org/users/local/pdR0I0Iy/items/M6YNXNDI"],"itemData":{"id":1434,"type":"article-journal","abstract":"This study determined the factors that influence Technical Vocational Education (TVE) students’ choice of specialization in relation to their academic performance in DepEd Division of Sorsogon. The respondents in this study were the 405 Grade 10 students from technical vocational schools in Division of Sorsogon Province. Utilizing quantitative-descriptive method, results revealed that along the demographic factors that influence the Technical Vocational Education (TVE) students’ choice were family income, sex, age and religion; while in terms of environmental factors were job opportunity, teachers, peers, family, facility and administration. The findings also revealed that the academic performance of the TVE students when grouped according to their chosen area of specialization was proficient in Food Trades, Cosmetology, Automotive, EIM, Agriculture, Garments and EPAS. Meanwhile, students taking SMAW, FCM and Civil Technology were approaching proficiency. On the other hand, the TVE students’ academic performance when grouped according to their demographic factors in terms of family income, age, sex was proficient; while in terms of religion was approaching proficiency. Likewise, when grouped according to environmental factors in terms of administration, teachers, facilities, job opportunity, family and peers was proficient. Based on these findings, the researcher concluded that family income and job opportunity are the major influences in choosing area of specialization. TVE students had proficient academic performance. There was a significant relationship between the academic performance of the students and the demographic factors as factors of their choice of specialization; however, there was no significant relationship between the academic performance of the students and the environmental factors as factors that influence their choice of area of specialization.","container-title":"Open Access","issue":"07","language":"en","source":"Zotero","title":"Factors That Influence Technical Vocational Students’ Choice of Specialization in Relation to Their Academic Performance in Deped Division of Sorsogon","volume":"05","author":[{"family":"Dumaplin","given":"Anthony Hagos"}],"issued":{"date-parts":[["2024"]]}}}],"schema":"https://github.com/citation-style-language/schema/raw/master/csl-citation.json"}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(Dumaplin, 2024)</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3223CA" w:rsidRPr="00F14CE5">
        <w:rPr>
          <w:rFonts w:ascii="Times New Roman" w:hAnsi="Times New Roman" w:cs="Times New Roman"/>
          <w:color w:val="0D0D0D" w:themeColor="text1" w:themeTint="F2"/>
          <w:kern w:val="2"/>
          <w:sz w:val="24"/>
          <w:szCs w:val="24"/>
        </w:rPr>
        <w:t>Filipino TVET students indicated that a choice of specialization could be driven by availability of job opportunities, equipment and resources and student's interests. On the other hand, the remaining specializations where there is a less number of samples are Civil Construction Technology and Electronics, which may be due to the students' lack of interest and limited specialization areas and in a study it showed that uneven access to available resources and support service is a cause of high and low student enrolment</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{"citationID":"jNaJBuLD","properties":{"formattedCitation":"(Abao et al., 2025)","plainCitation":"(Abao et al., 2025)","noteIndex":0},"citationItems":[{"id":1435,"uris":["http://zotero.org/users/local/pdR0I0Iy/items/QJTHYKT3"],"itemData":{"id":1435,"type":"article-journal","abstract":"This study explores national and regional disparities in attrition across the Technical and Vocational Education and Training (TVET) pipeline in the Philippines, focusing on the transition from enrollment to TESDA certification. Despite rising national enrollment and graduation figures, significant leakages persist between critical stages—graduation, assessment, and certification. Using a descriptive-comparative research design and 2024 secondary data from TESDA, this study analyzes performance across all 17 regions, calculating attrition percentages and visualizing disparities through statistical tables and graphs. Findings reveal an overall national attrition rate of 14%, with the most substantial drop (5.93%) occurring between assessment and certification. Some regions, including CARAGA, CAR, and Region IX, exhibit alarmingly high total attrition rates exceeding 50%, underscoring the systemic barriers that hinder learners from completing the certification process. In contrast, regions such as VI and VIII show more favorable outcomes, highlighting the uneven distribution of TVET support and access across the country. Contributing factors to high attrition include limited access to assessment centers, weak industry linkages, and infrastructure deficits, particularly in geographically isolated and disadvantaged areas. The study underscores the need for region-specific, stage-targeted interventions to improve retention and certification outcomes. Strengthening public-private partnerships, enhancing assessment accessibility, and aligning programs with local labor market needs are recommended to bridge the gaps. These findings offer policy-relevant insights for TESDA and stakeholders in designing a more inclusive, responsive, and equitable TVET system that advances national goals in skills development and human capital formation","container-title":"Journal of Interdisciplinary Perspectives","DOI":"10.69569/jip.2025.559","ISSN":"2984-8385","issue":"9","language":"en","license":"Copyright (c) 2025 Journal of Interdisciplinary Perspectives","page":"364-373","source":"www.jippublication.com","title":"Disparities in Technical and Vocational Education Attrition in the Philippines: From Enrollment to Certification","title-short":"Disparities in Technical and Vocational Education Attrition in the Philippines","URL":"https://www.jippublication.com/index.php/jip/article/view/1296","volume":"3","author":[{"family":"Abao","given":"Jackielyn"},{"family":"Balaba","given":"Christopher"},{"family":"Cap-atan","given":"Mark Alain"},{"family":"Cosmiano","given":"Charlie"},{"family":"Mahinay","given":"Ray Butch"}],"accessed":{"date-parts":[["2025",12,12]]},"issued":{"date-parts":[["2025",8,18]]}}}],"schema":"https://github.com/citation-style-language/schema/raw/master/csl-citation.json"}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(Abao et al.,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3223CA" w:rsidRPr="00F14CE5">
        <w:rPr>
          <w:rFonts w:ascii="Times New Roman" w:hAnsi="Times New Roman" w:cs="Times New Roman"/>
          <w:color w:val="0D0D0D" w:themeColor="text1" w:themeTint="F2"/>
          <w:kern w:val="2"/>
          <w:sz w:val="24"/>
          <w:szCs w:val="24"/>
        </w:rPr>
        <w:t>Therefore, the study data is more representative of the population enrolled in these two popular programs, and for this reason, the survey sample for the future should represent more students enrolled in technical and vocational education fields that lack enrollment and student attention.</w:t>
      </w:r>
    </w:p>
    <w:p w14:paraId="628F9FAE" w14:textId="29AD3A04" w:rsidR="009F6A64" w:rsidRPr="00F14CE5" w:rsidRDefault="000D6EC1" w:rsidP="000D6EC1">
      <w:pPr>
        <w:tabs>
          <w:tab w:val="left" w:pos="720"/>
        </w:tabs>
        <w:spacing w:line="240" w:lineRule="auto"/>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 xml:space="preserve">Table 4: Extent To Which </w:t>
      </w:r>
      <w:r w:rsidR="000233DF" w:rsidRPr="00F14CE5">
        <w:rPr>
          <w:rFonts w:ascii="Times New Roman" w:eastAsia="Times New Roman" w:hAnsi="Times New Roman" w:cs="Times New Roman"/>
          <w:b/>
          <w:bCs/>
          <w:color w:val="0D0D0D" w:themeColor="text1" w:themeTint="F2"/>
          <w:kern w:val="2"/>
          <w:sz w:val="24"/>
          <w:szCs w:val="24"/>
        </w:rPr>
        <w:t>t</w:t>
      </w:r>
      <w:r w:rsidRPr="00F14CE5">
        <w:rPr>
          <w:rFonts w:ascii="Times New Roman" w:eastAsia="Times New Roman" w:hAnsi="Times New Roman" w:cs="Times New Roman"/>
          <w:b/>
          <w:bCs/>
          <w:color w:val="0D0D0D" w:themeColor="text1" w:themeTint="F2"/>
          <w:kern w:val="2"/>
          <w:sz w:val="24"/>
          <w:szCs w:val="24"/>
        </w:rPr>
        <w:t xml:space="preserve">he </w:t>
      </w:r>
      <w:proofErr w:type="spellStart"/>
      <w:r w:rsidRPr="00F14CE5">
        <w:rPr>
          <w:rFonts w:ascii="Times New Roman" w:eastAsia="Times New Roman" w:hAnsi="Times New Roman" w:cs="Times New Roman"/>
          <w:b/>
          <w:bCs/>
          <w:color w:val="0D0D0D" w:themeColor="text1" w:themeTint="F2"/>
          <w:kern w:val="2"/>
          <w:sz w:val="24"/>
          <w:szCs w:val="24"/>
        </w:rPr>
        <w:t>Matatag</w:t>
      </w:r>
      <w:proofErr w:type="spellEnd"/>
      <w:r w:rsidRPr="00F14CE5">
        <w:rPr>
          <w:rFonts w:ascii="Times New Roman" w:eastAsia="Times New Roman" w:hAnsi="Times New Roman" w:cs="Times New Roman"/>
          <w:b/>
          <w:bCs/>
          <w:color w:val="0D0D0D" w:themeColor="text1" w:themeTint="F2"/>
          <w:kern w:val="2"/>
          <w:sz w:val="24"/>
          <w:szCs w:val="24"/>
        </w:rPr>
        <w:t xml:space="preserve"> Curriculum Emphasize Key Competencies For k-10 learners</w:t>
      </w:r>
    </w:p>
    <w:p w14:paraId="59405E22" w14:textId="77777777" w:rsidR="003223CA"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color w:val="0D0D0D" w:themeColor="text1" w:themeTint="F2"/>
          <w:sz w:val="24"/>
          <w:szCs w:val="24"/>
        </w:rPr>
      </w:pPr>
      <w:r w:rsidRPr="00F14CE5">
        <w:rPr>
          <w:rFonts w:ascii="Times New Roman" w:eastAsia="Times New Roman" w:hAnsi="Times New Roman" w:cs="Times New Roman"/>
          <w:color w:val="0D0D0D" w:themeColor="text1" w:themeTint="F2"/>
          <w:sz w:val="24"/>
          <w:szCs w:val="24"/>
          <w:lang w:val="en-US"/>
        </w:rPr>
        <w:tab/>
      </w:r>
      <w:r w:rsidR="003223CA" w:rsidRPr="00F14CE5">
        <w:rPr>
          <w:rFonts w:ascii="Times New Roman" w:eastAsia="Arial" w:hAnsi="Times New Roman" w:cs="Times New Roman"/>
          <w:color w:val="0D0D0D" w:themeColor="text1" w:themeTint="F2"/>
          <w:sz w:val="24"/>
          <w:szCs w:val="24"/>
        </w:rPr>
        <w:t>The study investigated how the MATATAG Curriculum supports core competencies of K-10 learners in terms of foundational, technical, entrepreneurial, and sustainability skills as perceived by pre-service teachers of Cebu Technological University Main Campus. This study was done to look into the effectiveness of the curriculum and recommend needed modifications of the curriculum.</w:t>
      </w:r>
    </w:p>
    <w:p w14:paraId="4F61BF0A" w14:textId="3A39DF82"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b/>
          <w:bCs/>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t>Foundational, Common Industry, and Specialized Technical Skills</w:t>
      </w:r>
    </w:p>
    <w:p w14:paraId="73EAB8DF" w14:textId="77777777"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b/>
          <w:bCs/>
          <w:color w:val="0D0D0D" w:themeColor="text1" w:themeTint="F2"/>
          <w:sz w:val="24"/>
          <w:szCs w:val="24"/>
          <w:lang w:val="en-US"/>
        </w:rPr>
        <w:tab/>
      </w:r>
      <w:r w:rsidRPr="00F14CE5">
        <w:rPr>
          <w:rFonts w:ascii="Times New Roman" w:eastAsia="Arial" w:hAnsi="Times New Roman" w:cs="Times New Roman"/>
          <w:color w:val="0D0D0D" w:themeColor="text1" w:themeTint="F2"/>
          <w:sz w:val="24"/>
          <w:szCs w:val="24"/>
        </w:rPr>
        <w:t>This section presents findings on the MATATAG Curriculum’s emphasis on foundational, common industry, and specialized technical skills for K–10 learners. These skills are essential in developing technical proficiency and preparing learners for future careers and practical industry-related competencies.</w:t>
      </w:r>
    </w:p>
    <w:p w14:paraId="5B7E7260" w14:textId="77777777" w:rsidR="003223CA" w:rsidRPr="00F14CE5" w:rsidRDefault="003223CA" w:rsidP="009F6A64">
      <w:pPr>
        <w:widowControl w:val="0"/>
        <w:autoSpaceDE w:val="0"/>
        <w:autoSpaceDN w:val="0"/>
        <w:spacing w:before="4" w:after="240" w:line="240" w:lineRule="auto"/>
        <w:ind w:right="-7"/>
        <w:jc w:val="both"/>
        <w:rPr>
          <w:rFonts w:ascii="Times New Roman" w:eastAsia="Arial" w:hAnsi="Times New Roman" w:cs="Times New Roman"/>
          <w:color w:val="0D0D0D" w:themeColor="text1" w:themeTint="F2"/>
          <w:sz w:val="24"/>
          <w:szCs w:val="24"/>
        </w:rPr>
      </w:pPr>
    </w:p>
    <w:p w14:paraId="0EC345D7" w14:textId="77777777"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b/>
          <w:bCs/>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t>Occupational Safety and Health (OSH) standards</w:t>
      </w:r>
    </w:p>
    <w:p w14:paraId="745B0246" w14:textId="69F44EA7"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lang w:val="en-US"/>
        </w:rPr>
        <w:tab/>
      </w:r>
      <w:r w:rsidRPr="00F14CE5">
        <w:rPr>
          <w:rFonts w:ascii="Times New Roman" w:eastAsia="Arial" w:hAnsi="Times New Roman" w:cs="Times New Roman"/>
          <w:color w:val="0D0D0D" w:themeColor="text1" w:themeTint="F2"/>
          <w:sz w:val="24"/>
          <w:szCs w:val="24"/>
        </w:rPr>
        <w:t xml:space="preserve">This section presents </w:t>
      </w:r>
      <w:r w:rsidR="003223CA" w:rsidRPr="00F14CE5">
        <w:rPr>
          <w:rFonts w:ascii="Times New Roman" w:eastAsia="Arial" w:hAnsi="Times New Roman" w:cs="Times New Roman"/>
          <w:color w:val="0D0D0D" w:themeColor="text1" w:themeTint="F2"/>
          <w:sz w:val="24"/>
          <w:szCs w:val="24"/>
        </w:rPr>
        <w:t>on the extent to which OSH standards are emphasized in the MATATAG Curriculum for K-10 learners. The OSH standards promote a culture of safety in a workplace or industry and create a working environment that is free from hazards; develop a consciousness of health and safety in school and industrial settings.</w:t>
      </w:r>
    </w:p>
    <w:p w14:paraId="627327F8" w14:textId="77777777"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b/>
          <w:bCs/>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lastRenderedPageBreak/>
        <w:t>Entrepreneurial, Sustainability, Hands-on, and Project-based Learning Approaches</w:t>
      </w:r>
    </w:p>
    <w:p w14:paraId="76D14EB3" w14:textId="054D30A2" w:rsidR="009F6A64" w:rsidRPr="00F14CE5" w:rsidRDefault="009F6A64" w:rsidP="009F6A64">
      <w:pPr>
        <w:widowControl w:val="0"/>
        <w:autoSpaceDE w:val="0"/>
        <w:autoSpaceDN w:val="0"/>
        <w:spacing w:before="4" w:after="0" w:line="240" w:lineRule="auto"/>
        <w:ind w:right="-7"/>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b/>
          <w:bCs/>
          <w:color w:val="0D0D0D" w:themeColor="text1" w:themeTint="F2"/>
          <w:sz w:val="24"/>
          <w:szCs w:val="24"/>
          <w:lang w:val="en-US"/>
        </w:rPr>
        <w:tab/>
      </w:r>
      <w:r w:rsidRPr="00F14CE5">
        <w:rPr>
          <w:rFonts w:ascii="Times New Roman" w:eastAsia="Arial" w:hAnsi="Times New Roman" w:cs="Times New Roman"/>
          <w:color w:val="0D0D0D" w:themeColor="text1" w:themeTint="F2"/>
          <w:sz w:val="24"/>
          <w:szCs w:val="24"/>
        </w:rPr>
        <w:t xml:space="preserve">This section presents </w:t>
      </w:r>
      <w:r w:rsidR="003223CA" w:rsidRPr="00F14CE5">
        <w:rPr>
          <w:rFonts w:ascii="Times New Roman" w:eastAsia="Arial" w:hAnsi="Times New Roman" w:cs="Times New Roman"/>
          <w:color w:val="0D0D0D" w:themeColor="text1" w:themeTint="F2"/>
          <w:sz w:val="24"/>
          <w:szCs w:val="24"/>
        </w:rPr>
        <w:t xml:space="preserve">the evidence </w:t>
      </w:r>
      <w:r w:rsidR="0053254B" w:rsidRPr="00F14CE5">
        <w:rPr>
          <w:rFonts w:ascii="Times New Roman" w:eastAsia="Arial" w:hAnsi="Times New Roman" w:cs="Times New Roman"/>
          <w:color w:val="0D0D0D" w:themeColor="text1" w:themeTint="F2"/>
          <w:sz w:val="24"/>
          <w:szCs w:val="24"/>
        </w:rPr>
        <w:t xml:space="preserve">to </w:t>
      </w:r>
      <w:r w:rsidR="003223CA" w:rsidRPr="00F14CE5">
        <w:rPr>
          <w:rFonts w:ascii="Times New Roman" w:eastAsia="Arial" w:hAnsi="Times New Roman" w:cs="Times New Roman"/>
          <w:color w:val="0D0D0D" w:themeColor="text1" w:themeTint="F2"/>
          <w:sz w:val="24"/>
          <w:szCs w:val="24"/>
        </w:rPr>
        <w:t>the emphasis of entrepreneurial, sustainability, hands-on and project-based learning approaches in the K-10 MATATAG curriculum. These approaches endeavor to enhance the creativity, critical thinking, practical ability and awareness of sustainability and at the end cultivate learners to be innovative, responsible and industrially relevant.</w:t>
      </w:r>
    </w:p>
    <w:p w14:paraId="1902471F" w14:textId="77777777" w:rsidR="000D6EC1" w:rsidRPr="00F14CE5" w:rsidRDefault="000D6EC1" w:rsidP="009F6A64">
      <w:pPr>
        <w:widowControl w:val="0"/>
        <w:autoSpaceDE w:val="0"/>
        <w:autoSpaceDN w:val="0"/>
        <w:spacing w:before="4" w:after="0" w:line="240" w:lineRule="auto"/>
        <w:ind w:right="-7"/>
        <w:jc w:val="both"/>
        <w:rPr>
          <w:rFonts w:ascii="Times New Roman" w:eastAsia="Arial" w:hAnsi="Times New Roman" w:cs="Times New Roman"/>
          <w:color w:val="0D0D0D" w:themeColor="text1" w:themeTint="F2"/>
          <w:sz w:val="24"/>
          <w:szCs w:val="24"/>
          <w:lang w:val="en-US"/>
        </w:rPr>
      </w:pPr>
    </w:p>
    <w:tbl>
      <w:tblPr>
        <w:tblW w:w="8730" w:type="dxa"/>
        <w:tblInd w:w="990" w:type="dxa"/>
        <w:tblLook w:val="04A0" w:firstRow="1" w:lastRow="0" w:firstColumn="1" w:lastColumn="0" w:noHBand="0" w:noVBand="1"/>
      </w:tblPr>
      <w:tblGrid>
        <w:gridCol w:w="550"/>
        <w:gridCol w:w="5660"/>
        <w:gridCol w:w="630"/>
        <w:gridCol w:w="630"/>
        <w:gridCol w:w="1260"/>
      </w:tblGrid>
      <w:tr w:rsidR="00597834" w:rsidRPr="00F14CE5" w14:paraId="5F4F510E" w14:textId="77777777" w:rsidTr="00E525F2">
        <w:trPr>
          <w:trHeight w:val="264"/>
        </w:trPr>
        <w:tc>
          <w:tcPr>
            <w:tcW w:w="8730" w:type="dxa"/>
            <w:gridSpan w:val="5"/>
            <w:tcBorders>
              <w:bottom w:val="single" w:sz="4" w:space="0" w:color="auto"/>
            </w:tcBorders>
            <w:noWrap/>
            <w:vAlign w:val="bottom"/>
            <w:hideMark/>
          </w:tcPr>
          <w:p w14:paraId="56C521A9"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Table 4</w:t>
            </w:r>
          </w:p>
          <w:p w14:paraId="63A93B51"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Extent to Which the MATATAG Curriculum Emphasize </w:t>
            </w:r>
          </w:p>
          <w:p w14:paraId="6E5573FB"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Key Competencies for K-10 Learners </w:t>
            </w:r>
          </w:p>
        </w:tc>
      </w:tr>
      <w:tr w:rsidR="00597834" w:rsidRPr="00F14CE5" w14:paraId="09B1FE07" w14:textId="77777777" w:rsidTr="00E525F2">
        <w:trPr>
          <w:trHeight w:val="264"/>
        </w:trPr>
        <w:tc>
          <w:tcPr>
            <w:tcW w:w="550" w:type="dxa"/>
            <w:tcBorders>
              <w:top w:val="single" w:sz="4" w:space="0" w:color="auto"/>
              <w:bottom w:val="single" w:sz="4" w:space="0" w:color="auto"/>
            </w:tcBorders>
            <w:noWrap/>
            <w:vAlign w:val="center"/>
            <w:hideMark/>
          </w:tcPr>
          <w:p w14:paraId="00E55D15"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S/N</w:t>
            </w:r>
          </w:p>
        </w:tc>
        <w:tc>
          <w:tcPr>
            <w:tcW w:w="5660" w:type="dxa"/>
            <w:tcBorders>
              <w:top w:val="single" w:sz="4" w:space="0" w:color="auto"/>
              <w:bottom w:val="single" w:sz="4" w:space="0" w:color="auto"/>
            </w:tcBorders>
            <w:noWrap/>
            <w:vAlign w:val="center"/>
            <w:hideMark/>
          </w:tcPr>
          <w:p w14:paraId="7A309DA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Indicators</w:t>
            </w:r>
          </w:p>
        </w:tc>
        <w:tc>
          <w:tcPr>
            <w:tcW w:w="630" w:type="dxa"/>
            <w:tcBorders>
              <w:top w:val="single" w:sz="4" w:space="0" w:color="auto"/>
              <w:bottom w:val="single" w:sz="4" w:space="0" w:color="auto"/>
            </w:tcBorders>
            <w:noWrap/>
            <w:vAlign w:val="center"/>
            <w:hideMark/>
          </w:tcPr>
          <w:p w14:paraId="361E1F1D"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WM</w:t>
            </w:r>
          </w:p>
        </w:tc>
        <w:tc>
          <w:tcPr>
            <w:tcW w:w="630" w:type="dxa"/>
            <w:tcBorders>
              <w:top w:val="single" w:sz="4" w:space="0" w:color="auto"/>
              <w:bottom w:val="single" w:sz="4" w:space="0" w:color="auto"/>
            </w:tcBorders>
            <w:noWrap/>
            <w:vAlign w:val="center"/>
            <w:hideMark/>
          </w:tcPr>
          <w:p w14:paraId="3C9C6723"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SD</w:t>
            </w:r>
          </w:p>
        </w:tc>
        <w:tc>
          <w:tcPr>
            <w:tcW w:w="1260" w:type="dxa"/>
            <w:tcBorders>
              <w:top w:val="single" w:sz="4" w:space="0" w:color="auto"/>
              <w:bottom w:val="single" w:sz="4" w:space="0" w:color="auto"/>
            </w:tcBorders>
            <w:noWrap/>
            <w:vAlign w:val="center"/>
            <w:hideMark/>
          </w:tcPr>
          <w:p w14:paraId="572D8E1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Verbal Description</w:t>
            </w:r>
          </w:p>
        </w:tc>
      </w:tr>
      <w:tr w:rsidR="00597834" w:rsidRPr="00F14CE5" w14:paraId="68E70836" w14:textId="77777777" w:rsidTr="00E525F2">
        <w:trPr>
          <w:trHeight w:val="264"/>
        </w:trPr>
        <w:tc>
          <w:tcPr>
            <w:tcW w:w="550" w:type="dxa"/>
            <w:tcBorders>
              <w:top w:val="single" w:sz="4" w:space="0" w:color="auto"/>
            </w:tcBorders>
            <w:noWrap/>
            <w:vAlign w:val="center"/>
          </w:tcPr>
          <w:p w14:paraId="0C6AFFF4"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5660" w:type="dxa"/>
            <w:tcBorders>
              <w:top w:val="single" w:sz="4" w:space="0" w:color="auto"/>
            </w:tcBorders>
            <w:noWrap/>
            <w:vAlign w:val="bottom"/>
          </w:tcPr>
          <w:p w14:paraId="7FE9E9F6"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 Terms of F</w:t>
            </w:r>
            <w:r w:rsidRPr="00F14CE5">
              <w:rPr>
                <w:rFonts w:ascii="Times New Roman" w:hAnsi="Times New Roman" w:cs="Times New Roman"/>
                <w:b/>
                <w:bCs/>
                <w:color w:val="0D0D0D" w:themeColor="text1" w:themeTint="F2"/>
                <w:kern w:val="2"/>
                <w:sz w:val="18"/>
                <w:szCs w:val="18"/>
              </w:rPr>
              <w:t>oundational, Common Industry, and Specialized Technical Skills</w:t>
            </w:r>
          </w:p>
        </w:tc>
        <w:tc>
          <w:tcPr>
            <w:tcW w:w="630" w:type="dxa"/>
            <w:tcBorders>
              <w:top w:val="single" w:sz="4" w:space="0" w:color="auto"/>
            </w:tcBorders>
            <w:noWrap/>
            <w:vAlign w:val="center"/>
          </w:tcPr>
          <w:p w14:paraId="4BC176A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630" w:type="dxa"/>
            <w:tcBorders>
              <w:top w:val="single" w:sz="4" w:space="0" w:color="auto"/>
            </w:tcBorders>
            <w:noWrap/>
            <w:vAlign w:val="center"/>
          </w:tcPr>
          <w:p w14:paraId="57F1E14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1260" w:type="dxa"/>
            <w:tcBorders>
              <w:top w:val="single" w:sz="4" w:space="0" w:color="auto"/>
            </w:tcBorders>
            <w:noWrap/>
            <w:vAlign w:val="center"/>
          </w:tcPr>
          <w:p w14:paraId="755C16E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r>
      <w:tr w:rsidR="00597834" w:rsidRPr="00F14CE5" w14:paraId="5E3DE595" w14:textId="77777777" w:rsidTr="00E525F2">
        <w:trPr>
          <w:trHeight w:val="264"/>
        </w:trPr>
        <w:tc>
          <w:tcPr>
            <w:tcW w:w="550" w:type="dxa"/>
            <w:noWrap/>
            <w:vAlign w:val="center"/>
            <w:hideMark/>
          </w:tcPr>
          <w:p w14:paraId="0232E24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w:t>
            </w:r>
          </w:p>
        </w:tc>
        <w:tc>
          <w:tcPr>
            <w:tcW w:w="5660" w:type="dxa"/>
            <w:noWrap/>
            <w:vAlign w:val="bottom"/>
            <w:hideMark/>
          </w:tcPr>
          <w:p w14:paraId="75205FEA"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MATATAG curriculum places a strong emphasis on foundational hand-tool skills for Grade 7 learners. </w:t>
            </w:r>
          </w:p>
        </w:tc>
        <w:tc>
          <w:tcPr>
            <w:tcW w:w="630" w:type="dxa"/>
            <w:noWrap/>
            <w:vAlign w:val="center"/>
            <w:hideMark/>
          </w:tcPr>
          <w:p w14:paraId="760C79D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3.44</w:t>
            </w:r>
          </w:p>
        </w:tc>
        <w:tc>
          <w:tcPr>
            <w:tcW w:w="630" w:type="dxa"/>
            <w:noWrap/>
            <w:vAlign w:val="center"/>
            <w:hideMark/>
          </w:tcPr>
          <w:p w14:paraId="57AAF1D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260" w:type="dxa"/>
            <w:noWrap/>
            <w:vAlign w:val="center"/>
            <w:hideMark/>
          </w:tcPr>
          <w:p w14:paraId="540BA82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B52DC8F" w14:textId="77777777" w:rsidTr="00E525F2">
        <w:trPr>
          <w:trHeight w:val="264"/>
        </w:trPr>
        <w:tc>
          <w:tcPr>
            <w:tcW w:w="550" w:type="dxa"/>
            <w:noWrap/>
            <w:vAlign w:val="center"/>
            <w:hideMark/>
          </w:tcPr>
          <w:p w14:paraId="079D7F0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2</w:t>
            </w:r>
          </w:p>
        </w:tc>
        <w:tc>
          <w:tcPr>
            <w:tcW w:w="5660" w:type="dxa"/>
            <w:noWrap/>
            <w:vAlign w:val="bottom"/>
            <w:hideMark/>
          </w:tcPr>
          <w:p w14:paraId="401F6A6A"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gives high importance to the mastery of common industry skills for Grade 8-9. </w:t>
            </w:r>
          </w:p>
        </w:tc>
        <w:tc>
          <w:tcPr>
            <w:tcW w:w="630" w:type="dxa"/>
            <w:noWrap/>
            <w:vAlign w:val="center"/>
            <w:hideMark/>
          </w:tcPr>
          <w:p w14:paraId="10423EC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3.52</w:t>
            </w:r>
          </w:p>
        </w:tc>
        <w:tc>
          <w:tcPr>
            <w:tcW w:w="630" w:type="dxa"/>
            <w:noWrap/>
            <w:vAlign w:val="center"/>
            <w:hideMark/>
          </w:tcPr>
          <w:p w14:paraId="586FED3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0.58</w:t>
            </w:r>
          </w:p>
        </w:tc>
        <w:tc>
          <w:tcPr>
            <w:tcW w:w="1260" w:type="dxa"/>
            <w:noWrap/>
            <w:vAlign w:val="center"/>
            <w:hideMark/>
          </w:tcPr>
          <w:p w14:paraId="58ECB11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C3568FD" w14:textId="77777777" w:rsidTr="00E525F2">
        <w:trPr>
          <w:trHeight w:val="264"/>
        </w:trPr>
        <w:tc>
          <w:tcPr>
            <w:tcW w:w="550" w:type="dxa"/>
            <w:noWrap/>
            <w:vAlign w:val="center"/>
            <w:hideMark/>
          </w:tcPr>
          <w:p w14:paraId="04E4109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w:t>
            </w:r>
          </w:p>
        </w:tc>
        <w:tc>
          <w:tcPr>
            <w:tcW w:w="5660" w:type="dxa"/>
            <w:noWrap/>
            <w:vAlign w:val="bottom"/>
            <w:hideMark/>
          </w:tcPr>
          <w:p w14:paraId="3C5C9AD7"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curriculum's specialized technical skills for Grade 10 are well-defined and career-oriented. </w:t>
            </w:r>
          </w:p>
        </w:tc>
        <w:tc>
          <w:tcPr>
            <w:tcW w:w="630" w:type="dxa"/>
            <w:noWrap/>
            <w:vAlign w:val="center"/>
            <w:hideMark/>
          </w:tcPr>
          <w:p w14:paraId="47ACEFD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3.54</w:t>
            </w:r>
          </w:p>
        </w:tc>
        <w:tc>
          <w:tcPr>
            <w:tcW w:w="630" w:type="dxa"/>
            <w:noWrap/>
            <w:vAlign w:val="center"/>
            <w:hideMark/>
          </w:tcPr>
          <w:p w14:paraId="507ACF3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260" w:type="dxa"/>
            <w:noWrap/>
            <w:vAlign w:val="center"/>
            <w:hideMark/>
          </w:tcPr>
          <w:p w14:paraId="126D753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75582D5" w14:textId="77777777" w:rsidTr="00E525F2">
        <w:trPr>
          <w:trHeight w:val="264"/>
        </w:trPr>
        <w:tc>
          <w:tcPr>
            <w:tcW w:w="550" w:type="dxa"/>
            <w:noWrap/>
            <w:vAlign w:val="center"/>
          </w:tcPr>
          <w:p w14:paraId="78096E60"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5660" w:type="dxa"/>
            <w:noWrap/>
            <w:vAlign w:val="bottom"/>
          </w:tcPr>
          <w:p w14:paraId="1CDC491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hAnsi="Times New Roman" w:cs="Times New Roman"/>
                <w:b/>
                <w:bCs/>
                <w:color w:val="0D0D0D" w:themeColor="text1" w:themeTint="F2"/>
                <w:kern w:val="2"/>
                <w:sz w:val="18"/>
                <w:szCs w:val="18"/>
              </w:rPr>
              <w:t>In Terms of Occupational Safety and Health (OSH) Standards</w:t>
            </w:r>
          </w:p>
        </w:tc>
        <w:tc>
          <w:tcPr>
            <w:tcW w:w="630" w:type="dxa"/>
            <w:noWrap/>
            <w:vAlign w:val="center"/>
          </w:tcPr>
          <w:p w14:paraId="49EDE1A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630" w:type="dxa"/>
            <w:noWrap/>
            <w:vAlign w:val="center"/>
          </w:tcPr>
          <w:p w14:paraId="45F5E69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1260" w:type="dxa"/>
            <w:noWrap/>
            <w:vAlign w:val="center"/>
          </w:tcPr>
          <w:p w14:paraId="059CB19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r>
      <w:tr w:rsidR="00597834" w:rsidRPr="00F14CE5" w14:paraId="35705AAF" w14:textId="77777777" w:rsidTr="00E525F2">
        <w:trPr>
          <w:trHeight w:val="264"/>
        </w:trPr>
        <w:tc>
          <w:tcPr>
            <w:tcW w:w="550" w:type="dxa"/>
            <w:noWrap/>
            <w:vAlign w:val="center"/>
            <w:hideMark/>
          </w:tcPr>
          <w:p w14:paraId="5689202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4</w:t>
            </w:r>
          </w:p>
        </w:tc>
        <w:tc>
          <w:tcPr>
            <w:tcW w:w="5660" w:type="dxa"/>
            <w:noWrap/>
            <w:vAlign w:val="bottom"/>
            <w:hideMark/>
          </w:tcPr>
          <w:p w14:paraId="65A4A01C"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Occupational Safety and Health (OSH) standards are a central and consistent focus throughout the curriculum. </w:t>
            </w:r>
          </w:p>
        </w:tc>
        <w:tc>
          <w:tcPr>
            <w:tcW w:w="630" w:type="dxa"/>
            <w:noWrap/>
            <w:vAlign w:val="center"/>
            <w:hideMark/>
          </w:tcPr>
          <w:p w14:paraId="779F47B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3.64</w:t>
            </w:r>
          </w:p>
        </w:tc>
        <w:tc>
          <w:tcPr>
            <w:tcW w:w="630" w:type="dxa"/>
            <w:noWrap/>
            <w:vAlign w:val="center"/>
            <w:hideMark/>
          </w:tcPr>
          <w:p w14:paraId="348FD0E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0.53</w:t>
            </w:r>
          </w:p>
        </w:tc>
        <w:tc>
          <w:tcPr>
            <w:tcW w:w="1260" w:type="dxa"/>
            <w:noWrap/>
            <w:vAlign w:val="center"/>
            <w:hideMark/>
          </w:tcPr>
          <w:p w14:paraId="0C4E5DC7"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7E07220A" w14:textId="77777777" w:rsidTr="00E525F2">
        <w:trPr>
          <w:trHeight w:val="264"/>
        </w:trPr>
        <w:tc>
          <w:tcPr>
            <w:tcW w:w="550" w:type="dxa"/>
            <w:noWrap/>
            <w:vAlign w:val="center"/>
          </w:tcPr>
          <w:p w14:paraId="3253B8AD"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5660" w:type="dxa"/>
            <w:noWrap/>
            <w:vAlign w:val="bottom"/>
          </w:tcPr>
          <w:p w14:paraId="50E09B2A"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 Terms of E</w:t>
            </w:r>
            <w:r w:rsidRPr="00F14CE5">
              <w:rPr>
                <w:rFonts w:ascii="Times New Roman" w:hAnsi="Times New Roman" w:cs="Times New Roman"/>
                <w:b/>
                <w:bCs/>
                <w:color w:val="0D0D0D" w:themeColor="text1" w:themeTint="F2"/>
                <w:kern w:val="2"/>
                <w:sz w:val="18"/>
                <w:szCs w:val="18"/>
              </w:rPr>
              <w:t>ntrepreneurial, Sustainability, Hands-on, and Project-Based Learning Approaches</w:t>
            </w:r>
          </w:p>
        </w:tc>
        <w:tc>
          <w:tcPr>
            <w:tcW w:w="630" w:type="dxa"/>
            <w:noWrap/>
            <w:vAlign w:val="center"/>
          </w:tcPr>
          <w:p w14:paraId="53AD7DB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630" w:type="dxa"/>
            <w:noWrap/>
            <w:vAlign w:val="center"/>
          </w:tcPr>
          <w:p w14:paraId="41BBA43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1260" w:type="dxa"/>
            <w:noWrap/>
            <w:vAlign w:val="center"/>
          </w:tcPr>
          <w:p w14:paraId="56971B8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r>
      <w:tr w:rsidR="00597834" w:rsidRPr="00F14CE5" w14:paraId="1F65414F" w14:textId="77777777" w:rsidTr="00E525F2">
        <w:trPr>
          <w:trHeight w:val="264"/>
        </w:trPr>
        <w:tc>
          <w:tcPr>
            <w:tcW w:w="550" w:type="dxa"/>
            <w:noWrap/>
            <w:vAlign w:val="center"/>
            <w:hideMark/>
          </w:tcPr>
          <w:p w14:paraId="72B1D55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5</w:t>
            </w:r>
          </w:p>
        </w:tc>
        <w:tc>
          <w:tcPr>
            <w:tcW w:w="5660" w:type="dxa"/>
            <w:noWrap/>
            <w:vAlign w:val="bottom"/>
            <w:hideMark/>
          </w:tcPr>
          <w:p w14:paraId="2B524040"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adequately integrates entrepreneurial skills into lessons. </w:t>
            </w:r>
          </w:p>
        </w:tc>
        <w:tc>
          <w:tcPr>
            <w:tcW w:w="630" w:type="dxa"/>
            <w:noWrap/>
            <w:vAlign w:val="center"/>
            <w:hideMark/>
          </w:tcPr>
          <w:p w14:paraId="0D77A26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3.50</w:t>
            </w:r>
          </w:p>
        </w:tc>
        <w:tc>
          <w:tcPr>
            <w:tcW w:w="630" w:type="dxa"/>
            <w:noWrap/>
            <w:vAlign w:val="center"/>
            <w:hideMark/>
          </w:tcPr>
          <w:p w14:paraId="419E2A6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260" w:type="dxa"/>
            <w:noWrap/>
            <w:vAlign w:val="center"/>
            <w:hideMark/>
          </w:tcPr>
          <w:p w14:paraId="6BCC805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C61B3F0" w14:textId="77777777" w:rsidTr="00E525F2">
        <w:trPr>
          <w:trHeight w:val="264"/>
        </w:trPr>
        <w:tc>
          <w:tcPr>
            <w:tcW w:w="550" w:type="dxa"/>
            <w:noWrap/>
            <w:vAlign w:val="center"/>
            <w:hideMark/>
          </w:tcPr>
          <w:p w14:paraId="0A873F2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6</w:t>
            </w:r>
          </w:p>
        </w:tc>
        <w:tc>
          <w:tcPr>
            <w:tcW w:w="5660" w:type="dxa"/>
            <w:noWrap/>
            <w:vAlign w:val="bottom"/>
            <w:hideMark/>
          </w:tcPr>
          <w:p w14:paraId="018E91A4"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curriculum's learning competencies are appropriately decongested and manageable for learners. </w:t>
            </w:r>
          </w:p>
        </w:tc>
        <w:tc>
          <w:tcPr>
            <w:tcW w:w="630" w:type="dxa"/>
            <w:noWrap/>
            <w:vAlign w:val="center"/>
            <w:hideMark/>
          </w:tcPr>
          <w:p w14:paraId="5575E53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3.40</w:t>
            </w:r>
          </w:p>
        </w:tc>
        <w:tc>
          <w:tcPr>
            <w:tcW w:w="630" w:type="dxa"/>
            <w:noWrap/>
            <w:vAlign w:val="center"/>
            <w:hideMark/>
          </w:tcPr>
          <w:p w14:paraId="26E7685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0.67</w:t>
            </w:r>
          </w:p>
        </w:tc>
        <w:tc>
          <w:tcPr>
            <w:tcW w:w="1260" w:type="dxa"/>
            <w:noWrap/>
            <w:vAlign w:val="center"/>
            <w:hideMark/>
          </w:tcPr>
          <w:p w14:paraId="169BA6F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47A5018E" w14:textId="77777777" w:rsidTr="00E525F2">
        <w:trPr>
          <w:trHeight w:val="264"/>
        </w:trPr>
        <w:tc>
          <w:tcPr>
            <w:tcW w:w="550" w:type="dxa"/>
            <w:noWrap/>
            <w:vAlign w:val="center"/>
            <w:hideMark/>
          </w:tcPr>
          <w:p w14:paraId="7B40E65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7</w:t>
            </w:r>
          </w:p>
        </w:tc>
        <w:tc>
          <w:tcPr>
            <w:tcW w:w="5660" w:type="dxa"/>
            <w:noWrap/>
            <w:vAlign w:val="bottom"/>
            <w:hideMark/>
          </w:tcPr>
          <w:p w14:paraId="03D15DAB"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strongly advocates for hands-on and project-based learning activities. </w:t>
            </w:r>
          </w:p>
        </w:tc>
        <w:tc>
          <w:tcPr>
            <w:tcW w:w="630" w:type="dxa"/>
            <w:noWrap/>
            <w:vAlign w:val="center"/>
            <w:hideMark/>
          </w:tcPr>
          <w:p w14:paraId="1203164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3.62</w:t>
            </w:r>
          </w:p>
        </w:tc>
        <w:tc>
          <w:tcPr>
            <w:tcW w:w="630" w:type="dxa"/>
            <w:noWrap/>
            <w:vAlign w:val="center"/>
            <w:hideMark/>
          </w:tcPr>
          <w:p w14:paraId="1B7B761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0.64</w:t>
            </w:r>
          </w:p>
        </w:tc>
        <w:tc>
          <w:tcPr>
            <w:tcW w:w="1260" w:type="dxa"/>
            <w:noWrap/>
            <w:vAlign w:val="center"/>
            <w:hideMark/>
          </w:tcPr>
          <w:p w14:paraId="6A6F372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4CD20B86" w14:textId="77777777" w:rsidTr="00E525F2">
        <w:trPr>
          <w:trHeight w:val="264"/>
        </w:trPr>
        <w:tc>
          <w:tcPr>
            <w:tcW w:w="550" w:type="dxa"/>
            <w:noWrap/>
            <w:vAlign w:val="center"/>
            <w:hideMark/>
          </w:tcPr>
          <w:p w14:paraId="20398B9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8</w:t>
            </w:r>
          </w:p>
        </w:tc>
        <w:tc>
          <w:tcPr>
            <w:tcW w:w="5660" w:type="dxa"/>
            <w:noWrap/>
            <w:vAlign w:val="bottom"/>
            <w:hideMark/>
          </w:tcPr>
          <w:p w14:paraId="5AADD682"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provides clear guidelines for the use of modern and advanced industrial technologies. </w:t>
            </w:r>
          </w:p>
        </w:tc>
        <w:tc>
          <w:tcPr>
            <w:tcW w:w="630" w:type="dxa"/>
            <w:noWrap/>
            <w:vAlign w:val="center"/>
            <w:hideMark/>
          </w:tcPr>
          <w:p w14:paraId="5A0B163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3.56</w:t>
            </w:r>
          </w:p>
        </w:tc>
        <w:tc>
          <w:tcPr>
            <w:tcW w:w="630" w:type="dxa"/>
            <w:noWrap/>
            <w:vAlign w:val="center"/>
            <w:hideMark/>
          </w:tcPr>
          <w:p w14:paraId="765FFF6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260" w:type="dxa"/>
            <w:noWrap/>
            <w:vAlign w:val="center"/>
            <w:hideMark/>
          </w:tcPr>
          <w:p w14:paraId="5BD671A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7D780818" w14:textId="77777777" w:rsidTr="00E525F2">
        <w:trPr>
          <w:trHeight w:val="264"/>
        </w:trPr>
        <w:tc>
          <w:tcPr>
            <w:tcW w:w="550" w:type="dxa"/>
            <w:noWrap/>
            <w:vAlign w:val="center"/>
            <w:hideMark/>
          </w:tcPr>
          <w:p w14:paraId="3110EBF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9</w:t>
            </w:r>
          </w:p>
        </w:tc>
        <w:tc>
          <w:tcPr>
            <w:tcW w:w="5660" w:type="dxa"/>
            <w:noWrap/>
            <w:vAlign w:val="bottom"/>
            <w:hideMark/>
          </w:tcPr>
          <w:p w14:paraId="71387BB4"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emphasizes the use of local materials and sustainable practices. </w:t>
            </w:r>
          </w:p>
        </w:tc>
        <w:tc>
          <w:tcPr>
            <w:tcW w:w="630" w:type="dxa"/>
            <w:noWrap/>
            <w:vAlign w:val="center"/>
            <w:hideMark/>
          </w:tcPr>
          <w:p w14:paraId="1EEE8B99"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3.44</w:t>
            </w:r>
          </w:p>
        </w:tc>
        <w:tc>
          <w:tcPr>
            <w:tcW w:w="630" w:type="dxa"/>
            <w:noWrap/>
            <w:vAlign w:val="center"/>
            <w:hideMark/>
          </w:tcPr>
          <w:p w14:paraId="406E32F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0.67</w:t>
            </w:r>
          </w:p>
        </w:tc>
        <w:tc>
          <w:tcPr>
            <w:tcW w:w="1260" w:type="dxa"/>
            <w:noWrap/>
            <w:vAlign w:val="center"/>
            <w:hideMark/>
          </w:tcPr>
          <w:p w14:paraId="5EA5108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BCA40C3" w14:textId="77777777" w:rsidTr="00E525F2">
        <w:trPr>
          <w:trHeight w:val="264"/>
        </w:trPr>
        <w:tc>
          <w:tcPr>
            <w:tcW w:w="550" w:type="dxa"/>
            <w:noWrap/>
            <w:vAlign w:val="center"/>
            <w:hideMark/>
          </w:tcPr>
          <w:p w14:paraId="00DB86F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10</w:t>
            </w:r>
          </w:p>
        </w:tc>
        <w:tc>
          <w:tcPr>
            <w:tcW w:w="5660" w:type="dxa"/>
            <w:noWrap/>
            <w:vAlign w:val="bottom"/>
            <w:hideMark/>
          </w:tcPr>
          <w:p w14:paraId="00D684EF"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is well-aligned with the needs of the local labor market and industry. </w:t>
            </w:r>
          </w:p>
        </w:tc>
        <w:tc>
          <w:tcPr>
            <w:tcW w:w="630" w:type="dxa"/>
            <w:noWrap/>
            <w:vAlign w:val="center"/>
            <w:hideMark/>
          </w:tcPr>
          <w:p w14:paraId="40B6835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3.50</w:t>
            </w:r>
          </w:p>
        </w:tc>
        <w:tc>
          <w:tcPr>
            <w:tcW w:w="630" w:type="dxa"/>
            <w:noWrap/>
            <w:vAlign w:val="center"/>
            <w:hideMark/>
          </w:tcPr>
          <w:p w14:paraId="34D88C2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260" w:type="dxa"/>
            <w:noWrap/>
            <w:vAlign w:val="center"/>
            <w:hideMark/>
          </w:tcPr>
          <w:p w14:paraId="7284CD7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224A896F" w14:textId="77777777" w:rsidTr="00E525F2">
        <w:trPr>
          <w:trHeight w:val="264"/>
        </w:trPr>
        <w:tc>
          <w:tcPr>
            <w:tcW w:w="6210" w:type="dxa"/>
            <w:gridSpan w:val="2"/>
            <w:noWrap/>
            <w:vAlign w:val="center"/>
            <w:hideMark/>
          </w:tcPr>
          <w:p w14:paraId="49237B71"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Weighted Mean</w:t>
            </w:r>
          </w:p>
        </w:tc>
        <w:tc>
          <w:tcPr>
            <w:tcW w:w="630" w:type="dxa"/>
            <w:noWrap/>
            <w:vAlign w:val="center"/>
            <w:hideMark/>
          </w:tcPr>
          <w:p w14:paraId="7143689A"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3.52</w:t>
            </w:r>
          </w:p>
        </w:tc>
        <w:tc>
          <w:tcPr>
            <w:tcW w:w="630" w:type="dxa"/>
            <w:noWrap/>
            <w:vAlign w:val="center"/>
            <w:hideMark/>
          </w:tcPr>
          <w:p w14:paraId="4210D1E2"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1260" w:type="dxa"/>
            <w:noWrap/>
            <w:vAlign w:val="center"/>
            <w:hideMark/>
          </w:tcPr>
          <w:p w14:paraId="1A50A159"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Very High</w:t>
            </w:r>
          </w:p>
        </w:tc>
      </w:tr>
      <w:tr w:rsidR="00597834" w:rsidRPr="00F14CE5" w14:paraId="6D0ACC4F" w14:textId="77777777" w:rsidTr="00C86FB9">
        <w:trPr>
          <w:trHeight w:val="264"/>
        </w:trPr>
        <w:tc>
          <w:tcPr>
            <w:tcW w:w="6210" w:type="dxa"/>
            <w:gridSpan w:val="2"/>
            <w:noWrap/>
            <w:vAlign w:val="center"/>
            <w:hideMark/>
          </w:tcPr>
          <w:p w14:paraId="20872059"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Standard Deviation</w:t>
            </w:r>
          </w:p>
        </w:tc>
        <w:tc>
          <w:tcPr>
            <w:tcW w:w="630" w:type="dxa"/>
            <w:noWrap/>
            <w:vAlign w:val="center"/>
            <w:hideMark/>
          </w:tcPr>
          <w:p w14:paraId="7AF0B292"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630" w:type="dxa"/>
            <w:noWrap/>
            <w:vAlign w:val="center"/>
            <w:hideMark/>
          </w:tcPr>
          <w:p w14:paraId="7EFF8CBD"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0.61</w:t>
            </w:r>
          </w:p>
        </w:tc>
        <w:tc>
          <w:tcPr>
            <w:tcW w:w="1260" w:type="dxa"/>
            <w:noWrap/>
            <w:vAlign w:val="center"/>
            <w:hideMark/>
          </w:tcPr>
          <w:p w14:paraId="2CC718A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r>
      <w:tr w:rsidR="00DC43D6" w:rsidRPr="00F14CE5" w14:paraId="7BA84434" w14:textId="77777777" w:rsidTr="00C86FB9">
        <w:trPr>
          <w:trHeight w:val="264"/>
        </w:trPr>
        <w:tc>
          <w:tcPr>
            <w:tcW w:w="8730" w:type="dxa"/>
            <w:gridSpan w:val="5"/>
            <w:noWrap/>
            <w:vAlign w:val="center"/>
          </w:tcPr>
          <w:p w14:paraId="2DDC68AB" w14:textId="11080B67" w:rsidR="00E525F2" w:rsidRPr="00F14CE5" w:rsidRDefault="00E525F2" w:rsidP="00C86FB9">
            <w:pPr>
              <w:spacing w:after="0" w:line="240" w:lineRule="auto"/>
              <w:jc w:val="both"/>
              <w:rPr>
                <w:rFonts w:ascii="Times New Roman" w:hAnsi="Times New Roman" w:cs="Times New Roman"/>
                <w:color w:val="0D0D0D" w:themeColor="text1" w:themeTint="F2"/>
                <w:kern w:val="2"/>
                <w:sz w:val="18"/>
                <w:szCs w:val="18"/>
              </w:rPr>
            </w:pPr>
            <w:r w:rsidRPr="00F14CE5">
              <w:rPr>
                <w:rFonts w:ascii="Times New Roman" w:hAnsi="Times New Roman" w:cs="Times New Roman"/>
                <w:b/>
                <w:color w:val="0D0D0D" w:themeColor="text1" w:themeTint="F2"/>
                <w:kern w:val="2"/>
                <w:sz w:val="18"/>
                <w:szCs w:val="18"/>
              </w:rPr>
              <w:t>Legend:</w:t>
            </w:r>
            <w:r w:rsidRPr="00F14CE5">
              <w:rPr>
                <w:rFonts w:ascii="Times New Roman" w:hAnsi="Times New Roman" w:cs="Times New Roman"/>
                <w:color w:val="0D0D0D" w:themeColor="text1" w:themeTint="F2"/>
                <w:kern w:val="2"/>
                <w:sz w:val="18"/>
                <w:szCs w:val="18"/>
              </w:rPr>
              <w:t xml:space="preserve"> 3.25-4.00-Very High; 2.50-3.24-High; 1.75-2.49-Low; 1.00-1.74-Very Low</w:t>
            </w:r>
          </w:p>
        </w:tc>
      </w:tr>
    </w:tbl>
    <w:p w14:paraId="6CDE7BF0"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4"/>
          <w:szCs w:val="4"/>
        </w:rPr>
      </w:pPr>
    </w:p>
    <w:p w14:paraId="2E4586D9" w14:textId="433095E8"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Table 4 shows the emphasis given in the MATATAG Curriculum on the development of foundational, common industry, and specialized technical skills for K–10 learners. It shows a very high degree of emphasis for all indicators, with the weighted mean scores from 3.44 to 3.54. Considering the indicators, the curriculum earned the highest emphasis for the specialization of technical skills, which was purposefully designed and developed for the grade 10 learners to be career-focused (WM = 3.54), followed by the curriculum’s emphasis on industry common skills for the grade 8 and 9 learners (WM = 3.52), and a foundational hand tool skill for grade 7 (WM = 3.44). The mean weighted scores Orient the progressive ladder of technical skills development from the basic to the high-order industrial skills and career pathways for the learners. The low degree of variability of responses indicates uniformity of the pre-service teachers’ perspectives on the degree of emphasis of these skills.</w:t>
      </w:r>
    </w:p>
    <w:p w14:paraId="3C52F299" w14:textId="16A0D7F6"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 xml:space="preserve">According to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{"citationID":"uzb8zE8l","properties":{"formattedCitation":"(Dayola et al., 2024)","plainCitation":"(Dayola et al., 2024)","noteIndex":0},"citationItems":[{"id":1301,"uris":["http://zotero.org/users/local/pdR0I0Iy/items/FD2G95QJ"],"itemData":{"id":1301,"type":"article-journal","abstract":"Abstract:\n\n \n\nThe MATATAG Curriculum, implemented by the Philippine Department of Education, addresses long-standing challenges in the education system by prioritizing foundational skills, reducing academic pressures, and incorporating 21st-century competencies such as critical thinking, creativity, and digital literacy. This study examines stakeholder feedback, revealing overwhelmingly positive responses from educators, students, and parents. Teachers commend the curriculum’s streamlined structure, which allows for more focused and meaningful instruction, while students report feeling less overwhelmed and more engaged due to its emphasis on interactive learning and real-world applications. Parents express strong support for the curriculum’s focus on literacy, numeracy, and socio-emotional development, particularly appreciating the inclusion of values education and peace competencies. Early evidence suggests that the MATATAG Curriculum fosters a more balanced, supportive learning environment, leading to enhanced student engagement and improved teaching practices. Moving forward, continuous evaluation and feedback from stakeholders will be crucial in refining the curriculum to meet evolving educational demands. This study contributes valuable insights into how the curriculum is reshaping Philippine education and preparing students for the challenges of a rapidly evolving global society.\n\n \n\nKeywords: MATATAG Curriculum, foundational skills, 21st-century competencies,","DOI":"10.5281/zenodo.13756407","source":"Zenodo","title":"The MATATAG Curriculum: Strengthening Foundational Skills and 21st-Century Competencies in the Philippine Education System","title-short":"The MATATAG Curriculum","URL":"https://zenodo.org/records/13756407","author":[{"family":"Dayola","given":"Yancy Maria"},{"family":"Kilag","given":"Osias Kit T."},{"family":"Nogueras","given":"Raquel H."},{"family":"Cojuangco","given":"Fideliza U."},{"family":"Wagas","given":"Henry B."},{"family":"Uy","given":"Francisca T."}],"accessed":{"date-parts":[["2025",10,21]]},"issued":{"date-parts":[["2024",9,13]]}}}],"schema":"https://github.com/citation-style-language/schema/raw/master/csl-citation.json"}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(Dayola et al., 2024)</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53254B" w:rsidRPr="00F14CE5">
        <w:rPr>
          <w:rFonts w:ascii="Times New Roman" w:hAnsi="Times New Roman" w:cs="Times New Roman"/>
          <w:color w:val="0D0D0D" w:themeColor="text1" w:themeTint="F2"/>
          <w:kern w:val="2"/>
          <w:sz w:val="24"/>
          <w:szCs w:val="24"/>
        </w:rPr>
        <w:t xml:space="preserve">the MATATAG Curriculum focuses on foundational learning along with the incorporation of contemporary skills and the adaptability of future job requirements of learners to Industry 4.0 and 5.0. Reforms in the educational system bring skills that are valuable on a global and local scale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{"citationID":"OrZP3tNw","properties":{"formattedCitation":"(Diquito, 2024)","plainCitation":"(Diquito, 2024)","noteIndex":0},"citationItems":[{"id":1418,"uris":["http://zotero.org/users/local/pdR0I0Iy/items/UCENGH2J"],"itemData":{"id":1418,"type":"article-journal","abstract":"Curriculum reform is essential to address the current needs of the community, nation, and global demands. By doing this, community members are equipped with relevant skills and competencies that are timely and relevant in modern times. Thus, this study was conducted to determine the nature of the newly implemented K to 10 or MATATAG curriculum under basic education-science in the Philippines. Discussion of the topic revolves around understanding the reasons for curriculum reform and determining the new features and competencies of the new basic education-science curriculum. Moreover, document analysis was carried out to address the objectives of the study. Results revealed that there are four main reasons why curriculum reform is needed in basic education in the country. Reasons include poor performance of learners in national and international assessments, congested curriculum, insufficient time to teach, and mismatch of prerequisite skills and knowledge assumed by the learning competencies. In terms of new features of the basic education science curriculum, the addition of technology and engineering literacy is highlighted, along with an addition of theoretical foundations and approaches to teaching. The analysis further revealed that the highlighted competencies are aligned with the relevant skills and competencies needed in the 21st century, Industry 4.0 and Industry 5.0. Thus, it can be concluded that the newly implemented basic education science curriculum is responsive to global demand, thus making the country more resilient and adaptive to change.","container-title":"American Journal of Education and Technology","DOI":"10.54536/ajet.v3i3.3396","ISSN":"2832-9481","issue":"3","language":"en","license":"Copyright (c) 2024 Tomas Jr Diquito","page":"123-132","source":"journals.e-palli.com","title":"Basic Education Curriculum under the Newly Implemented K to 10 (MATATAG) Curriculum in the Philippines: The Case of Science Education","title-short":"Basic Education Curriculum under the Newly Implemented K to 10 (MATATAG) Curriculum in the Philippines","URL":"https://journals.e-palli.com/home/index.php/ajet/article/view/3396","volume":"3","author":[{"family":"Diquito","given":"Tomas Jr"}],"accessed":{"date-parts":[["2025",12,9]]},"issued":{"date-parts":[["2024",9,3]]}}}],"schema":"https://github.com/citation-style-language/schema/raw/master/csl-citation.json"}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(Diquito, 2024)</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53254B" w:rsidRPr="00F14CE5">
        <w:rPr>
          <w:rFonts w:ascii="Times New Roman" w:hAnsi="Times New Roman" w:cs="Times New Roman"/>
          <w:color w:val="0D0D0D" w:themeColor="text1" w:themeTint="F2"/>
          <w:kern w:val="2"/>
          <w:sz w:val="24"/>
          <w:szCs w:val="24"/>
        </w:rPr>
        <w:t xml:space="preserve">and the ability of the curriculum to develop those skills is based on teacher training and instructional assistance which is necessary for the full development of the learners’ competencies in the area of technical, entrepreneurial and sustainable development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{"citationID":"4v5Cgv05","properties":{"formattedCitation":"(Montilla et al., 2025)","plainCitation":"(Montilla et al., 2025)","noteIndex":0},"citationItems":[{"id":1421,"uris":["http://zotero.org/users/local/pdR0I0Iy/items/LZXX3QL6"],"itemData":{"id":1421,"type":"article-journal","container-title":"International Journal of Scientific and Research Publications","DOI":"10.29322/IJSRP.15.04.2025.p16004","ISSN":"22503153","issue":"4","journalAbbreviation":"IJSRP","language":"en","page":"23-39","source":"DOI.org (Crossref)","title":"Teachers’ Preparedness For The Matatag Curricu-lum: Implication To Localized Implementation","title-short":"Teachers’ Preparedness For The Matatag Curricu-lum","URL":"https://www.ijsrp.org/research-paper-0425.php?rp=P16013759","volume":"15","author":[{"family":"Montilla","given":"Ella Diane Theresa"},{"family":"Olan","given":"Charish Lyra"},{"family":"Oring","given":"Maria Diana Rose"},{"family":"Tagarao","given":"Marlou"}],"accessed":{"date-parts":[["2025",12,9]]},"issued":{"date-parts":[["2025",4,24]]}}}],"schema":"https://github.com/citation-style-language/schema/raw/master/csl-citation.json"}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(Montilla et al.,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w:t>
      </w:r>
    </w:p>
    <w:p w14:paraId="5531A129" w14:textId="379B55C8"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Furthermore, </w:t>
      </w:r>
      <w:r w:rsidR="0053254B" w:rsidRPr="00F14CE5">
        <w:rPr>
          <w:rFonts w:ascii="Times New Roman" w:hAnsi="Times New Roman" w:cs="Times New Roman"/>
          <w:color w:val="0D0D0D" w:themeColor="text1" w:themeTint="F2"/>
          <w:kern w:val="2"/>
          <w:sz w:val="24"/>
          <w:szCs w:val="24"/>
        </w:rPr>
        <w:t>the MATATAG Curriculum's inclusion of Occupational Safety and Health (OSH) is rated the highest of all categories (WM = 3.64, SD = 0.53). This shows continuous incorporation of OSH in the curriculum and strong positive feedback from respondents on the importance. Curriculum Proven findings on the promotion of the development of awareness of safety, prevention from occurrence, and responsible practices, both in education and in the industry, are implemented.</w:t>
      </w:r>
    </w:p>
    <w:p w14:paraId="6C0089F8" w14:textId="711A7F9A"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lastRenderedPageBreak/>
        <w:tab/>
      </w:r>
      <w:r w:rsidR="0053254B" w:rsidRPr="00F14CE5">
        <w:rPr>
          <w:rFonts w:ascii="Times New Roman" w:hAnsi="Times New Roman" w:cs="Times New Roman"/>
          <w:color w:val="0D0D0D" w:themeColor="text1" w:themeTint="F2"/>
          <w:kern w:val="2"/>
          <w:sz w:val="24"/>
          <w:szCs w:val="24"/>
        </w:rPr>
        <w:t>In the Philippine setting, education and OSH integration into the preparation of the workforce are lacking, and this contributes to compliance with safety practices, lower risk of workplace exposure, and the occurrence of hazards</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{"citationID":"cwTnFsBY","properties":{"formattedCitation":"(Cuya\\uc0\\u8211{}Antonio &amp; Gabriel, 2021)","plainCitation":"(Cuya–Antonio &amp; Gabriel, 2021)","noteIndex":0},"citationItems":[{"id":1495,"uris":["http://zotero.org/users/local/pdR0I0Iy/items/WG6EL964"],"itemData":{"id":1495,"type":"article-journal","abstract":"Health and safety is indispensable in organization. This study analyzes the existing Occupational Safety and Health (OSH) Practices of the Nueva Ecija University of Science and Technology (NEUST). A Higher Educational Institution (HEI) in the Philippines. Survey questionnaire was based on the Joint Memorandum Circular (JMC) No. 1 s. 2020 of the Civil Service Commission, Department of Health and Department of Labor. Data collected are triangulated using field observation, documentary analysis and unstructured interview of the respondents. Results reveal that among the parameters of health practices, support facilities ranked last. Moreover, lack of personal protective gears is perceived by the respondents as the topmost source of injury in the workplace. Overall, respondents agreed that the university has existing OSH practices but they differ in their perception. Those from the rank and file most likely believe that the institution observes OSH practices compared to those in the teaching, technical, and supervisory positions as shown by the decreasing mean scores of the two groups of employees. The study recommended that strengthened adherence to policies be observed and an OSH Manual be drafted to govern the workplace setting.","language":"en","source":"Zotero","title":"ANALYSIS OF THE OCCUPATIONAL SAFETY AND HEALTH PRACTICES OF PUBLIC ORGANIZATION IN THE PHILIPPINES","author":[{"family":"Cuya–Antonio","given":"O. C. M"},{"family":"Gabriel","given":"A. G."}],"issued":{"date-parts":[["2021"]]}}}],"schema":"https://github.com/citation-style-language/schema/raw/master/csl-citation.json"}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sz w:val="24"/>
          <w:szCs w:val="24"/>
        </w:rPr>
        <w:t>(Cuya–Antonio &amp; Gabriel, 2021)</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53254B" w:rsidRPr="00F14CE5">
        <w:rPr>
          <w:rFonts w:ascii="Times New Roman" w:hAnsi="Times New Roman" w:cs="Times New Roman"/>
          <w:color w:val="0D0D0D" w:themeColor="text1" w:themeTint="F2"/>
          <w:kern w:val="2"/>
          <w:sz w:val="24"/>
          <w:szCs w:val="24"/>
        </w:rPr>
        <w:t>In higher education, this results in improved productive outcomes and safer learning environments</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{"citationID":"uHGV183D","properties":{"formattedCitation":"(Estadilla, 2025)","plainCitation":"(Estadilla, 2025)","noteIndex":0},"citationItems":[{"id":1498,"uris":["http://zotero.org/users/local/pdR0I0Iy/items/IMBK2TY4"],"itemData":{"id":1498,"type":"article-journal","abstract":"Higher education institutions (HEIs) are as important as other workplace settings. During the COVID-19 pandemic, the Commission on Higher Education (CHED) and the Department of Health (DOH) put a premium on the safety and health of all HEI stakeholders. This research determines the occupational safety and health (OSH) practices of HEIs in Region V to assess how far they have started and implemented health and safety measures for the well-being of all employees. A descriptive–evaluative method was utilized in conducting this study. Questionnaires and documentary analysis were used as data-gathering tools. The prevalence of OSH practices was high in the six HEIs selected in Region V. There was also a significant difference in the appraisals of stakeholders, even if they rated the indicators as highly practiced. The challenges cited were least experienced by the stakeholders, specifically, regulations to ban and control dangerous products, low public awareness of OSH, recurrent fluctuations in the amount of work, and conflicting work demands. There is a need to consult employees in policy formulation to increase participation. Having adequate facilities not only protects workers from hazards but also increases workers’ productivity. Safe and adequate facilities are needed to encourage employees to go to work because they need to know that they can still attend to their personal needs while at school. Staff require information and training to operate safely without putting their health at risk.","container-title":"Journal of Public Health Sciences","DOI":"10.56741/jphs.v4i01.835","ISSN":"2961-8681","issue":"01","language":"en","license":"Copyright (c) 2025 Lorraine Estadilla","page":"31-43","source":"journal.iistr.org","title":"Occupational Safety and Health Practices of Selected Private Higher Education Institutions in the Philippines","URL":"https://journal.iistr.org/index.php/JPHS/article/view/835","volume":"4","author":[{"family":"Estadilla","given":"Lorraine"}],"accessed":{"date-parts":[["2026",4,14]]},"issued":{"date-parts":[["2025",3,29]]}}}],"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(Estadilla,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53254B" w:rsidRPr="00F14CE5">
        <w:rPr>
          <w:rFonts w:ascii="Times New Roman" w:hAnsi="Times New Roman" w:cs="Times New Roman"/>
          <w:color w:val="0D0D0D" w:themeColor="text1" w:themeTint="F2"/>
          <w:kern w:val="2"/>
          <w:sz w:val="24"/>
          <w:szCs w:val="24"/>
        </w:rPr>
        <w:t xml:space="preserve">Safety and workplace readiness, along with compliance to industry requirements, are strengthened through competency assessment and certification systems in TVET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{"citationID":"ZscKVsXb","properties":{"formattedCitation":"(Francisco &amp; Jasmin, 2023)","plainCitation":"(Francisco &amp; Jasmin, 2023)","noteIndex":0},"citationItems":[{"id":1500,"uris":["http://zotero.org/users/local/pdR0I0Iy/items/RHP2QK2P"],"itemData":{"id":1500,"type":"article-journal","abstract":"The TVET program has been successful in providing highly skilled individuals to meet the demands of the labor market. However, it is important to evaluate the delivery of the program to ensure that it continues to meet these demands. This study focused on analyzing the delivery of the TVET competency assessment and certification system in Davao de Oro, Philippines. The study utilized a descriptive survey method and adopted the (Service Quality) SERVQUAL model to assess service quality. The results revealed that there is a gender gap distribution among male and female clients who availed of the process of competency assessment and certification system. The study also found that empathy obtained a negative gap score (-0.03) in the process. This negative score implies that empathy is as important as other dimensions of service quality. However, other dimensions of service quality have met the expectations of clients and obtained a positive score. Overall, respondents have perceived the implementation of the technical vocational education and training TVET competency assessment and certification system to be satisfactory. To improve the service quality, it is necessary to provide appropriate information about processing time and documentary requirements to all clients and equip personnel in handling clients proactively. Relationship-based management should also be improved to promote holistic technical vocational education and training (TVET) service quality, particularly in competency assessment and certification systems.","container-title":"Journal of Technical Education and Training","ISSN":"2600-7932","issue":"3","language":"en","license":"Copyright (c) 2023 Journal of Technical Education and Training","page":"46-54","source":"penerbit.uthm.edu.my","title":"Evaluating The Philippine TVET Competency Assessment and Certification System Using SERVQUAL Model","URL":"https://penerbit.uthm.edu.my/ojs/index.php/JTET/article/view/13974","volume":"15","author":[{"family":"Francisco","given":"John Mark"},{"family":"Jasmin","given":"Neri"}],"accessed":{"date-parts":[["2026",4,15]]},"issued":{"date-parts":[["2023",9,29]]}}}],"schema":"https://github.com/citation-style-language/schema/raw/master/csl-citation.json"}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(Francisco &amp; Jasmin, 2023)</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Overall, these studies </w:t>
      </w:r>
      <w:r w:rsidR="0053254B" w:rsidRPr="00F14CE5">
        <w:rPr>
          <w:rFonts w:ascii="Times New Roman" w:hAnsi="Times New Roman" w:cs="Times New Roman"/>
          <w:color w:val="0D0D0D" w:themeColor="text1" w:themeTint="F2"/>
          <w:kern w:val="2"/>
          <w:sz w:val="24"/>
          <w:szCs w:val="24"/>
        </w:rPr>
        <w:t>support the necessity of OSH being an embedded core competency of safety and readiness for the industry.</w:t>
      </w:r>
    </w:p>
    <w:p w14:paraId="6BB9D465" w14:textId="40B59163" w:rsidR="009F6A64" w:rsidRPr="00F14CE5" w:rsidRDefault="009F6A64" w:rsidP="0053254B">
      <w:pPr>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Additionally, the data shows that an aggregate of 3.52 with a deviation of 0.61 shows that the emphasis of the MATATAG curriculum on requirements for sustainability and skills that incorporate entrepreneurship, the hands-on method, and the project-based method approaches focus to a large extent. Among the indicators, the highest-rating of the hands-on and project-based learning methodologies (WM = 3.62), followed by modern and advanced industrial technologies (WM = 3.56). Integration of entrepreneurial skills and the alignment to local labor market needs both received high scores (WM = 3.50), while the use of local materials and sustainable practices (WM = 3.44) and the manageability of learning competencies (WM = 3.40) received slightly lower scores, but still received a rating of very high. The curriculum seems to be geared toward fostering active learning, creativity, and the relevant skills of the industry and sustainability.</w:t>
      </w:r>
    </w:p>
    <w:p w14:paraId="3293C569" w14:textId="77777777" w:rsidR="00AC338B"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 xml:space="preserve">Studies show project-based learning methods within vocational education programs, foster advanced levels of higher-order critical thinking skills and creativity; the ability to work effectively with others as part of a team; and the ability to deal with and solve complex problems, as essential skills in the field of vocational education and training. Using structured, analytical tasks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{"citationID":"kTM8ICGD","properties":{"formattedCitation":"(Al-Khrisha &amp; Mansour, 2021)","plainCitation":"(Al-Khrisha &amp; Mansour, 2021)","noteIndex":0},"citationItems":[{"id":1508,"uris":["http://zotero.org/users/local/pdR0I0Iy/items/XR8WISTF"],"itemData":{"id":1508,"type":"article-journal","abstract":"The study aims to identify the impact of teaching vocational education using a project-based learning strategy on developing critical thinking skills among 10th-grade students. To achieve the aim of the study, the semi-experimental approach is factored in. The study is applied to a sample consisting of 60 10th\u0002grade female students from Rajm Al-Shami Al-Gharbi Mixed Secondary School in Muwaqqar District, and it is distributed equally between the two groups as follows: a 30-student experimental group and 30-student control. To measure the pre and post-performance of the two study groups, a 21-item critical thinking skills test is prepared in its final form .The results of the study show a statistically significant difference between the arithmetic means of the degrees of the students of the experimental and control groups in the post-test of critical thinking skills (knowledge of assumptions, deduction, inference, evaluation of arguments) and the critical thinking skills as a whole in favor of the experimental group. The study recommends adopting a project-based learning strategy as a basic strategy in teaching most units of the vocational education subject for its suitability for most of the activities in the textbook’s units.","container-title":"Elementary Education Online","ISSN":"1305-3515","issue":"1","language":"en","license":"Copyright (c) 2023","page":"1282-1295","source":"ilkogretim-online.org","title":"The Impact of Teaching Vocational Education Using Project-based Learning Strategy on Developing Critical Thinking Skills among 10th\u0002Grade Students","URL":"https://ilkogretim-online.org/index.php/pub/article/view/3685","volume":"20","author":[{"family":"Al-Khrisha","given":"Samira Falah"},{"family":"Mansour","given":"Dr Othman Nasser"}],"accessed":{"date-parts":[["2026",4,15]]},"issued":{"date-parts":[["2021",3,6]]}}}],"schema":"https://github.com/citation-style-language/schema/raw/master/csl-citation.json"}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(Al-Khrisha &amp; Mansour, 2021)</w:t>
      </w:r>
      <w:r w:rsidRPr="00F14CE5">
        <w:rPr>
          <w:rFonts w:ascii="Times New Roman" w:hAnsi="Times New Roman" w:cs="Times New Roman"/>
          <w:color w:val="0D0D0D" w:themeColor="text1" w:themeTint="F2"/>
          <w:kern w:val="2"/>
          <w:sz w:val="24"/>
          <w:szCs w:val="24"/>
        </w:rPr>
        <w:fldChar w:fldCharType="end"/>
      </w:r>
      <w:r w:rsidR="0053254B" w:rsidRPr="00F14CE5">
        <w:rPr>
          <w:rFonts w:ascii="Times New Roman" w:hAnsi="Times New Roman" w:cs="Times New Roman"/>
          <w:color w:val="0D0D0D" w:themeColor="text1" w:themeTint="F2"/>
          <w:kern w:val="2"/>
          <w:sz w:val="24"/>
          <w:szCs w:val="24"/>
        </w:rPr>
        <w:t xml:space="preserve">, helps learners improve critical thinking skills and develop collaboration and problem solving skills through self-motivating and stimulating activities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{"citationID":"DMVTHAhd","properties":{"formattedCitation":"(Dogara, 2023)","plainCitation":"(Dogara, 2023)","noteIndex":0},"citationItems":[{"id":1502,"uris":["http://zotero.org/users/local/pdR0I0Iy/items/3ABL9BKD"],"itemData":{"id":1502,"type":"article-journal","abstract":"The project-based learning (PjBL) paradigm is often considered the most advanced in vocational education. The increasing use of the PjBL paradigm in vocational education is an intriguing topic of study. In line with the rapid growth of information","container-title":"Project-based Learning in Vocational Education: A Bibliometric Approach","DOI":"10.5815/IJMECS.2023.04.04","source":"www.academia.edu","title":"Project-based Learning in Vocational Education: A Bibliometric Approach","title-short":"Project-based Learning in Vocational Education","URL":"https://www.academia.edu/106372118/Project_based_Learning_in_Vocational_Education_A_Bibliometric_Approach","author":[{"family":"Dogara","given":"Gimba"}],"accessed":{"date-parts":[["2026",4,15]]},"issued":{"date-parts":[["2023",1,1]]}}}],"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(Dogara, 2023)</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AC338B" w:rsidRPr="00F14CE5">
        <w:rPr>
          <w:rFonts w:ascii="Times New Roman" w:hAnsi="Times New Roman" w:cs="Times New Roman"/>
          <w:color w:val="0D0D0D" w:themeColor="text1" w:themeTint="F2"/>
          <w:kern w:val="2"/>
          <w:sz w:val="24"/>
          <w:szCs w:val="24"/>
        </w:rPr>
        <w:t>, building the cognitive and practical skills of learners to prepare them to function effectively in the industry.</w:t>
      </w:r>
    </w:p>
    <w:p w14:paraId="75094F29" w14:textId="77777777" w:rsidR="00AC338B"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Overall, </w:t>
      </w:r>
      <w:r w:rsidR="00AC338B" w:rsidRPr="00F14CE5">
        <w:rPr>
          <w:rFonts w:ascii="Times New Roman" w:hAnsi="Times New Roman" w:cs="Times New Roman"/>
          <w:color w:val="0D0D0D" w:themeColor="text1" w:themeTint="F2"/>
          <w:kern w:val="2"/>
          <w:sz w:val="24"/>
          <w:szCs w:val="24"/>
        </w:rPr>
        <w:t xml:space="preserve">the ratings show that the MATATAG Curriculum places a great focus on experiential learning strategies. These include the integration of hands-on activities, project-based learning, entrepreneurship, and sustainability. This approach promotes active learning programs and supports the development of practical competencies that are relevant to industry needs.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{"citationID":"9WDEzUdQ","properties":{"formattedCitation":"(Ali et al., 2025)","plainCitation":"(Ali et al., 2025)","noteIndex":0},"citationItems":[{"id":1505,"uris":["http://zotero.org/users/local/pdR0I0Iy/items/2SQZ5P7F"],"itemData":{"id":1505,"type":"article-journal","abstract":"Students in Vocational and Technical Education (VTE) often struggle to connect theoretical knowledge with practical applications, leading to low academic motivation. Academic motivation is essential in shaping students’ future careers. Students’ passion and motivation while pursuing their studies may fade over time. Therefore, a strategy is needed to cultivate academic motivation and hone their passion for learning. Relating theory to practice in construction course is crucial to prepare students to meet industry needs. One of the strategies is implementing a Project-Based Learning (PBL) model such as Design-Build-Test (DBT) activities in this study involving a purposive sampling of Higher National Technical Education Certificate students from the Institute of Brunei Technical Education. This action research is aimed to evaluate the impact of implementing DBT projects on the students’ academic motivation. A mixed-method data collection technique was employed to examine students’ motivation levels and learning experiences before and after intervention: Academic Motivation Scale, ­­­­field observations, semi-structured interviews, and lesson video recordings. Quantitative and qualitative data analyses of changes in academic motivation, common patterns of actions and behaviour via field observation checklists, and thematic analysis of students’ perceptions towards the implemented DBT project were carried out. Results from the analyses showed substantial improvements in students’ academic motivation through students’ collaboration in the DBT project, experiential learning, and opportunities it offered to students in relating theory and practice in construction field. The DBT projects strengthen connection between theoretical knowledge and practical applications, link gaps between conceptual understanding and competency skills in the students’ learning. The implication of this research findings showed the relevance of DBT projects in fostering experiential learning, and also provided evidence-based strategies for enhancing academic motivation, and useful contribution for improving curriculum design in construction programme, and career preparation to meet industry needs","container-title":"Journal of Technical Education and Training","ISSN":"2600-7932","issue":"2","language":"en","license":"Copyright (c) 2025 Journal of Technical Education and Training","page":"22-37","source":"penerbit.uthm.edu.my","title":"Experiential Learning in Action: How Design-Build-Test Projects Impact VTE Students’ Academic Motivation and Learning","title-short":"Experiential Learning in Action","URL":"https://penerbit.uthm.edu.my/ojs/index.php/JTET/article/view/19332","volume":"17","author":[{"family":"Ali","given":"Ahmad Ikhwanuddin Haji"},{"family":"Bungsu","given":"Hajah Jabaidah Haji"},{"family":"Shahrill","given":"Masitah"}],"accessed":{"date-parts":[["2026",4,15]]},"issued":{"date-parts":[["2025",6,29]]}}}],"schema":"https://github.com/citation-style-language/schema/raw/master/csl-citation.json"}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(Ali et al.,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AC338B" w:rsidRPr="00F14CE5">
        <w:rPr>
          <w:rFonts w:ascii="Times New Roman" w:hAnsi="Times New Roman" w:cs="Times New Roman"/>
          <w:color w:val="0D0D0D" w:themeColor="text1" w:themeTint="F2"/>
          <w:kern w:val="2"/>
          <w:sz w:val="24"/>
          <w:szCs w:val="24"/>
        </w:rPr>
        <w:t>also supports this point by showing that design-build-test experiential learning activities foster academic motivation and help strengthen the connection of theory-practice in vocational education.</w:t>
      </w:r>
    </w:p>
    <w:p w14:paraId="5850D2E8" w14:textId="2224B390" w:rsidR="00E509CE" w:rsidRPr="00F14CE5" w:rsidRDefault="00E509CE" w:rsidP="009F6A64">
      <w:pPr>
        <w:tabs>
          <w:tab w:val="left" w:pos="720"/>
        </w:tabs>
        <w:spacing w:line="240" w:lineRule="auto"/>
        <w:jc w:val="both"/>
        <w:rPr>
          <w:rFonts w:ascii="Times New Roman" w:hAnsi="Times New Roman" w:cs="Times New Roman"/>
          <w:b/>
          <w:bCs/>
          <w:color w:val="0D0D0D" w:themeColor="text1" w:themeTint="F2"/>
          <w:kern w:val="2"/>
          <w:sz w:val="24"/>
          <w:szCs w:val="24"/>
        </w:rPr>
      </w:pPr>
      <w:r w:rsidRPr="00F14CE5">
        <w:rPr>
          <w:rFonts w:ascii="Times New Roman" w:hAnsi="Times New Roman" w:cs="Times New Roman"/>
          <w:b/>
          <w:bCs/>
          <w:color w:val="0D0D0D" w:themeColor="text1" w:themeTint="F2"/>
          <w:kern w:val="2"/>
          <w:sz w:val="24"/>
          <w:szCs w:val="24"/>
        </w:rPr>
        <w:t xml:space="preserve">Table 5: Extent to Which the BTVTED Program Equip Pre-Service Teachers </w:t>
      </w:r>
      <w:r w:rsidR="00AA2931" w:rsidRPr="00F14CE5">
        <w:rPr>
          <w:rFonts w:ascii="Times New Roman" w:hAnsi="Times New Roman" w:cs="Times New Roman"/>
          <w:b/>
          <w:bCs/>
          <w:color w:val="0D0D0D" w:themeColor="text1" w:themeTint="F2"/>
          <w:kern w:val="2"/>
          <w:sz w:val="24"/>
          <w:szCs w:val="24"/>
        </w:rPr>
        <w:t>with</w:t>
      </w:r>
      <w:r w:rsidRPr="00F14CE5">
        <w:rPr>
          <w:rFonts w:ascii="Times New Roman" w:hAnsi="Times New Roman" w:cs="Times New Roman"/>
          <w:b/>
          <w:bCs/>
          <w:color w:val="0D0D0D" w:themeColor="text1" w:themeTint="F2"/>
          <w:kern w:val="2"/>
          <w:sz w:val="24"/>
          <w:szCs w:val="24"/>
        </w:rPr>
        <w:t xml:space="preserve"> Competencies Necessary for Basic Education</w:t>
      </w:r>
    </w:p>
    <w:p w14:paraId="34A0A42B" w14:textId="77777777" w:rsidR="009F6A64" w:rsidRPr="00F14CE5" w:rsidRDefault="009F6A64" w:rsidP="004A0332">
      <w:pPr>
        <w:widowControl w:val="0"/>
        <w:autoSpaceDE w:val="0"/>
        <w:autoSpaceDN w:val="0"/>
        <w:spacing w:before="161" w:after="0" w:line="240" w:lineRule="auto"/>
        <w:ind w:right="-7" w:firstLine="720"/>
        <w:jc w:val="both"/>
        <w:rPr>
          <w:rFonts w:ascii="Times New Roman" w:eastAsia="Arial" w:hAnsi="Times New Roman" w:cs="Times New Roman"/>
          <w:color w:val="0D0D0D" w:themeColor="text1" w:themeTint="F2"/>
          <w:spacing w:val="-2"/>
          <w:sz w:val="24"/>
          <w:szCs w:val="24"/>
          <w:lang w:val="en-US"/>
        </w:rPr>
      </w:pPr>
      <w:r w:rsidRPr="00F14CE5">
        <w:rPr>
          <w:rFonts w:ascii="Times New Roman" w:eastAsia="Arial" w:hAnsi="Times New Roman" w:cs="Times New Roman"/>
          <w:color w:val="0D0D0D" w:themeColor="text1" w:themeTint="F2"/>
          <w:sz w:val="24"/>
          <w:szCs w:val="24"/>
        </w:rPr>
        <w:t>The study assessed the effectiveness of the BTVTED program in developing pre-service teachers’ essential competencies for basic education, including technical, entrepreneurial, and pedagogical skills. Based on responses from pre-service teachers at Cebu Technological University–Main Campus, it identifies the program’s strengths and areas for improvement to support alignment with current educational and labor market demands.</w:t>
      </w:r>
    </w:p>
    <w:tbl>
      <w:tblPr>
        <w:tblpPr w:leftFromText="180" w:rightFromText="180" w:vertAnchor="text" w:horzAnchor="margin" w:tblpXSpec="center" w:tblpY="21"/>
        <w:tblW w:w="8642" w:type="dxa"/>
        <w:tblLook w:val="04A0" w:firstRow="1" w:lastRow="0" w:firstColumn="1" w:lastColumn="0" w:noHBand="0" w:noVBand="1"/>
      </w:tblPr>
      <w:tblGrid>
        <w:gridCol w:w="789"/>
        <w:gridCol w:w="5061"/>
        <w:gridCol w:w="720"/>
        <w:gridCol w:w="645"/>
        <w:gridCol w:w="1427"/>
      </w:tblGrid>
      <w:tr w:rsidR="00597834" w:rsidRPr="00F14CE5" w14:paraId="461CE1F5" w14:textId="77777777" w:rsidTr="00E509CE">
        <w:trPr>
          <w:trHeight w:val="276"/>
        </w:trPr>
        <w:tc>
          <w:tcPr>
            <w:tcW w:w="8642" w:type="dxa"/>
            <w:gridSpan w:val="5"/>
            <w:tcBorders>
              <w:bottom w:val="single" w:sz="4" w:space="0" w:color="auto"/>
            </w:tcBorders>
            <w:noWrap/>
            <w:vAlign w:val="bottom"/>
            <w:hideMark/>
          </w:tcPr>
          <w:p w14:paraId="11C6CB28"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Table 5</w:t>
            </w:r>
          </w:p>
          <w:p w14:paraId="126C8697"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Extent to Which the BTVTED Program Equip Pre-Service Teachers </w:t>
            </w:r>
          </w:p>
          <w:p w14:paraId="68740627"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With Competencies Necessary for Basic Education</w:t>
            </w:r>
          </w:p>
        </w:tc>
      </w:tr>
      <w:tr w:rsidR="00597834" w:rsidRPr="00F14CE5" w14:paraId="73CC0C74" w14:textId="77777777" w:rsidTr="00E509CE">
        <w:trPr>
          <w:trHeight w:val="276"/>
        </w:trPr>
        <w:tc>
          <w:tcPr>
            <w:tcW w:w="789" w:type="dxa"/>
            <w:tcBorders>
              <w:top w:val="single" w:sz="4" w:space="0" w:color="auto"/>
              <w:bottom w:val="single" w:sz="4" w:space="0" w:color="auto"/>
            </w:tcBorders>
            <w:noWrap/>
            <w:vAlign w:val="center"/>
            <w:hideMark/>
          </w:tcPr>
          <w:p w14:paraId="5D153B09"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S/N</w:t>
            </w:r>
          </w:p>
        </w:tc>
        <w:tc>
          <w:tcPr>
            <w:tcW w:w="5061" w:type="dxa"/>
            <w:tcBorders>
              <w:top w:val="single" w:sz="4" w:space="0" w:color="auto"/>
              <w:bottom w:val="single" w:sz="4" w:space="0" w:color="auto"/>
            </w:tcBorders>
            <w:noWrap/>
            <w:vAlign w:val="center"/>
            <w:hideMark/>
          </w:tcPr>
          <w:p w14:paraId="1286A99B"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Indicators</w:t>
            </w:r>
          </w:p>
        </w:tc>
        <w:tc>
          <w:tcPr>
            <w:tcW w:w="720" w:type="dxa"/>
            <w:tcBorders>
              <w:top w:val="single" w:sz="4" w:space="0" w:color="auto"/>
              <w:bottom w:val="single" w:sz="4" w:space="0" w:color="auto"/>
            </w:tcBorders>
            <w:noWrap/>
            <w:vAlign w:val="center"/>
            <w:hideMark/>
          </w:tcPr>
          <w:p w14:paraId="532550E9"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WM</w:t>
            </w:r>
          </w:p>
        </w:tc>
        <w:tc>
          <w:tcPr>
            <w:tcW w:w="645" w:type="dxa"/>
            <w:tcBorders>
              <w:top w:val="single" w:sz="4" w:space="0" w:color="auto"/>
              <w:bottom w:val="single" w:sz="4" w:space="0" w:color="auto"/>
            </w:tcBorders>
            <w:noWrap/>
            <w:vAlign w:val="center"/>
            <w:hideMark/>
          </w:tcPr>
          <w:p w14:paraId="599DDDEC"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SD</w:t>
            </w:r>
          </w:p>
        </w:tc>
        <w:tc>
          <w:tcPr>
            <w:tcW w:w="1427" w:type="dxa"/>
            <w:tcBorders>
              <w:top w:val="single" w:sz="4" w:space="0" w:color="auto"/>
              <w:bottom w:val="single" w:sz="4" w:space="0" w:color="auto"/>
            </w:tcBorders>
            <w:noWrap/>
            <w:vAlign w:val="center"/>
            <w:hideMark/>
          </w:tcPr>
          <w:p w14:paraId="18579A6D"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Verbal Description</w:t>
            </w:r>
          </w:p>
        </w:tc>
      </w:tr>
      <w:tr w:rsidR="00597834" w:rsidRPr="00F14CE5" w14:paraId="4D278F0E" w14:textId="77777777" w:rsidTr="00E509CE">
        <w:trPr>
          <w:trHeight w:val="276"/>
        </w:trPr>
        <w:tc>
          <w:tcPr>
            <w:tcW w:w="789" w:type="dxa"/>
            <w:tcBorders>
              <w:top w:val="single" w:sz="4" w:space="0" w:color="auto"/>
            </w:tcBorders>
            <w:noWrap/>
            <w:vAlign w:val="center"/>
            <w:hideMark/>
          </w:tcPr>
          <w:p w14:paraId="7606BB9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w:t>
            </w:r>
          </w:p>
        </w:tc>
        <w:tc>
          <w:tcPr>
            <w:tcW w:w="5061" w:type="dxa"/>
            <w:tcBorders>
              <w:top w:val="single" w:sz="4" w:space="0" w:color="auto"/>
            </w:tcBorders>
            <w:noWrap/>
            <w:vAlign w:val="bottom"/>
            <w:hideMark/>
          </w:tcPr>
          <w:p w14:paraId="7B56AC92"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BTVTED program effectively prepared me to teach foundational hand-tool skills. </w:t>
            </w:r>
          </w:p>
          <w:p w14:paraId="472769D4"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4E13CF8B"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single" w:sz="4" w:space="0" w:color="auto"/>
            </w:tcBorders>
            <w:noWrap/>
            <w:vAlign w:val="center"/>
            <w:hideMark/>
          </w:tcPr>
          <w:p w14:paraId="690DE60E"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3.38</w:t>
            </w:r>
          </w:p>
        </w:tc>
        <w:tc>
          <w:tcPr>
            <w:tcW w:w="645" w:type="dxa"/>
            <w:tcBorders>
              <w:top w:val="single" w:sz="4" w:space="0" w:color="auto"/>
            </w:tcBorders>
            <w:noWrap/>
            <w:vAlign w:val="center"/>
            <w:hideMark/>
          </w:tcPr>
          <w:p w14:paraId="553F89C4"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0.60</w:t>
            </w:r>
          </w:p>
        </w:tc>
        <w:tc>
          <w:tcPr>
            <w:tcW w:w="1427" w:type="dxa"/>
            <w:tcBorders>
              <w:top w:val="single" w:sz="4" w:space="0" w:color="auto"/>
            </w:tcBorders>
            <w:noWrap/>
            <w:vAlign w:val="center"/>
            <w:hideMark/>
          </w:tcPr>
          <w:p w14:paraId="01950683"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2D4C948E" w14:textId="77777777" w:rsidTr="00E509CE">
        <w:trPr>
          <w:trHeight w:val="276"/>
        </w:trPr>
        <w:tc>
          <w:tcPr>
            <w:tcW w:w="789" w:type="dxa"/>
            <w:tcBorders>
              <w:top w:val="nil"/>
            </w:tcBorders>
            <w:noWrap/>
            <w:vAlign w:val="center"/>
            <w:hideMark/>
          </w:tcPr>
          <w:p w14:paraId="01A7E029"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2</w:t>
            </w:r>
          </w:p>
        </w:tc>
        <w:tc>
          <w:tcPr>
            <w:tcW w:w="5061" w:type="dxa"/>
            <w:tcBorders>
              <w:top w:val="nil"/>
            </w:tcBorders>
            <w:noWrap/>
            <w:vAlign w:val="bottom"/>
            <w:hideMark/>
          </w:tcPr>
          <w:p w14:paraId="204F3C32"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My training in the BTVTED program adequately covered common industry skills for Grades 7-8.</w:t>
            </w:r>
          </w:p>
          <w:p w14:paraId="1AC4FF97"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128E1664"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6FFDC3F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3.40</w:t>
            </w:r>
          </w:p>
        </w:tc>
        <w:tc>
          <w:tcPr>
            <w:tcW w:w="645" w:type="dxa"/>
            <w:tcBorders>
              <w:top w:val="nil"/>
            </w:tcBorders>
            <w:noWrap/>
            <w:vAlign w:val="center"/>
            <w:hideMark/>
          </w:tcPr>
          <w:p w14:paraId="7552F34A"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0.57</w:t>
            </w:r>
          </w:p>
        </w:tc>
        <w:tc>
          <w:tcPr>
            <w:tcW w:w="1427" w:type="dxa"/>
            <w:tcBorders>
              <w:top w:val="nil"/>
            </w:tcBorders>
            <w:noWrap/>
            <w:vAlign w:val="center"/>
            <w:hideMark/>
          </w:tcPr>
          <w:p w14:paraId="0A4C5459"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39DCA852" w14:textId="77777777" w:rsidTr="00E509CE">
        <w:trPr>
          <w:trHeight w:val="276"/>
        </w:trPr>
        <w:tc>
          <w:tcPr>
            <w:tcW w:w="789" w:type="dxa"/>
            <w:tcBorders>
              <w:top w:val="nil"/>
            </w:tcBorders>
            <w:noWrap/>
            <w:vAlign w:val="center"/>
            <w:hideMark/>
          </w:tcPr>
          <w:p w14:paraId="6DEBC43B"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w:t>
            </w:r>
          </w:p>
        </w:tc>
        <w:tc>
          <w:tcPr>
            <w:tcW w:w="5061" w:type="dxa"/>
            <w:tcBorders>
              <w:top w:val="nil"/>
            </w:tcBorders>
            <w:noWrap/>
            <w:vAlign w:val="bottom"/>
            <w:hideMark/>
          </w:tcPr>
          <w:p w14:paraId="08D3F191"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program provided sufficient opportunities to practice and master specialized technical skills. </w:t>
            </w:r>
          </w:p>
          <w:p w14:paraId="45E6EAF8"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46D0F4C6"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594B311C"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3.50</w:t>
            </w:r>
          </w:p>
        </w:tc>
        <w:tc>
          <w:tcPr>
            <w:tcW w:w="645" w:type="dxa"/>
            <w:tcBorders>
              <w:top w:val="nil"/>
            </w:tcBorders>
            <w:noWrap/>
            <w:vAlign w:val="center"/>
            <w:hideMark/>
          </w:tcPr>
          <w:p w14:paraId="34A7EF9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7" w:type="dxa"/>
            <w:tcBorders>
              <w:top w:val="nil"/>
            </w:tcBorders>
            <w:noWrap/>
            <w:vAlign w:val="center"/>
            <w:hideMark/>
          </w:tcPr>
          <w:p w14:paraId="299E52D6"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76BD7E3C" w14:textId="77777777" w:rsidTr="00E509CE">
        <w:trPr>
          <w:trHeight w:val="276"/>
        </w:trPr>
        <w:tc>
          <w:tcPr>
            <w:tcW w:w="789" w:type="dxa"/>
            <w:tcBorders>
              <w:top w:val="nil"/>
            </w:tcBorders>
            <w:noWrap/>
            <w:vAlign w:val="center"/>
            <w:hideMark/>
          </w:tcPr>
          <w:p w14:paraId="61321DB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4</w:t>
            </w:r>
          </w:p>
        </w:tc>
        <w:tc>
          <w:tcPr>
            <w:tcW w:w="5061" w:type="dxa"/>
            <w:tcBorders>
              <w:top w:val="nil"/>
            </w:tcBorders>
            <w:noWrap/>
            <w:vAlign w:val="bottom"/>
            <w:hideMark/>
          </w:tcPr>
          <w:p w14:paraId="5AA9E937"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I feel confident in my ability to teach and enforce Occupational Safety and Health (OSH) standards.</w:t>
            </w:r>
          </w:p>
          <w:p w14:paraId="4364BB9F"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r w:rsidRPr="00F14CE5">
              <w:rPr>
                <w:rFonts w:ascii="Times New Roman" w:eastAsia="Times New Roman" w:hAnsi="Times New Roman" w:cs="Times New Roman"/>
                <w:color w:val="0D0D0D" w:themeColor="text1" w:themeTint="F2"/>
                <w:kern w:val="2"/>
                <w:sz w:val="18"/>
                <w:szCs w:val="18"/>
              </w:rPr>
              <w:t xml:space="preserve"> </w:t>
            </w:r>
          </w:p>
        </w:tc>
        <w:tc>
          <w:tcPr>
            <w:tcW w:w="720" w:type="dxa"/>
            <w:tcBorders>
              <w:top w:val="nil"/>
            </w:tcBorders>
            <w:noWrap/>
            <w:vAlign w:val="center"/>
            <w:hideMark/>
          </w:tcPr>
          <w:p w14:paraId="0A7E9809"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3.60</w:t>
            </w:r>
          </w:p>
        </w:tc>
        <w:tc>
          <w:tcPr>
            <w:tcW w:w="645" w:type="dxa"/>
            <w:tcBorders>
              <w:top w:val="nil"/>
            </w:tcBorders>
            <w:noWrap/>
            <w:vAlign w:val="center"/>
            <w:hideMark/>
          </w:tcPr>
          <w:p w14:paraId="359B3982"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0.53</w:t>
            </w:r>
          </w:p>
        </w:tc>
        <w:tc>
          <w:tcPr>
            <w:tcW w:w="1427" w:type="dxa"/>
            <w:tcBorders>
              <w:top w:val="nil"/>
            </w:tcBorders>
            <w:noWrap/>
            <w:vAlign w:val="center"/>
            <w:hideMark/>
          </w:tcPr>
          <w:p w14:paraId="1EF9F876"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140F23B8" w14:textId="77777777" w:rsidTr="00E509CE">
        <w:trPr>
          <w:trHeight w:val="276"/>
        </w:trPr>
        <w:tc>
          <w:tcPr>
            <w:tcW w:w="789" w:type="dxa"/>
            <w:tcBorders>
              <w:top w:val="nil"/>
            </w:tcBorders>
            <w:noWrap/>
            <w:vAlign w:val="center"/>
            <w:hideMark/>
          </w:tcPr>
          <w:p w14:paraId="5EA0CCEA"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5</w:t>
            </w:r>
          </w:p>
        </w:tc>
        <w:tc>
          <w:tcPr>
            <w:tcW w:w="5061" w:type="dxa"/>
            <w:tcBorders>
              <w:top w:val="nil"/>
            </w:tcBorders>
            <w:noWrap/>
            <w:vAlign w:val="bottom"/>
            <w:hideMark/>
          </w:tcPr>
          <w:p w14:paraId="59E2166E"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My BTVTED training equipped me with the skills to teach </w:t>
            </w:r>
            <w:r w:rsidRPr="00F14CE5">
              <w:rPr>
                <w:rFonts w:ascii="Times New Roman" w:eastAsia="Times New Roman" w:hAnsi="Times New Roman" w:cs="Times New Roman"/>
                <w:color w:val="0D0D0D" w:themeColor="text1" w:themeTint="F2"/>
                <w:kern w:val="2"/>
                <w:sz w:val="18"/>
                <w:szCs w:val="18"/>
              </w:rPr>
              <w:lastRenderedPageBreak/>
              <w:t xml:space="preserve">entrepreneurship. </w:t>
            </w:r>
          </w:p>
          <w:p w14:paraId="5183699A"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39772B83"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2BCD1004"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lastRenderedPageBreak/>
              <w:t>3.44</w:t>
            </w:r>
          </w:p>
        </w:tc>
        <w:tc>
          <w:tcPr>
            <w:tcW w:w="645" w:type="dxa"/>
            <w:tcBorders>
              <w:top w:val="nil"/>
            </w:tcBorders>
            <w:noWrap/>
            <w:vAlign w:val="center"/>
            <w:hideMark/>
          </w:tcPr>
          <w:p w14:paraId="74EC319B"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0.58</w:t>
            </w:r>
          </w:p>
        </w:tc>
        <w:tc>
          <w:tcPr>
            <w:tcW w:w="1427" w:type="dxa"/>
            <w:tcBorders>
              <w:top w:val="nil"/>
            </w:tcBorders>
            <w:noWrap/>
            <w:vAlign w:val="center"/>
            <w:hideMark/>
          </w:tcPr>
          <w:p w14:paraId="2438047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3456D3BF" w14:textId="77777777" w:rsidTr="00E509CE">
        <w:trPr>
          <w:trHeight w:val="276"/>
        </w:trPr>
        <w:tc>
          <w:tcPr>
            <w:tcW w:w="789" w:type="dxa"/>
            <w:tcBorders>
              <w:top w:val="nil"/>
            </w:tcBorders>
            <w:noWrap/>
            <w:vAlign w:val="center"/>
            <w:hideMark/>
          </w:tcPr>
          <w:p w14:paraId="23D9F3F5"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lastRenderedPageBreak/>
              <w:t>6</w:t>
            </w:r>
          </w:p>
        </w:tc>
        <w:tc>
          <w:tcPr>
            <w:tcW w:w="5061" w:type="dxa"/>
            <w:tcBorders>
              <w:top w:val="nil"/>
            </w:tcBorders>
            <w:noWrap/>
            <w:vAlign w:val="bottom"/>
            <w:hideMark/>
          </w:tcPr>
          <w:p w14:paraId="7B70B4A0"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The program's pedagogical training prepared me to conduct hands-on and project-based learning.</w:t>
            </w:r>
          </w:p>
          <w:p w14:paraId="2DCE47ED"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r w:rsidRPr="00F14CE5">
              <w:rPr>
                <w:rFonts w:ascii="Times New Roman" w:eastAsia="Times New Roman" w:hAnsi="Times New Roman" w:cs="Times New Roman"/>
                <w:color w:val="0D0D0D" w:themeColor="text1" w:themeTint="F2"/>
                <w:kern w:val="2"/>
                <w:sz w:val="18"/>
                <w:szCs w:val="18"/>
              </w:rPr>
              <w:t xml:space="preserve"> </w:t>
            </w:r>
          </w:p>
          <w:p w14:paraId="5DAA14DB"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60EEF384"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3.52</w:t>
            </w:r>
          </w:p>
        </w:tc>
        <w:tc>
          <w:tcPr>
            <w:tcW w:w="645" w:type="dxa"/>
            <w:tcBorders>
              <w:top w:val="nil"/>
            </w:tcBorders>
            <w:noWrap/>
            <w:vAlign w:val="center"/>
            <w:hideMark/>
          </w:tcPr>
          <w:p w14:paraId="4A01069D"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7" w:type="dxa"/>
            <w:tcBorders>
              <w:top w:val="nil"/>
            </w:tcBorders>
            <w:noWrap/>
            <w:vAlign w:val="center"/>
            <w:hideMark/>
          </w:tcPr>
          <w:p w14:paraId="246791F3"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4E3A1DD3" w14:textId="77777777" w:rsidTr="00E509CE">
        <w:trPr>
          <w:trHeight w:val="276"/>
        </w:trPr>
        <w:tc>
          <w:tcPr>
            <w:tcW w:w="789" w:type="dxa"/>
            <w:tcBorders>
              <w:top w:val="nil"/>
            </w:tcBorders>
            <w:noWrap/>
            <w:vAlign w:val="center"/>
            <w:hideMark/>
          </w:tcPr>
          <w:p w14:paraId="02061045"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7</w:t>
            </w:r>
          </w:p>
        </w:tc>
        <w:tc>
          <w:tcPr>
            <w:tcW w:w="5061" w:type="dxa"/>
            <w:tcBorders>
              <w:top w:val="nil"/>
            </w:tcBorders>
            <w:noWrap/>
            <w:vAlign w:val="bottom"/>
            <w:hideMark/>
          </w:tcPr>
          <w:p w14:paraId="3DAADE4A"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I feel prepared to use and maintain a variety of tools and equipment required in Lesson. </w:t>
            </w:r>
          </w:p>
          <w:p w14:paraId="5F1E91B4"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32C8888C"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522B3AC0"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3.46</w:t>
            </w:r>
          </w:p>
        </w:tc>
        <w:tc>
          <w:tcPr>
            <w:tcW w:w="645" w:type="dxa"/>
            <w:tcBorders>
              <w:top w:val="nil"/>
            </w:tcBorders>
            <w:noWrap/>
            <w:vAlign w:val="center"/>
            <w:hideMark/>
          </w:tcPr>
          <w:p w14:paraId="5F79B40F"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427" w:type="dxa"/>
            <w:tcBorders>
              <w:top w:val="nil"/>
            </w:tcBorders>
            <w:noWrap/>
            <w:vAlign w:val="center"/>
            <w:hideMark/>
          </w:tcPr>
          <w:p w14:paraId="5AFD9B42"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2E355AFB" w14:textId="77777777" w:rsidTr="00E509CE">
        <w:trPr>
          <w:trHeight w:val="276"/>
        </w:trPr>
        <w:tc>
          <w:tcPr>
            <w:tcW w:w="789" w:type="dxa"/>
            <w:tcBorders>
              <w:top w:val="nil"/>
            </w:tcBorders>
            <w:noWrap/>
            <w:vAlign w:val="center"/>
            <w:hideMark/>
          </w:tcPr>
          <w:p w14:paraId="2697023E"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8</w:t>
            </w:r>
          </w:p>
        </w:tc>
        <w:tc>
          <w:tcPr>
            <w:tcW w:w="5061" w:type="dxa"/>
            <w:tcBorders>
              <w:top w:val="nil"/>
            </w:tcBorders>
            <w:noWrap/>
            <w:vAlign w:val="bottom"/>
            <w:hideMark/>
          </w:tcPr>
          <w:p w14:paraId="0A3DCF28"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My BTVTED training prepared me to adapt my teaching for students with different learning needs</w:t>
            </w:r>
          </w:p>
          <w:p w14:paraId="0040E1B7"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541FD516"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643EA24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3.46</w:t>
            </w:r>
          </w:p>
        </w:tc>
        <w:tc>
          <w:tcPr>
            <w:tcW w:w="645" w:type="dxa"/>
            <w:tcBorders>
              <w:top w:val="nil"/>
            </w:tcBorders>
            <w:noWrap/>
            <w:vAlign w:val="center"/>
            <w:hideMark/>
          </w:tcPr>
          <w:p w14:paraId="51E38A1A"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7" w:type="dxa"/>
            <w:tcBorders>
              <w:top w:val="nil"/>
            </w:tcBorders>
            <w:noWrap/>
            <w:vAlign w:val="center"/>
            <w:hideMark/>
          </w:tcPr>
          <w:p w14:paraId="2135F644"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17B5270" w14:textId="77777777" w:rsidTr="00E509CE">
        <w:trPr>
          <w:trHeight w:val="276"/>
        </w:trPr>
        <w:tc>
          <w:tcPr>
            <w:tcW w:w="789" w:type="dxa"/>
            <w:tcBorders>
              <w:top w:val="nil"/>
            </w:tcBorders>
            <w:noWrap/>
            <w:vAlign w:val="center"/>
            <w:hideMark/>
          </w:tcPr>
          <w:p w14:paraId="4FF02593"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9</w:t>
            </w:r>
          </w:p>
        </w:tc>
        <w:tc>
          <w:tcPr>
            <w:tcW w:w="5061" w:type="dxa"/>
            <w:tcBorders>
              <w:top w:val="nil"/>
            </w:tcBorders>
            <w:noWrap/>
            <w:vAlign w:val="bottom"/>
            <w:hideMark/>
          </w:tcPr>
          <w:p w14:paraId="4ADE62CD"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program effectively prepared me to teach technical drawings and mensuration. </w:t>
            </w:r>
          </w:p>
          <w:p w14:paraId="5081299D"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06264F65"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6C083A0"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3.46</w:t>
            </w:r>
          </w:p>
        </w:tc>
        <w:tc>
          <w:tcPr>
            <w:tcW w:w="645" w:type="dxa"/>
            <w:tcBorders>
              <w:top w:val="nil"/>
            </w:tcBorders>
            <w:noWrap/>
            <w:vAlign w:val="center"/>
            <w:hideMark/>
          </w:tcPr>
          <w:p w14:paraId="228651DD"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7" w:type="dxa"/>
            <w:tcBorders>
              <w:top w:val="nil"/>
            </w:tcBorders>
            <w:noWrap/>
            <w:vAlign w:val="center"/>
            <w:hideMark/>
          </w:tcPr>
          <w:p w14:paraId="15FF62BB"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1519697" w14:textId="77777777" w:rsidTr="001E4FA5">
        <w:trPr>
          <w:trHeight w:val="276"/>
        </w:trPr>
        <w:tc>
          <w:tcPr>
            <w:tcW w:w="5850" w:type="dxa"/>
            <w:gridSpan w:val="2"/>
            <w:noWrap/>
            <w:vAlign w:val="bottom"/>
            <w:hideMark/>
          </w:tcPr>
          <w:p w14:paraId="7316567F"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Aggregate Weighted Mean </w:t>
            </w:r>
          </w:p>
        </w:tc>
        <w:tc>
          <w:tcPr>
            <w:tcW w:w="720" w:type="dxa"/>
            <w:noWrap/>
            <w:vAlign w:val="center"/>
            <w:hideMark/>
          </w:tcPr>
          <w:p w14:paraId="3B012EBD"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3.47</w:t>
            </w:r>
          </w:p>
        </w:tc>
        <w:tc>
          <w:tcPr>
            <w:tcW w:w="645" w:type="dxa"/>
            <w:noWrap/>
            <w:vAlign w:val="center"/>
            <w:hideMark/>
          </w:tcPr>
          <w:p w14:paraId="376ADD8E"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1427" w:type="dxa"/>
            <w:noWrap/>
            <w:vAlign w:val="center"/>
            <w:hideMark/>
          </w:tcPr>
          <w:p w14:paraId="19C262B6"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Very High</w:t>
            </w:r>
          </w:p>
        </w:tc>
      </w:tr>
      <w:tr w:rsidR="00597834" w:rsidRPr="00F14CE5" w14:paraId="478FAD0E" w14:textId="77777777" w:rsidTr="001E4FA5">
        <w:trPr>
          <w:trHeight w:val="276"/>
        </w:trPr>
        <w:tc>
          <w:tcPr>
            <w:tcW w:w="5850" w:type="dxa"/>
            <w:gridSpan w:val="2"/>
            <w:tcBorders>
              <w:bottom w:val="single" w:sz="4" w:space="0" w:color="auto"/>
            </w:tcBorders>
            <w:noWrap/>
            <w:vAlign w:val="bottom"/>
            <w:hideMark/>
          </w:tcPr>
          <w:p w14:paraId="420AFAB8"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Standard Deviation</w:t>
            </w:r>
          </w:p>
        </w:tc>
        <w:tc>
          <w:tcPr>
            <w:tcW w:w="720" w:type="dxa"/>
            <w:tcBorders>
              <w:bottom w:val="single" w:sz="4" w:space="0" w:color="auto"/>
            </w:tcBorders>
            <w:noWrap/>
            <w:vAlign w:val="center"/>
            <w:hideMark/>
          </w:tcPr>
          <w:p w14:paraId="3A4132D8"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645" w:type="dxa"/>
            <w:tcBorders>
              <w:bottom w:val="single" w:sz="4" w:space="0" w:color="auto"/>
            </w:tcBorders>
            <w:noWrap/>
            <w:vAlign w:val="center"/>
            <w:hideMark/>
          </w:tcPr>
          <w:p w14:paraId="724865AD"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0.56</w:t>
            </w:r>
          </w:p>
        </w:tc>
        <w:tc>
          <w:tcPr>
            <w:tcW w:w="1427" w:type="dxa"/>
            <w:tcBorders>
              <w:bottom w:val="single" w:sz="4" w:space="0" w:color="auto"/>
            </w:tcBorders>
            <w:noWrap/>
            <w:vAlign w:val="center"/>
            <w:hideMark/>
          </w:tcPr>
          <w:p w14:paraId="5E719C8D"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p>
        </w:tc>
      </w:tr>
      <w:tr w:rsidR="00597834" w:rsidRPr="00F14CE5" w14:paraId="5FF03D70" w14:textId="77777777" w:rsidTr="001E4FA5">
        <w:trPr>
          <w:trHeight w:val="276"/>
        </w:trPr>
        <w:tc>
          <w:tcPr>
            <w:tcW w:w="8642" w:type="dxa"/>
            <w:gridSpan w:val="5"/>
            <w:tcBorders>
              <w:top w:val="single" w:sz="4" w:space="0" w:color="auto"/>
            </w:tcBorders>
            <w:noWrap/>
            <w:vAlign w:val="bottom"/>
          </w:tcPr>
          <w:p w14:paraId="264C80A7" w14:textId="5B50CDA3" w:rsidR="00E509CE" w:rsidRPr="00F14CE5" w:rsidRDefault="00E509CE" w:rsidP="00E509CE">
            <w:pPr>
              <w:spacing w:after="0" w:line="240" w:lineRule="auto"/>
              <w:jc w:val="both"/>
              <w:rPr>
                <w:rFonts w:ascii="Times New Roman" w:hAnsi="Times New Roman" w:cs="Times New Roman"/>
                <w:color w:val="0D0D0D" w:themeColor="text1" w:themeTint="F2"/>
                <w:kern w:val="2"/>
                <w:sz w:val="18"/>
                <w:szCs w:val="18"/>
              </w:rPr>
            </w:pPr>
            <w:r w:rsidRPr="00F14CE5">
              <w:rPr>
                <w:rFonts w:ascii="Times New Roman" w:hAnsi="Times New Roman" w:cs="Times New Roman"/>
                <w:b/>
                <w:color w:val="0D0D0D" w:themeColor="text1" w:themeTint="F2"/>
                <w:kern w:val="2"/>
                <w:sz w:val="18"/>
                <w:szCs w:val="18"/>
              </w:rPr>
              <w:t>Legend:</w:t>
            </w:r>
            <w:r w:rsidRPr="00F14CE5">
              <w:rPr>
                <w:rFonts w:ascii="Times New Roman" w:hAnsi="Times New Roman" w:cs="Times New Roman"/>
                <w:color w:val="0D0D0D" w:themeColor="text1" w:themeTint="F2"/>
                <w:kern w:val="2"/>
                <w:sz w:val="18"/>
                <w:szCs w:val="18"/>
              </w:rPr>
              <w:t xml:space="preserve"> 3.25-4.00-Very High; 2.50-3.24-High; 1.75-2.49-Low; 1.00-1.74-Very Low</w:t>
            </w:r>
          </w:p>
        </w:tc>
      </w:tr>
    </w:tbl>
    <w:p w14:paraId="7EE69FB0" w14:textId="77777777" w:rsidR="009F6A64" w:rsidRPr="00F14CE5" w:rsidRDefault="009F6A64" w:rsidP="009F6A64">
      <w:pPr>
        <w:spacing w:after="0" w:line="240" w:lineRule="auto"/>
        <w:jc w:val="center"/>
        <w:rPr>
          <w:rFonts w:ascii="Times New Roman" w:hAnsi="Times New Roman" w:cs="Times New Roman"/>
          <w:b/>
          <w:color w:val="0D0D0D" w:themeColor="text1" w:themeTint="F2"/>
          <w:kern w:val="2"/>
          <w:sz w:val="18"/>
          <w:szCs w:val="18"/>
        </w:rPr>
      </w:pPr>
    </w:p>
    <w:p w14:paraId="1314B81E"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0D9DAE25"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1250CCA8"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5705ECAB"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7673DF7B"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0EE99370"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297B6FAA"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290BD21D"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1DD39AAC"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51B633AA" w14:textId="77777777" w:rsidR="00E509CE" w:rsidRPr="00F14CE5" w:rsidRDefault="00E509CE" w:rsidP="00AC338B">
      <w:pPr>
        <w:spacing w:line="240" w:lineRule="auto"/>
        <w:jc w:val="both"/>
        <w:rPr>
          <w:rFonts w:ascii="Times New Roman" w:hAnsi="Times New Roman" w:cs="Times New Roman"/>
          <w:bCs/>
          <w:color w:val="0D0D0D" w:themeColor="text1" w:themeTint="F2"/>
          <w:kern w:val="2"/>
          <w:sz w:val="24"/>
          <w:szCs w:val="24"/>
        </w:rPr>
      </w:pPr>
    </w:p>
    <w:p w14:paraId="4AD69217" w14:textId="2E9554AA" w:rsidR="00AC338B" w:rsidRPr="00F14CE5" w:rsidRDefault="004A0332" w:rsidP="00AC338B">
      <w:pPr>
        <w:spacing w:line="240" w:lineRule="auto"/>
        <w:ind w:firstLine="720"/>
        <w:jc w:val="both"/>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kern w:val="2"/>
          <w:sz w:val="24"/>
          <w:szCs w:val="24"/>
        </w:rPr>
        <w:br/>
        <w:t xml:space="preserve"> </w:t>
      </w:r>
      <w:r w:rsidRPr="00F14CE5">
        <w:rPr>
          <w:rFonts w:ascii="Times New Roman" w:hAnsi="Times New Roman" w:cs="Times New Roman"/>
          <w:bCs/>
          <w:color w:val="0D0D0D" w:themeColor="text1" w:themeTint="F2"/>
          <w:kern w:val="2"/>
          <w:sz w:val="24"/>
          <w:szCs w:val="24"/>
        </w:rPr>
        <w:tab/>
      </w:r>
      <w:r w:rsidR="00AC338B" w:rsidRPr="00F14CE5">
        <w:rPr>
          <w:rFonts w:ascii="Times New Roman" w:hAnsi="Times New Roman" w:cs="Times New Roman"/>
          <w:bCs/>
          <w:color w:val="0D0D0D" w:themeColor="text1" w:themeTint="F2"/>
        </w:rPr>
        <w:t>Table 5 shows the mean score given by the pre-service teachers as an indication of the competencies built by the BTVTED program for the Basic Education Teaching Competencies, across all the categories as “Very High.” The score ranges from 3.38 to 3.60, with an aggregate score of 3.47. This indicates the program competently prepares participants for foundational, technical, entrepreneurial, safety, and pedagogical skills. The BTVTED program prepares participants for the practical and teaching competencies required for the Basic Education.</w:t>
      </w:r>
    </w:p>
    <w:p w14:paraId="24AF4A35" w14:textId="77777777" w:rsidR="00AC338B" w:rsidRPr="00F14CE5" w:rsidRDefault="00AC338B" w:rsidP="00AC338B">
      <w:pPr>
        <w:spacing w:line="240" w:lineRule="auto"/>
        <w:ind w:firstLine="720"/>
        <w:jc w:val="both"/>
        <w:rPr>
          <w:rFonts w:ascii="Times New Roman" w:hAnsi="Times New Roman" w:cs="Times New Roman"/>
          <w:bCs/>
          <w:color w:val="0D0D0D" w:themeColor="text1" w:themeTint="F2"/>
          <w:kern w:val="2"/>
          <w:sz w:val="24"/>
          <w:szCs w:val="24"/>
        </w:rPr>
      </w:pPr>
      <w:r w:rsidRPr="00F14CE5">
        <w:rPr>
          <w:rFonts w:ascii="Times New Roman" w:hAnsi="Times New Roman" w:cs="Times New Roman"/>
          <w:bCs/>
          <w:color w:val="0D0D0D" w:themeColor="text1" w:themeTint="F2"/>
          <w:kern w:val="2"/>
          <w:sz w:val="24"/>
          <w:szCs w:val="24"/>
        </w:rPr>
        <w:t>The program shows a strong emphasis on technical mastery and safety. The program rated these as highest, with the ability to teach and enforce OSH standards at 3.60 and the mastery of specialized technical skills at 3.50. The program also effectively develops hands-on and project-based learning (WM = 3.52), and the ability to teach and adapt to a variety of learners (WM = 3.46), and the ability to teach entrepreneurship (WM = 3.44) as a pedagogical competency. The foundational and general industry skills (WM = 3.38–3.40) are notably well addressed, which helps in ensuring the pre-service teachers have the competencies to assist students from the 7–8 grades.</w:t>
      </w:r>
    </w:p>
    <w:p w14:paraId="54BF55D3" w14:textId="77777777" w:rsidR="00AC338B" w:rsidRPr="00F14CE5" w:rsidRDefault="00AC338B" w:rsidP="00AC338B">
      <w:pPr>
        <w:spacing w:line="240" w:lineRule="auto"/>
        <w:ind w:firstLine="72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bCs/>
          <w:color w:val="0D0D0D" w:themeColor="text1" w:themeTint="F2"/>
          <w:kern w:val="2"/>
          <w:sz w:val="24"/>
          <w:szCs w:val="24"/>
        </w:rPr>
        <w:t xml:space="preserve">The ratings suggest that the BTVTED program effectively integrates technical training and pedagogical training, which balances pre-service teachers in terms of knowledge and skills. Also, BTVTED's application of practical aids, safety, and adaptability, coupled with project-based learning, offers more responsive and engaged classrooms </w:t>
      </w:r>
      <w:r w:rsidRPr="00F14CE5">
        <w:rPr>
          <w:rFonts w:ascii="Times New Roman" w:hAnsi="Times New Roman" w:cs="Times New Roman"/>
          <w:bCs/>
          <w:color w:val="0D0D0D" w:themeColor="text1" w:themeTint="F2"/>
          <w:kern w:val="2"/>
          <w:sz w:val="24"/>
          <w:szCs w:val="24"/>
        </w:rPr>
        <w:fldChar w:fldCharType="begin"/>
      </w:r>
      <w:r w:rsidRPr="00F14CE5">
        <w:rPr>
          <w:rFonts w:ascii="Times New Roman" w:hAnsi="Times New Roman" w:cs="Times New Roman"/>
          <w:bCs/>
          <w:color w:val="0D0D0D" w:themeColor="text1" w:themeTint="F2"/>
          <w:kern w:val="2"/>
          <w:sz w:val="24"/>
          <w:szCs w:val="24"/>
        </w:rPr>
        <w:instrText xml:space="preserve"> ADDIN ZOTERO_ITEM CSL_CITATION {"citationID":"5IAGUEeR","properties":{"formattedCitation":"(Bernas &amp; Andal, 2024)","plainCitation":"(Bernas &amp; Andal, 2024)","noteIndex":0},"citationItems":[{"id":1428,"uris":["http://zotero.org/users/local/pdR0I0Iy/items/VWT8ZAQT"],"itemData":{"id":1428,"type":"webpage","abstract":"PDF | Aim: This study determined the relationship between the utilization of a project-based learning (PBL) approach as perceived by the students, the... | Find, read and cite all the research you need on ResearchGate","container-title":"ResearchGate","DOI":"10.13140/RG.2.2.27075.00807","language":"en","title":"Project-Based Learning Approach, Productive Competence, and Learning Engagement of the Bachelor of Technical-Vocational Teacher Education (BTVTED) Students","URL":"https://www.researchgate.net/publication/382219590_Project-Based_Learning_Approach_Productive_Competence_and_Learning_Engagement_of_the_Bachelor_of_Technical-Vocational_Teacher_Education_BTVTED_Students","author":[{"family":"Bernas","given":"Rojane Fernandez"},{"family":"Andal","given":"Edilberto"}],"accessed":{"date-parts":[["2025",12,9]]},"issued":{"date-parts":[["2024"]]}}}],"schema":"https://github.com/citation-style-language/schema/raw/master/csl-citation.json"} </w:instrText>
      </w:r>
      <w:r w:rsidRPr="00F14CE5">
        <w:rPr>
          <w:rFonts w:ascii="Times New Roman" w:hAnsi="Times New Roman" w:cs="Times New Roman"/>
          <w:bCs/>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(Bernas &amp; Andal, 2024)</w:t>
      </w:r>
      <w:r w:rsidRPr="00F14CE5">
        <w:rPr>
          <w:rFonts w:ascii="Times New Roman" w:hAnsi="Times New Roman" w:cs="Times New Roman"/>
          <w:bCs/>
          <w:color w:val="0D0D0D" w:themeColor="text1" w:themeTint="F2"/>
          <w:kern w:val="2"/>
          <w:sz w:val="24"/>
          <w:szCs w:val="24"/>
        </w:rPr>
        <w:fldChar w:fldCharType="end"/>
      </w:r>
      <w:r w:rsidRPr="00F14CE5">
        <w:rPr>
          <w:rFonts w:ascii="Times New Roman" w:hAnsi="Times New Roman" w:cs="Times New Roman"/>
          <w:bCs/>
          <w:color w:val="0D0D0D" w:themeColor="text1" w:themeTint="F2"/>
          <w:kern w:val="2"/>
          <w:sz w:val="24"/>
          <w:szCs w:val="24"/>
        </w:rPr>
        <w:t xml:space="preserve">. while alignment with the MATATAG Curriculum, BTVTED has better teaching results and, more importantly, better student outcomes </w:t>
      </w:r>
      <w:r w:rsidRPr="00F14CE5">
        <w:rPr>
          <w:rFonts w:ascii="Times New Roman" w:hAnsi="Times New Roman" w:cs="Times New Roman"/>
          <w:bCs/>
          <w:color w:val="0D0D0D" w:themeColor="text1" w:themeTint="F2"/>
          <w:kern w:val="2"/>
          <w:sz w:val="24"/>
          <w:szCs w:val="24"/>
        </w:rPr>
        <w:fldChar w:fldCharType="begin"/>
      </w:r>
      <w:r w:rsidRPr="00F14CE5">
        <w:rPr>
          <w:rFonts w:ascii="Times New Roman" w:hAnsi="Times New Roman" w:cs="Times New Roman"/>
          <w:bCs/>
          <w:color w:val="0D0D0D" w:themeColor="text1" w:themeTint="F2"/>
          <w:kern w:val="2"/>
          <w:sz w:val="24"/>
          <w:szCs w:val="24"/>
        </w:rPr>
        <w:instrText xml:space="preserve"> ADDIN ZOTERO_ITEM CSL_CITATION {"citationID":"f62fbhnJ","properties":{"formattedCitation":"(Gerodias, 2025)","plainCitation":"(Gerodias, 2025)","noteIndex":0},"citationItems":[{"id":1424,"uris":["http://zotero.org/users/local/pdR0I0Iy/items/6YJBU3WC"],"itemData":{"id":1424,"type":"article-journal","abstract":"Science education in the Philippines is undergoing significant transformation through the implementation of the Matatag Curriculum, which prioritizes competency-based instruction and curriculum alignment. Despite these changes, there remains a gap in the availability of instructional materials that meet these new standards, particularly in the area of Grade 7 Life Science. Addressing this gap is critical to improving student understanding and performance in science education. This study aimed to develop and evaluate competency-based learning resources for Grade 7 Life Science that are aligned with the Matatag Curriculum and designed to enhance students’ academic performance and engagement. A mixed-methods quasi-experimental design was employed, involving 145 Grade 7 students from the MSEUF Basic Education Department. The students were divided into control and experimental groups. Pretest and posttest assessments were administered to measure academic performance. At the same time, expert validation, student surveys, and teacher feedback provided qualitative and quantitative data on the effectiveness and usability of the materials. The results revealed a statistically significant improvement in the posttest scores of the experimental group compared to the control group (p &amp;lt; .001), indicating the effectiveness of the developed resources. Expert evaluations yielded high ratings for content accuracy, clarity, instructional design, and learner appropriateness. Student feedback reflected strong engagement, while teacher comments emphasized the materials’ accessibility, relevance, and support for differentiated instruction. The findings affirm the value of competency-based learning resources in supporting the goals of the Matatag Curriculum. The study recommends further application of such materials across different grade levels and schools, as well as the integration of digital formats to reach a wider range of learners.","container-title":"Aloysian Interdisciplinary Journal of Social Sciences, Education, and Allied Fields","DOI":"10.5281/zenodo.17223908","ISSN":"3082-5121","issue":"9","language":"en","license":"Copyright (c) 2025 Aloysian Interdisciplinary Journal of Social Sciences, Education, and Allied Fields","page":"299-325","source":"journals.aloysianpublications.com","title":"Development and Evaluation of Competency-Based Learning Resources for Grade 7 Life Science in the Matatag Curriculum","URL":"https://journals.aloysianpublications.com/index.php/articles/article/view/316","volume":"1","author":[{"family":"Gerodias","given":"Albert"}],"accessed":{"date-parts":[["2025",12,9]]},"issued":{"date-parts":[["2025",9,6]]}}}],"schema":"https://github.com/citation-style-language/schema/raw/master/csl-citation.json"} </w:instrText>
      </w:r>
      <w:r w:rsidRPr="00F14CE5">
        <w:rPr>
          <w:rFonts w:ascii="Times New Roman" w:hAnsi="Times New Roman" w:cs="Times New Roman"/>
          <w:bCs/>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(Gerodias, 2025)</w:t>
      </w:r>
      <w:r w:rsidRPr="00F14CE5">
        <w:rPr>
          <w:rFonts w:ascii="Times New Roman" w:hAnsi="Times New Roman" w:cs="Times New Roman"/>
          <w:bCs/>
          <w:color w:val="0D0D0D" w:themeColor="text1" w:themeTint="F2"/>
          <w:kern w:val="2"/>
          <w:sz w:val="24"/>
          <w:szCs w:val="24"/>
        </w:rPr>
        <w:fldChar w:fldCharType="end"/>
      </w:r>
      <w:r w:rsidRPr="00F14CE5">
        <w:rPr>
          <w:rFonts w:ascii="Times New Roman" w:hAnsi="Times New Roman" w:cs="Times New Roman"/>
          <w:bCs/>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t>Overall, the program is effective in preparing pre-service teachers for quality, curriculum-aligned instruction.</w:t>
      </w:r>
    </w:p>
    <w:p w14:paraId="464FCE0D" w14:textId="0A8A887A" w:rsidR="00E509CE" w:rsidRPr="00F14CE5" w:rsidRDefault="00E509CE" w:rsidP="00E509CE">
      <w:pPr>
        <w:spacing w:after="0" w:line="240" w:lineRule="auto"/>
        <w:jc w:val="both"/>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Table 6: Level of Alignment Between Competencies in the MATATAG Curriculum and Those Developed in the BTVTEd Program as Perceived Pre-Service Teachers</w:t>
      </w:r>
    </w:p>
    <w:p w14:paraId="4474258F" w14:textId="77777777" w:rsidR="00E509CE" w:rsidRPr="00F14CE5" w:rsidRDefault="00E509CE" w:rsidP="00E509CE">
      <w:pPr>
        <w:spacing w:after="0" w:line="240" w:lineRule="auto"/>
        <w:jc w:val="both"/>
        <w:rPr>
          <w:rFonts w:ascii="Times New Roman" w:eastAsia="Times New Roman" w:hAnsi="Times New Roman" w:cs="Times New Roman"/>
          <w:b/>
          <w:bCs/>
          <w:color w:val="0D0D0D" w:themeColor="text1" w:themeTint="F2"/>
          <w:kern w:val="2"/>
          <w:sz w:val="24"/>
          <w:szCs w:val="24"/>
        </w:rPr>
      </w:pPr>
    </w:p>
    <w:p w14:paraId="5E831E0A" w14:textId="77777777" w:rsidR="007D31DF" w:rsidRPr="00F14CE5" w:rsidRDefault="009F6A64" w:rsidP="00E509CE">
      <w:pPr>
        <w:spacing w:after="0" w:line="240" w:lineRule="auto"/>
        <w:ind w:firstLine="720"/>
        <w:jc w:val="both"/>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xml:space="preserve">This section examines the alignment between the competencies of the MATATAG Curriculum and those developed in the BTVTED program as perceived by pre-service teachers from Cebu Technological University–Main Campus. It assesses how well the program prepares pre-service teachers in key competency areas in relation to K–10 curriculum requirements. </w:t>
      </w:r>
    </w:p>
    <w:p w14:paraId="12606D08" w14:textId="6A62772E" w:rsidR="009F6A64" w:rsidRPr="00F14CE5" w:rsidRDefault="009F6A64" w:rsidP="00E509CE">
      <w:pPr>
        <w:spacing w:after="0" w:line="240" w:lineRule="auto"/>
        <w:ind w:firstLine="720"/>
        <w:jc w:val="both"/>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The analysis evaluates the coherence between teacher education preparation and curriculum expectations, with results presented in Table 6.</w:t>
      </w:r>
    </w:p>
    <w:tbl>
      <w:tblPr>
        <w:tblW w:w="8550" w:type="dxa"/>
        <w:tblInd w:w="1080" w:type="dxa"/>
        <w:tblLook w:val="04A0" w:firstRow="1" w:lastRow="0" w:firstColumn="1" w:lastColumn="0" w:noHBand="0" w:noVBand="1"/>
      </w:tblPr>
      <w:tblGrid>
        <w:gridCol w:w="705"/>
        <w:gridCol w:w="5055"/>
        <w:gridCol w:w="720"/>
        <w:gridCol w:w="645"/>
        <w:gridCol w:w="1425"/>
      </w:tblGrid>
      <w:tr w:rsidR="00597834" w:rsidRPr="00F14CE5" w14:paraId="1087F985" w14:textId="77777777" w:rsidTr="00E509CE">
        <w:trPr>
          <w:trHeight w:val="271"/>
        </w:trPr>
        <w:tc>
          <w:tcPr>
            <w:tcW w:w="8550" w:type="dxa"/>
            <w:gridSpan w:val="5"/>
            <w:tcBorders>
              <w:bottom w:val="single" w:sz="4" w:space="0" w:color="auto"/>
            </w:tcBorders>
            <w:noWrap/>
            <w:vAlign w:val="bottom"/>
            <w:hideMark/>
          </w:tcPr>
          <w:p w14:paraId="18438FCB"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Table 6</w:t>
            </w:r>
          </w:p>
          <w:p w14:paraId="72F027F3"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Level of Alignment Between Competencies in the MATATAG Curriculum </w:t>
            </w:r>
          </w:p>
          <w:p w14:paraId="023980E1" w14:textId="77777777" w:rsidR="009F6A64" w:rsidRPr="00F14CE5" w:rsidRDefault="009F6A64" w:rsidP="009F6A64">
            <w:pPr>
              <w:spacing w:after="0" w:line="240" w:lineRule="auto"/>
              <w:jc w:val="center"/>
              <w:rPr>
                <w:rFonts w:ascii="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and Those D</w:t>
            </w:r>
            <w:r w:rsidRPr="00F14CE5">
              <w:rPr>
                <w:rFonts w:ascii="Times New Roman" w:hAnsi="Times New Roman" w:cs="Times New Roman"/>
                <w:b/>
                <w:bCs/>
                <w:color w:val="0D0D0D" w:themeColor="text1" w:themeTint="F2"/>
                <w:kern w:val="2"/>
                <w:sz w:val="18"/>
                <w:szCs w:val="18"/>
              </w:rPr>
              <w:t xml:space="preserve">eveloped in the BTVTEd Program, </w:t>
            </w:r>
          </w:p>
          <w:p w14:paraId="7311E4EB" w14:textId="77777777" w:rsidR="009F6A64" w:rsidRPr="00F14CE5" w:rsidRDefault="009F6A64" w:rsidP="009F6A64">
            <w:pPr>
              <w:spacing w:after="0" w:line="240" w:lineRule="auto"/>
              <w:jc w:val="center"/>
              <w:rPr>
                <w:rFonts w:ascii="Times New Roman" w:hAnsi="Times New Roman" w:cs="Times New Roman"/>
                <w:b/>
                <w:bCs/>
                <w:color w:val="0D0D0D" w:themeColor="text1" w:themeTint="F2"/>
                <w:kern w:val="2"/>
                <w:sz w:val="18"/>
                <w:szCs w:val="18"/>
              </w:rPr>
            </w:pPr>
            <w:r w:rsidRPr="00F14CE5">
              <w:rPr>
                <w:rFonts w:ascii="Times New Roman" w:hAnsi="Times New Roman" w:cs="Times New Roman"/>
                <w:b/>
                <w:bCs/>
                <w:color w:val="0D0D0D" w:themeColor="text1" w:themeTint="F2"/>
                <w:kern w:val="2"/>
                <w:sz w:val="18"/>
                <w:szCs w:val="18"/>
              </w:rPr>
              <w:t xml:space="preserve">as </w:t>
            </w:r>
            <w:r w:rsidRPr="00F14CE5">
              <w:rPr>
                <w:rFonts w:ascii="Times New Roman" w:eastAsia="Times New Roman" w:hAnsi="Times New Roman" w:cs="Times New Roman"/>
                <w:b/>
                <w:bCs/>
                <w:color w:val="0D0D0D" w:themeColor="text1" w:themeTint="F2"/>
                <w:kern w:val="2"/>
                <w:sz w:val="18"/>
                <w:szCs w:val="18"/>
              </w:rPr>
              <w:t xml:space="preserve">Perceived </w:t>
            </w:r>
            <w:r w:rsidRPr="00F14CE5">
              <w:rPr>
                <w:rFonts w:ascii="Times New Roman" w:hAnsi="Times New Roman" w:cs="Times New Roman"/>
                <w:b/>
                <w:bCs/>
                <w:color w:val="0D0D0D" w:themeColor="text1" w:themeTint="F2"/>
                <w:kern w:val="2"/>
                <w:sz w:val="18"/>
                <w:szCs w:val="18"/>
              </w:rPr>
              <w:t>Pre-Service Teachers</w:t>
            </w:r>
          </w:p>
        </w:tc>
      </w:tr>
      <w:tr w:rsidR="00597834" w:rsidRPr="00F14CE5" w14:paraId="24AB7D53" w14:textId="77777777" w:rsidTr="00E509CE">
        <w:trPr>
          <w:trHeight w:val="271"/>
        </w:trPr>
        <w:tc>
          <w:tcPr>
            <w:tcW w:w="705" w:type="dxa"/>
            <w:tcBorders>
              <w:top w:val="single" w:sz="4" w:space="0" w:color="auto"/>
              <w:bottom w:val="single" w:sz="4" w:space="0" w:color="auto"/>
            </w:tcBorders>
            <w:noWrap/>
            <w:vAlign w:val="center"/>
            <w:hideMark/>
          </w:tcPr>
          <w:p w14:paraId="4B7C2E52"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S/N</w:t>
            </w:r>
          </w:p>
        </w:tc>
        <w:tc>
          <w:tcPr>
            <w:tcW w:w="5055" w:type="dxa"/>
            <w:tcBorders>
              <w:top w:val="single" w:sz="4" w:space="0" w:color="auto"/>
              <w:bottom w:val="single" w:sz="4" w:space="0" w:color="auto"/>
            </w:tcBorders>
            <w:noWrap/>
            <w:vAlign w:val="center"/>
            <w:hideMark/>
          </w:tcPr>
          <w:p w14:paraId="7609D2C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Indicators</w:t>
            </w:r>
          </w:p>
        </w:tc>
        <w:tc>
          <w:tcPr>
            <w:tcW w:w="720" w:type="dxa"/>
            <w:tcBorders>
              <w:top w:val="single" w:sz="4" w:space="0" w:color="auto"/>
              <w:bottom w:val="single" w:sz="4" w:space="0" w:color="auto"/>
            </w:tcBorders>
            <w:noWrap/>
            <w:vAlign w:val="center"/>
            <w:hideMark/>
          </w:tcPr>
          <w:p w14:paraId="71E932ED"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WM</w:t>
            </w:r>
          </w:p>
        </w:tc>
        <w:tc>
          <w:tcPr>
            <w:tcW w:w="645" w:type="dxa"/>
            <w:tcBorders>
              <w:top w:val="single" w:sz="4" w:space="0" w:color="auto"/>
              <w:bottom w:val="single" w:sz="4" w:space="0" w:color="auto"/>
            </w:tcBorders>
            <w:noWrap/>
            <w:vAlign w:val="center"/>
            <w:hideMark/>
          </w:tcPr>
          <w:p w14:paraId="1A53A550"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SD</w:t>
            </w:r>
          </w:p>
        </w:tc>
        <w:tc>
          <w:tcPr>
            <w:tcW w:w="1425" w:type="dxa"/>
            <w:tcBorders>
              <w:top w:val="single" w:sz="4" w:space="0" w:color="auto"/>
              <w:bottom w:val="single" w:sz="4" w:space="0" w:color="auto"/>
            </w:tcBorders>
            <w:noWrap/>
            <w:vAlign w:val="center"/>
            <w:hideMark/>
          </w:tcPr>
          <w:p w14:paraId="15F9A13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Verbal Description</w:t>
            </w:r>
          </w:p>
        </w:tc>
      </w:tr>
      <w:tr w:rsidR="00597834" w:rsidRPr="00F14CE5" w14:paraId="63EAF328" w14:textId="77777777" w:rsidTr="00E509CE">
        <w:trPr>
          <w:trHeight w:val="271"/>
        </w:trPr>
        <w:tc>
          <w:tcPr>
            <w:tcW w:w="705" w:type="dxa"/>
            <w:tcBorders>
              <w:top w:val="single" w:sz="4" w:space="0" w:color="auto"/>
            </w:tcBorders>
            <w:noWrap/>
            <w:vAlign w:val="center"/>
            <w:hideMark/>
          </w:tcPr>
          <w:p w14:paraId="61F39CA9"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w:t>
            </w:r>
          </w:p>
        </w:tc>
        <w:tc>
          <w:tcPr>
            <w:tcW w:w="5055" w:type="dxa"/>
            <w:tcBorders>
              <w:top w:val="single" w:sz="4" w:space="0" w:color="auto"/>
            </w:tcBorders>
            <w:noWrap/>
            <w:vAlign w:val="bottom"/>
            <w:hideMark/>
          </w:tcPr>
          <w:p w14:paraId="59CDF27C"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common industry skills I learned in the BTVTED program are well-aligned with the MATATAG curriculum's requirements. </w:t>
            </w:r>
          </w:p>
          <w:p w14:paraId="4CDC58E3"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3C4ACE23"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single" w:sz="4" w:space="0" w:color="auto"/>
            </w:tcBorders>
            <w:noWrap/>
            <w:vAlign w:val="center"/>
            <w:hideMark/>
          </w:tcPr>
          <w:p w14:paraId="1CD2EE1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3.36</w:t>
            </w:r>
          </w:p>
        </w:tc>
        <w:tc>
          <w:tcPr>
            <w:tcW w:w="645" w:type="dxa"/>
            <w:tcBorders>
              <w:top w:val="single" w:sz="4" w:space="0" w:color="auto"/>
            </w:tcBorders>
            <w:noWrap/>
            <w:vAlign w:val="center"/>
            <w:hideMark/>
          </w:tcPr>
          <w:p w14:paraId="6305500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0.53</w:t>
            </w:r>
          </w:p>
        </w:tc>
        <w:tc>
          <w:tcPr>
            <w:tcW w:w="1425" w:type="dxa"/>
            <w:tcBorders>
              <w:top w:val="single" w:sz="4" w:space="0" w:color="auto"/>
            </w:tcBorders>
            <w:noWrap/>
            <w:vAlign w:val="center"/>
            <w:hideMark/>
          </w:tcPr>
          <w:p w14:paraId="5DDC3505"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EEE6756" w14:textId="77777777" w:rsidTr="00E509CE">
        <w:trPr>
          <w:trHeight w:val="271"/>
        </w:trPr>
        <w:tc>
          <w:tcPr>
            <w:tcW w:w="705" w:type="dxa"/>
            <w:tcBorders>
              <w:top w:val="nil"/>
            </w:tcBorders>
            <w:noWrap/>
            <w:vAlign w:val="center"/>
            <w:hideMark/>
          </w:tcPr>
          <w:p w14:paraId="477F266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2</w:t>
            </w:r>
          </w:p>
        </w:tc>
        <w:tc>
          <w:tcPr>
            <w:tcW w:w="5055" w:type="dxa"/>
            <w:tcBorders>
              <w:top w:val="nil"/>
            </w:tcBorders>
            <w:noWrap/>
            <w:vAlign w:val="bottom"/>
            <w:hideMark/>
          </w:tcPr>
          <w:p w14:paraId="73F18506"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There is a strong alignment between the specialized technical skills of my BTVTED major and those mandated by MATATAG</w:t>
            </w:r>
          </w:p>
          <w:p w14:paraId="13893330"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117D8398"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172E18D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lastRenderedPageBreak/>
              <w:t>3.42</w:t>
            </w:r>
          </w:p>
        </w:tc>
        <w:tc>
          <w:tcPr>
            <w:tcW w:w="645" w:type="dxa"/>
            <w:tcBorders>
              <w:top w:val="nil"/>
            </w:tcBorders>
            <w:noWrap/>
            <w:vAlign w:val="center"/>
            <w:hideMark/>
          </w:tcPr>
          <w:p w14:paraId="5E7ABF0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25" w:type="dxa"/>
            <w:tcBorders>
              <w:top w:val="nil"/>
            </w:tcBorders>
            <w:noWrap/>
            <w:vAlign w:val="center"/>
            <w:hideMark/>
          </w:tcPr>
          <w:p w14:paraId="2600273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97EE588" w14:textId="77777777" w:rsidTr="00E509CE">
        <w:trPr>
          <w:trHeight w:val="271"/>
        </w:trPr>
        <w:tc>
          <w:tcPr>
            <w:tcW w:w="705" w:type="dxa"/>
            <w:tcBorders>
              <w:top w:val="nil"/>
            </w:tcBorders>
            <w:noWrap/>
            <w:vAlign w:val="center"/>
            <w:hideMark/>
          </w:tcPr>
          <w:p w14:paraId="4AFF4B1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lastRenderedPageBreak/>
              <w:t>3</w:t>
            </w:r>
          </w:p>
        </w:tc>
        <w:tc>
          <w:tcPr>
            <w:tcW w:w="5055" w:type="dxa"/>
            <w:tcBorders>
              <w:top w:val="nil"/>
            </w:tcBorders>
            <w:noWrap/>
            <w:vAlign w:val="bottom"/>
            <w:hideMark/>
          </w:tcPr>
          <w:p w14:paraId="3EEFE30E"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pedagogical approaches I was trained on in BTVTED are the same as those required by the MATATAG curriculum. </w:t>
            </w:r>
          </w:p>
          <w:p w14:paraId="13E6710C"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0A8B8E7D"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26E5FC9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3.40</w:t>
            </w:r>
          </w:p>
        </w:tc>
        <w:tc>
          <w:tcPr>
            <w:tcW w:w="645" w:type="dxa"/>
            <w:tcBorders>
              <w:top w:val="nil"/>
            </w:tcBorders>
            <w:noWrap/>
            <w:vAlign w:val="center"/>
            <w:hideMark/>
          </w:tcPr>
          <w:p w14:paraId="6017387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0.53</w:t>
            </w:r>
          </w:p>
        </w:tc>
        <w:tc>
          <w:tcPr>
            <w:tcW w:w="1425" w:type="dxa"/>
            <w:tcBorders>
              <w:top w:val="nil"/>
            </w:tcBorders>
            <w:noWrap/>
            <w:vAlign w:val="center"/>
            <w:hideMark/>
          </w:tcPr>
          <w:p w14:paraId="75DF103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2F9BDBDE" w14:textId="77777777" w:rsidTr="00E509CE">
        <w:trPr>
          <w:trHeight w:val="271"/>
        </w:trPr>
        <w:tc>
          <w:tcPr>
            <w:tcW w:w="705" w:type="dxa"/>
            <w:tcBorders>
              <w:top w:val="nil"/>
            </w:tcBorders>
            <w:noWrap/>
            <w:vAlign w:val="center"/>
            <w:hideMark/>
          </w:tcPr>
          <w:p w14:paraId="64383F2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4</w:t>
            </w:r>
          </w:p>
        </w:tc>
        <w:tc>
          <w:tcPr>
            <w:tcW w:w="5055" w:type="dxa"/>
            <w:tcBorders>
              <w:top w:val="nil"/>
            </w:tcBorders>
            <w:noWrap/>
            <w:vAlign w:val="bottom"/>
            <w:hideMark/>
          </w:tcPr>
          <w:p w14:paraId="5CDB0C69"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emphasis on Occupational Safety and Health (OSH) in BTVTED is consistent with the MATATAG curriculum's standards. </w:t>
            </w:r>
          </w:p>
          <w:p w14:paraId="5A780B28"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4A50F6C4"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1F17930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3.36</w:t>
            </w:r>
          </w:p>
        </w:tc>
        <w:tc>
          <w:tcPr>
            <w:tcW w:w="645" w:type="dxa"/>
            <w:tcBorders>
              <w:top w:val="nil"/>
            </w:tcBorders>
            <w:noWrap/>
            <w:vAlign w:val="center"/>
            <w:hideMark/>
          </w:tcPr>
          <w:p w14:paraId="666F19A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0.56</w:t>
            </w:r>
          </w:p>
        </w:tc>
        <w:tc>
          <w:tcPr>
            <w:tcW w:w="1425" w:type="dxa"/>
            <w:tcBorders>
              <w:top w:val="nil"/>
            </w:tcBorders>
            <w:noWrap/>
            <w:vAlign w:val="center"/>
            <w:hideMark/>
          </w:tcPr>
          <w:p w14:paraId="4F37ED6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159221D0" w14:textId="77777777" w:rsidTr="00E509CE">
        <w:trPr>
          <w:trHeight w:val="271"/>
        </w:trPr>
        <w:tc>
          <w:tcPr>
            <w:tcW w:w="705" w:type="dxa"/>
            <w:tcBorders>
              <w:top w:val="nil"/>
            </w:tcBorders>
            <w:noWrap/>
            <w:vAlign w:val="center"/>
            <w:hideMark/>
          </w:tcPr>
          <w:p w14:paraId="094E9DC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5</w:t>
            </w:r>
          </w:p>
        </w:tc>
        <w:tc>
          <w:tcPr>
            <w:tcW w:w="5055" w:type="dxa"/>
            <w:tcBorders>
              <w:top w:val="nil"/>
            </w:tcBorders>
            <w:noWrap/>
            <w:vAlign w:val="bottom"/>
            <w:hideMark/>
          </w:tcPr>
          <w:p w14:paraId="2806C13E"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entrepreneurial competencies developed in the BTVTED program are a good fit for the MATATAG curriculum's focus. </w:t>
            </w:r>
          </w:p>
          <w:p w14:paraId="26302FFB"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21AD7C76"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178C914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3.48</w:t>
            </w:r>
          </w:p>
        </w:tc>
        <w:tc>
          <w:tcPr>
            <w:tcW w:w="645" w:type="dxa"/>
            <w:tcBorders>
              <w:top w:val="nil"/>
            </w:tcBorders>
            <w:noWrap/>
            <w:vAlign w:val="center"/>
            <w:hideMark/>
          </w:tcPr>
          <w:p w14:paraId="06AD7B6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5" w:type="dxa"/>
            <w:tcBorders>
              <w:top w:val="nil"/>
            </w:tcBorders>
            <w:noWrap/>
            <w:vAlign w:val="center"/>
            <w:hideMark/>
          </w:tcPr>
          <w:p w14:paraId="4862E904"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7352B49" w14:textId="77777777" w:rsidTr="00E509CE">
        <w:trPr>
          <w:trHeight w:val="271"/>
        </w:trPr>
        <w:tc>
          <w:tcPr>
            <w:tcW w:w="705" w:type="dxa"/>
            <w:tcBorders>
              <w:top w:val="nil"/>
            </w:tcBorders>
            <w:noWrap/>
            <w:vAlign w:val="center"/>
            <w:hideMark/>
          </w:tcPr>
          <w:p w14:paraId="2227D67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6</w:t>
            </w:r>
          </w:p>
        </w:tc>
        <w:tc>
          <w:tcPr>
            <w:tcW w:w="5055" w:type="dxa"/>
            <w:tcBorders>
              <w:top w:val="nil"/>
            </w:tcBorders>
            <w:noWrap/>
            <w:vAlign w:val="bottom"/>
            <w:hideMark/>
          </w:tcPr>
          <w:p w14:paraId="6D5C86DF"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There is a noticeable gap between the technological skills I possess from BTVTED and those required by the curriculum. </w:t>
            </w:r>
          </w:p>
          <w:p w14:paraId="11AF16D2"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050B28DF"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182B976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3.42</w:t>
            </w:r>
          </w:p>
        </w:tc>
        <w:tc>
          <w:tcPr>
            <w:tcW w:w="645" w:type="dxa"/>
            <w:tcBorders>
              <w:top w:val="nil"/>
            </w:tcBorders>
            <w:noWrap/>
            <w:vAlign w:val="center"/>
            <w:hideMark/>
          </w:tcPr>
          <w:p w14:paraId="5B5D151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5" w:type="dxa"/>
            <w:tcBorders>
              <w:top w:val="nil"/>
            </w:tcBorders>
            <w:noWrap/>
            <w:vAlign w:val="center"/>
            <w:hideMark/>
          </w:tcPr>
          <w:p w14:paraId="1CFE69F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7016848D" w14:textId="77777777" w:rsidTr="00E509CE">
        <w:trPr>
          <w:trHeight w:val="271"/>
        </w:trPr>
        <w:tc>
          <w:tcPr>
            <w:tcW w:w="705" w:type="dxa"/>
            <w:tcBorders>
              <w:top w:val="nil"/>
            </w:tcBorders>
            <w:noWrap/>
            <w:vAlign w:val="center"/>
            <w:hideMark/>
          </w:tcPr>
          <w:p w14:paraId="7DCA6C94"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7</w:t>
            </w:r>
          </w:p>
        </w:tc>
        <w:tc>
          <w:tcPr>
            <w:tcW w:w="5055" w:type="dxa"/>
            <w:tcBorders>
              <w:top w:val="nil"/>
            </w:tcBorders>
            <w:noWrap/>
            <w:vAlign w:val="bottom"/>
            <w:hideMark/>
          </w:tcPr>
          <w:p w14:paraId="59B45A88"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assessment methods used in the BTVTED program are suitable for evaluating MATATAG curriculum competencies. </w:t>
            </w:r>
          </w:p>
          <w:p w14:paraId="7701FB7B"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p w14:paraId="221982FD"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47C2ED9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3.42</w:t>
            </w:r>
          </w:p>
        </w:tc>
        <w:tc>
          <w:tcPr>
            <w:tcW w:w="645" w:type="dxa"/>
            <w:tcBorders>
              <w:top w:val="nil"/>
            </w:tcBorders>
            <w:noWrap/>
            <w:vAlign w:val="center"/>
            <w:hideMark/>
          </w:tcPr>
          <w:p w14:paraId="1C209C5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5" w:type="dxa"/>
            <w:tcBorders>
              <w:top w:val="nil"/>
            </w:tcBorders>
            <w:noWrap/>
            <w:vAlign w:val="center"/>
            <w:hideMark/>
          </w:tcPr>
          <w:p w14:paraId="2A1B303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3744FABB" w14:textId="77777777" w:rsidTr="00E509CE">
        <w:trPr>
          <w:trHeight w:val="271"/>
        </w:trPr>
        <w:tc>
          <w:tcPr>
            <w:tcW w:w="705" w:type="dxa"/>
            <w:tcBorders>
              <w:top w:val="nil"/>
            </w:tcBorders>
            <w:noWrap/>
            <w:vAlign w:val="center"/>
            <w:hideMark/>
          </w:tcPr>
          <w:p w14:paraId="2AE800B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8</w:t>
            </w:r>
          </w:p>
        </w:tc>
        <w:tc>
          <w:tcPr>
            <w:tcW w:w="5055" w:type="dxa"/>
            <w:tcBorders>
              <w:top w:val="nil"/>
            </w:tcBorders>
            <w:noWrap/>
            <w:vAlign w:val="bottom"/>
            <w:hideMark/>
          </w:tcPr>
          <w:p w14:paraId="21716C0A"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My training in BTVTED prepared me for the skill progression outlined in the MATATAG curriculum.</w:t>
            </w:r>
          </w:p>
          <w:p w14:paraId="174A8E82"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2249C0A9"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270C60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3.42</w:t>
            </w:r>
          </w:p>
        </w:tc>
        <w:tc>
          <w:tcPr>
            <w:tcW w:w="645" w:type="dxa"/>
            <w:tcBorders>
              <w:top w:val="nil"/>
            </w:tcBorders>
            <w:noWrap/>
            <w:vAlign w:val="center"/>
            <w:hideMark/>
          </w:tcPr>
          <w:p w14:paraId="3B6A8C1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25" w:type="dxa"/>
            <w:tcBorders>
              <w:top w:val="nil"/>
            </w:tcBorders>
            <w:noWrap/>
            <w:vAlign w:val="center"/>
            <w:hideMark/>
          </w:tcPr>
          <w:p w14:paraId="018DC82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ED99E90" w14:textId="77777777" w:rsidTr="00E509CE">
        <w:trPr>
          <w:trHeight w:val="271"/>
        </w:trPr>
        <w:tc>
          <w:tcPr>
            <w:tcW w:w="705" w:type="dxa"/>
            <w:tcBorders>
              <w:top w:val="nil"/>
            </w:tcBorders>
            <w:noWrap/>
            <w:vAlign w:val="center"/>
            <w:hideMark/>
          </w:tcPr>
          <w:p w14:paraId="6C539AF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9</w:t>
            </w:r>
          </w:p>
        </w:tc>
        <w:tc>
          <w:tcPr>
            <w:tcW w:w="5055" w:type="dxa"/>
            <w:tcBorders>
              <w:top w:val="nil"/>
            </w:tcBorders>
            <w:noWrap/>
            <w:vAlign w:val="bottom"/>
            <w:hideMark/>
          </w:tcPr>
          <w:p w14:paraId="5E6DFD61"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BTVTED program effectively integrates industry-relevant experiences in alignment with MATATAG standards. </w:t>
            </w:r>
          </w:p>
          <w:p w14:paraId="3C9E5CDD"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225D4FF8"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70D1B415"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3.46</w:t>
            </w:r>
          </w:p>
        </w:tc>
        <w:tc>
          <w:tcPr>
            <w:tcW w:w="645" w:type="dxa"/>
            <w:tcBorders>
              <w:top w:val="nil"/>
            </w:tcBorders>
            <w:noWrap/>
            <w:vAlign w:val="center"/>
            <w:hideMark/>
          </w:tcPr>
          <w:p w14:paraId="37F68569"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25" w:type="dxa"/>
            <w:tcBorders>
              <w:top w:val="nil"/>
            </w:tcBorders>
            <w:noWrap/>
            <w:vAlign w:val="center"/>
            <w:hideMark/>
          </w:tcPr>
          <w:p w14:paraId="0768E9A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47FE8BA" w14:textId="77777777" w:rsidTr="00E509CE">
        <w:trPr>
          <w:trHeight w:val="271"/>
        </w:trPr>
        <w:tc>
          <w:tcPr>
            <w:tcW w:w="705" w:type="dxa"/>
            <w:tcBorders>
              <w:top w:val="nil"/>
            </w:tcBorders>
            <w:noWrap/>
            <w:vAlign w:val="center"/>
            <w:hideMark/>
          </w:tcPr>
          <w:p w14:paraId="5DA4D8C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10</w:t>
            </w:r>
          </w:p>
        </w:tc>
        <w:tc>
          <w:tcPr>
            <w:tcW w:w="5055" w:type="dxa"/>
            <w:tcBorders>
              <w:top w:val="nil"/>
            </w:tcBorders>
            <w:noWrap/>
            <w:vAlign w:val="bottom"/>
            <w:hideMark/>
          </w:tcPr>
          <w:p w14:paraId="181DE5D3"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Overall, the BTVTED program is well-aligned with the competency requirements of the MATATAG curriculum. </w:t>
            </w:r>
          </w:p>
          <w:p w14:paraId="4E068FB7"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6CC444EE"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40955C6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3.48</w:t>
            </w:r>
          </w:p>
        </w:tc>
        <w:tc>
          <w:tcPr>
            <w:tcW w:w="645" w:type="dxa"/>
            <w:tcBorders>
              <w:top w:val="nil"/>
            </w:tcBorders>
            <w:noWrap/>
            <w:vAlign w:val="center"/>
            <w:hideMark/>
          </w:tcPr>
          <w:p w14:paraId="3D07356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25" w:type="dxa"/>
            <w:tcBorders>
              <w:top w:val="nil"/>
            </w:tcBorders>
            <w:noWrap/>
            <w:vAlign w:val="center"/>
            <w:hideMark/>
          </w:tcPr>
          <w:p w14:paraId="5897D98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3217C55" w14:textId="77777777" w:rsidTr="007D31DF">
        <w:trPr>
          <w:trHeight w:val="271"/>
        </w:trPr>
        <w:tc>
          <w:tcPr>
            <w:tcW w:w="5760" w:type="dxa"/>
            <w:gridSpan w:val="2"/>
            <w:noWrap/>
            <w:vAlign w:val="bottom"/>
            <w:hideMark/>
          </w:tcPr>
          <w:p w14:paraId="4A10109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Aggregate Weighted Mean </w:t>
            </w:r>
          </w:p>
        </w:tc>
        <w:tc>
          <w:tcPr>
            <w:tcW w:w="720" w:type="dxa"/>
            <w:noWrap/>
            <w:vAlign w:val="center"/>
            <w:hideMark/>
          </w:tcPr>
          <w:p w14:paraId="655A7090"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3.42</w:t>
            </w:r>
          </w:p>
        </w:tc>
        <w:tc>
          <w:tcPr>
            <w:tcW w:w="645" w:type="dxa"/>
            <w:noWrap/>
            <w:vAlign w:val="center"/>
            <w:hideMark/>
          </w:tcPr>
          <w:p w14:paraId="599D251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1425" w:type="dxa"/>
            <w:noWrap/>
            <w:vAlign w:val="center"/>
            <w:hideMark/>
          </w:tcPr>
          <w:p w14:paraId="7CA5E3C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Very High</w:t>
            </w:r>
          </w:p>
        </w:tc>
      </w:tr>
      <w:tr w:rsidR="00597834" w:rsidRPr="00F14CE5" w14:paraId="13062CA1" w14:textId="77777777" w:rsidTr="007D31DF">
        <w:trPr>
          <w:trHeight w:val="271"/>
        </w:trPr>
        <w:tc>
          <w:tcPr>
            <w:tcW w:w="5760" w:type="dxa"/>
            <w:gridSpan w:val="2"/>
            <w:tcBorders>
              <w:bottom w:val="single" w:sz="4" w:space="0" w:color="auto"/>
            </w:tcBorders>
            <w:noWrap/>
            <w:vAlign w:val="bottom"/>
            <w:hideMark/>
          </w:tcPr>
          <w:p w14:paraId="36AB6D5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Standard Deviation</w:t>
            </w:r>
          </w:p>
        </w:tc>
        <w:tc>
          <w:tcPr>
            <w:tcW w:w="720" w:type="dxa"/>
            <w:tcBorders>
              <w:bottom w:val="single" w:sz="4" w:space="0" w:color="auto"/>
            </w:tcBorders>
            <w:noWrap/>
            <w:vAlign w:val="center"/>
            <w:hideMark/>
          </w:tcPr>
          <w:p w14:paraId="698F9A99"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645" w:type="dxa"/>
            <w:tcBorders>
              <w:bottom w:val="single" w:sz="4" w:space="0" w:color="auto"/>
            </w:tcBorders>
            <w:noWrap/>
            <w:vAlign w:val="center"/>
            <w:hideMark/>
          </w:tcPr>
          <w:p w14:paraId="452ABC32"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0.52</w:t>
            </w:r>
          </w:p>
        </w:tc>
        <w:tc>
          <w:tcPr>
            <w:tcW w:w="1425" w:type="dxa"/>
            <w:tcBorders>
              <w:bottom w:val="single" w:sz="4" w:space="0" w:color="auto"/>
            </w:tcBorders>
            <w:noWrap/>
            <w:vAlign w:val="center"/>
            <w:hideMark/>
          </w:tcPr>
          <w:p w14:paraId="13829120"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r>
      <w:tr w:rsidR="00DC43D6" w:rsidRPr="00F14CE5" w14:paraId="5F9524F4" w14:textId="77777777" w:rsidTr="007D31DF">
        <w:trPr>
          <w:trHeight w:val="271"/>
        </w:trPr>
        <w:tc>
          <w:tcPr>
            <w:tcW w:w="8550" w:type="dxa"/>
            <w:gridSpan w:val="5"/>
            <w:tcBorders>
              <w:top w:val="single" w:sz="4" w:space="0" w:color="auto"/>
            </w:tcBorders>
            <w:noWrap/>
            <w:vAlign w:val="bottom"/>
          </w:tcPr>
          <w:p w14:paraId="1557AD04" w14:textId="3D64E219" w:rsidR="007D31DF" w:rsidRPr="00F14CE5" w:rsidRDefault="007D31DF" w:rsidP="007D31DF">
            <w:pPr>
              <w:spacing w:after="0" w:line="240" w:lineRule="auto"/>
              <w:rPr>
                <w:rFonts w:ascii="Times New Roman" w:eastAsia="Times New Roman" w:hAnsi="Times New Roman" w:cs="Times New Roman"/>
                <w:b/>
                <w:bCs/>
                <w:color w:val="0D0D0D" w:themeColor="text1" w:themeTint="F2"/>
                <w:kern w:val="2"/>
                <w:sz w:val="18"/>
                <w:szCs w:val="18"/>
              </w:rPr>
            </w:pPr>
            <w:r w:rsidRPr="00F14CE5">
              <w:rPr>
                <w:rFonts w:ascii="Times New Roman" w:hAnsi="Times New Roman" w:cs="Times New Roman"/>
                <w:b/>
                <w:color w:val="0D0D0D" w:themeColor="text1" w:themeTint="F2"/>
                <w:kern w:val="2"/>
                <w:sz w:val="18"/>
                <w:szCs w:val="18"/>
              </w:rPr>
              <w:t>Legend:</w:t>
            </w:r>
            <w:r w:rsidRPr="00F14CE5">
              <w:rPr>
                <w:rFonts w:ascii="Times New Roman" w:hAnsi="Times New Roman" w:cs="Times New Roman"/>
                <w:color w:val="0D0D0D" w:themeColor="text1" w:themeTint="F2"/>
                <w:kern w:val="2"/>
                <w:sz w:val="18"/>
                <w:szCs w:val="18"/>
              </w:rPr>
              <w:t xml:space="preserve"> 3.25-4.00-Very High; 2.50-3.24-High; 1.75-2.49-Low; 1.00-1.74-Very Low</w:t>
            </w:r>
          </w:p>
        </w:tc>
      </w:tr>
    </w:tbl>
    <w:p w14:paraId="418F4486" w14:textId="77777777" w:rsidR="009F6A64" w:rsidRPr="00F14CE5" w:rsidRDefault="009F6A64" w:rsidP="009F6A64">
      <w:pPr>
        <w:spacing w:after="0" w:line="240" w:lineRule="auto"/>
        <w:jc w:val="both"/>
        <w:rPr>
          <w:rFonts w:ascii="Times New Roman" w:hAnsi="Times New Roman" w:cs="Times New Roman"/>
          <w:color w:val="0D0D0D" w:themeColor="text1" w:themeTint="F2"/>
          <w:kern w:val="2"/>
          <w:sz w:val="18"/>
          <w:szCs w:val="18"/>
        </w:rPr>
      </w:pPr>
    </w:p>
    <w:p w14:paraId="5FD4B498" w14:textId="77777777" w:rsidR="007A3A6E" w:rsidRPr="00F14CE5" w:rsidRDefault="007A3A6E" w:rsidP="007A3A6E">
      <w:pPr>
        <w:spacing w:line="240" w:lineRule="auto"/>
        <w:ind w:firstLine="72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Table 6 demonstrates that pre-service teachers consider the alignment of BTVTED competencies with the MATATAG Curriculum to be “Very High,” with their weighted mean estimates ranging from 3.36 to 3.48, with an overall mean of 3.42. This strong alignment of almost all the technical, pedagogical, entrepreneurial, OSH, and industry skills competencies suggests that the BTVTED program helps participants to understand the MAHATAG Curriculum and the essential competencies that teachers should possess.</w:t>
      </w:r>
    </w:p>
    <w:p w14:paraId="1F139EF2" w14:textId="77777777" w:rsidR="007A3A6E" w:rsidRPr="00F14CE5" w:rsidRDefault="007A3A6E" w:rsidP="007A3A6E">
      <w:pPr>
        <w:spacing w:line="240" w:lineRule="auto"/>
        <w:ind w:firstLine="72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The data indicated strong alignment of the BTVTED Curriculum Program with the MATATAG Curriculum in the areas of technical and pedagogical skills. The highest ratings were given to the entrepreneurial skills (WM = 3.48) and overall alignment (WM = 3.48), meaning that pre-service teachers were strongly prepared with the necessary competencies. Although the alignment of common industry skills and OSH (WM = 3.36) was somewhat lower, the data were high in overall alignment among the different aspects.</w:t>
      </w:r>
    </w:p>
    <w:p w14:paraId="5F19A831" w14:textId="368067E0" w:rsidR="001E4FA5" w:rsidRPr="00F14CE5" w:rsidRDefault="007A3A6E" w:rsidP="007A3A6E">
      <w:pPr>
        <w:spacing w:line="240" w:lineRule="auto"/>
        <w:ind w:firstLine="720"/>
        <w:jc w:val="both"/>
        <w:rPr>
          <w:rFonts w:ascii="Times New Roman" w:hAnsi="Times New Roman" w:cs="Times New Roman"/>
          <w:bCs/>
          <w:color w:val="0D0D0D" w:themeColor="text1" w:themeTint="F2"/>
          <w:kern w:val="2"/>
          <w:sz w:val="24"/>
          <w:szCs w:val="24"/>
        </w:rPr>
      </w:pPr>
      <w:r w:rsidRPr="00F14CE5">
        <w:rPr>
          <w:rFonts w:ascii="Times New Roman" w:hAnsi="Times New Roman" w:cs="Times New Roman"/>
          <w:bCs/>
          <w:color w:val="0D0D0D" w:themeColor="text1" w:themeTint="F2"/>
          <w:kern w:val="2"/>
          <w:sz w:val="24"/>
          <w:szCs w:val="24"/>
        </w:rPr>
        <w:t>The very high ratings imply that the BTVTED program represents a good alignment with the MATATAG Curriculum, helping pre-service teachers with the pedagogical and technical skills for K–10 teaching. Minor gaps were noted in the development of key holistic competencies</w:t>
      </w:r>
      <w:r w:rsidR="009F6A64" w:rsidRPr="00F14CE5">
        <w:rPr>
          <w:rFonts w:ascii="Times New Roman" w:hAnsi="Times New Roman" w:cs="Times New Roman"/>
          <w:bCs/>
          <w:color w:val="0D0D0D" w:themeColor="text1" w:themeTint="F2"/>
          <w:kern w:val="2"/>
          <w:sz w:val="24"/>
          <w:szCs w:val="24"/>
        </w:rPr>
        <w:t xml:space="preserve"> </w:t>
      </w:r>
      <w:r w:rsidR="009F6A64" w:rsidRPr="00F14CE5">
        <w:rPr>
          <w:rFonts w:ascii="Times New Roman" w:hAnsi="Times New Roman" w:cs="Times New Roman"/>
          <w:bCs/>
          <w:color w:val="0D0D0D" w:themeColor="text1" w:themeTint="F2"/>
          <w:kern w:val="2"/>
          <w:sz w:val="24"/>
          <w:szCs w:val="24"/>
        </w:rPr>
        <w:fldChar w:fldCharType="begin"/>
      </w:r>
      <w:r w:rsidR="009F6A64" w:rsidRPr="00F14CE5">
        <w:rPr>
          <w:rFonts w:ascii="Times New Roman" w:hAnsi="Times New Roman" w:cs="Times New Roman"/>
          <w:bCs/>
          <w:color w:val="0D0D0D" w:themeColor="text1" w:themeTint="F2"/>
          <w:kern w:val="2"/>
          <w:sz w:val="24"/>
          <w:szCs w:val="24"/>
        </w:rPr>
        <w:instrText xml:space="preserve"> ADDIN ZOTERO_ITEM CSL_CITATION {"citationID":"iWna6U9l","properties":{"formattedCitation":"(Estubio &amp; Sarsale, 2024)","plainCitation":"(Estubio &amp; Sarsale, 2024)","noteIndex":0},"citationItems":[{"id":1437,"uris":["http://zotero.org/users/local/pdR0I0Iy/items/29FAJCIS"],"itemData":{"id":1437,"type":"article-journal","abstract":"The full implementation of the K-12 curricula and increasing enrolment in TVET institutions in the Philippines urges higher education institutions to provide quality pre-service teacher education continuously. This paper explored the preparedness level of pre-service TVET teachers in terms of specialized courses taken, training certifications attained, and length of course program-related training attended. This paper also determined the competence level of pre-service teachers in select TVET learning areas using the knowledge, skills, and attitude model. Using a descriptive survey design, the researchers administered a validated instrument among the 143 pre-service teachers enrolled in a Philippine university offering a TVET teacher training program. Findings revealed that most pre-service teachers specialized in cookery, cosmetology, carpentry and masonry, basic electricity, drafting, plumbing, and electronics. Only a few had attended course program-related training and attained TVET training certification levels. Findings revealed pre-service teachers perceived competence in knowledge, skills, and attitude in the select TVET learning areas. However, their level of competence varied from each TVET learning area, which calls for a pre-service teaching enhancement program to improve the competency levels of pre-service TVET teachers.","container-title":"Journal of Technical Education and Training","ISSN":"2600-7932","issue":"3","language":"en","license":"Copyright (c) 2024 Journal of Technical Education and Training","page":"201-215","source":"penerbit.uthm.edu.my","title":"Exploring the Preparedness and Competence Level of Pre-service TVET Teachers Using Knowledge, Skills, and Attitude Model","URL":"https://penerbit.uthm.edu.my/ojs/index.php/JTET/article/view/16805","volume":"16","author":[{"family":"Estubio","given":"Maricris"},{"family":"Sarsale","given":"Melvin"}],"accessed":{"date-parts":[["2025",12,12]]},"issued":{"date-parts":[["2024",12,24]]}}}],"schema":"https://github.com/citation-style-language/schema/raw/master/csl-citation.json"} </w:instrText>
      </w:r>
      <w:r w:rsidR="009F6A64" w:rsidRPr="00F14CE5">
        <w:rPr>
          <w:rFonts w:ascii="Times New Roman" w:hAnsi="Times New Roman" w:cs="Times New Roman"/>
          <w:bCs/>
          <w:color w:val="0D0D0D" w:themeColor="text1" w:themeTint="F2"/>
          <w:kern w:val="2"/>
          <w:sz w:val="24"/>
          <w:szCs w:val="24"/>
        </w:rPr>
        <w:fldChar w:fldCharType="separate"/>
      </w:r>
      <w:r w:rsidR="009F6A64" w:rsidRPr="00F14CE5">
        <w:rPr>
          <w:rFonts w:ascii="Times New Roman" w:hAnsi="Times New Roman" w:cs="Times New Roman"/>
          <w:color w:val="0D0D0D" w:themeColor="text1" w:themeTint="F2"/>
          <w:kern w:val="2"/>
          <w:sz w:val="24"/>
        </w:rPr>
        <w:t>(Estubio &amp; Sarsale, 2024)</w:t>
      </w:r>
      <w:r w:rsidR="009F6A64" w:rsidRPr="00F14CE5">
        <w:rPr>
          <w:rFonts w:ascii="Times New Roman" w:hAnsi="Times New Roman" w:cs="Times New Roman"/>
          <w:bCs/>
          <w:color w:val="0D0D0D" w:themeColor="text1" w:themeTint="F2"/>
          <w:kern w:val="2"/>
          <w:sz w:val="24"/>
          <w:szCs w:val="24"/>
        </w:rPr>
        <w:fldChar w:fldCharType="end"/>
      </w:r>
      <w:r w:rsidR="009F6A64" w:rsidRPr="00F14CE5">
        <w:rPr>
          <w:rFonts w:ascii="Times New Roman" w:hAnsi="Times New Roman" w:cs="Times New Roman"/>
          <w:bCs/>
          <w:color w:val="0D0D0D" w:themeColor="text1" w:themeTint="F2"/>
          <w:kern w:val="2"/>
          <w:sz w:val="24"/>
          <w:szCs w:val="24"/>
        </w:rPr>
        <w:t xml:space="preserve"> </w:t>
      </w:r>
      <w:r w:rsidRPr="00F14CE5">
        <w:rPr>
          <w:rFonts w:ascii="Times New Roman" w:hAnsi="Times New Roman" w:cs="Times New Roman"/>
          <w:bCs/>
          <w:color w:val="0D0D0D" w:themeColor="text1" w:themeTint="F2"/>
          <w:kern w:val="2"/>
          <w:sz w:val="24"/>
          <w:szCs w:val="24"/>
        </w:rPr>
        <w:t>, the development of competencies in teaching and their effect of responding to the need of the curriculum designed</w:t>
      </w:r>
      <w:r w:rsidR="009F6A64" w:rsidRPr="00F14CE5">
        <w:rPr>
          <w:rFonts w:ascii="Times New Roman" w:hAnsi="Times New Roman" w:cs="Times New Roman"/>
          <w:bCs/>
          <w:color w:val="0D0D0D" w:themeColor="text1" w:themeTint="F2"/>
          <w:kern w:val="2"/>
          <w:sz w:val="24"/>
          <w:szCs w:val="24"/>
        </w:rPr>
        <w:t xml:space="preserve"> </w:t>
      </w:r>
      <w:r w:rsidR="009F6A64" w:rsidRPr="00F14CE5">
        <w:rPr>
          <w:rFonts w:ascii="Times New Roman" w:hAnsi="Times New Roman" w:cs="Times New Roman"/>
          <w:bCs/>
          <w:color w:val="0D0D0D" w:themeColor="text1" w:themeTint="F2"/>
          <w:kern w:val="2"/>
          <w:sz w:val="24"/>
          <w:szCs w:val="24"/>
        </w:rPr>
        <w:fldChar w:fldCharType="begin"/>
      </w:r>
      <w:r w:rsidR="009F6A64" w:rsidRPr="00F14CE5">
        <w:rPr>
          <w:rFonts w:ascii="Times New Roman" w:hAnsi="Times New Roman" w:cs="Times New Roman"/>
          <w:bCs/>
          <w:color w:val="0D0D0D" w:themeColor="text1" w:themeTint="F2"/>
          <w:kern w:val="2"/>
          <w:sz w:val="24"/>
          <w:szCs w:val="24"/>
        </w:rPr>
        <w:instrText xml:space="preserve"> ADDIN ZOTERO_ITEM CSL_CITATION {"citationID":"dbS2deUz","properties":{"formattedCitation":"(Lomeda-Junio, 2025)","plainCitation":"(Lomeda-Junio, 2025)","noteIndex":0},"citationItems":[{"id":1439,"uris":["http://zotero.org/users/local/pdR0I0Iy/items/SW5GBDBZ"],"itemData":{"id":1439,"type":"article-journal","abstract":"Article Details\n                                                    \n                        \n                            Published\n                            \n                                                                                                    2025-02-20\n                                                                                            \n                        \n            \n                                            \n                            \n                                                                                        \n                        \n                            \n                                                                DOI:\n                            \n                            \n                                https://doi.org/10.18535/raj.v8i2.504\n                            \n                        \n                    \n                            \n                                            \n                                                    \n                                                    \n                                Issue\n                                \n                                    Vol. 8 No. 2 (2025)\n                                \n                            \n                                    \n                                                    \n                                Section\n                                \n                                    Articles\n                                \n                            \n                                    \n                                            \n                            \n                                            \n                                                \n                \t\n\t\t\n\t\t\t\n\t\t\t\tHow to Cite\n\t\t\t\n\t\t\t\n\t\t\t\t\n\t\t\t\t\t\n  Readiness of Bachelor of Technical-Vocational Teacher Education Pre-Service Teachers of Camarines Sur Polytechnic Colleges. (2025). Research and Analysis Journal, 8(2), 01-13. https://doi.org/10.18535/raj.v8i2.504\n\n\t\t\t\t\n\t\t\t\t\n\t\t\t\t\t\n\t\t\t\t\t\tMore Citation Formats\n\t\t\t\t\t\n\t\t\t\t\t\n\t\t\t\t\t\t\n\t\t\t\t\t\t\t\t\t\t\t\t\t\t\t\n\t\t\t\t\t\t\t\t\t\n\t\t\t\t\t\t\t\t\t\tACM\n\t\t\t\t\t\t\t\t\t\n\t\t\t\t\t\t\t\t\n\t\t\t\t\t\t\t\t\t\t\t\t\t\t\t\n\t\t\t\t\t\t\t\t\t\n\t\t\t\t\t\t\t\t\t\tACS\n\t\t\t\t\t\t\t\t\t\n\t\t\t\t\t\t\t\t\n\t\t\t\t\t\t\t\t\t\t\t\t\t\t\t\n\t\t\t\t\t\t\t\t\t\n\t\t\t\t\t\t\t\t\t\tAPA\n\t\t\t\t\t\t\t\t\t\n\t\t\t\t\t\t\t\t\n\t\t\t\t\t\t\t\t\t\t\t\t\t\t\t\n\t\t\t\t\t\t\t\t\t\n\t\t\t\t\t\t\t\t\t\tABNT\n\t\t\t\t\t\t\t\t\t\n\t\t\t\t\t\t\t\t\n\t\t\t\t\t\t\t\t\t\t\t\t\t\t\t\n\t\t\t\t\t\t\t\t\t\n\t\t\t\t\t\t\t\t\t\tChicago\n\t\t\t\t\t\t\t\t\t\n\t\t\t\t\t\t\t\t\n\t\t\t\t\t\t\t\t\t\t\t\t\t\t\t\n\t\t\t\t\t\t\t\t\t\n\t\t\t\t\t\t\t\t\t\tHarvard\n\t\t\t\t\t\t\t\t\t\n\t\t\t\t\t\t\t\t\n\t\t\t\t\t\t\t\t\t\t\t\t\t\t\t\n\t\t\t\t\t\t\t\t\t\n\t\t\t\t\t\t\t\t\t\tIEEE\n\t\t\t\t\t\t\t\t\t\n\t\t\t\t\t\t\t\t\n\t\t\t\t\t\t\t\t\t\t\t\t\t\t\t\n\t\t\t\t\t\t\t\t\t\n\t\t\t\t\t\t\t\t\t\tMLA\n\t\t\t\t\t\t\t\t\t\n\t\t\t\t\t\t\t\t\n\t\t\t\t\t\t\t\t\t\t\t\t\t\t\t\n\t\t\t\t\t\t\t\t\t\n\t\t\t\t\t\t\t\t\t\tTurabian\n\t\t\t\t\t\t\t\t\t\n\t\t\t\t\t\t\t\t\n\t\t\t\t\t\t\t\t\t\t\t\t\t\t\t\n\t\t\t\t\t\t\t\t\t\n\t\t\t\t\t\t\t\t\t\tVancouver\n\t\t\t\t\t\t\t\t\t\n\t\t\t\t\t\t\t\t\n\t\t\t\t\t\t\t\t\t\t\t\t\t\t\t\n\t\t\t\t\t\t\t\t\t\n\t\t\t\t\t\t\t\t\t\tAMA\n\t\t\t\t\t\t\t\t\t\n\t\t\t\t\t\t\t\t\n\t\t\t\t\t\t\t\t\t\t\t\t\t\n\t\t\t\t\t\t\t\t\t\t\t\t\t\n\t\t\t\t\t\t\t\tDownload Citation\n\t\t\t\t\t\t\t\n\t\t\t\t\t\t\t\n\t\t\t\t\t\t\t\t\t\t\t\t\t\t\t\t\t\n\t\t\t\t\t\t\t\t\t\t\n\t\t\t\t\t\t\t\t\t\t\t\n\t\t\t\t\t\t\t\t\t\t\tEndnote/Zotero/Mendeley (RIS)\n\t\t\t\t\t\t\t\t\t\t\n\t\t\t\t\t\t\t\t\t\n\t\t\t\t\t\t\t\t\t\t\t\t\t\t\t\t\t\n\t\t\t\t\t\t\t\t\t\t\n\t\t\t\t\t\t\t\t\t\t\t\n\t\t\t\t\t\t\t\t\t\t\tBibTeX","container-title":"Research and Analysis Journal","DOI":"10.18535/raj.v8i2.504","ISSN":"2589-9228","issue":"2","language":"en","page":"01-13","source":"rajournals.com","title":"Readiness of Bachelor of Technical-Vocational Teacher Education Pre-Service Teachers of Camarines Sur Polytechnic Colleges","URL":"https://rajournals.com/index.php/raj/article/view/504","volume":"8","author":[{"family":"Lomeda-Junio","given":"Michelle M."}],"accessed":{"date-parts":[["2025",12,12]]},"issued":{"date-parts":[["2025",2,20]]}}}],"schema":"https://github.com/citation-style-language/schema/raw/master/csl-citation.json"} </w:instrText>
      </w:r>
      <w:r w:rsidR="009F6A64" w:rsidRPr="00F14CE5">
        <w:rPr>
          <w:rFonts w:ascii="Times New Roman" w:hAnsi="Times New Roman" w:cs="Times New Roman"/>
          <w:bCs/>
          <w:color w:val="0D0D0D" w:themeColor="text1" w:themeTint="F2"/>
          <w:kern w:val="2"/>
          <w:sz w:val="24"/>
          <w:szCs w:val="24"/>
        </w:rPr>
        <w:fldChar w:fldCharType="separate"/>
      </w:r>
      <w:r w:rsidR="009F6A64" w:rsidRPr="00F14CE5">
        <w:rPr>
          <w:rFonts w:ascii="Times New Roman" w:hAnsi="Times New Roman" w:cs="Times New Roman"/>
          <w:color w:val="0D0D0D" w:themeColor="text1" w:themeTint="F2"/>
          <w:kern w:val="2"/>
          <w:sz w:val="24"/>
        </w:rPr>
        <w:t>(Lomeda-Junio, 2025)</w:t>
      </w:r>
      <w:r w:rsidR="009F6A64" w:rsidRPr="00F14CE5">
        <w:rPr>
          <w:rFonts w:ascii="Times New Roman" w:hAnsi="Times New Roman" w:cs="Times New Roman"/>
          <w:bCs/>
          <w:color w:val="0D0D0D" w:themeColor="text1" w:themeTint="F2"/>
          <w:kern w:val="2"/>
          <w:sz w:val="24"/>
          <w:szCs w:val="24"/>
        </w:rPr>
        <w:fldChar w:fldCharType="end"/>
      </w:r>
      <w:r w:rsidRPr="00F14CE5">
        <w:rPr>
          <w:rFonts w:ascii="Times New Roman" w:hAnsi="Times New Roman" w:cs="Times New Roman"/>
          <w:bCs/>
          <w:color w:val="0D0D0D" w:themeColor="text1" w:themeTint="F2"/>
          <w:kern w:val="2"/>
          <w:sz w:val="24"/>
          <w:szCs w:val="24"/>
        </w:rPr>
        <w:t xml:space="preserve"> and the overall pedagogical and technical preservice teachers for K–10 competencies. These gaps suggest areas for deficiency, but overall, the results indicate the strengths of the preservice competencies for the teaching profession.</w:t>
      </w:r>
    </w:p>
    <w:p w14:paraId="68E1ECBA" w14:textId="15BFB4FC" w:rsidR="001E4FA5" w:rsidRPr="00F14CE5" w:rsidRDefault="001E4FA5" w:rsidP="001E4FA5">
      <w:pPr>
        <w:spacing w:after="0" w:line="240" w:lineRule="auto"/>
        <w:jc w:val="both"/>
        <w:rPr>
          <w:rFonts w:ascii="Times New Roman" w:hAnsi="Times New Roman" w:cs="Times New Roman"/>
          <w:b/>
          <w:color w:val="0D0D0D" w:themeColor="text1" w:themeTint="F2"/>
          <w:kern w:val="2"/>
          <w:sz w:val="24"/>
          <w:szCs w:val="24"/>
        </w:rPr>
      </w:pPr>
      <w:r w:rsidRPr="00F14CE5">
        <w:rPr>
          <w:rFonts w:ascii="Times New Roman" w:hAnsi="Times New Roman" w:cs="Times New Roman"/>
          <w:b/>
          <w:color w:val="0D0D0D" w:themeColor="text1" w:themeTint="F2"/>
          <w:kern w:val="2"/>
          <w:sz w:val="24"/>
          <w:szCs w:val="24"/>
        </w:rPr>
        <w:t xml:space="preserve">Table 7: Pre-Service Teachers Perceived Level of Need for Enhancing the BTVTEd Program and Professional Development </w:t>
      </w:r>
    </w:p>
    <w:p w14:paraId="157B8C01" w14:textId="77777777" w:rsidR="009F6A64" w:rsidRPr="00F14CE5" w:rsidRDefault="009F6A64" w:rsidP="009F6A64">
      <w:pPr>
        <w:widowControl w:val="0"/>
        <w:autoSpaceDE w:val="0"/>
        <w:autoSpaceDN w:val="0"/>
        <w:spacing w:before="158" w:after="0" w:line="240" w:lineRule="auto"/>
        <w:ind w:right="-7" w:firstLine="720"/>
        <w:jc w:val="both"/>
        <w:rPr>
          <w:rFonts w:ascii="Times New Roman" w:eastAsia="Arial" w:hAnsi="Times New Roman" w:cs="Times New Roman"/>
          <w:color w:val="0D0D0D" w:themeColor="text1" w:themeTint="F2"/>
          <w:spacing w:val="-5"/>
          <w:sz w:val="24"/>
          <w:szCs w:val="24"/>
          <w:lang w:val="en-US"/>
        </w:rPr>
      </w:pPr>
      <w:r w:rsidRPr="00F14CE5">
        <w:rPr>
          <w:rFonts w:ascii="Times New Roman" w:eastAsia="Arial" w:hAnsi="Times New Roman" w:cs="Times New Roman"/>
          <w:color w:val="0D0D0D" w:themeColor="text1" w:themeTint="F2"/>
          <w:sz w:val="24"/>
          <w:szCs w:val="24"/>
        </w:rPr>
        <w:t>This section highlights the need to enhance the BTVTED program and strengthen professional development to support the MATATAG Curriculum. It identifies areas for curriculum improvement, capacity building, and institutional support, with descriptive data presented in Table 7.</w:t>
      </w:r>
    </w:p>
    <w:tbl>
      <w:tblPr>
        <w:tblpPr w:leftFromText="180" w:rightFromText="180" w:vertAnchor="text" w:horzAnchor="margin" w:tblpXSpec="center" w:tblpY="405"/>
        <w:tblW w:w="8820" w:type="dxa"/>
        <w:tblLook w:val="04A0" w:firstRow="1" w:lastRow="0" w:firstColumn="1" w:lastColumn="0" w:noHBand="0" w:noVBand="1"/>
      </w:tblPr>
      <w:tblGrid>
        <w:gridCol w:w="583"/>
        <w:gridCol w:w="5267"/>
        <w:gridCol w:w="720"/>
        <w:gridCol w:w="810"/>
        <w:gridCol w:w="1440"/>
      </w:tblGrid>
      <w:tr w:rsidR="00597834" w:rsidRPr="00F14CE5" w14:paraId="5DDF7E8B" w14:textId="77777777" w:rsidTr="001E4FA5">
        <w:trPr>
          <w:trHeight w:val="279"/>
        </w:trPr>
        <w:tc>
          <w:tcPr>
            <w:tcW w:w="8820" w:type="dxa"/>
            <w:gridSpan w:val="5"/>
            <w:tcBorders>
              <w:bottom w:val="single" w:sz="4" w:space="0" w:color="auto"/>
            </w:tcBorders>
            <w:noWrap/>
            <w:vAlign w:val="bottom"/>
            <w:hideMark/>
          </w:tcPr>
          <w:p w14:paraId="3FB6B95C"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lastRenderedPageBreak/>
              <w:t>Table 7</w:t>
            </w:r>
          </w:p>
          <w:p w14:paraId="5FF1E4B3"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Pre-Service Teachers’ Perceived Level of Need for Enhancing the BTVTED Program and Professional Development</w:t>
            </w:r>
          </w:p>
        </w:tc>
      </w:tr>
      <w:tr w:rsidR="00597834" w:rsidRPr="00F14CE5" w14:paraId="632DC499" w14:textId="77777777" w:rsidTr="001E4FA5">
        <w:trPr>
          <w:trHeight w:val="279"/>
        </w:trPr>
        <w:tc>
          <w:tcPr>
            <w:tcW w:w="583" w:type="dxa"/>
            <w:tcBorders>
              <w:top w:val="single" w:sz="4" w:space="0" w:color="auto"/>
              <w:bottom w:val="single" w:sz="4" w:space="0" w:color="auto"/>
            </w:tcBorders>
            <w:noWrap/>
            <w:vAlign w:val="center"/>
            <w:hideMark/>
          </w:tcPr>
          <w:p w14:paraId="62067A54"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S/N</w:t>
            </w:r>
          </w:p>
        </w:tc>
        <w:tc>
          <w:tcPr>
            <w:tcW w:w="5267" w:type="dxa"/>
            <w:tcBorders>
              <w:top w:val="single" w:sz="4" w:space="0" w:color="auto"/>
              <w:bottom w:val="single" w:sz="4" w:space="0" w:color="auto"/>
            </w:tcBorders>
            <w:noWrap/>
            <w:vAlign w:val="center"/>
            <w:hideMark/>
          </w:tcPr>
          <w:p w14:paraId="2D8FCE92"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Indicators</w:t>
            </w:r>
          </w:p>
        </w:tc>
        <w:tc>
          <w:tcPr>
            <w:tcW w:w="720" w:type="dxa"/>
            <w:tcBorders>
              <w:top w:val="single" w:sz="4" w:space="0" w:color="auto"/>
              <w:bottom w:val="single" w:sz="4" w:space="0" w:color="auto"/>
            </w:tcBorders>
            <w:noWrap/>
            <w:vAlign w:val="center"/>
            <w:hideMark/>
          </w:tcPr>
          <w:p w14:paraId="00F479A8"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WM</w:t>
            </w:r>
          </w:p>
        </w:tc>
        <w:tc>
          <w:tcPr>
            <w:tcW w:w="810" w:type="dxa"/>
            <w:tcBorders>
              <w:top w:val="single" w:sz="4" w:space="0" w:color="auto"/>
              <w:bottom w:val="single" w:sz="4" w:space="0" w:color="auto"/>
            </w:tcBorders>
            <w:noWrap/>
            <w:vAlign w:val="center"/>
            <w:hideMark/>
          </w:tcPr>
          <w:p w14:paraId="3DEBC180"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SD</w:t>
            </w:r>
          </w:p>
        </w:tc>
        <w:tc>
          <w:tcPr>
            <w:tcW w:w="1440" w:type="dxa"/>
            <w:tcBorders>
              <w:top w:val="single" w:sz="4" w:space="0" w:color="auto"/>
              <w:bottom w:val="single" w:sz="4" w:space="0" w:color="auto"/>
            </w:tcBorders>
            <w:noWrap/>
            <w:vAlign w:val="center"/>
            <w:hideMark/>
          </w:tcPr>
          <w:p w14:paraId="186B306F"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Verbal Description</w:t>
            </w:r>
          </w:p>
        </w:tc>
      </w:tr>
      <w:tr w:rsidR="00597834" w:rsidRPr="00F14CE5" w14:paraId="34DC7288" w14:textId="77777777" w:rsidTr="001E4FA5">
        <w:trPr>
          <w:trHeight w:val="279"/>
        </w:trPr>
        <w:tc>
          <w:tcPr>
            <w:tcW w:w="583" w:type="dxa"/>
            <w:tcBorders>
              <w:top w:val="single" w:sz="4" w:space="0" w:color="auto"/>
            </w:tcBorders>
            <w:noWrap/>
            <w:vAlign w:val="center"/>
            <w:hideMark/>
          </w:tcPr>
          <w:p w14:paraId="6DDC1D36"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w:t>
            </w:r>
          </w:p>
        </w:tc>
        <w:tc>
          <w:tcPr>
            <w:tcW w:w="5267" w:type="dxa"/>
            <w:tcBorders>
              <w:top w:val="single" w:sz="4" w:space="0" w:color="auto"/>
            </w:tcBorders>
            <w:noWrap/>
            <w:vAlign w:val="bottom"/>
            <w:hideMark/>
          </w:tcPr>
          <w:p w14:paraId="30599595"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It is highly necessary to revise the BTVTED curriculum to include modern industrial technologies. </w:t>
            </w:r>
          </w:p>
          <w:p w14:paraId="77CC3D6E"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715DB006"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single" w:sz="4" w:space="0" w:color="auto"/>
            </w:tcBorders>
            <w:noWrap/>
            <w:vAlign w:val="center"/>
            <w:hideMark/>
          </w:tcPr>
          <w:p w14:paraId="3236DB2E"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3.56</w:t>
            </w:r>
          </w:p>
        </w:tc>
        <w:tc>
          <w:tcPr>
            <w:tcW w:w="810" w:type="dxa"/>
            <w:tcBorders>
              <w:top w:val="single" w:sz="4" w:space="0" w:color="auto"/>
            </w:tcBorders>
            <w:noWrap/>
            <w:vAlign w:val="center"/>
            <w:hideMark/>
          </w:tcPr>
          <w:p w14:paraId="7D833711"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40" w:type="dxa"/>
            <w:tcBorders>
              <w:top w:val="single" w:sz="4" w:space="0" w:color="auto"/>
            </w:tcBorders>
            <w:noWrap/>
            <w:vAlign w:val="center"/>
            <w:hideMark/>
          </w:tcPr>
          <w:p w14:paraId="2DE492B2"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11606E6D" w14:textId="77777777" w:rsidTr="001E4FA5">
        <w:trPr>
          <w:trHeight w:val="279"/>
        </w:trPr>
        <w:tc>
          <w:tcPr>
            <w:tcW w:w="583" w:type="dxa"/>
            <w:tcBorders>
              <w:top w:val="nil"/>
            </w:tcBorders>
            <w:noWrap/>
            <w:vAlign w:val="center"/>
            <w:hideMark/>
          </w:tcPr>
          <w:p w14:paraId="0822AA45"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2</w:t>
            </w:r>
          </w:p>
        </w:tc>
        <w:tc>
          <w:tcPr>
            <w:tcW w:w="5267" w:type="dxa"/>
            <w:tcBorders>
              <w:top w:val="nil"/>
            </w:tcBorders>
            <w:noWrap/>
            <w:vAlign w:val="bottom"/>
            <w:hideMark/>
          </w:tcPr>
          <w:p w14:paraId="34EACAE5"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There is a crucial need to update the BTVTED curriculum to better align with the specific competencies of the MATATAG curriculum. </w:t>
            </w:r>
          </w:p>
          <w:p w14:paraId="2E768504"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13D9AB6B"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2091EDDB"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3.58</w:t>
            </w:r>
          </w:p>
        </w:tc>
        <w:tc>
          <w:tcPr>
            <w:tcW w:w="810" w:type="dxa"/>
            <w:tcBorders>
              <w:top w:val="nil"/>
            </w:tcBorders>
            <w:noWrap/>
            <w:vAlign w:val="center"/>
            <w:hideMark/>
          </w:tcPr>
          <w:p w14:paraId="195EB710"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0.57</w:t>
            </w:r>
          </w:p>
        </w:tc>
        <w:tc>
          <w:tcPr>
            <w:tcW w:w="1440" w:type="dxa"/>
            <w:tcBorders>
              <w:top w:val="nil"/>
            </w:tcBorders>
            <w:noWrap/>
            <w:vAlign w:val="center"/>
            <w:hideMark/>
          </w:tcPr>
          <w:p w14:paraId="61A1A5BF"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11717C9" w14:textId="77777777" w:rsidTr="001E4FA5">
        <w:trPr>
          <w:trHeight w:val="279"/>
        </w:trPr>
        <w:tc>
          <w:tcPr>
            <w:tcW w:w="583" w:type="dxa"/>
            <w:tcBorders>
              <w:top w:val="nil"/>
            </w:tcBorders>
            <w:noWrap/>
            <w:vAlign w:val="center"/>
            <w:hideMark/>
          </w:tcPr>
          <w:p w14:paraId="3B78FD80"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w:t>
            </w:r>
          </w:p>
        </w:tc>
        <w:tc>
          <w:tcPr>
            <w:tcW w:w="5267" w:type="dxa"/>
            <w:tcBorders>
              <w:top w:val="nil"/>
            </w:tcBorders>
            <w:noWrap/>
            <w:vAlign w:val="bottom"/>
            <w:hideMark/>
          </w:tcPr>
          <w:p w14:paraId="2BA1F04B"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Professional development for in-service teachers is essential for the successful implementation of the MATATAG curriculum. </w:t>
            </w:r>
          </w:p>
          <w:p w14:paraId="7E8C2A16"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62377AB6"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56B878A"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3.74</w:t>
            </w:r>
          </w:p>
        </w:tc>
        <w:tc>
          <w:tcPr>
            <w:tcW w:w="810" w:type="dxa"/>
            <w:tcBorders>
              <w:top w:val="nil"/>
            </w:tcBorders>
            <w:noWrap/>
            <w:vAlign w:val="center"/>
            <w:hideMark/>
          </w:tcPr>
          <w:p w14:paraId="093B706F"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0.44</w:t>
            </w:r>
          </w:p>
        </w:tc>
        <w:tc>
          <w:tcPr>
            <w:tcW w:w="1440" w:type="dxa"/>
            <w:tcBorders>
              <w:top w:val="nil"/>
            </w:tcBorders>
            <w:noWrap/>
            <w:vAlign w:val="center"/>
            <w:hideMark/>
          </w:tcPr>
          <w:p w14:paraId="485507BF"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B79E5B9" w14:textId="77777777" w:rsidTr="001E4FA5">
        <w:trPr>
          <w:trHeight w:val="279"/>
        </w:trPr>
        <w:tc>
          <w:tcPr>
            <w:tcW w:w="583" w:type="dxa"/>
            <w:tcBorders>
              <w:top w:val="nil"/>
            </w:tcBorders>
            <w:noWrap/>
            <w:vAlign w:val="center"/>
            <w:hideMark/>
          </w:tcPr>
          <w:p w14:paraId="6DF834FC"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4</w:t>
            </w:r>
          </w:p>
        </w:tc>
        <w:tc>
          <w:tcPr>
            <w:tcW w:w="5267" w:type="dxa"/>
            <w:tcBorders>
              <w:top w:val="nil"/>
            </w:tcBorders>
            <w:noWrap/>
            <w:vAlign w:val="bottom"/>
            <w:hideMark/>
          </w:tcPr>
          <w:p w14:paraId="6615A5E0"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BTVTED program should provide more hands-on training using the same equipment that will be used in public schools. </w:t>
            </w:r>
          </w:p>
          <w:p w14:paraId="67897131"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1EC85772"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6CF6072"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3.68</w:t>
            </w:r>
          </w:p>
        </w:tc>
        <w:tc>
          <w:tcPr>
            <w:tcW w:w="810" w:type="dxa"/>
            <w:tcBorders>
              <w:top w:val="nil"/>
            </w:tcBorders>
            <w:noWrap/>
            <w:vAlign w:val="center"/>
            <w:hideMark/>
          </w:tcPr>
          <w:p w14:paraId="5CB3B97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0.47</w:t>
            </w:r>
          </w:p>
        </w:tc>
        <w:tc>
          <w:tcPr>
            <w:tcW w:w="1440" w:type="dxa"/>
            <w:tcBorders>
              <w:top w:val="nil"/>
            </w:tcBorders>
            <w:noWrap/>
            <w:vAlign w:val="center"/>
            <w:hideMark/>
          </w:tcPr>
          <w:p w14:paraId="75DE47EA"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178BECB7" w14:textId="77777777" w:rsidTr="001E4FA5">
        <w:trPr>
          <w:trHeight w:val="279"/>
        </w:trPr>
        <w:tc>
          <w:tcPr>
            <w:tcW w:w="583" w:type="dxa"/>
            <w:tcBorders>
              <w:top w:val="nil"/>
            </w:tcBorders>
            <w:noWrap/>
            <w:vAlign w:val="center"/>
            <w:hideMark/>
          </w:tcPr>
          <w:p w14:paraId="3E6EE504"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5</w:t>
            </w:r>
          </w:p>
        </w:tc>
        <w:tc>
          <w:tcPr>
            <w:tcW w:w="5267" w:type="dxa"/>
            <w:tcBorders>
              <w:top w:val="nil"/>
            </w:tcBorders>
            <w:noWrap/>
            <w:vAlign w:val="bottom"/>
            <w:hideMark/>
          </w:tcPr>
          <w:p w14:paraId="3F549934"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It is necessary to provide supplemental training on the entrepreneurial and sustainability components of the MATATAG curriculum. </w:t>
            </w:r>
          </w:p>
          <w:p w14:paraId="2B86360F"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56D4B2F1"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38E1AB0E"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3.72</w:t>
            </w:r>
          </w:p>
        </w:tc>
        <w:tc>
          <w:tcPr>
            <w:tcW w:w="810" w:type="dxa"/>
            <w:tcBorders>
              <w:top w:val="nil"/>
            </w:tcBorders>
            <w:noWrap/>
            <w:vAlign w:val="center"/>
            <w:hideMark/>
          </w:tcPr>
          <w:p w14:paraId="446C1A51"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0.45</w:t>
            </w:r>
          </w:p>
        </w:tc>
        <w:tc>
          <w:tcPr>
            <w:tcW w:w="1440" w:type="dxa"/>
            <w:tcBorders>
              <w:top w:val="nil"/>
            </w:tcBorders>
            <w:noWrap/>
            <w:vAlign w:val="center"/>
            <w:hideMark/>
          </w:tcPr>
          <w:p w14:paraId="023A744A"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11EEBDA" w14:textId="77777777" w:rsidTr="001E4FA5">
        <w:trPr>
          <w:trHeight w:val="279"/>
        </w:trPr>
        <w:tc>
          <w:tcPr>
            <w:tcW w:w="583" w:type="dxa"/>
            <w:tcBorders>
              <w:top w:val="nil"/>
            </w:tcBorders>
            <w:noWrap/>
            <w:vAlign w:val="center"/>
            <w:hideMark/>
          </w:tcPr>
          <w:p w14:paraId="6E04D3F0"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6</w:t>
            </w:r>
          </w:p>
        </w:tc>
        <w:tc>
          <w:tcPr>
            <w:tcW w:w="5267" w:type="dxa"/>
            <w:tcBorders>
              <w:top w:val="nil"/>
            </w:tcBorders>
            <w:noWrap/>
            <w:vAlign w:val="bottom"/>
            <w:hideMark/>
          </w:tcPr>
          <w:p w14:paraId="4A439C84"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Additional pedagogical training is needed for BTVTED graduates to effectively conduct project-based learning. </w:t>
            </w:r>
          </w:p>
          <w:p w14:paraId="1ED85763"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6C9D25DD"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63C2724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3.70</w:t>
            </w:r>
          </w:p>
        </w:tc>
        <w:tc>
          <w:tcPr>
            <w:tcW w:w="810" w:type="dxa"/>
            <w:tcBorders>
              <w:top w:val="nil"/>
            </w:tcBorders>
            <w:noWrap/>
            <w:vAlign w:val="center"/>
            <w:hideMark/>
          </w:tcPr>
          <w:p w14:paraId="35A67298"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0.46</w:t>
            </w:r>
          </w:p>
        </w:tc>
        <w:tc>
          <w:tcPr>
            <w:tcW w:w="1440" w:type="dxa"/>
            <w:tcBorders>
              <w:top w:val="nil"/>
            </w:tcBorders>
            <w:noWrap/>
            <w:vAlign w:val="center"/>
            <w:hideMark/>
          </w:tcPr>
          <w:p w14:paraId="4D870D88"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46CB8EE" w14:textId="77777777" w:rsidTr="001E4FA5">
        <w:trPr>
          <w:trHeight w:val="279"/>
        </w:trPr>
        <w:tc>
          <w:tcPr>
            <w:tcW w:w="583" w:type="dxa"/>
            <w:tcBorders>
              <w:top w:val="nil"/>
            </w:tcBorders>
            <w:noWrap/>
            <w:vAlign w:val="center"/>
            <w:hideMark/>
          </w:tcPr>
          <w:p w14:paraId="2A4AF50B"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7</w:t>
            </w:r>
          </w:p>
        </w:tc>
        <w:tc>
          <w:tcPr>
            <w:tcW w:w="5267" w:type="dxa"/>
            <w:tcBorders>
              <w:top w:val="nil"/>
            </w:tcBorders>
            <w:noWrap/>
            <w:vAlign w:val="bottom"/>
            <w:hideMark/>
          </w:tcPr>
          <w:p w14:paraId="18A78196"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Providing mentorship programs for new BTVTED graduates would be highly beneficial for their transition into teaching the MATATAG curriculum. </w:t>
            </w:r>
          </w:p>
          <w:p w14:paraId="6D23221E"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77E0D5CD"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77711E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3.68</w:t>
            </w:r>
          </w:p>
        </w:tc>
        <w:tc>
          <w:tcPr>
            <w:tcW w:w="810" w:type="dxa"/>
            <w:tcBorders>
              <w:top w:val="nil"/>
            </w:tcBorders>
            <w:noWrap/>
            <w:vAlign w:val="center"/>
            <w:hideMark/>
          </w:tcPr>
          <w:p w14:paraId="7DF5E10A"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0.47</w:t>
            </w:r>
          </w:p>
        </w:tc>
        <w:tc>
          <w:tcPr>
            <w:tcW w:w="1440" w:type="dxa"/>
            <w:tcBorders>
              <w:top w:val="nil"/>
            </w:tcBorders>
            <w:noWrap/>
            <w:vAlign w:val="center"/>
            <w:hideMark/>
          </w:tcPr>
          <w:p w14:paraId="5CC749F2"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F358BD4" w14:textId="77777777" w:rsidTr="001E4FA5">
        <w:trPr>
          <w:trHeight w:val="279"/>
        </w:trPr>
        <w:tc>
          <w:tcPr>
            <w:tcW w:w="583" w:type="dxa"/>
            <w:tcBorders>
              <w:top w:val="nil"/>
            </w:tcBorders>
            <w:noWrap/>
            <w:vAlign w:val="center"/>
            <w:hideMark/>
          </w:tcPr>
          <w:p w14:paraId="39FF7181"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8</w:t>
            </w:r>
          </w:p>
        </w:tc>
        <w:tc>
          <w:tcPr>
            <w:tcW w:w="5267" w:type="dxa"/>
            <w:tcBorders>
              <w:top w:val="nil"/>
            </w:tcBorders>
            <w:noWrap/>
            <w:vAlign w:val="bottom"/>
            <w:hideMark/>
          </w:tcPr>
          <w:p w14:paraId="17B2430C"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It is necessary for the BTVTED program to better prepare graduates to adapt instruction for resource-constrained environments. </w:t>
            </w:r>
          </w:p>
          <w:p w14:paraId="2CC2ED64"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4D19DA7D"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73DFB9FC"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3.72</w:t>
            </w:r>
          </w:p>
        </w:tc>
        <w:tc>
          <w:tcPr>
            <w:tcW w:w="810" w:type="dxa"/>
            <w:tcBorders>
              <w:top w:val="nil"/>
            </w:tcBorders>
            <w:noWrap/>
            <w:vAlign w:val="center"/>
            <w:hideMark/>
          </w:tcPr>
          <w:p w14:paraId="68EEEACF"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40" w:type="dxa"/>
            <w:tcBorders>
              <w:top w:val="nil"/>
            </w:tcBorders>
            <w:noWrap/>
            <w:vAlign w:val="center"/>
            <w:hideMark/>
          </w:tcPr>
          <w:p w14:paraId="30B3078D"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752B2EB" w14:textId="77777777" w:rsidTr="001E4FA5">
        <w:trPr>
          <w:trHeight w:val="279"/>
        </w:trPr>
        <w:tc>
          <w:tcPr>
            <w:tcW w:w="583" w:type="dxa"/>
            <w:tcBorders>
              <w:top w:val="nil"/>
            </w:tcBorders>
            <w:noWrap/>
            <w:vAlign w:val="center"/>
            <w:hideMark/>
          </w:tcPr>
          <w:p w14:paraId="24423B87"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9</w:t>
            </w:r>
          </w:p>
        </w:tc>
        <w:tc>
          <w:tcPr>
            <w:tcW w:w="5267" w:type="dxa"/>
            <w:tcBorders>
              <w:top w:val="nil"/>
            </w:tcBorders>
            <w:noWrap/>
            <w:vAlign w:val="bottom"/>
            <w:hideMark/>
          </w:tcPr>
          <w:p w14:paraId="1BF27905"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Collaboration between DepEd and CHED is necessary to ensure continuous alignment between the two curricula. </w:t>
            </w:r>
          </w:p>
          <w:p w14:paraId="40197987"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2C57F92D"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45FEF19D"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3.76</w:t>
            </w:r>
          </w:p>
        </w:tc>
        <w:tc>
          <w:tcPr>
            <w:tcW w:w="810" w:type="dxa"/>
            <w:tcBorders>
              <w:top w:val="nil"/>
            </w:tcBorders>
            <w:noWrap/>
            <w:vAlign w:val="center"/>
            <w:hideMark/>
          </w:tcPr>
          <w:p w14:paraId="6087EBB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0.43</w:t>
            </w:r>
          </w:p>
        </w:tc>
        <w:tc>
          <w:tcPr>
            <w:tcW w:w="1440" w:type="dxa"/>
            <w:tcBorders>
              <w:top w:val="nil"/>
            </w:tcBorders>
            <w:noWrap/>
            <w:vAlign w:val="center"/>
            <w:hideMark/>
          </w:tcPr>
          <w:p w14:paraId="596A1FCC"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75E6688" w14:textId="77777777" w:rsidTr="001E4FA5">
        <w:trPr>
          <w:trHeight w:val="279"/>
        </w:trPr>
        <w:tc>
          <w:tcPr>
            <w:tcW w:w="583" w:type="dxa"/>
            <w:tcBorders>
              <w:top w:val="nil"/>
            </w:tcBorders>
            <w:noWrap/>
            <w:vAlign w:val="center"/>
            <w:hideMark/>
          </w:tcPr>
          <w:p w14:paraId="1AA6CB19"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10</w:t>
            </w:r>
          </w:p>
        </w:tc>
        <w:tc>
          <w:tcPr>
            <w:tcW w:w="5267" w:type="dxa"/>
            <w:tcBorders>
              <w:top w:val="nil"/>
            </w:tcBorders>
            <w:noWrap/>
            <w:vAlign w:val="bottom"/>
            <w:hideMark/>
          </w:tcPr>
          <w:p w14:paraId="0BCA3CE0"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Funding for new equipment and instructional materials is crucial for the successful implementation of the MATATAG curriculum.</w:t>
            </w:r>
          </w:p>
          <w:p w14:paraId="688E1917"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r w:rsidRPr="00F14CE5">
              <w:rPr>
                <w:rFonts w:ascii="Times New Roman" w:eastAsia="Times New Roman" w:hAnsi="Times New Roman" w:cs="Times New Roman"/>
                <w:color w:val="0D0D0D" w:themeColor="text1" w:themeTint="F2"/>
                <w:kern w:val="2"/>
                <w:sz w:val="18"/>
                <w:szCs w:val="18"/>
              </w:rPr>
              <w:t xml:space="preserve"> </w:t>
            </w:r>
          </w:p>
          <w:p w14:paraId="2E657EA5"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6B83A04"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3.72</w:t>
            </w:r>
          </w:p>
        </w:tc>
        <w:tc>
          <w:tcPr>
            <w:tcW w:w="810" w:type="dxa"/>
            <w:tcBorders>
              <w:top w:val="nil"/>
            </w:tcBorders>
            <w:noWrap/>
            <w:vAlign w:val="center"/>
            <w:hideMark/>
          </w:tcPr>
          <w:p w14:paraId="64965629"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0.45</w:t>
            </w:r>
          </w:p>
        </w:tc>
        <w:tc>
          <w:tcPr>
            <w:tcW w:w="1440" w:type="dxa"/>
            <w:tcBorders>
              <w:top w:val="nil"/>
            </w:tcBorders>
            <w:noWrap/>
            <w:vAlign w:val="center"/>
            <w:hideMark/>
          </w:tcPr>
          <w:p w14:paraId="7674514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486760ED" w14:textId="77777777" w:rsidTr="001E4FA5">
        <w:trPr>
          <w:trHeight w:val="279"/>
        </w:trPr>
        <w:tc>
          <w:tcPr>
            <w:tcW w:w="5850" w:type="dxa"/>
            <w:gridSpan w:val="2"/>
            <w:noWrap/>
            <w:vAlign w:val="bottom"/>
            <w:hideMark/>
          </w:tcPr>
          <w:p w14:paraId="2B905E87"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Aggregate Weighted Mean </w:t>
            </w:r>
          </w:p>
        </w:tc>
        <w:tc>
          <w:tcPr>
            <w:tcW w:w="720" w:type="dxa"/>
            <w:noWrap/>
            <w:vAlign w:val="center"/>
            <w:hideMark/>
          </w:tcPr>
          <w:p w14:paraId="5C8722D4"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3.69</w:t>
            </w:r>
          </w:p>
        </w:tc>
        <w:tc>
          <w:tcPr>
            <w:tcW w:w="810" w:type="dxa"/>
            <w:noWrap/>
            <w:vAlign w:val="center"/>
            <w:hideMark/>
          </w:tcPr>
          <w:p w14:paraId="47500B49"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1440" w:type="dxa"/>
            <w:noWrap/>
            <w:vAlign w:val="center"/>
            <w:hideMark/>
          </w:tcPr>
          <w:p w14:paraId="64CDDB6A"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Very High</w:t>
            </w:r>
          </w:p>
        </w:tc>
      </w:tr>
      <w:tr w:rsidR="00597834" w:rsidRPr="00F14CE5" w14:paraId="02DB5788" w14:textId="77777777" w:rsidTr="001E4FA5">
        <w:trPr>
          <w:trHeight w:val="279"/>
        </w:trPr>
        <w:tc>
          <w:tcPr>
            <w:tcW w:w="5850" w:type="dxa"/>
            <w:gridSpan w:val="2"/>
            <w:noWrap/>
            <w:vAlign w:val="bottom"/>
            <w:hideMark/>
          </w:tcPr>
          <w:p w14:paraId="40FE41C2"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Standard Deviation</w:t>
            </w:r>
          </w:p>
        </w:tc>
        <w:tc>
          <w:tcPr>
            <w:tcW w:w="720" w:type="dxa"/>
            <w:noWrap/>
            <w:vAlign w:val="center"/>
            <w:hideMark/>
          </w:tcPr>
          <w:p w14:paraId="752D8B43"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810" w:type="dxa"/>
            <w:noWrap/>
            <w:vAlign w:val="center"/>
            <w:hideMark/>
          </w:tcPr>
          <w:p w14:paraId="6F4476BC"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0.48</w:t>
            </w:r>
          </w:p>
        </w:tc>
        <w:tc>
          <w:tcPr>
            <w:tcW w:w="1440" w:type="dxa"/>
            <w:noWrap/>
            <w:vAlign w:val="center"/>
            <w:hideMark/>
          </w:tcPr>
          <w:p w14:paraId="308BEBA1"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p>
        </w:tc>
      </w:tr>
      <w:tr w:rsidR="00597834" w:rsidRPr="00F14CE5" w14:paraId="7812C673" w14:textId="77777777" w:rsidTr="001E4FA5">
        <w:trPr>
          <w:trHeight w:val="261"/>
        </w:trPr>
        <w:tc>
          <w:tcPr>
            <w:tcW w:w="8820" w:type="dxa"/>
            <w:gridSpan w:val="5"/>
            <w:noWrap/>
            <w:vAlign w:val="bottom"/>
          </w:tcPr>
          <w:p w14:paraId="33B9C04B" w14:textId="77777777" w:rsidR="009F6A64" w:rsidRPr="00F14CE5" w:rsidRDefault="009F6A64" w:rsidP="001E4FA5">
            <w:pPr>
              <w:spacing w:after="0" w:line="240" w:lineRule="auto"/>
              <w:jc w:val="both"/>
              <w:rPr>
                <w:rFonts w:ascii="Times New Roman" w:hAnsi="Times New Roman" w:cs="Times New Roman"/>
                <w:color w:val="0D0D0D" w:themeColor="text1" w:themeTint="F2"/>
                <w:kern w:val="2"/>
                <w:sz w:val="18"/>
                <w:szCs w:val="18"/>
              </w:rPr>
            </w:pPr>
            <w:r w:rsidRPr="00F14CE5">
              <w:rPr>
                <w:rFonts w:ascii="Times New Roman" w:hAnsi="Times New Roman" w:cs="Times New Roman"/>
                <w:b/>
                <w:color w:val="0D0D0D" w:themeColor="text1" w:themeTint="F2"/>
                <w:kern w:val="2"/>
                <w:sz w:val="18"/>
                <w:szCs w:val="18"/>
              </w:rPr>
              <w:t>Legend:</w:t>
            </w:r>
            <w:r w:rsidRPr="00F14CE5">
              <w:rPr>
                <w:rFonts w:ascii="Times New Roman" w:hAnsi="Times New Roman" w:cs="Times New Roman"/>
                <w:color w:val="0D0D0D" w:themeColor="text1" w:themeTint="F2"/>
                <w:kern w:val="2"/>
                <w:sz w:val="18"/>
                <w:szCs w:val="18"/>
              </w:rPr>
              <w:t xml:space="preserve"> 3.25-4.00-Very High; 2.50-3.24-High; 1.75-2.49-Low; 1.00-1.74-Very Low</w:t>
            </w:r>
          </w:p>
        </w:tc>
      </w:tr>
    </w:tbl>
    <w:p w14:paraId="62191F7A"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4C06EE25"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0EA0172D"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27BB62D4"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3F799071"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642E0E9F"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07978F19"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6D9CA4FB"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0CF521B8"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3B1FEDDD"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1C404596"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4DBB78A5" w14:textId="77777777" w:rsidR="007A3A6E" w:rsidRPr="00F14CE5" w:rsidRDefault="007A3A6E" w:rsidP="007A3A6E">
      <w:pPr>
        <w:widowControl w:val="0"/>
        <w:autoSpaceDE w:val="0"/>
        <w:autoSpaceDN w:val="0"/>
        <w:spacing w:before="159" w:after="0" w:line="240" w:lineRule="auto"/>
        <w:ind w:right="-7"/>
        <w:jc w:val="both"/>
        <w:rPr>
          <w:rFonts w:ascii="Times New Roman" w:eastAsia="Arial" w:hAnsi="Times New Roman" w:cs="Times New Roman"/>
          <w:color w:val="0D0D0D" w:themeColor="text1" w:themeTint="F2"/>
          <w:sz w:val="24"/>
          <w:szCs w:val="24"/>
        </w:rPr>
      </w:pPr>
    </w:p>
    <w:p w14:paraId="041EA150" w14:textId="77777777" w:rsidR="007A3A6E" w:rsidRPr="00F14CE5" w:rsidRDefault="007A3A6E" w:rsidP="007A3A6E">
      <w:pPr>
        <w:widowControl w:val="0"/>
        <w:autoSpaceDE w:val="0"/>
        <w:autoSpaceDN w:val="0"/>
        <w:spacing w:before="159" w:after="0" w:line="240" w:lineRule="auto"/>
        <w:ind w:right="-7"/>
        <w:jc w:val="both"/>
        <w:rPr>
          <w:rFonts w:ascii="Times New Roman" w:eastAsia="Arial" w:hAnsi="Times New Roman" w:cs="Times New Roman"/>
          <w:color w:val="0D0D0D" w:themeColor="text1" w:themeTint="F2"/>
          <w:sz w:val="24"/>
          <w:szCs w:val="24"/>
        </w:rPr>
      </w:pPr>
    </w:p>
    <w:p w14:paraId="1705C315" w14:textId="77777777" w:rsidR="007A3A6E" w:rsidRPr="00F14CE5" w:rsidRDefault="007A3A6E" w:rsidP="007A3A6E">
      <w:pPr>
        <w:widowControl w:val="0"/>
        <w:autoSpaceDE w:val="0"/>
        <w:autoSpaceDN w:val="0"/>
        <w:spacing w:before="159" w:after="0" w:line="240" w:lineRule="auto"/>
        <w:ind w:right="-7"/>
        <w:jc w:val="both"/>
        <w:rPr>
          <w:rFonts w:ascii="Times New Roman" w:eastAsia="Arial" w:hAnsi="Times New Roman" w:cs="Times New Roman"/>
          <w:color w:val="0D0D0D" w:themeColor="text1" w:themeTint="F2"/>
          <w:sz w:val="24"/>
          <w:szCs w:val="24"/>
        </w:rPr>
      </w:pPr>
    </w:p>
    <w:p w14:paraId="7D04DE4D" w14:textId="261F3A21" w:rsidR="007A3A6E" w:rsidRPr="00F14CE5" w:rsidRDefault="007A3A6E" w:rsidP="007A3A6E">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As shown in Table 7, all indicators received a rating of “Very High,” with weighted means between 3.56 and 3.76, and an overall weighted mean of 3.69. The results show great support for professional development and funding for instructional resources in DepEd-CHED collaboration. They also highlight the need for revision of the curriculum, incorporation of the new technologies, and improved training in conjunction with project learning and graduate mentorship.</w:t>
      </w:r>
    </w:p>
    <w:p w14:paraId="483F2BB8" w14:textId="77777777" w:rsidR="007A3A6E" w:rsidRPr="00F14CE5" w:rsidRDefault="007A3A6E" w:rsidP="007A3A6E">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The high rating shows that pre-service teachers sought the need for systemized improvement in the BTVTED program to enhance the deployment of the MATATAG curriculum. </w:t>
      </w:r>
      <w:r w:rsidR="009F6A64" w:rsidRPr="00F14CE5">
        <w:rPr>
          <w:rFonts w:ascii="Times New Roman" w:eastAsia="Arial" w:hAnsi="Times New Roman" w:cs="Times New Roman"/>
          <w:color w:val="0D0D0D" w:themeColor="text1" w:themeTint="F2"/>
          <w:sz w:val="24"/>
          <w:szCs w:val="24"/>
          <w:lang w:val="en-US"/>
        </w:rPr>
        <w:t xml:space="preserve">According to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{"citationID":"liKxd4Sr","properties":{"unsorted":false,"formattedCitation":"(Cabreros &amp; Barbacena, 2024)","plainCitation":"(Cabreros &amp; Barbacena, 2024)","noteIndex":0},"citationItems":[{"id":"i2yCDwO7/jP1iLb8w","uris":["http://zotero.org/users/local/3HGLAaLg/items/RG4AH7NI"],"itemData":{"id":42,"type":"article-journal","abstract":"This study developed a management framework for quality assurance to enhance Technical-Vocational Education and Training (TVET) and technology pre-service teacher education programs in CALABARZON (Cavite, Laguna, Batangas, Rizal, and Quezon). Using the three-round Delphi consensus-building technique, the research assessed quality assurance practices and challenges in managing Bachelor of Technology and Livelihood Education (BTLEd) and Bachelor of Technical Vocational Teacher Education (BTVTEd) programs. The study also examined key factors affecting student performance in licensure examinations, career decision influences, and strategies to improve program appeal. Thirteen Delphi experts, including College Deans and program chairs, and 117 BTLEd and BTVTEd graduates participated. Thematic and statistical analyses, including the Mann-Whitney U test, compared assessment differences between graduates concerning licensure exam performance, career decisions, and program appeal strategies. The findings highlight that Teacher Education Institutions (TEIs) in the region prioritize quality assurance through curriculum reviews, faculty engagement, accreditation, facility maintenance, and continuous improvement. However, they face challenges such as resource limitations, curriculum misalignment, faculty development issues, and lack of specific quality assurance standards for TVET programs. Graduates noted factors influencing their licensure exam performance and career decisions, emphasizing the importance of review preparation, teaching strategies, and professional development. To enhance program appeal, there is a need for sustained career guidance, institutional initiatives, and program awareness efforts. The study recommends strengthening collaboration with stakeholders and implementing the proposed management framework to align with national and international standards.","container-title":"Journal of Technical Education and Training","ISSN":"2600-7932","issue":"2","language":"en","license":"Copyright (c) 2024 Journal of Technical Education and Training","page":"37-54","source":"publisher.uthm.edu.my","title":"Management Framework for Quality Assurance to Strengthen Technology and TVET Pre-service Teacher Education","volume":"16","author":[{"family":"Cabreros","given":"Bryan"},{"family":"Barbacena","given":"Cherrypyn"}],"issued":{"date-parts":[["2024",9,30]]}}}],"schema":"https://github.com/citation-style-language/schema/raw/master/csl-citation.json"}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(Cabreros &amp; Barbacena, 2024)</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it is of great support of the need for continuous review of the curriculum for quality assurance and collaborating institutions, enhancing the respondents’ views for funding the instructional resources, and consolidation of mentorship and development as well as responsive actions of the educational institutions to support the areas targeted for the improvement of the BTVTED/BTVTED Program.</w:t>
      </w:r>
    </w:p>
    <w:p w14:paraId="08573155" w14:textId="140C4A05" w:rsidR="007A3A6E" w:rsidRPr="00F14CE5" w:rsidRDefault="009F6A64" w:rsidP="007A3A6E">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{"citationID":"U4ZGNg9W","properties":{"unsorted":false,"formattedCitation":"(Moreno et al., 2025)","plainCitation":"(Moreno et al., 2025)","noteIndex":0},"citationItems":[{"id":"i2yCDwO7/OI9hAAH5","uris":["http://zotero.org/users/local/3HGLAaLg/items/GAPBE8VP"],"itemData":{"id":44,"type":"article-journal","abstract":"The global demand for skilled workers, particularly in digital sectors, is projected to increase significantly, with an estimated 92 million digital jobs expected by 2030, according to the World Economic Forum. This trend presents a unique opportunity for countries like the Philippines to enhance their Technical and Vocational Education and Training (TVET) systems to meet evolving global labor market needs. Hence, this study endeavored the development of a comprehensive, research-based curriculum model for the Bachelor of Technical-Vocational Teacher Education (BTVTEd) program in the Philippines. Using an exploratory sequential mixed-methods approach, the research examined current challenges, and the extent of knowledge, experiences, and practices within the BTVTEd curriculum by gathering insights from experts in universities across the country. The findings reveal that the main challenges identified by respondents are related to curriculum and program design, particularly in adapting to industry demands. However, issues related to resources and facilities were also highlighted as central concerns. The study further underscores the need for the inclusion of emerging key courses, such as research, innovation, sustainability, and regulatory frameworks, alongside strengthening core areas like pedagogy, instructional design, and personal and professional development. Additionally, the study identified prominent factors, practices and strategies used to improve the BTVTEd program. Based on these findings, a new curriculum model is proposed, aimed at strengthening the current technical education program. The study suggests further exploration on how universities balance the use of quality assurance practices in curriculum delivery. The results provide valuable insights for the continued development of technical vocational teacher education in the Philippines through comprehensive quality assurance.","container-title":"Journal of Technical Education and Training","ISSN":"2600-7932","issue":"2","language":"en","license":"Copyright (c) 2025 Journal of Technical Education and Training","page":"87-105","source":"publisher.uthm.edu.my","title":"Exploring Technical Vocational Teacher Education: Inputs To Curriculum Model Development","title-short":"Exploring Technical Vocational Teacher Education","volume":"17","author":[{"family":"Moreno","given":"Nilmar I."},{"family":"Callueng","given":"Romelyn Z."},{"family":"Portez","given":"Apollo P."}],"issued":{"date-parts":[["2025",6,29]]}}}],"schema":"https://github.com/citation-style-language/schema/raw/master/csl-citation.json"}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(Moreno et al., 2025)</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lang w:val="en-US"/>
        </w:rPr>
        <w:t>,</w:t>
      </w:r>
      <w:r w:rsidRPr="00F14CE5">
        <w:rPr>
          <w:rFonts w:ascii="Times New Roman" w:eastAsia="Arial" w:hAnsi="Times New Roman" w:cs="Times New Roman"/>
          <w:color w:val="0D0D0D" w:themeColor="text1" w:themeTint="F2"/>
          <w:spacing w:val="-17"/>
          <w:sz w:val="24"/>
          <w:szCs w:val="24"/>
          <w:lang w:val="en-US"/>
        </w:rPr>
        <w:t xml:space="preserve"> </w:t>
      </w:r>
      <w:r w:rsidR="007A3A6E" w:rsidRPr="00F14CE5">
        <w:rPr>
          <w:rFonts w:ascii="Times New Roman" w:eastAsia="Arial" w:hAnsi="Times New Roman" w:cs="Times New Roman"/>
          <w:color w:val="0D0D0D" w:themeColor="text1" w:themeTint="F2"/>
          <w:sz w:val="24"/>
          <w:szCs w:val="24"/>
        </w:rPr>
        <w:t xml:space="preserve">shows that there is an urgent need for continuous review of BTVTED program, and also shows that the curriculum and labor market in relation to the education of safe and quality practitioners is of utmost importance </w:t>
      </w: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{"citationID":"4rYizECS","properties":{"unsorted":false,"formattedCitation":"(Alinea &amp; Reyes, 2023)","plainCitation":"(Alinea &amp; Reyes, 2023)","noteIndex":0},"citationItems":[{"id":"i2yCDwO7/6Uno8zvG","uris":["http://zotero.org/users/local/3HGLAaLg/items/M55PQ83W"],"itemData":{"id":46,"type":"article-journal","abstract":"The study aimed to determine the gender and industry-practice gaps in the Technical-Vocational Teacher Education (TVTEd) program and fill these gaps through a curriculum model to make TVTEd gender and industry-responsive. The study used a mixed method approach where quantitative and qualitative data were utilized to develop the curriculum model. Phase 1 is quantitative descriptive research that focuses on the adequacy and usefulness of the pedagogical and technical skills of the curriculum using the lenses of TVTEd graduates and their supervisors. Phases 2 is a literature review that mapped the gender and industry-practice gaps in TVET. Phase 3 is a qualitative case study research focused on identifying the emerging gender issues constraining gender-responsive curriculum practices. Participants for Phase 1 were seventy-one (71) TVTEd graduates and thirty (30) academic and industry supervisors. Phase 2 scrutinized fifty-five (55) related studies. Participants of the Phase 3 included six (6) technical professors, seven (7) TVTEd graduates, and twelve (12) TVTEd students. Quantitative data were analyzed using statistical treatment (mean score, standard deviation, and weighted mean) and qualitative data were thematized using inductive thematic analysis. The results of the study showed a disparity in the technical skills of the TVTEd graduates, emerging gender and industry-practice gaps in the literature, and contradictions in the subjects (teachers), rules, tools, community, division of labor, and object within the activity system of TVTEd. The consolidated inputs from the four phases of the study were analyzed and utilized in developing a gender and industry-responsive curriculum model for TVTEd.","container-title":"Journal of Research, Policy &amp; Practice of Teachers &amp; Teacher Education","DOI":"10.37134/jrpptte.vol13.2.1.2023","journalAbbreviation":"Journal of Research, Policy &amp; Practice of Teachers &amp; Teacher Education","page":"1-27","source":"ResearchGate","title":"A gender and industry-responsive curriculum model for technical-vocational teacher education program","volume":"13","author":[{"family":"Alinea","given":"Jess Mark"},{"family":"Reyes","given":"Wilma"}],"issued":{"date-parts":[["2023",9,12]]}}}],"schema":"https://github.com/citation-style-language/schema/raw/master/csl-citation.json"}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(Alinea &amp; Reyes, 2023)</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rPr>
        <w:t xml:space="preserve">. Overall, these findings highlight the need for curriculum modernization, expanded experiential learning, and stronger institutional support to ensure the </w:t>
      </w:r>
      <w:r w:rsidRPr="00F14CE5">
        <w:rPr>
          <w:rFonts w:ascii="Times New Roman" w:eastAsia="Arial" w:hAnsi="Times New Roman" w:cs="Times New Roman"/>
          <w:color w:val="0D0D0D" w:themeColor="text1" w:themeTint="F2"/>
          <w:sz w:val="24"/>
          <w:szCs w:val="24"/>
        </w:rPr>
        <w:lastRenderedPageBreak/>
        <w:t>preparation of qualified teachers for basic education.</w:t>
      </w:r>
    </w:p>
    <w:p w14:paraId="1A38B415" w14:textId="1B2F915D" w:rsidR="007D4FDD" w:rsidRPr="00F14CE5" w:rsidRDefault="007D4FDD" w:rsidP="007D4FDD">
      <w:pPr>
        <w:widowControl w:val="0"/>
        <w:autoSpaceDE w:val="0"/>
        <w:autoSpaceDN w:val="0"/>
        <w:spacing w:before="93" w:after="0" w:line="240" w:lineRule="auto"/>
        <w:ind w:right="-7"/>
        <w:jc w:val="both"/>
        <w:rPr>
          <w:rFonts w:ascii="Times New Roman" w:eastAsia="Arial" w:hAnsi="Times New Roman" w:cs="Times New Roman"/>
          <w:b/>
          <w:bCs/>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rPr>
        <w:t xml:space="preserve">Table 8: Test </w:t>
      </w:r>
      <w:r w:rsidRPr="00F14CE5">
        <w:rPr>
          <w:rFonts w:ascii="Times New Roman" w:eastAsia="Times New Roman" w:hAnsi="Times New Roman" w:cs="Times New Roman"/>
          <w:b/>
          <w:bCs/>
          <w:iCs/>
          <w:color w:val="0D0D0D" w:themeColor="text1" w:themeTint="F2"/>
          <w:sz w:val="24"/>
          <w:szCs w:val="24"/>
          <w:lang w:val="en-US"/>
        </w:rPr>
        <w:t>Significant in</w:t>
      </w:r>
      <w:r w:rsidRPr="00F14CE5">
        <w:rPr>
          <w:rFonts w:ascii="Times New Roman" w:eastAsia="Arial" w:hAnsi="Times New Roman" w:cs="Times New Roman"/>
          <w:b/>
          <w:bCs/>
          <w:color w:val="0D0D0D" w:themeColor="text1" w:themeTint="F2"/>
          <w:sz w:val="24"/>
          <w:szCs w:val="24"/>
          <w:lang w:val="en-US"/>
        </w:rPr>
        <w:t xml:space="preserve"> the Perceptions of Pre-Service Teachers on the Emphasis of the </w:t>
      </w:r>
      <w:proofErr w:type="spellStart"/>
      <w:r w:rsidRPr="00F14CE5">
        <w:rPr>
          <w:rFonts w:ascii="Times New Roman" w:eastAsia="Arial" w:hAnsi="Times New Roman" w:cs="Times New Roman"/>
          <w:b/>
          <w:bCs/>
          <w:color w:val="0D0D0D" w:themeColor="text1" w:themeTint="F2"/>
          <w:sz w:val="24"/>
          <w:szCs w:val="24"/>
          <w:lang w:val="en-US"/>
        </w:rPr>
        <w:t>Matatag</w:t>
      </w:r>
      <w:proofErr w:type="spellEnd"/>
      <w:r w:rsidRPr="00F14CE5">
        <w:rPr>
          <w:rFonts w:ascii="Times New Roman" w:eastAsia="Arial" w:hAnsi="Times New Roman" w:cs="Times New Roman"/>
          <w:b/>
          <w:bCs/>
          <w:color w:val="0D0D0D" w:themeColor="text1" w:themeTint="F2"/>
          <w:sz w:val="24"/>
          <w:szCs w:val="24"/>
          <w:lang w:val="en-US"/>
        </w:rPr>
        <w:t xml:space="preserve"> Curriculum Regarding Key Competencies For K-10 Learners When Grouped According to Age</w:t>
      </w:r>
      <w:r w:rsidR="007A3A6E" w:rsidRPr="00F14CE5">
        <w:rPr>
          <w:rFonts w:ascii="Times New Roman" w:eastAsia="Arial" w:hAnsi="Times New Roman" w:cs="Times New Roman"/>
          <w:b/>
          <w:bCs/>
          <w:color w:val="0D0D0D" w:themeColor="text1" w:themeTint="F2"/>
          <w:sz w:val="24"/>
          <w:szCs w:val="24"/>
          <w:lang w:val="en-US"/>
        </w:rPr>
        <w:br/>
      </w:r>
    </w:p>
    <w:p w14:paraId="54A845EC" w14:textId="77777777" w:rsidR="009F6A64" w:rsidRPr="00F14CE5" w:rsidRDefault="009F6A64" w:rsidP="009F6A64">
      <w:pPr>
        <w:spacing w:after="0" w:line="240" w:lineRule="auto"/>
        <w:ind w:firstLine="720"/>
        <w:jc w:val="both"/>
        <w:rPr>
          <w:rFonts w:ascii="Times New Roman" w:eastAsia="Arial" w:hAnsi="Times New Roman" w:cs="Times New Roman"/>
          <w:color w:val="0D0D0D" w:themeColor="text1" w:themeTint="F2"/>
          <w:kern w:val="2"/>
          <w:sz w:val="24"/>
          <w:szCs w:val="24"/>
        </w:rPr>
      </w:pPr>
      <w:r w:rsidRPr="00F14CE5">
        <w:rPr>
          <w:rFonts w:ascii="Times New Roman" w:eastAsia="Arial" w:hAnsi="Times New Roman" w:cs="Times New Roman"/>
          <w:color w:val="0D0D0D" w:themeColor="text1" w:themeTint="F2"/>
          <w:kern w:val="2"/>
          <w:sz w:val="24"/>
          <w:szCs w:val="24"/>
        </w:rPr>
        <w:t>This section examines whether pre-service teachers’ perceptions of the MATATAG Curriculum’s emphasis on key K–10 competencies differ when grouped by age. It highlights the importance of age-related factors and presents the results using one-way ANOVA in Table 8.</w:t>
      </w:r>
    </w:p>
    <w:p w14:paraId="4B2E8B2E" w14:textId="77777777" w:rsidR="007D4FDD" w:rsidRPr="00F14CE5" w:rsidRDefault="007D4FDD" w:rsidP="009F6A64">
      <w:pPr>
        <w:spacing w:after="0" w:line="240" w:lineRule="auto"/>
        <w:ind w:firstLine="720"/>
        <w:jc w:val="both"/>
        <w:rPr>
          <w:rFonts w:ascii="Times New Roman" w:eastAsia="Arial" w:hAnsi="Times New Roman" w:cs="Times New Roman"/>
          <w:color w:val="0D0D0D" w:themeColor="text1" w:themeTint="F2"/>
          <w:kern w:val="2"/>
          <w:sz w:val="24"/>
          <w:szCs w:val="24"/>
        </w:rPr>
      </w:pPr>
    </w:p>
    <w:tbl>
      <w:tblPr>
        <w:tblW w:w="8910" w:type="dxa"/>
        <w:jc w:val="center"/>
        <w:tblLook w:val="04A0" w:firstRow="1" w:lastRow="0" w:firstColumn="1" w:lastColumn="0" w:noHBand="0" w:noVBand="1"/>
      </w:tblPr>
      <w:tblGrid>
        <w:gridCol w:w="1625"/>
        <w:gridCol w:w="1301"/>
        <w:gridCol w:w="761"/>
        <w:gridCol w:w="1048"/>
        <w:gridCol w:w="1114"/>
        <w:gridCol w:w="1123"/>
        <w:gridCol w:w="1938"/>
      </w:tblGrid>
      <w:tr w:rsidR="00597834" w:rsidRPr="00F14CE5" w14:paraId="1938B7F9" w14:textId="77777777" w:rsidTr="00EA5FA3">
        <w:trPr>
          <w:trHeight w:val="307"/>
          <w:jc w:val="center"/>
        </w:trPr>
        <w:tc>
          <w:tcPr>
            <w:tcW w:w="8910" w:type="dxa"/>
            <w:gridSpan w:val="7"/>
            <w:tcBorders>
              <w:left w:val="nil"/>
              <w:bottom w:val="single" w:sz="4" w:space="0" w:color="auto"/>
              <w:right w:val="nil"/>
            </w:tcBorders>
            <w:noWrap/>
            <w:vAlign w:val="bottom"/>
            <w:hideMark/>
          </w:tcPr>
          <w:p w14:paraId="568F572F" w14:textId="77777777" w:rsidR="009F6A64" w:rsidRPr="00F14CE5" w:rsidRDefault="009F6A64" w:rsidP="009F6A64">
            <w:pPr>
              <w:spacing w:after="0" w:line="240" w:lineRule="auto"/>
              <w:jc w:val="center"/>
              <w:rPr>
                <w:rFonts w:ascii="Times New Roman" w:eastAsia="Times New Roman" w:hAnsi="Times New Roman" w:cs="Times New Roman"/>
                <w:b/>
                <w:bCs/>
                <w:iCs/>
                <w:color w:val="0D0D0D" w:themeColor="text1" w:themeTint="F2"/>
                <w:kern w:val="2"/>
                <w:sz w:val="18"/>
                <w:szCs w:val="18"/>
              </w:rPr>
            </w:pPr>
            <w:r w:rsidRPr="00F14CE5">
              <w:rPr>
                <w:rFonts w:ascii="Times New Roman" w:eastAsia="Times New Roman" w:hAnsi="Times New Roman" w:cs="Times New Roman"/>
                <w:b/>
                <w:bCs/>
                <w:iCs/>
                <w:color w:val="0D0D0D" w:themeColor="text1" w:themeTint="F2"/>
                <w:kern w:val="2"/>
                <w:sz w:val="18"/>
                <w:szCs w:val="18"/>
              </w:rPr>
              <w:t>Table 8</w:t>
            </w:r>
          </w:p>
          <w:p w14:paraId="541087DB" w14:textId="77777777" w:rsidR="009F6A64" w:rsidRPr="00F14CE5" w:rsidRDefault="009F6A64" w:rsidP="009F6A64">
            <w:pPr>
              <w:spacing w:after="0" w:line="240" w:lineRule="auto"/>
              <w:jc w:val="center"/>
              <w:rPr>
                <w:rFonts w:ascii="Times New Roman" w:eastAsia="Arial" w:hAnsi="Times New Roman" w:cs="Times New Roman"/>
                <w:b/>
                <w:bCs/>
                <w:color w:val="0D0D0D" w:themeColor="text1" w:themeTint="F2"/>
                <w:kern w:val="2"/>
                <w:sz w:val="18"/>
                <w:szCs w:val="18"/>
              </w:rPr>
            </w:pPr>
            <w:r w:rsidRPr="00F14CE5">
              <w:rPr>
                <w:rFonts w:ascii="Times New Roman" w:eastAsia="Times New Roman" w:hAnsi="Times New Roman" w:cs="Times New Roman"/>
                <w:b/>
                <w:bCs/>
                <w:iCs/>
                <w:color w:val="0D0D0D" w:themeColor="text1" w:themeTint="F2"/>
                <w:kern w:val="2"/>
                <w:sz w:val="18"/>
                <w:szCs w:val="18"/>
              </w:rPr>
              <w:t>Test of Significant Difference i</w:t>
            </w:r>
            <w:r w:rsidRPr="00F14CE5">
              <w:rPr>
                <w:rFonts w:ascii="Times New Roman" w:eastAsia="Arial" w:hAnsi="Times New Roman" w:cs="Times New Roman"/>
                <w:b/>
                <w:bCs/>
                <w:color w:val="0D0D0D" w:themeColor="text1" w:themeTint="F2"/>
                <w:kern w:val="2"/>
                <w:sz w:val="18"/>
                <w:szCs w:val="18"/>
              </w:rPr>
              <w:t>n the Perceptions of Pre-Service Teachers on the Emphasis of the MATATAG Curriculum Regarding Key Competencies for K-10 Learners When Grouped According to Age</w:t>
            </w:r>
          </w:p>
        </w:tc>
      </w:tr>
      <w:tr w:rsidR="00597834" w:rsidRPr="00F14CE5" w14:paraId="67B06453" w14:textId="77777777" w:rsidTr="00EA5FA3">
        <w:trPr>
          <w:trHeight w:val="307"/>
          <w:jc w:val="center"/>
        </w:trPr>
        <w:tc>
          <w:tcPr>
            <w:tcW w:w="1625" w:type="dxa"/>
            <w:tcBorders>
              <w:top w:val="single" w:sz="4" w:space="0" w:color="auto"/>
              <w:left w:val="nil"/>
              <w:bottom w:val="single" w:sz="4" w:space="0" w:color="auto"/>
              <w:right w:val="nil"/>
            </w:tcBorders>
            <w:noWrap/>
            <w:vAlign w:val="bottom"/>
            <w:hideMark/>
          </w:tcPr>
          <w:p w14:paraId="2FF69603"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Source of Variation</w:t>
            </w:r>
          </w:p>
        </w:tc>
        <w:tc>
          <w:tcPr>
            <w:tcW w:w="1301" w:type="dxa"/>
            <w:tcBorders>
              <w:top w:val="single" w:sz="4" w:space="0" w:color="auto"/>
              <w:left w:val="nil"/>
              <w:bottom w:val="single" w:sz="4" w:space="0" w:color="auto"/>
              <w:right w:val="nil"/>
            </w:tcBorders>
            <w:noWrap/>
            <w:vAlign w:val="bottom"/>
            <w:hideMark/>
          </w:tcPr>
          <w:p w14:paraId="21E5C0AA"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Sum of Squares</w:t>
            </w:r>
          </w:p>
        </w:tc>
        <w:tc>
          <w:tcPr>
            <w:tcW w:w="761" w:type="dxa"/>
            <w:tcBorders>
              <w:top w:val="single" w:sz="4" w:space="0" w:color="auto"/>
              <w:left w:val="nil"/>
              <w:bottom w:val="single" w:sz="4" w:space="0" w:color="auto"/>
              <w:right w:val="nil"/>
            </w:tcBorders>
            <w:noWrap/>
            <w:vAlign w:val="bottom"/>
            <w:hideMark/>
          </w:tcPr>
          <w:p w14:paraId="061D0FDB"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proofErr w:type="spellStart"/>
            <w:r w:rsidRPr="00F14CE5">
              <w:rPr>
                <w:rFonts w:ascii="Times New Roman" w:eastAsia="Times New Roman" w:hAnsi="Times New Roman" w:cs="Times New Roman"/>
                <w:iCs/>
                <w:color w:val="0D0D0D" w:themeColor="text1" w:themeTint="F2"/>
                <w:kern w:val="2"/>
                <w:sz w:val="18"/>
                <w:szCs w:val="18"/>
              </w:rPr>
              <w:t>df</w:t>
            </w:r>
            <w:proofErr w:type="spellEnd"/>
          </w:p>
        </w:tc>
        <w:tc>
          <w:tcPr>
            <w:tcW w:w="1048" w:type="dxa"/>
            <w:tcBorders>
              <w:top w:val="single" w:sz="4" w:space="0" w:color="auto"/>
              <w:left w:val="nil"/>
              <w:bottom w:val="single" w:sz="4" w:space="0" w:color="auto"/>
              <w:right w:val="nil"/>
            </w:tcBorders>
            <w:noWrap/>
            <w:vAlign w:val="bottom"/>
            <w:hideMark/>
          </w:tcPr>
          <w:p w14:paraId="23F5ECB9"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Mean Square</w:t>
            </w:r>
          </w:p>
        </w:tc>
        <w:tc>
          <w:tcPr>
            <w:tcW w:w="1114" w:type="dxa"/>
            <w:tcBorders>
              <w:top w:val="single" w:sz="4" w:space="0" w:color="auto"/>
              <w:left w:val="nil"/>
              <w:bottom w:val="single" w:sz="4" w:space="0" w:color="auto"/>
              <w:right w:val="nil"/>
            </w:tcBorders>
            <w:noWrap/>
            <w:vAlign w:val="center"/>
            <w:hideMark/>
          </w:tcPr>
          <w:p w14:paraId="2C873679"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F-value</w:t>
            </w:r>
          </w:p>
        </w:tc>
        <w:tc>
          <w:tcPr>
            <w:tcW w:w="1123" w:type="dxa"/>
            <w:tcBorders>
              <w:top w:val="single" w:sz="4" w:space="0" w:color="auto"/>
              <w:left w:val="nil"/>
              <w:bottom w:val="single" w:sz="4" w:space="0" w:color="auto"/>
              <w:right w:val="nil"/>
            </w:tcBorders>
            <w:noWrap/>
            <w:vAlign w:val="center"/>
            <w:hideMark/>
          </w:tcPr>
          <w:p w14:paraId="5A417B73"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p-value</w:t>
            </w:r>
          </w:p>
        </w:tc>
        <w:tc>
          <w:tcPr>
            <w:tcW w:w="1938" w:type="dxa"/>
            <w:tcBorders>
              <w:top w:val="single" w:sz="4" w:space="0" w:color="auto"/>
              <w:left w:val="nil"/>
              <w:bottom w:val="single" w:sz="4" w:space="0" w:color="auto"/>
              <w:right w:val="nil"/>
            </w:tcBorders>
            <w:vAlign w:val="center"/>
          </w:tcPr>
          <w:p w14:paraId="1D29CD29"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Remarks</w:t>
            </w:r>
          </w:p>
        </w:tc>
      </w:tr>
      <w:tr w:rsidR="00597834" w:rsidRPr="00F14CE5" w14:paraId="5ED99134" w14:textId="77777777" w:rsidTr="00EA5FA3">
        <w:trPr>
          <w:trHeight w:val="690"/>
          <w:jc w:val="center"/>
        </w:trPr>
        <w:tc>
          <w:tcPr>
            <w:tcW w:w="1625" w:type="dxa"/>
            <w:tcBorders>
              <w:top w:val="single" w:sz="4" w:space="0" w:color="auto"/>
              <w:left w:val="nil"/>
            </w:tcBorders>
            <w:noWrap/>
            <w:vAlign w:val="center"/>
            <w:hideMark/>
          </w:tcPr>
          <w:p w14:paraId="7505BA7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Between Groups</w:t>
            </w:r>
          </w:p>
        </w:tc>
        <w:tc>
          <w:tcPr>
            <w:tcW w:w="1301" w:type="dxa"/>
            <w:tcBorders>
              <w:top w:val="single" w:sz="4" w:space="0" w:color="auto"/>
            </w:tcBorders>
            <w:shd w:val="clear" w:color="auto" w:fill="FFFFFF"/>
            <w:noWrap/>
            <w:hideMark/>
          </w:tcPr>
          <w:p w14:paraId="77CF39C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120.886</w:t>
            </w:r>
          </w:p>
        </w:tc>
        <w:tc>
          <w:tcPr>
            <w:tcW w:w="761" w:type="dxa"/>
            <w:tcBorders>
              <w:top w:val="single" w:sz="4" w:space="0" w:color="auto"/>
            </w:tcBorders>
            <w:shd w:val="clear" w:color="auto" w:fill="FFFFFF"/>
            <w:noWrap/>
            <w:hideMark/>
          </w:tcPr>
          <w:p w14:paraId="63E94DE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3</w:t>
            </w:r>
          </w:p>
        </w:tc>
        <w:tc>
          <w:tcPr>
            <w:tcW w:w="1048" w:type="dxa"/>
            <w:tcBorders>
              <w:top w:val="single" w:sz="4" w:space="0" w:color="auto"/>
            </w:tcBorders>
            <w:shd w:val="clear" w:color="auto" w:fill="FFFFFF"/>
            <w:noWrap/>
            <w:hideMark/>
          </w:tcPr>
          <w:p w14:paraId="085E8E6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40.295</w:t>
            </w:r>
          </w:p>
        </w:tc>
        <w:tc>
          <w:tcPr>
            <w:tcW w:w="1114" w:type="dxa"/>
            <w:tcBorders>
              <w:top w:val="single" w:sz="4" w:space="0" w:color="auto"/>
            </w:tcBorders>
            <w:shd w:val="clear" w:color="auto" w:fill="FFFFFF"/>
            <w:noWrap/>
            <w:hideMark/>
          </w:tcPr>
          <w:p w14:paraId="2E8AE0F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1.818</w:t>
            </w:r>
          </w:p>
        </w:tc>
        <w:tc>
          <w:tcPr>
            <w:tcW w:w="1123" w:type="dxa"/>
            <w:tcBorders>
              <w:top w:val="single" w:sz="4" w:space="0" w:color="auto"/>
            </w:tcBorders>
            <w:shd w:val="clear" w:color="auto" w:fill="FFFFFF"/>
            <w:noWrap/>
            <w:hideMark/>
          </w:tcPr>
          <w:p w14:paraId="20E41BE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0.157</w:t>
            </w:r>
          </w:p>
        </w:tc>
        <w:tc>
          <w:tcPr>
            <w:tcW w:w="1938" w:type="dxa"/>
            <w:tcBorders>
              <w:top w:val="single" w:sz="4" w:space="0" w:color="auto"/>
              <w:right w:val="nil"/>
            </w:tcBorders>
            <w:vAlign w:val="center"/>
          </w:tcPr>
          <w:p w14:paraId="6A0F0FA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Not Significant</w:t>
            </w:r>
          </w:p>
        </w:tc>
      </w:tr>
      <w:tr w:rsidR="00597834" w:rsidRPr="00F14CE5" w14:paraId="635FDFD8" w14:textId="77777777" w:rsidTr="00EA5FA3">
        <w:trPr>
          <w:trHeight w:val="307"/>
          <w:jc w:val="center"/>
        </w:trPr>
        <w:tc>
          <w:tcPr>
            <w:tcW w:w="1625" w:type="dxa"/>
            <w:tcBorders>
              <w:left w:val="nil"/>
            </w:tcBorders>
            <w:noWrap/>
            <w:vAlign w:val="center"/>
            <w:hideMark/>
          </w:tcPr>
          <w:p w14:paraId="5BA44F8E"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Within Groups</w:t>
            </w:r>
          </w:p>
        </w:tc>
        <w:tc>
          <w:tcPr>
            <w:tcW w:w="1301" w:type="dxa"/>
            <w:shd w:val="clear" w:color="auto" w:fill="FFFFFF"/>
            <w:noWrap/>
            <w:hideMark/>
          </w:tcPr>
          <w:p w14:paraId="498CE85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1019.834</w:t>
            </w:r>
          </w:p>
        </w:tc>
        <w:tc>
          <w:tcPr>
            <w:tcW w:w="761" w:type="dxa"/>
            <w:shd w:val="clear" w:color="auto" w:fill="FFFFFF"/>
            <w:noWrap/>
            <w:hideMark/>
          </w:tcPr>
          <w:p w14:paraId="3DBAC8D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46</w:t>
            </w:r>
          </w:p>
        </w:tc>
        <w:tc>
          <w:tcPr>
            <w:tcW w:w="1048" w:type="dxa"/>
            <w:shd w:val="clear" w:color="auto" w:fill="FFFFFF"/>
            <w:noWrap/>
            <w:hideMark/>
          </w:tcPr>
          <w:p w14:paraId="41B8D65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22.170</w:t>
            </w:r>
          </w:p>
        </w:tc>
        <w:tc>
          <w:tcPr>
            <w:tcW w:w="1114" w:type="dxa"/>
            <w:shd w:val="clear" w:color="auto" w:fill="FFFFFF"/>
            <w:noWrap/>
            <w:vAlign w:val="center"/>
            <w:hideMark/>
          </w:tcPr>
          <w:p w14:paraId="6B04DFAA"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123" w:type="dxa"/>
            <w:shd w:val="clear" w:color="auto" w:fill="FFFFFF"/>
            <w:noWrap/>
            <w:vAlign w:val="center"/>
            <w:hideMark/>
          </w:tcPr>
          <w:p w14:paraId="35055ED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938" w:type="dxa"/>
            <w:tcBorders>
              <w:right w:val="nil"/>
            </w:tcBorders>
            <w:vAlign w:val="center"/>
          </w:tcPr>
          <w:p w14:paraId="2A142F1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r>
      <w:tr w:rsidR="00DC43D6" w:rsidRPr="00F14CE5" w14:paraId="03979B8F" w14:textId="77777777" w:rsidTr="00EA5FA3">
        <w:trPr>
          <w:trHeight w:val="322"/>
          <w:jc w:val="center"/>
        </w:trPr>
        <w:tc>
          <w:tcPr>
            <w:tcW w:w="1625" w:type="dxa"/>
            <w:tcBorders>
              <w:left w:val="nil"/>
              <w:bottom w:val="single" w:sz="4" w:space="0" w:color="auto"/>
            </w:tcBorders>
            <w:noWrap/>
            <w:vAlign w:val="center"/>
            <w:hideMark/>
          </w:tcPr>
          <w:p w14:paraId="701B54C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Total</w:t>
            </w:r>
          </w:p>
        </w:tc>
        <w:tc>
          <w:tcPr>
            <w:tcW w:w="1301" w:type="dxa"/>
            <w:tcBorders>
              <w:bottom w:val="single" w:sz="4" w:space="0" w:color="auto"/>
            </w:tcBorders>
            <w:shd w:val="clear" w:color="auto" w:fill="FFFFFF"/>
            <w:noWrap/>
            <w:hideMark/>
          </w:tcPr>
          <w:p w14:paraId="63906B6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1140.720</w:t>
            </w:r>
          </w:p>
        </w:tc>
        <w:tc>
          <w:tcPr>
            <w:tcW w:w="761" w:type="dxa"/>
            <w:tcBorders>
              <w:bottom w:val="single" w:sz="4" w:space="0" w:color="auto"/>
            </w:tcBorders>
            <w:shd w:val="clear" w:color="auto" w:fill="FFFFFF"/>
            <w:noWrap/>
            <w:hideMark/>
          </w:tcPr>
          <w:p w14:paraId="367513E1"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49</w:t>
            </w:r>
          </w:p>
        </w:tc>
        <w:tc>
          <w:tcPr>
            <w:tcW w:w="1048" w:type="dxa"/>
            <w:tcBorders>
              <w:bottom w:val="single" w:sz="4" w:space="0" w:color="auto"/>
            </w:tcBorders>
            <w:shd w:val="clear" w:color="auto" w:fill="FFFFFF"/>
            <w:noWrap/>
            <w:vAlign w:val="center"/>
            <w:hideMark/>
          </w:tcPr>
          <w:p w14:paraId="448860D3"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114" w:type="dxa"/>
            <w:tcBorders>
              <w:bottom w:val="single" w:sz="4" w:space="0" w:color="auto"/>
            </w:tcBorders>
            <w:shd w:val="clear" w:color="auto" w:fill="FFFFFF"/>
            <w:noWrap/>
            <w:vAlign w:val="center"/>
            <w:hideMark/>
          </w:tcPr>
          <w:p w14:paraId="3EF7606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123" w:type="dxa"/>
            <w:tcBorders>
              <w:bottom w:val="single" w:sz="4" w:space="0" w:color="auto"/>
            </w:tcBorders>
            <w:shd w:val="clear" w:color="auto" w:fill="FFFFFF"/>
            <w:noWrap/>
            <w:vAlign w:val="center"/>
            <w:hideMark/>
          </w:tcPr>
          <w:p w14:paraId="333B5DBD"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938" w:type="dxa"/>
            <w:tcBorders>
              <w:bottom w:val="single" w:sz="4" w:space="0" w:color="auto"/>
              <w:right w:val="nil"/>
            </w:tcBorders>
            <w:vAlign w:val="center"/>
          </w:tcPr>
          <w:p w14:paraId="0787E63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r>
    </w:tbl>
    <w:p w14:paraId="6A376CAD" w14:textId="77777777" w:rsidR="009F6A64" w:rsidRPr="00F14CE5" w:rsidRDefault="009F6A64" w:rsidP="009F6A64">
      <w:pPr>
        <w:spacing w:line="240" w:lineRule="auto"/>
        <w:rPr>
          <w:rFonts w:ascii="Times New Roman" w:hAnsi="Times New Roman" w:cs="Times New Roman"/>
          <w:color w:val="0D0D0D" w:themeColor="text1" w:themeTint="F2"/>
          <w:kern w:val="2"/>
        </w:rPr>
      </w:pPr>
    </w:p>
    <w:p w14:paraId="5186E485" w14:textId="77777777" w:rsidR="00B2166E" w:rsidRPr="00F14CE5" w:rsidRDefault="00B2166E" w:rsidP="009F6A64">
      <w:pPr>
        <w:widowControl w:val="0"/>
        <w:autoSpaceDE w:val="0"/>
        <w:autoSpaceDN w:val="0"/>
        <w:spacing w:before="159" w:after="0" w:line="240" w:lineRule="auto"/>
        <w:ind w:right="-7" w:firstLine="72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As shown in Table 8, an F-value of 1.818 is computed with a p-value of 0.157. As the p-value is larger than the 0.05 significance level, it is evident that there is no meaningful variance in the views of pre-service teachers on age groups. Respondents, regardless of age, exhibited relatively similar views on the MATATAG Curriculum emphasis on critical competencies for K-10 learners.</w:t>
      </w:r>
    </w:p>
    <w:p w14:paraId="4D11BFE3" w14:textId="302F8E2D" w:rsidR="00B2166E" w:rsidRPr="00F14CE5" w:rsidRDefault="009F6A64" w:rsidP="00133481">
      <w:pPr>
        <w:widowControl w:val="0"/>
        <w:autoSpaceDE w:val="0"/>
        <w:autoSpaceDN w:val="0"/>
        <w:spacing w:before="159" w:after="0"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non-significant</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result</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indicates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that</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age</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does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not</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significantly</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 xml:space="preserve">influence pre-service teachers’ perceptions of the MATATAG Curriculum’s competency emphasis, suggesting that respondents hold similar views regardless of age. According to </w:t>
      </w: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{"citationID":"v0r97lTg","properties":{"unsorted":false,"formattedCitation":"(Ayta\\uc0\\u231{}, 2023)","plainCitation":"(Aytaç, 2023)","noteIndex":0},"citationItems":[{"id":"i2yCDwO7/I15TSFuy","uris":["http://zotero.org/users/local/3HGLAaLg/items/LCBIET78"],"itemData":{"id":48,"type":"article-journal","abstract":"This study aims to examine teachers' perceptions of curriculum change in terms of various variables. The sample of the study consists of 349 teachers working in a city in Turkey in the fall semester of the 2022-2023 academic year. The convenience sampling method was used in the study sample. The Curriculum Changes Perception Scale was used in the study. In the analysis of the data, arithmetic means, standard deviation, independent t-test, one-way analysis of variance were used. According to the results of the study, the resistance levels of the teachers to the curriculum are high. According to the opinions of the teachers, the changes made in the curriculum are not reflected in the learning-teaching process efficiently. Teachers' perceptions of curriculum change do not differ significantly according to gender and professional seniority variables. Teachers' perceptions of changes in the curriculum differ significantly according to the location of the school where they work. Accordingly, it was determined that teachers working in rural areas showed more resistance to the changes in the curriculum. Teachers' perceptions of curriculum change differ significantly according to the type of school they work in. Accordingly, it was determined that teachers working in primary and secondary schools showed more resistance to the changes in the curriculum. Various suggestions have been presented in the context of the results of this study.","container-title":"International Journal of Innovative Approaches in Education","DOI":"10.29329/ijiape.2023.540.3","ISSN":"2602-4489","issue":"1","journalAbbreviation":"IJIAPE","language":"en","page":"28-41","publisher":"International Journal of Innovative Approaches in Education","source":"ijiape.penpublishing.net","title":"A Study on Teachers' Perceptions of Curriculum Changes","volume":"7","author":[{"family":"Aytaç","given":"Alper"}],"issued":{"date-parts":[["2023",3,31]]}}}],"schema":"https://github.com/citation-style-language/schema/raw/master/csl-citation.json"}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(Aytaç, 2023)</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lang w:val="en-US"/>
        </w:rPr>
        <w:t>,</w:t>
      </w:r>
      <w:r w:rsidR="00133481" w:rsidRPr="00F14CE5">
        <w:rPr>
          <w:rFonts w:ascii="Arial" w:hAnsi="Arial" w:cs="Arial"/>
          <w:color w:val="0D0D0D" w:themeColor="text1" w:themeTint="F2"/>
          <w:sz w:val="21"/>
          <w:szCs w:val="21"/>
        </w:rPr>
        <w:t xml:space="preserve"> </w:t>
      </w:r>
      <w:r w:rsidR="00133481" w:rsidRPr="00F14CE5">
        <w:rPr>
          <w:rFonts w:ascii="Times New Roman" w:eastAsia="Arial" w:hAnsi="Times New Roman" w:cs="Times New Roman"/>
          <w:color w:val="0D0D0D" w:themeColor="text1" w:themeTint="F2"/>
          <w:sz w:val="24"/>
          <w:szCs w:val="24"/>
        </w:rPr>
        <w:t>show that, teachers perceive of curriculum change and age and their co-variances such as teaching experience non-significance for teachers perceptions toward curriculum direction</w:t>
      </w:r>
      <w:r w:rsidRPr="00F14CE5">
        <w:rPr>
          <w:rFonts w:ascii="Times New Roman" w:eastAsia="Arial" w:hAnsi="Times New Roman" w:cs="Times New Roman"/>
          <w:color w:val="0D0D0D" w:themeColor="text1" w:themeTint="F2"/>
          <w:sz w:val="24"/>
          <w:szCs w:val="24"/>
          <w:lang w:val="en-US"/>
        </w:rPr>
        <w:t>.</w:t>
      </w:r>
    </w:p>
    <w:p w14:paraId="5813EE29" w14:textId="77777777" w:rsidR="00B3333B" w:rsidRPr="00F14CE5" w:rsidRDefault="009F6A64" w:rsidP="00B3333B">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The findings </w:t>
      </w:r>
      <w:r w:rsidR="00B3333B" w:rsidRPr="00F14CE5">
        <w:rPr>
          <w:rFonts w:ascii="Times New Roman" w:eastAsia="Arial" w:hAnsi="Times New Roman" w:cs="Times New Roman"/>
          <w:color w:val="0D0D0D" w:themeColor="text1" w:themeTint="F2"/>
          <w:sz w:val="24"/>
          <w:szCs w:val="24"/>
        </w:rPr>
        <w:t>indicate that the coherent component of the BTVTED program allows all pre-service teachers to understand the MATATAG competencies irrespective of age</w:t>
      </w:r>
      <w:r w:rsidRPr="00F14CE5">
        <w:rPr>
          <w:rFonts w:ascii="Times New Roman" w:eastAsia="Arial" w:hAnsi="Times New Roman" w:cs="Times New Roman"/>
          <w:color w:val="0D0D0D" w:themeColor="text1" w:themeTint="F2"/>
          <w:sz w:val="24"/>
          <w:szCs w:val="24"/>
        </w:rPr>
        <w:t xml:space="preserve"> </w:t>
      </w: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{"citationID":"WA3THGL1","properties":{"unsorted":false,"formattedCitation":"(Verano &amp; Baguio, 2025)","plainCitation":"(Verano &amp; Baguio, 2025)","noteIndex":0},"citationItems":[{"id":"i2yCDwO7/JMFVS9HB","uris":["http://zotero.org/users/local/3HGLAaLg/items/44QYLFD9"],"itemData":{"id":50,"type":"article-journal","abstract":"Future thinking skills can significantly enhance curriculum coherence among teachers by fostering a proactive and strategic approach to curriculum planning and implementation. This study aimed to determine the significant relationship between future thinking skills and curriculum coherence among public junior high school teachers in Mati Central District, Division of Mati City. A descriptive-correlational research design was utilized, involving a sample of 171 teachers from public Junior High school teachers in Mati Central District, Division of Mati City. Standardized questionnaires were administered through face-to-face surveys to gather the data. The mean, standard deviation (SD), Pearson product-moment correlation, and multiple linear regression analyses were used to analyze the data collected. The findings revealed that future thinking skills and curriculum coherence were both at very extensive levels. Correlation analysis indicated a significant relationship between future thinking skills and curriculum coherence. Moreover, the study identified that the domains of future thinking skills, such as pessimistic future thinking, repetitive thinking about future goals, and positive indulging about the future, significantly influenced curriculum coherence. It is recommended that school administrators foster future thinking among teachers through professional development programs focused on enhancing their skills in anticipating and planning for future scenarios. By promoting future thinking and aligning it with curriculum coherence, educators will be better prepared to design curricula that are adaptable, relevant, and responsive to the needs of future generations. This approach can contribute to improving the overall educational experience and outcomes for students. Future researchers could further explore the impact of future-oriented teacher development on student outcomes and curriculum innovation, helping to deepen our understanding of how forward-thinking approaches in education can shape long-term academic success.","container-title":"Journal of Scientific Research and Reports","issue":"6","page":"1327-1340","publisher":"SCIENCEDOMAIN international","source":"HAL","title":"Future Thinking and Curriculum Coherence among Public Junior High School Teachers","volume":"31","author":[{"family":"Verano","given":"Resalyn T"},{"family":"Baguio","given":"Josephine B"}],"issued":{"date-parts":[["2025",6]]}}}],"schema":"https://github.com/citation-style-language/schema/raw/master/csl-citation.json"}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(Verano &amp; Baguio, 2025)</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lang w:val="en-US"/>
        </w:rPr>
        <w:t xml:space="preserve">. </w:t>
      </w:r>
      <w:r w:rsidR="00B3333B" w:rsidRPr="00F14CE5">
        <w:rPr>
          <w:rFonts w:ascii="Times New Roman" w:eastAsia="Arial" w:hAnsi="Times New Roman" w:cs="Times New Roman"/>
          <w:color w:val="0D0D0D" w:themeColor="text1" w:themeTint="F2"/>
          <w:sz w:val="24"/>
          <w:szCs w:val="24"/>
        </w:rPr>
        <w:t>This indicates that coherence in the curriculum allows for consistent perceptions that may not necessarily be distinguished by age, and other variables such as area of focus or years of teaching need to be addressed in future research.</w:t>
      </w:r>
    </w:p>
    <w:p w14:paraId="568BC21B" w14:textId="5180DFBB" w:rsidR="009F6A64" w:rsidRPr="00F14CE5" w:rsidRDefault="007D4FDD" w:rsidP="00B3333B">
      <w:pPr>
        <w:widowControl w:val="0"/>
        <w:autoSpaceDE w:val="0"/>
        <w:autoSpaceDN w:val="0"/>
        <w:spacing w:before="162" w:after="0" w:line="240" w:lineRule="auto"/>
        <w:ind w:right="-7"/>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t>Table 9: Significant Difference in</w:t>
      </w:r>
      <w:r w:rsidRPr="00F14CE5">
        <w:rPr>
          <w:rFonts w:ascii="Times New Roman" w:eastAsia="Arial" w:hAnsi="Times New Roman" w:cs="Times New Roman"/>
          <w:b/>
          <w:bCs/>
          <w:color w:val="0D0D0D" w:themeColor="text1" w:themeTint="F2"/>
          <w:spacing w:val="-6"/>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the</w:t>
      </w:r>
      <w:r w:rsidRPr="00F14CE5">
        <w:rPr>
          <w:rFonts w:ascii="Times New Roman" w:eastAsia="Arial" w:hAnsi="Times New Roman" w:cs="Times New Roman"/>
          <w:b/>
          <w:bCs/>
          <w:color w:val="0D0D0D" w:themeColor="text1" w:themeTint="F2"/>
          <w:spacing w:val="-7"/>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Perceptions</w:t>
      </w:r>
      <w:r w:rsidRPr="00F14CE5">
        <w:rPr>
          <w:rFonts w:ascii="Times New Roman" w:eastAsia="Arial" w:hAnsi="Times New Roman" w:cs="Times New Roman"/>
          <w:b/>
          <w:bCs/>
          <w:color w:val="0D0D0D" w:themeColor="text1" w:themeTint="F2"/>
          <w:spacing w:val="-7"/>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of</w:t>
      </w:r>
      <w:r w:rsidRPr="00F14CE5">
        <w:rPr>
          <w:rFonts w:ascii="Times New Roman" w:eastAsia="Arial" w:hAnsi="Times New Roman" w:cs="Times New Roman"/>
          <w:b/>
          <w:bCs/>
          <w:color w:val="0D0D0D" w:themeColor="text1" w:themeTint="F2"/>
          <w:spacing w:val="-5"/>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Pre-Service</w:t>
      </w:r>
      <w:r w:rsidRPr="00F14CE5">
        <w:rPr>
          <w:rFonts w:ascii="Times New Roman" w:eastAsia="Arial" w:hAnsi="Times New Roman" w:cs="Times New Roman"/>
          <w:b/>
          <w:bCs/>
          <w:color w:val="0D0D0D" w:themeColor="text1" w:themeTint="F2"/>
          <w:spacing w:val="-5"/>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Teachers</w:t>
      </w:r>
      <w:r w:rsidRPr="00F14CE5">
        <w:rPr>
          <w:rFonts w:ascii="Times New Roman" w:eastAsia="Arial" w:hAnsi="Times New Roman" w:cs="Times New Roman"/>
          <w:b/>
          <w:bCs/>
          <w:color w:val="0D0D0D" w:themeColor="text1" w:themeTint="F2"/>
          <w:spacing w:val="-5"/>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on</w:t>
      </w:r>
      <w:r w:rsidRPr="00F14CE5">
        <w:rPr>
          <w:rFonts w:ascii="Times New Roman" w:eastAsia="Arial" w:hAnsi="Times New Roman" w:cs="Times New Roman"/>
          <w:b/>
          <w:bCs/>
          <w:color w:val="0D0D0D" w:themeColor="text1" w:themeTint="F2"/>
          <w:spacing w:val="-5"/>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 xml:space="preserve">the Emphasis of the </w:t>
      </w:r>
      <w:proofErr w:type="spellStart"/>
      <w:r w:rsidRPr="00F14CE5">
        <w:rPr>
          <w:rFonts w:ascii="Times New Roman" w:eastAsia="Arial" w:hAnsi="Times New Roman" w:cs="Times New Roman"/>
          <w:b/>
          <w:bCs/>
          <w:color w:val="0D0D0D" w:themeColor="text1" w:themeTint="F2"/>
          <w:sz w:val="24"/>
          <w:szCs w:val="24"/>
          <w:lang w:val="en-US"/>
        </w:rPr>
        <w:t>Matatag</w:t>
      </w:r>
      <w:proofErr w:type="spellEnd"/>
      <w:r w:rsidRPr="00F14CE5">
        <w:rPr>
          <w:rFonts w:ascii="Times New Roman" w:eastAsia="Arial" w:hAnsi="Times New Roman" w:cs="Times New Roman"/>
          <w:b/>
          <w:bCs/>
          <w:color w:val="0D0D0D" w:themeColor="text1" w:themeTint="F2"/>
          <w:sz w:val="24"/>
          <w:szCs w:val="24"/>
          <w:lang w:val="en-US"/>
        </w:rPr>
        <w:t xml:space="preserve"> Curriculum Regarding Key Competencies For K-10 Learners When Grouped According to </w:t>
      </w:r>
      <w:r w:rsidRPr="00F14CE5">
        <w:rPr>
          <w:rFonts w:ascii="Times New Roman" w:eastAsia="Arial" w:hAnsi="Times New Roman" w:cs="Times New Roman"/>
          <w:b/>
          <w:bCs/>
          <w:color w:val="0D0D0D" w:themeColor="text1" w:themeTint="F2"/>
          <w:spacing w:val="-2"/>
          <w:sz w:val="24"/>
          <w:szCs w:val="24"/>
          <w:lang w:val="en-US"/>
        </w:rPr>
        <w:t>Gender</w:t>
      </w:r>
    </w:p>
    <w:p w14:paraId="4AA26E7C" w14:textId="77777777" w:rsidR="009F6A64" w:rsidRPr="00F14CE5" w:rsidRDefault="009F6A64" w:rsidP="007D4FDD">
      <w:pPr>
        <w:keepNext/>
        <w:keepLines/>
        <w:widowControl w:val="0"/>
        <w:autoSpaceDE w:val="0"/>
        <w:autoSpaceDN w:val="0"/>
        <w:spacing w:before="92" w:after="80" w:line="240" w:lineRule="auto"/>
        <w:ind w:right="-7" w:firstLine="720"/>
        <w:jc w:val="both"/>
        <w:outlineLvl w:val="1"/>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 xml:space="preserve">This section examines whether pre-service teachers’ perceptions of the MATATAG Curriculum’s emphasis on key competencies for K–10 learners differ according to gender. It aims to determine if male and female respondents have varying learning experiences or perspectives. </w:t>
      </w:r>
    </w:p>
    <w:p w14:paraId="54755B5E" w14:textId="77777777" w:rsidR="009F6A64" w:rsidRPr="00F14CE5" w:rsidRDefault="009F6A64" w:rsidP="009F6A64">
      <w:pPr>
        <w:keepNext/>
        <w:keepLines/>
        <w:widowControl w:val="0"/>
        <w:autoSpaceDE w:val="0"/>
        <w:autoSpaceDN w:val="0"/>
        <w:spacing w:before="92" w:after="80" w:line="240" w:lineRule="auto"/>
        <w:ind w:right="-7" w:firstLine="720"/>
        <w:jc w:val="both"/>
        <w:outlineLvl w:val="1"/>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The results of the Independent Samples t-test are presented in Table 9.</w:t>
      </w:r>
    </w:p>
    <w:p w14:paraId="353F1A90" w14:textId="77777777" w:rsidR="009F6A64" w:rsidRPr="00F14CE5" w:rsidRDefault="009F6A64" w:rsidP="009F6A64">
      <w:pPr>
        <w:keepNext/>
        <w:keepLines/>
        <w:widowControl w:val="0"/>
        <w:autoSpaceDE w:val="0"/>
        <w:autoSpaceDN w:val="0"/>
        <w:spacing w:before="92" w:after="80" w:line="240" w:lineRule="auto"/>
        <w:ind w:right="-7"/>
        <w:jc w:val="center"/>
        <w:outlineLvl w:val="1"/>
        <w:rPr>
          <w:rFonts w:ascii="Times New Roman" w:eastAsiaTheme="majorEastAsia" w:hAnsi="Times New Roman" w:cs="Times New Roman"/>
          <w:b/>
          <w:bCs/>
          <w:color w:val="0D0D0D" w:themeColor="text1" w:themeTint="F2"/>
          <w:sz w:val="24"/>
          <w:szCs w:val="24"/>
          <w:lang w:val="en-US"/>
        </w:rPr>
      </w:pPr>
      <w:r w:rsidRPr="00F14CE5">
        <w:rPr>
          <w:rFonts w:ascii="Times New Roman" w:eastAsiaTheme="majorEastAsia" w:hAnsi="Times New Roman" w:cs="Times New Roman"/>
          <w:b/>
          <w:bCs/>
          <w:color w:val="0D0D0D" w:themeColor="text1" w:themeTint="F2"/>
          <w:spacing w:val="-2"/>
          <w:sz w:val="24"/>
          <w:szCs w:val="24"/>
          <w:lang w:val="en-US"/>
        </w:rPr>
        <w:t>Table</w:t>
      </w:r>
      <w:r w:rsidRPr="00F14CE5">
        <w:rPr>
          <w:rFonts w:ascii="Times New Roman" w:eastAsiaTheme="majorEastAsia" w:hAnsi="Times New Roman" w:cs="Times New Roman"/>
          <w:b/>
          <w:bCs/>
          <w:color w:val="0D0D0D" w:themeColor="text1" w:themeTint="F2"/>
          <w:spacing w:val="-8"/>
          <w:sz w:val="24"/>
          <w:szCs w:val="24"/>
          <w:lang w:val="en-US"/>
        </w:rPr>
        <w:t xml:space="preserve"> </w:t>
      </w:r>
      <w:r w:rsidRPr="00F14CE5">
        <w:rPr>
          <w:rFonts w:ascii="Times New Roman" w:eastAsiaTheme="majorEastAsia" w:hAnsi="Times New Roman" w:cs="Times New Roman"/>
          <w:b/>
          <w:bCs/>
          <w:color w:val="0D0D0D" w:themeColor="text1" w:themeTint="F2"/>
          <w:spacing w:val="-10"/>
          <w:sz w:val="24"/>
          <w:szCs w:val="24"/>
          <w:lang w:val="en-US"/>
        </w:rPr>
        <w:t>9</w:t>
      </w:r>
    </w:p>
    <w:p w14:paraId="50EAD1FD" w14:textId="77777777" w:rsidR="009F6A64" w:rsidRPr="00F14CE5" w:rsidRDefault="009F6A64" w:rsidP="009F6A64">
      <w:pPr>
        <w:widowControl w:val="0"/>
        <w:autoSpaceDE w:val="0"/>
        <w:autoSpaceDN w:val="0"/>
        <w:spacing w:after="0" w:line="240" w:lineRule="auto"/>
        <w:ind w:right="-7"/>
        <w:jc w:val="center"/>
        <w:rPr>
          <w:rFonts w:ascii="Times New Roman" w:eastAsia="Arial" w:hAnsi="Times New Roman" w:cs="Times New Roman"/>
          <w:b/>
          <w:color w:val="0D0D0D" w:themeColor="text1" w:themeTint="F2"/>
          <w:sz w:val="24"/>
          <w:lang w:val="en-US"/>
        </w:rPr>
      </w:pPr>
      <w:r w:rsidRPr="00F14CE5">
        <w:rPr>
          <w:rFonts w:ascii="Times New Roman" w:eastAsia="Arial" w:hAnsi="Times New Roman" w:cs="Times New Roman"/>
          <w:b/>
          <w:color w:val="0D0D0D" w:themeColor="text1" w:themeTint="F2"/>
          <w:sz w:val="24"/>
          <w:lang w:val="en-US"/>
        </w:rPr>
        <w:t>Test</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Significant</w:t>
      </w:r>
      <w:r w:rsidRPr="00F14CE5">
        <w:rPr>
          <w:rFonts w:ascii="Times New Roman" w:eastAsia="Arial" w:hAnsi="Times New Roman" w:cs="Times New Roman"/>
          <w:b/>
          <w:color w:val="0D0D0D" w:themeColor="text1" w:themeTint="F2"/>
          <w:spacing w:val="-7"/>
          <w:sz w:val="24"/>
          <w:lang w:val="en-US"/>
        </w:rPr>
        <w:t xml:space="preserve"> </w:t>
      </w:r>
      <w:r w:rsidRPr="00F14CE5">
        <w:rPr>
          <w:rFonts w:ascii="Times New Roman" w:eastAsia="Arial" w:hAnsi="Times New Roman" w:cs="Times New Roman"/>
          <w:b/>
          <w:color w:val="0D0D0D" w:themeColor="text1" w:themeTint="F2"/>
          <w:sz w:val="24"/>
          <w:lang w:val="en-US"/>
        </w:rPr>
        <w:t>Difference</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in</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Perceptions</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9"/>
          <w:sz w:val="24"/>
          <w:lang w:val="en-US"/>
        </w:rPr>
        <w:t xml:space="preserve"> </w:t>
      </w:r>
      <w:r w:rsidRPr="00F14CE5">
        <w:rPr>
          <w:rFonts w:ascii="Times New Roman" w:eastAsia="Arial" w:hAnsi="Times New Roman" w:cs="Times New Roman"/>
          <w:b/>
          <w:color w:val="0D0D0D" w:themeColor="text1" w:themeTint="F2"/>
          <w:sz w:val="24"/>
          <w:lang w:val="en-US"/>
        </w:rPr>
        <w:t>Pre-Service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Teachers on</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Emphasis</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MATATAG</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Curriculum</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Regarding</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Key</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Competencies for</w:t>
      </w:r>
      <w:r w:rsidRPr="00F14CE5">
        <w:rPr>
          <w:rFonts w:ascii="Times New Roman" w:eastAsia="Arial" w:hAnsi="Times New Roman" w:cs="Times New Roman"/>
          <w:b/>
          <w:color w:val="0D0D0D" w:themeColor="text1" w:themeTint="F2"/>
          <w:spacing w:val="-4"/>
          <w:sz w:val="24"/>
          <w:lang w:val="en-US"/>
        </w:rPr>
        <w:t xml:space="preserve"> </w:t>
      </w:r>
      <w:r w:rsidRPr="00F14CE5">
        <w:rPr>
          <w:rFonts w:ascii="Times New Roman" w:eastAsia="Arial" w:hAnsi="Times New Roman" w:cs="Times New Roman"/>
          <w:b/>
          <w:color w:val="0D0D0D" w:themeColor="text1" w:themeTint="F2"/>
          <w:sz w:val="24"/>
          <w:lang w:val="en-US"/>
        </w:rPr>
        <w:t>K-10</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Learners</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When</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Grouped</w:t>
      </w:r>
      <w:r w:rsidRPr="00F14CE5">
        <w:rPr>
          <w:rFonts w:ascii="Times New Roman" w:eastAsia="Arial" w:hAnsi="Times New Roman" w:cs="Times New Roman"/>
          <w:b/>
          <w:color w:val="0D0D0D" w:themeColor="text1" w:themeTint="F2"/>
          <w:spacing w:val="-10"/>
          <w:sz w:val="24"/>
          <w:lang w:val="en-US"/>
        </w:rPr>
        <w:t xml:space="preserve"> </w:t>
      </w:r>
      <w:r w:rsidRPr="00F14CE5">
        <w:rPr>
          <w:rFonts w:ascii="Times New Roman" w:eastAsia="Arial" w:hAnsi="Times New Roman" w:cs="Times New Roman"/>
          <w:b/>
          <w:color w:val="0D0D0D" w:themeColor="text1" w:themeTint="F2"/>
          <w:sz w:val="24"/>
          <w:lang w:val="en-US"/>
        </w:rPr>
        <w:t>According</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to</w:t>
      </w:r>
      <w:r w:rsidRPr="00F14CE5">
        <w:rPr>
          <w:rFonts w:ascii="Times New Roman" w:eastAsia="Arial" w:hAnsi="Times New Roman" w:cs="Times New Roman"/>
          <w:b/>
          <w:color w:val="0D0D0D" w:themeColor="text1" w:themeTint="F2"/>
          <w:spacing w:val="-2"/>
          <w:sz w:val="24"/>
          <w:lang w:val="en-US"/>
        </w:rPr>
        <w:t xml:space="preserve"> Gender</w:t>
      </w:r>
    </w:p>
    <w:tbl>
      <w:tblPr>
        <w:tblStyle w:val="TableNormal1"/>
        <w:tblW w:w="8640" w:type="dxa"/>
        <w:tblInd w:w="1035" w:type="dxa"/>
        <w:tblLayout w:type="fixed"/>
        <w:tblLook w:val="01E0" w:firstRow="1" w:lastRow="1" w:firstColumn="1" w:lastColumn="1" w:noHBand="0" w:noVBand="0"/>
      </w:tblPr>
      <w:tblGrid>
        <w:gridCol w:w="1256"/>
        <w:gridCol w:w="808"/>
        <w:gridCol w:w="1050"/>
        <w:gridCol w:w="1276"/>
        <w:gridCol w:w="1275"/>
        <w:gridCol w:w="905"/>
        <w:gridCol w:w="990"/>
        <w:gridCol w:w="1080"/>
      </w:tblGrid>
      <w:tr w:rsidR="00597834" w:rsidRPr="00F14CE5" w14:paraId="5054BA7A" w14:textId="77777777" w:rsidTr="00A04907">
        <w:trPr>
          <w:trHeight w:val="499"/>
        </w:trPr>
        <w:tc>
          <w:tcPr>
            <w:tcW w:w="1256" w:type="dxa"/>
            <w:tcBorders>
              <w:top w:val="single" w:sz="4" w:space="0" w:color="auto"/>
              <w:bottom w:val="single" w:sz="4" w:space="0" w:color="auto"/>
            </w:tcBorders>
          </w:tcPr>
          <w:p w14:paraId="5B86C248" w14:textId="77777777" w:rsidR="009F6A64" w:rsidRPr="00F14CE5" w:rsidRDefault="009F6A64" w:rsidP="009F6A64">
            <w:pPr>
              <w:ind w:left="155"/>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Source</w:t>
            </w:r>
            <w:r w:rsidRPr="00F14CE5">
              <w:rPr>
                <w:rFonts w:ascii="Times New Roman" w:eastAsia="Arial" w:hAnsi="Times New Roman" w:cs="Times New Roman"/>
                <w:color w:val="0D0D0D" w:themeColor="text1" w:themeTint="F2"/>
                <w:spacing w:val="-3"/>
              </w:rPr>
              <w:t xml:space="preserve"> </w:t>
            </w:r>
            <w:r w:rsidRPr="00F14CE5">
              <w:rPr>
                <w:rFonts w:ascii="Times New Roman" w:eastAsia="Arial" w:hAnsi="Times New Roman" w:cs="Times New Roman"/>
                <w:color w:val="0D0D0D" w:themeColor="text1" w:themeTint="F2"/>
                <w:spacing w:val="-5"/>
              </w:rPr>
              <w:t>of</w:t>
            </w:r>
          </w:p>
          <w:p w14:paraId="5BD82929" w14:textId="77777777" w:rsidR="009F6A64" w:rsidRPr="00F14CE5" w:rsidRDefault="009F6A64" w:rsidP="009F6A64">
            <w:pPr>
              <w:spacing w:before="1"/>
              <w:ind w:left="12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Difference</w:t>
            </w:r>
          </w:p>
        </w:tc>
        <w:tc>
          <w:tcPr>
            <w:tcW w:w="808" w:type="dxa"/>
            <w:tcBorders>
              <w:top w:val="single" w:sz="4" w:space="0" w:color="auto"/>
              <w:bottom w:val="single" w:sz="4" w:space="0" w:color="auto"/>
            </w:tcBorders>
          </w:tcPr>
          <w:p w14:paraId="0EAFDE0B" w14:textId="77777777" w:rsidR="009F6A64" w:rsidRPr="00F14CE5" w:rsidRDefault="009F6A64" w:rsidP="009F6A64">
            <w:pPr>
              <w:ind w:left="12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Mean</w:t>
            </w:r>
          </w:p>
        </w:tc>
        <w:tc>
          <w:tcPr>
            <w:tcW w:w="1050" w:type="dxa"/>
            <w:tcBorders>
              <w:top w:val="single" w:sz="4" w:space="0" w:color="auto"/>
              <w:bottom w:val="single" w:sz="4" w:space="0" w:color="auto"/>
            </w:tcBorders>
          </w:tcPr>
          <w:p w14:paraId="0BE5FECD" w14:textId="77777777" w:rsidR="009F6A64" w:rsidRPr="00F14CE5" w:rsidRDefault="009F6A64" w:rsidP="009F6A64">
            <w:pPr>
              <w:ind w:left="5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Standard</w:t>
            </w:r>
          </w:p>
          <w:p w14:paraId="116CB7CC" w14:textId="77777777" w:rsidR="009F6A64" w:rsidRPr="00F14CE5" w:rsidRDefault="009F6A64" w:rsidP="009F6A64">
            <w:pPr>
              <w:spacing w:before="1"/>
              <w:ind w:left="5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Deviation</w:t>
            </w:r>
          </w:p>
        </w:tc>
        <w:tc>
          <w:tcPr>
            <w:tcW w:w="1276" w:type="dxa"/>
            <w:tcBorders>
              <w:top w:val="single" w:sz="4" w:space="0" w:color="auto"/>
              <w:bottom w:val="single" w:sz="4" w:space="0" w:color="auto"/>
            </w:tcBorders>
          </w:tcPr>
          <w:p w14:paraId="12D3BEDD" w14:textId="77777777" w:rsidR="009F6A64" w:rsidRPr="00F14CE5" w:rsidRDefault="009F6A64" w:rsidP="009F6A64">
            <w:pPr>
              <w:ind w:left="116" w:right="11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Mean</w:t>
            </w:r>
          </w:p>
          <w:p w14:paraId="604DEF23" w14:textId="77777777" w:rsidR="009F6A64" w:rsidRPr="00F14CE5" w:rsidRDefault="009F6A64" w:rsidP="009F6A64">
            <w:pPr>
              <w:spacing w:before="1"/>
              <w:ind w:left="118" w:right="11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Difference</w:t>
            </w:r>
          </w:p>
        </w:tc>
        <w:tc>
          <w:tcPr>
            <w:tcW w:w="1275" w:type="dxa"/>
            <w:tcBorders>
              <w:top w:val="single" w:sz="4" w:space="0" w:color="auto"/>
              <w:bottom w:val="single" w:sz="4" w:space="0" w:color="auto"/>
            </w:tcBorders>
          </w:tcPr>
          <w:p w14:paraId="28DBFD2A" w14:textId="77777777" w:rsidR="009F6A64" w:rsidRPr="00F14CE5" w:rsidRDefault="009F6A64" w:rsidP="009F6A64">
            <w:pPr>
              <w:ind w:left="116" w:right="11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Computed</w:t>
            </w:r>
          </w:p>
          <w:p w14:paraId="1A8BF9DE" w14:textId="77777777" w:rsidR="009F6A64" w:rsidRPr="00F14CE5" w:rsidRDefault="009F6A64" w:rsidP="009F6A64">
            <w:pPr>
              <w:spacing w:before="1"/>
              <w:ind w:left="115" w:right="11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 xml:space="preserve">t- </w:t>
            </w:r>
            <w:r w:rsidRPr="00F14CE5">
              <w:rPr>
                <w:rFonts w:ascii="Times New Roman" w:eastAsia="Arial" w:hAnsi="Times New Roman" w:cs="Times New Roman"/>
                <w:color w:val="0D0D0D" w:themeColor="text1" w:themeTint="F2"/>
                <w:spacing w:val="-2"/>
              </w:rPr>
              <w:t>value</w:t>
            </w:r>
          </w:p>
        </w:tc>
        <w:tc>
          <w:tcPr>
            <w:tcW w:w="905" w:type="dxa"/>
            <w:tcBorders>
              <w:top w:val="single" w:sz="4" w:space="0" w:color="auto"/>
              <w:bottom w:val="single" w:sz="4" w:space="0" w:color="auto"/>
            </w:tcBorders>
          </w:tcPr>
          <w:p w14:paraId="06FD89AD" w14:textId="77777777" w:rsidR="009F6A64" w:rsidRPr="00F14CE5" w:rsidRDefault="009F6A64" w:rsidP="009F6A64">
            <w:pPr>
              <w:ind w:left="-4" w:right="113"/>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p-value</w:t>
            </w:r>
          </w:p>
        </w:tc>
        <w:tc>
          <w:tcPr>
            <w:tcW w:w="990" w:type="dxa"/>
            <w:tcBorders>
              <w:top w:val="single" w:sz="4" w:space="0" w:color="auto"/>
              <w:bottom w:val="single" w:sz="4" w:space="0" w:color="auto"/>
            </w:tcBorders>
          </w:tcPr>
          <w:p w14:paraId="47976506" w14:textId="77777777" w:rsidR="009F6A64" w:rsidRPr="00F14CE5" w:rsidRDefault="009F6A64" w:rsidP="009F6A64">
            <w:pPr>
              <w:ind w:left="12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Decision</w:t>
            </w:r>
          </w:p>
        </w:tc>
        <w:tc>
          <w:tcPr>
            <w:tcW w:w="1080" w:type="dxa"/>
            <w:tcBorders>
              <w:top w:val="single" w:sz="4" w:space="0" w:color="auto"/>
              <w:bottom w:val="single" w:sz="4" w:space="0" w:color="auto"/>
            </w:tcBorders>
          </w:tcPr>
          <w:p w14:paraId="160B7358" w14:textId="77777777" w:rsidR="009F6A64" w:rsidRPr="00F14CE5" w:rsidRDefault="009F6A64" w:rsidP="009F6A64">
            <w:pPr>
              <w:ind w:left="28"/>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Result</w:t>
            </w:r>
          </w:p>
        </w:tc>
      </w:tr>
      <w:tr w:rsidR="00597834" w:rsidRPr="00F14CE5" w14:paraId="1A686B18" w14:textId="77777777" w:rsidTr="00A04907">
        <w:trPr>
          <w:trHeight w:val="1292"/>
        </w:trPr>
        <w:tc>
          <w:tcPr>
            <w:tcW w:w="1256" w:type="dxa"/>
            <w:tcBorders>
              <w:top w:val="single" w:sz="4" w:space="0" w:color="auto"/>
              <w:bottom w:val="single" w:sz="4" w:space="0" w:color="auto"/>
            </w:tcBorders>
          </w:tcPr>
          <w:p w14:paraId="5D82CD69" w14:textId="77777777" w:rsidR="009F6A64" w:rsidRPr="00F14CE5" w:rsidRDefault="009F6A64" w:rsidP="009F6A64">
            <w:pPr>
              <w:spacing w:before="3"/>
              <w:rPr>
                <w:rFonts w:ascii="Times New Roman" w:eastAsia="Arial" w:hAnsi="Times New Roman" w:cs="Times New Roman"/>
                <w:b/>
                <w:color w:val="0D0D0D" w:themeColor="text1" w:themeTint="F2"/>
              </w:rPr>
            </w:pPr>
          </w:p>
          <w:p w14:paraId="7E0F0EFB" w14:textId="77777777" w:rsidR="009F6A64" w:rsidRPr="00F14CE5" w:rsidRDefault="009F6A64" w:rsidP="009F6A64">
            <w:pPr>
              <w:ind w:left="246" w:right="247"/>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Female</w:t>
            </w:r>
          </w:p>
          <w:p w14:paraId="22BEAB39" w14:textId="77777777" w:rsidR="009F6A64" w:rsidRPr="00F14CE5" w:rsidRDefault="009F6A64" w:rsidP="009F6A64">
            <w:pPr>
              <w:rPr>
                <w:rFonts w:ascii="Times New Roman" w:eastAsia="Arial" w:hAnsi="Times New Roman" w:cs="Times New Roman"/>
                <w:b/>
                <w:color w:val="0D0D0D" w:themeColor="text1" w:themeTint="F2"/>
              </w:rPr>
            </w:pPr>
          </w:p>
          <w:p w14:paraId="07BB5CE3" w14:textId="77777777" w:rsidR="009F6A64" w:rsidRPr="00F14CE5" w:rsidRDefault="009F6A64" w:rsidP="009F6A64">
            <w:pPr>
              <w:spacing w:before="1"/>
              <w:rPr>
                <w:rFonts w:ascii="Times New Roman" w:eastAsia="Arial" w:hAnsi="Times New Roman" w:cs="Times New Roman"/>
                <w:b/>
                <w:color w:val="0D0D0D" w:themeColor="text1" w:themeTint="F2"/>
              </w:rPr>
            </w:pPr>
          </w:p>
          <w:p w14:paraId="39E72644" w14:textId="77777777" w:rsidR="009F6A64" w:rsidRPr="00F14CE5" w:rsidRDefault="009F6A64" w:rsidP="009F6A64">
            <w:pPr>
              <w:ind w:left="246" w:right="246"/>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Male</w:t>
            </w:r>
          </w:p>
        </w:tc>
        <w:tc>
          <w:tcPr>
            <w:tcW w:w="808" w:type="dxa"/>
            <w:tcBorders>
              <w:top w:val="single" w:sz="4" w:space="0" w:color="auto"/>
              <w:bottom w:val="single" w:sz="4" w:space="0" w:color="auto"/>
            </w:tcBorders>
          </w:tcPr>
          <w:p w14:paraId="73B3C236" w14:textId="77777777" w:rsidR="009F6A64" w:rsidRPr="00F14CE5" w:rsidRDefault="009F6A64" w:rsidP="009F6A64">
            <w:pPr>
              <w:spacing w:before="3"/>
              <w:rPr>
                <w:rFonts w:ascii="Times New Roman" w:eastAsia="Arial" w:hAnsi="Times New Roman" w:cs="Times New Roman"/>
                <w:b/>
                <w:color w:val="0D0D0D" w:themeColor="text1" w:themeTint="F2"/>
              </w:rPr>
            </w:pPr>
          </w:p>
          <w:p w14:paraId="522E84B5" w14:textId="77777777" w:rsidR="009F6A64" w:rsidRPr="00F14CE5" w:rsidRDefault="009F6A64" w:rsidP="009F6A64">
            <w:pPr>
              <w:ind w:left="12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35.39</w:t>
            </w:r>
          </w:p>
          <w:p w14:paraId="5DA5ED97" w14:textId="77777777" w:rsidR="009F6A64" w:rsidRPr="00F14CE5" w:rsidRDefault="009F6A64" w:rsidP="009F6A64">
            <w:pPr>
              <w:rPr>
                <w:rFonts w:ascii="Times New Roman" w:eastAsia="Arial" w:hAnsi="Times New Roman" w:cs="Times New Roman"/>
                <w:b/>
                <w:color w:val="0D0D0D" w:themeColor="text1" w:themeTint="F2"/>
              </w:rPr>
            </w:pPr>
          </w:p>
          <w:p w14:paraId="4198B1E4" w14:textId="77777777" w:rsidR="009F6A64" w:rsidRPr="00F14CE5" w:rsidRDefault="009F6A64" w:rsidP="009F6A64">
            <w:pPr>
              <w:spacing w:before="1"/>
              <w:rPr>
                <w:rFonts w:ascii="Times New Roman" w:eastAsia="Arial" w:hAnsi="Times New Roman" w:cs="Times New Roman"/>
                <w:b/>
                <w:color w:val="0D0D0D" w:themeColor="text1" w:themeTint="F2"/>
              </w:rPr>
            </w:pPr>
          </w:p>
          <w:p w14:paraId="19ED5138" w14:textId="77777777" w:rsidR="009F6A64" w:rsidRPr="00F14CE5" w:rsidRDefault="009F6A64" w:rsidP="009F6A64">
            <w:pPr>
              <w:ind w:left="12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34.79</w:t>
            </w:r>
          </w:p>
        </w:tc>
        <w:tc>
          <w:tcPr>
            <w:tcW w:w="1050" w:type="dxa"/>
            <w:tcBorders>
              <w:top w:val="single" w:sz="4" w:space="0" w:color="auto"/>
              <w:bottom w:val="single" w:sz="4" w:space="0" w:color="auto"/>
            </w:tcBorders>
          </w:tcPr>
          <w:p w14:paraId="40519F92" w14:textId="77777777" w:rsidR="009F6A64" w:rsidRPr="00F14CE5" w:rsidRDefault="009F6A64" w:rsidP="009F6A64">
            <w:pPr>
              <w:spacing w:before="3"/>
              <w:rPr>
                <w:rFonts w:ascii="Times New Roman" w:eastAsia="Arial" w:hAnsi="Times New Roman" w:cs="Times New Roman"/>
                <w:b/>
                <w:color w:val="0D0D0D" w:themeColor="text1" w:themeTint="F2"/>
              </w:rPr>
            </w:pPr>
          </w:p>
          <w:p w14:paraId="16636FCB" w14:textId="77777777" w:rsidR="009F6A64" w:rsidRPr="00F14CE5" w:rsidRDefault="009F6A64" w:rsidP="009F6A64">
            <w:pPr>
              <w:ind w:left="37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4.78</w:t>
            </w:r>
          </w:p>
          <w:p w14:paraId="7FC48AB8" w14:textId="77777777" w:rsidR="009F6A64" w:rsidRPr="00F14CE5" w:rsidRDefault="009F6A64" w:rsidP="009F6A64">
            <w:pPr>
              <w:rPr>
                <w:rFonts w:ascii="Times New Roman" w:eastAsia="Arial" w:hAnsi="Times New Roman" w:cs="Times New Roman"/>
                <w:b/>
                <w:color w:val="0D0D0D" w:themeColor="text1" w:themeTint="F2"/>
              </w:rPr>
            </w:pPr>
          </w:p>
          <w:p w14:paraId="320ABC17" w14:textId="77777777" w:rsidR="009F6A64" w:rsidRPr="00F14CE5" w:rsidRDefault="009F6A64" w:rsidP="009F6A64">
            <w:pPr>
              <w:spacing w:before="1"/>
              <w:rPr>
                <w:rFonts w:ascii="Times New Roman" w:eastAsia="Arial" w:hAnsi="Times New Roman" w:cs="Times New Roman"/>
                <w:b/>
                <w:color w:val="0D0D0D" w:themeColor="text1" w:themeTint="F2"/>
              </w:rPr>
            </w:pPr>
          </w:p>
          <w:p w14:paraId="60DE92F3" w14:textId="77777777" w:rsidR="009F6A64" w:rsidRPr="00F14CE5" w:rsidRDefault="009F6A64" w:rsidP="009F6A64">
            <w:pPr>
              <w:ind w:left="37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5.01</w:t>
            </w:r>
          </w:p>
        </w:tc>
        <w:tc>
          <w:tcPr>
            <w:tcW w:w="1276" w:type="dxa"/>
            <w:tcBorders>
              <w:top w:val="single" w:sz="4" w:space="0" w:color="auto"/>
              <w:bottom w:val="single" w:sz="4" w:space="0" w:color="auto"/>
            </w:tcBorders>
          </w:tcPr>
          <w:p w14:paraId="55B850E3" w14:textId="77777777" w:rsidR="009F6A64" w:rsidRPr="00F14CE5" w:rsidRDefault="009F6A64" w:rsidP="009F6A64">
            <w:pPr>
              <w:rPr>
                <w:rFonts w:ascii="Times New Roman" w:eastAsia="Arial" w:hAnsi="Times New Roman" w:cs="Times New Roman"/>
                <w:b/>
                <w:color w:val="0D0D0D" w:themeColor="text1" w:themeTint="F2"/>
              </w:rPr>
            </w:pPr>
          </w:p>
          <w:p w14:paraId="1B0401CA" w14:textId="77777777" w:rsidR="009F6A64" w:rsidRPr="00F14CE5" w:rsidRDefault="009F6A64" w:rsidP="009F6A64">
            <w:pPr>
              <w:spacing w:before="11"/>
              <w:rPr>
                <w:rFonts w:ascii="Times New Roman" w:eastAsia="Arial" w:hAnsi="Times New Roman" w:cs="Times New Roman"/>
                <w:b/>
                <w:color w:val="0D0D0D" w:themeColor="text1" w:themeTint="F2"/>
                <w:sz w:val="32"/>
              </w:rPr>
            </w:pPr>
          </w:p>
          <w:p w14:paraId="03C55663" w14:textId="77777777" w:rsidR="009F6A64" w:rsidRPr="00F14CE5" w:rsidRDefault="009F6A64" w:rsidP="009F6A64">
            <w:pPr>
              <w:ind w:left="414"/>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0.60</w:t>
            </w:r>
          </w:p>
        </w:tc>
        <w:tc>
          <w:tcPr>
            <w:tcW w:w="1275" w:type="dxa"/>
            <w:tcBorders>
              <w:top w:val="single" w:sz="4" w:space="0" w:color="auto"/>
              <w:bottom w:val="single" w:sz="4" w:space="0" w:color="auto"/>
            </w:tcBorders>
          </w:tcPr>
          <w:p w14:paraId="448FC9B0" w14:textId="77777777" w:rsidR="009F6A64" w:rsidRPr="00F14CE5" w:rsidRDefault="009F6A64" w:rsidP="009F6A64">
            <w:pPr>
              <w:rPr>
                <w:rFonts w:ascii="Times New Roman" w:eastAsia="Arial" w:hAnsi="Times New Roman" w:cs="Times New Roman"/>
                <w:b/>
                <w:color w:val="0D0D0D" w:themeColor="text1" w:themeTint="F2"/>
              </w:rPr>
            </w:pPr>
          </w:p>
          <w:p w14:paraId="5B3947D7" w14:textId="77777777" w:rsidR="009F6A64" w:rsidRPr="00F14CE5" w:rsidRDefault="009F6A64" w:rsidP="009F6A64">
            <w:pPr>
              <w:spacing w:before="11"/>
              <w:rPr>
                <w:rFonts w:ascii="Times New Roman" w:eastAsia="Arial" w:hAnsi="Times New Roman" w:cs="Times New Roman"/>
                <w:b/>
                <w:color w:val="0D0D0D" w:themeColor="text1" w:themeTint="F2"/>
                <w:sz w:val="32"/>
              </w:rPr>
            </w:pPr>
          </w:p>
          <w:p w14:paraId="3F85FA51" w14:textId="77777777" w:rsidR="009F6A64" w:rsidRPr="00F14CE5" w:rsidRDefault="009F6A64" w:rsidP="009F6A64">
            <w:pPr>
              <w:ind w:left="360"/>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0.422</w:t>
            </w:r>
          </w:p>
        </w:tc>
        <w:tc>
          <w:tcPr>
            <w:tcW w:w="905" w:type="dxa"/>
            <w:tcBorders>
              <w:top w:val="single" w:sz="4" w:space="0" w:color="auto"/>
              <w:bottom w:val="single" w:sz="4" w:space="0" w:color="auto"/>
            </w:tcBorders>
          </w:tcPr>
          <w:p w14:paraId="11E0CEE5" w14:textId="77777777" w:rsidR="009F6A64" w:rsidRPr="00F14CE5" w:rsidRDefault="009F6A64" w:rsidP="009F6A64">
            <w:pPr>
              <w:rPr>
                <w:rFonts w:ascii="Times New Roman" w:eastAsia="Arial" w:hAnsi="Times New Roman" w:cs="Times New Roman"/>
                <w:b/>
                <w:color w:val="0D0D0D" w:themeColor="text1" w:themeTint="F2"/>
              </w:rPr>
            </w:pPr>
          </w:p>
          <w:p w14:paraId="786DD605" w14:textId="77777777" w:rsidR="009F6A64" w:rsidRPr="00F14CE5" w:rsidRDefault="009F6A64" w:rsidP="009F6A64">
            <w:pPr>
              <w:spacing w:before="11"/>
              <w:rPr>
                <w:rFonts w:ascii="Times New Roman" w:eastAsia="Arial" w:hAnsi="Times New Roman" w:cs="Times New Roman"/>
                <w:b/>
                <w:color w:val="0D0D0D" w:themeColor="text1" w:themeTint="F2"/>
                <w:sz w:val="32"/>
              </w:rPr>
            </w:pPr>
          </w:p>
          <w:p w14:paraId="28B86BD0" w14:textId="77777777" w:rsidR="009F6A64" w:rsidRPr="00F14CE5" w:rsidRDefault="009F6A64" w:rsidP="009F6A64">
            <w:pPr>
              <w:ind w:left="114" w:right="111"/>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0.675</w:t>
            </w:r>
          </w:p>
        </w:tc>
        <w:tc>
          <w:tcPr>
            <w:tcW w:w="990" w:type="dxa"/>
            <w:tcBorders>
              <w:top w:val="single" w:sz="4" w:space="0" w:color="auto"/>
              <w:bottom w:val="single" w:sz="4" w:space="0" w:color="auto"/>
            </w:tcBorders>
          </w:tcPr>
          <w:p w14:paraId="460CD6EA" w14:textId="77777777" w:rsidR="009F6A64" w:rsidRPr="00F14CE5" w:rsidRDefault="009F6A64" w:rsidP="009F6A64">
            <w:pPr>
              <w:rPr>
                <w:rFonts w:ascii="Times New Roman" w:eastAsia="Arial" w:hAnsi="Times New Roman" w:cs="Times New Roman"/>
                <w:b/>
                <w:color w:val="0D0D0D" w:themeColor="text1" w:themeTint="F2"/>
                <w:sz w:val="35"/>
              </w:rPr>
            </w:pPr>
          </w:p>
          <w:p w14:paraId="759DAC5E" w14:textId="77777777" w:rsidR="009F6A64" w:rsidRPr="00F14CE5" w:rsidRDefault="009F6A64" w:rsidP="009F6A64">
            <w:pPr>
              <w:ind w:left="223" w:right="216"/>
              <w:jc w:val="center"/>
              <w:rPr>
                <w:rFonts w:ascii="Times New Roman" w:eastAsia="Arial" w:hAnsi="Times New Roman" w:cs="Times New Roman"/>
                <w:color w:val="0D0D0D" w:themeColor="text1" w:themeTint="F2"/>
                <w:sz w:val="14"/>
              </w:rPr>
            </w:pPr>
            <w:r w:rsidRPr="00F14CE5">
              <w:rPr>
                <w:rFonts w:ascii="Times New Roman" w:eastAsia="Arial" w:hAnsi="Times New Roman" w:cs="Times New Roman"/>
                <w:color w:val="0D0D0D" w:themeColor="text1" w:themeTint="F2"/>
              </w:rPr>
              <w:t>Do</w:t>
            </w:r>
            <w:r w:rsidRPr="00F14CE5">
              <w:rPr>
                <w:rFonts w:ascii="Times New Roman" w:eastAsia="Arial" w:hAnsi="Times New Roman" w:cs="Times New Roman"/>
                <w:color w:val="0D0D0D" w:themeColor="text1" w:themeTint="F2"/>
                <w:spacing w:val="-16"/>
              </w:rPr>
              <w:t xml:space="preserve"> </w:t>
            </w:r>
            <w:r w:rsidRPr="00F14CE5">
              <w:rPr>
                <w:rFonts w:ascii="Times New Roman" w:eastAsia="Arial" w:hAnsi="Times New Roman" w:cs="Times New Roman"/>
                <w:color w:val="0D0D0D" w:themeColor="text1" w:themeTint="F2"/>
              </w:rPr>
              <w:t xml:space="preserve">not </w:t>
            </w:r>
            <w:r w:rsidRPr="00F14CE5">
              <w:rPr>
                <w:rFonts w:ascii="Times New Roman" w:eastAsia="Arial" w:hAnsi="Times New Roman" w:cs="Times New Roman"/>
                <w:color w:val="0D0D0D" w:themeColor="text1" w:themeTint="F2"/>
                <w:spacing w:val="-2"/>
              </w:rPr>
              <w:t xml:space="preserve">Reject </w:t>
            </w:r>
            <w:r w:rsidRPr="00F14CE5">
              <w:rPr>
                <w:rFonts w:ascii="Times New Roman" w:eastAsia="Arial" w:hAnsi="Times New Roman" w:cs="Times New Roman"/>
                <w:color w:val="0D0D0D" w:themeColor="text1" w:themeTint="F2"/>
                <w:spacing w:val="-6"/>
                <w:position w:val="2"/>
              </w:rPr>
              <w:t>H</w:t>
            </w:r>
            <w:r w:rsidRPr="00F14CE5">
              <w:rPr>
                <w:rFonts w:ascii="Times New Roman" w:eastAsia="Arial" w:hAnsi="Times New Roman" w:cs="Times New Roman"/>
                <w:color w:val="0D0D0D" w:themeColor="text1" w:themeTint="F2"/>
                <w:spacing w:val="-6"/>
                <w:sz w:val="14"/>
              </w:rPr>
              <w:t>o</w:t>
            </w:r>
          </w:p>
        </w:tc>
        <w:tc>
          <w:tcPr>
            <w:tcW w:w="1080" w:type="dxa"/>
            <w:tcBorders>
              <w:top w:val="single" w:sz="4" w:space="0" w:color="auto"/>
              <w:bottom w:val="single" w:sz="4" w:space="0" w:color="auto"/>
            </w:tcBorders>
          </w:tcPr>
          <w:p w14:paraId="3CEA786D" w14:textId="77777777" w:rsidR="009F6A64" w:rsidRPr="00F14CE5" w:rsidRDefault="009F6A64" w:rsidP="009F6A64">
            <w:pPr>
              <w:rPr>
                <w:rFonts w:ascii="Times New Roman" w:eastAsia="Arial" w:hAnsi="Times New Roman" w:cs="Times New Roman"/>
                <w:b/>
                <w:color w:val="0D0D0D" w:themeColor="text1" w:themeTint="F2"/>
              </w:rPr>
            </w:pPr>
          </w:p>
          <w:p w14:paraId="0A1AC531" w14:textId="77777777" w:rsidR="009F6A64" w:rsidRPr="00F14CE5" w:rsidRDefault="009F6A64" w:rsidP="009F6A64">
            <w:pPr>
              <w:spacing w:before="1"/>
              <w:rPr>
                <w:rFonts w:ascii="Times New Roman" w:eastAsia="Arial" w:hAnsi="Times New Roman" w:cs="Times New Roman"/>
                <w:b/>
                <w:color w:val="0D0D0D" w:themeColor="text1" w:themeTint="F2"/>
              </w:rPr>
            </w:pPr>
          </w:p>
          <w:p w14:paraId="400BA93D" w14:textId="77777777" w:rsidR="009F6A64" w:rsidRPr="00F14CE5" w:rsidRDefault="009F6A64" w:rsidP="009F6A64">
            <w:pPr>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 xml:space="preserve">Not </w:t>
            </w:r>
            <w:r w:rsidRPr="00F14CE5">
              <w:rPr>
                <w:rFonts w:ascii="Times New Roman" w:eastAsia="Arial" w:hAnsi="Times New Roman" w:cs="Times New Roman"/>
                <w:color w:val="0D0D0D" w:themeColor="text1" w:themeTint="F2"/>
                <w:spacing w:val="-2"/>
              </w:rPr>
              <w:t>Significant</w:t>
            </w:r>
          </w:p>
        </w:tc>
      </w:tr>
    </w:tbl>
    <w:p w14:paraId="0595F412" w14:textId="4524C8E4" w:rsidR="009F6A64" w:rsidRPr="00F14CE5" w:rsidRDefault="009F6A64" w:rsidP="00E7667C">
      <w:pPr>
        <w:widowControl w:val="0"/>
        <w:autoSpaceDE w:val="0"/>
        <w:autoSpaceDN w:val="0"/>
        <w:spacing w:after="0" w:line="240" w:lineRule="auto"/>
        <w:ind w:left="720" w:firstLine="720"/>
        <w:rPr>
          <w:rFonts w:ascii="Times New Roman" w:eastAsia="Arial" w:hAnsi="Times New Roman" w:cs="Times New Roman"/>
          <w:color w:val="0D0D0D" w:themeColor="text1" w:themeTint="F2"/>
          <w:sz w:val="18"/>
          <w:lang w:val="en-US"/>
        </w:rPr>
      </w:pPr>
      <w:r w:rsidRPr="00F14CE5">
        <w:rPr>
          <w:rFonts w:ascii="Times New Roman" w:eastAsia="Arial" w:hAnsi="Times New Roman" w:cs="Times New Roman"/>
          <w:color w:val="0D0D0D" w:themeColor="text1" w:themeTint="F2"/>
          <w:sz w:val="18"/>
          <w:lang w:val="en-US"/>
        </w:rPr>
        <w:t>*significant</w:t>
      </w:r>
      <w:r w:rsidRPr="00F14CE5">
        <w:rPr>
          <w:rFonts w:ascii="Times New Roman" w:eastAsia="Arial" w:hAnsi="Times New Roman" w:cs="Times New Roman"/>
          <w:color w:val="0D0D0D" w:themeColor="text1" w:themeTint="F2"/>
          <w:spacing w:val="-4"/>
          <w:sz w:val="18"/>
          <w:lang w:val="en-US"/>
        </w:rPr>
        <w:t xml:space="preserve"> </w:t>
      </w:r>
      <w:r w:rsidRPr="00F14CE5">
        <w:rPr>
          <w:rFonts w:ascii="Times New Roman" w:eastAsia="Arial" w:hAnsi="Times New Roman" w:cs="Times New Roman"/>
          <w:color w:val="0D0D0D" w:themeColor="text1" w:themeTint="F2"/>
          <w:sz w:val="18"/>
          <w:lang w:val="en-US"/>
        </w:rPr>
        <w:t>at</w:t>
      </w:r>
      <w:r w:rsidRPr="00F14CE5">
        <w:rPr>
          <w:rFonts w:ascii="Times New Roman" w:eastAsia="Arial" w:hAnsi="Times New Roman" w:cs="Times New Roman"/>
          <w:color w:val="0D0D0D" w:themeColor="text1" w:themeTint="F2"/>
          <w:spacing w:val="-1"/>
          <w:sz w:val="18"/>
          <w:lang w:val="en-US"/>
        </w:rPr>
        <w:t xml:space="preserve"> </w:t>
      </w:r>
      <w:r w:rsidRPr="00F14CE5">
        <w:rPr>
          <w:rFonts w:ascii="Times New Roman" w:eastAsia="Arial" w:hAnsi="Times New Roman" w:cs="Times New Roman"/>
          <w:color w:val="0D0D0D" w:themeColor="text1" w:themeTint="F2"/>
          <w:sz w:val="18"/>
          <w:lang w:val="en-US"/>
        </w:rPr>
        <w:t>p</w:t>
      </w:r>
      <w:r w:rsidRPr="00F14CE5">
        <w:rPr>
          <w:rFonts w:ascii="Times New Roman" w:eastAsia="Arial" w:hAnsi="Times New Roman" w:cs="Times New Roman"/>
          <w:color w:val="0D0D0D" w:themeColor="text1" w:themeTint="F2"/>
          <w:spacing w:val="-3"/>
          <w:sz w:val="18"/>
          <w:lang w:val="en-US"/>
        </w:rPr>
        <w:t xml:space="preserve"> </w:t>
      </w:r>
      <w:r w:rsidRPr="00F14CE5">
        <w:rPr>
          <w:rFonts w:ascii="Times New Roman" w:eastAsia="Arial" w:hAnsi="Times New Roman" w:cs="Times New Roman"/>
          <w:color w:val="0D0D0D" w:themeColor="text1" w:themeTint="F2"/>
          <w:sz w:val="18"/>
          <w:lang w:val="en-US"/>
        </w:rPr>
        <w:t>&lt;</w:t>
      </w:r>
      <w:r w:rsidRPr="00F14CE5">
        <w:rPr>
          <w:rFonts w:ascii="Times New Roman" w:eastAsia="Arial" w:hAnsi="Times New Roman" w:cs="Times New Roman"/>
          <w:color w:val="0D0D0D" w:themeColor="text1" w:themeTint="F2"/>
          <w:spacing w:val="-1"/>
          <w:sz w:val="18"/>
          <w:lang w:val="en-US"/>
        </w:rPr>
        <w:t xml:space="preserve"> </w:t>
      </w:r>
      <w:r w:rsidRPr="00F14CE5">
        <w:rPr>
          <w:rFonts w:ascii="Times New Roman" w:eastAsia="Arial" w:hAnsi="Times New Roman" w:cs="Times New Roman"/>
          <w:color w:val="0D0D0D" w:themeColor="text1" w:themeTint="F2"/>
          <w:sz w:val="18"/>
          <w:lang w:val="en-US"/>
        </w:rPr>
        <w:t>0.05</w:t>
      </w:r>
      <w:r w:rsidRPr="00F14CE5">
        <w:rPr>
          <w:rFonts w:ascii="Times New Roman" w:eastAsia="Arial" w:hAnsi="Times New Roman" w:cs="Times New Roman"/>
          <w:color w:val="0D0D0D" w:themeColor="text1" w:themeTint="F2"/>
          <w:spacing w:val="-1"/>
          <w:sz w:val="18"/>
          <w:lang w:val="en-US"/>
        </w:rPr>
        <w:t xml:space="preserve"> </w:t>
      </w:r>
      <w:r w:rsidRPr="00F14CE5">
        <w:rPr>
          <w:rFonts w:ascii="Times New Roman" w:eastAsia="Arial" w:hAnsi="Times New Roman" w:cs="Times New Roman"/>
          <w:color w:val="0D0D0D" w:themeColor="text1" w:themeTint="F2"/>
          <w:sz w:val="18"/>
          <w:lang w:val="en-US"/>
        </w:rPr>
        <w:t>(two-tailed);</w:t>
      </w:r>
      <w:r w:rsidRPr="00F14CE5">
        <w:rPr>
          <w:rFonts w:ascii="Times New Roman" w:eastAsia="Arial" w:hAnsi="Times New Roman" w:cs="Times New Roman"/>
          <w:color w:val="0D0D0D" w:themeColor="text1" w:themeTint="F2"/>
          <w:spacing w:val="-3"/>
          <w:sz w:val="18"/>
          <w:lang w:val="en-US"/>
        </w:rPr>
        <w:t xml:space="preserve"> </w:t>
      </w:r>
      <w:proofErr w:type="spellStart"/>
      <w:proofErr w:type="gramStart"/>
      <w:r w:rsidRPr="00F14CE5">
        <w:rPr>
          <w:rFonts w:ascii="Times New Roman" w:eastAsia="Arial" w:hAnsi="Times New Roman" w:cs="Times New Roman"/>
          <w:color w:val="0D0D0D" w:themeColor="text1" w:themeTint="F2"/>
          <w:sz w:val="18"/>
          <w:lang w:val="en-US"/>
        </w:rPr>
        <w:t>df</w:t>
      </w:r>
      <w:proofErr w:type="spellEnd"/>
      <w:proofErr w:type="gramEnd"/>
      <w:r w:rsidRPr="00F14CE5">
        <w:rPr>
          <w:rFonts w:ascii="Times New Roman" w:eastAsia="Arial" w:hAnsi="Times New Roman" w:cs="Times New Roman"/>
          <w:color w:val="0D0D0D" w:themeColor="text1" w:themeTint="F2"/>
          <w:spacing w:val="-1"/>
          <w:sz w:val="18"/>
          <w:lang w:val="en-US"/>
        </w:rPr>
        <w:t xml:space="preserve"> </w:t>
      </w:r>
      <w:r w:rsidRPr="00F14CE5">
        <w:rPr>
          <w:rFonts w:ascii="Times New Roman" w:eastAsia="Arial" w:hAnsi="Times New Roman" w:cs="Times New Roman"/>
          <w:color w:val="0D0D0D" w:themeColor="text1" w:themeTint="F2"/>
          <w:sz w:val="18"/>
          <w:lang w:val="en-US"/>
        </w:rPr>
        <w:t>=</w:t>
      </w:r>
      <w:r w:rsidRPr="00F14CE5">
        <w:rPr>
          <w:rFonts w:ascii="Times New Roman" w:eastAsia="Arial" w:hAnsi="Times New Roman" w:cs="Times New Roman"/>
          <w:color w:val="0D0D0D" w:themeColor="text1" w:themeTint="F2"/>
          <w:spacing w:val="-3"/>
          <w:sz w:val="18"/>
          <w:lang w:val="en-US"/>
        </w:rPr>
        <w:t xml:space="preserve"> </w:t>
      </w:r>
      <w:r w:rsidRPr="00F14CE5">
        <w:rPr>
          <w:rFonts w:ascii="Times New Roman" w:eastAsia="Arial" w:hAnsi="Times New Roman" w:cs="Times New Roman"/>
          <w:color w:val="0D0D0D" w:themeColor="text1" w:themeTint="F2"/>
          <w:spacing w:val="-5"/>
          <w:sz w:val="18"/>
          <w:lang w:val="en-US"/>
        </w:rPr>
        <w:t>48</w:t>
      </w:r>
    </w:p>
    <w:p w14:paraId="5B3CFD8C" w14:textId="6D6C49F4" w:rsidR="009F6A64" w:rsidRPr="00F14CE5" w:rsidRDefault="009F6A64" w:rsidP="009F6A64">
      <w:pPr>
        <w:widowControl w:val="0"/>
        <w:autoSpaceDE w:val="0"/>
        <w:autoSpaceDN w:val="0"/>
        <w:spacing w:before="93" w:after="0" w:line="240" w:lineRule="auto"/>
        <w:ind w:right="-7"/>
        <w:jc w:val="both"/>
        <w:rPr>
          <w:rFonts w:ascii="Times New Roman" w:eastAsia="Arial" w:hAnsi="Times New Roman" w:cs="Times New Roman"/>
          <w:color w:val="0D0D0D" w:themeColor="text1" w:themeTint="F2"/>
          <w:spacing w:val="-4"/>
          <w:sz w:val="24"/>
          <w:szCs w:val="24"/>
          <w:lang w:val="en-US"/>
        </w:rPr>
      </w:pPr>
      <w:r w:rsidRPr="00F14CE5">
        <w:rPr>
          <w:rFonts w:ascii="Times New Roman" w:eastAsia="Arial" w:hAnsi="Times New Roman" w:cs="Times New Roman"/>
          <w:color w:val="0D0D0D" w:themeColor="text1" w:themeTint="F2"/>
          <w:sz w:val="24"/>
          <w:szCs w:val="24"/>
          <w:lang w:val="en-US"/>
        </w:rPr>
        <w:lastRenderedPageBreak/>
        <w:tab/>
      </w:r>
      <w:r w:rsidR="00133481" w:rsidRPr="00F14CE5">
        <w:rPr>
          <w:rFonts w:ascii="Times New Roman" w:eastAsia="Arial" w:hAnsi="Times New Roman" w:cs="Times New Roman"/>
          <w:color w:val="0D0D0D" w:themeColor="text1" w:themeTint="F2"/>
          <w:sz w:val="24"/>
          <w:szCs w:val="24"/>
        </w:rPr>
        <w:t xml:space="preserve">Table 9 shows the Independent Samples t-test results to compare male and female pre-service teachers. The mean score of the female respondents was 35.39, (SD=4.78), while that of the male respondents was 34.79, (SD=5.01). </w:t>
      </w:r>
      <w:r w:rsidRPr="00F14CE5">
        <w:rPr>
          <w:rFonts w:ascii="Times New Roman" w:eastAsia="Arial" w:hAnsi="Times New Roman" w:cs="Times New Roman"/>
          <w:color w:val="0D0D0D" w:themeColor="text1" w:themeTint="F2"/>
          <w:sz w:val="24"/>
          <w:szCs w:val="24"/>
          <w:lang w:val="en-US"/>
        </w:rPr>
        <w:t>The mean difference between the two groups was minimal (0.60), indicating similar perceptions across gender groups</w:t>
      </w:r>
    </w:p>
    <w:p w14:paraId="4DD7D5E6" w14:textId="55D64F65" w:rsidR="009F6A64" w:rsidRPr="00F14CE5" w:rsidRDefault="009F6A64" w:rsidP="009F6A64">
      <w:pPr>
        <w:widowControl w:val="0"/>
        <w:autoSpaceDE w:val="0"/>
        <w:autoSpaceDN w:val="0"/>
        <w:spacing w:before="158" w:after="0" w:line="240" w:lineRule="auto"/>
        <w:ind w:right="-7"/>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ab/>
      </w:r>
      <w:r w:rsidR="00454625" w:rsidRPr="00F14CE5">
        <w:rPr>
          <w:rFonts w:ascii="Times New Roman" w:eastAsia="Arial" w:hAnsi="Times New Roman" w:cs="Times New Roman"/>
          <w:color w:val="0D0D0D" w:themeColor="text1" w:themeTint="F2"/>
          <w:sz w:val="24"/>
          <w:szCs w:val="24"/>
        </w:rPr>
        <w:t>The computed t-value of 0.422 with a p-value of 0.675 is exceeds the 0.05 level of significance. Hence, the null hypothesis stands valid showing that there is no significant difference in the perceptions of pre-service teachers on whether the MATATAG Curriculum places emphasis on key competencies of K – 10 learners when grouped according to gender.</w:t>
      </w:r>
    </w:p>
    <w:p w14:paraId="65186A12" w14:textId="77777777" w:rsidR="00454625" w:rsidRPr="00F14CE5" w:rsidRDefault="00454625" w:rsidP="009F6A64">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The absence of a significant difference suggested that both genders among the pre-service teachers had aligned perceptions on the MATATAG Curriculum’s emphasis on key competencies. Both genders may share such perceptions due to identical teacher education experiences, curriculum exposure, and training. In line with this,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{"citationID":"Hs0mU1rN","properties":{"unsorted":false,"formattedCitation":"(Pat et al., 2025)","plainCitation":"(Pat et al., 2025)","noteIndex":0},"citationItems":[{"id":"i2yCDwO7/QqStkpx8","uris":["http://zotero.org/users/local/3HGLAaLg/items/LV6P6D7L"],"itemData":{"id":52,"type":"article-journal","abstract":"This research study, was conducted at Bohol Island State University- Bilar Campus, it investigated gender differences in co-curricular involvement and academic performance among third and fourth-year college students. The study used a descriptive research design. The findings revealed that there was no significant difference between gender and co-curricular involvement, suggesting that all students, regardless of gender identity, have equal opportunities to participate in such activities. However, there was a  significant difference in academic performance between genders, with female students outperforming their other genders. These indicated that gender played a significant role in academic outcomes at BISU-Bilar. The study concluded that while gender does not influence participation in co-curricular activities, it played a significant role in academic performance at the university. The researchers recommended that the school promote inclusive co-curricular activities that cater to the diverse gender identities within the school community and encourage students to participate in co-curricular activities while maintaining a balance with their academic performance.","container-title":"International Journal of Research and Innovation in Social Science","DOI":"10.47772/IJRISS.2025.903SEDU0241","ISSN":"24546186","issue":"IIIS","journalAbbreviation":"IJRISS","page":"3209-3220","source":"DOI.org (Crossref)","title":"Gender Differences in Co-Curricular Involvement and Academic Performance","volume":"IX","author":[{"family":"Pat","given":"Joecelle D."},{"family":"Tahanlangit","given":"Vincent R."},{"family":"Macalos","given":"Jane C."},{"family":"Balio","given":"Maricel M."},{"family":"Naldoza","given":"Limwel A."}],"issued":{"date-parts":[["2025"]]}}}],"schema":"https://github.com/citation-style-language/schema/raw/master/csl-citation.json"}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(Pat et al., 2025)</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 xml:space="preserve">that there is no significant gender difference in Filipino students’ involvement in co-curricular activities. </w:t>
      </w:r>
    </w:p>
    <w:p w14:paraId="6C05BC8F" w14:textId="77777777" w:rsidR="00454625" w:rsidRPr="00F14CE5" w:rsidRDefault="00454625" w:rsidP="00454625">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This result also implies that gender is not a significant factor in altering the perceptions of pre-service teachers, indicating that orientation on the curriculum and training programs is equally effective for both males and female pre-service teachers. In line with this,</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{"citationID":"bhZjaQHj","properties":{"unsorted":false,"formattedCitation":"(Montebon, 2024)","plainCitation":"(Montebon, 2024)","noteIndex":0},"citationItems":[{"id":"i2yCDwO7/QC0Zxq5O","uris":["http://zotero.org/users/local/3HGLAaLg/items/HL3CLMTV"],"itemData":{"id":53,"type":"article-journal","abstract":"The effects of Covid-19 on schools have been substantial and widespread. The impact of these changes has been far-reaching, affecting students and teachers alike. Strategically, the Department of Education in the Philippines released a concise version of the K to 12 curriculum to include only the Most Essential Learning Competencies or the MELCs. In effect, the researcher determined the perception of the teachers on the MELCs. Through a survey of 173 teachers across the Country, the findings revealed that teachers moderately agreed on statements related to impression (M=2.71, SD=0.44), morale (M=2.60, SD=0.36), stress, and workload (M=2.63, SD=0.35). Lastly, there was no significant difference in the perception of teachers as to gender, gender, years of teaching experience, type of school, and academic backgrounds.","container-title":"Community and Social Development Journal","DOI":"10.57260/rcmrj.2024.264463","ISSN":"3027-7493","issue":"1","language":"en","license":"Copyright (c) 2024 Rajabhat Chiang Mai Research Journal","page":"15-27","source":"so05.tci-thaijo.org","title":"Perceptions of Select Filipino Teachers on the Most Essential Learning Competencies (MELCs) of the K to 12 Curriculum","volume":"25","author":[{"family":"Montebon","given":"Darryl Roy"}],"issued":{"date-parts":[["2024",1,31]]}}}],"schema":"https://github.com/citation-style-language/schema/raw/master/csl-citation.json"}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(Montebon, 2024)</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 xml:space="preserve">reported gender has no significant influence on Filipino teachers’ perceptions regarding essential competencies within the K to 12 curriculum. Curriculum orientation and teacher training programs can, therefore, continue being inclusive and gender-neutral regarding curriculum implementation. </w:t>
      </w:r>
    </w:p>
    <w:p w14:paraId="4F69F997" w14:textId="27CC848C" w:rsidR="009F6A64" w:rsidRPr="00F14CE5" w:rsidRDefault="007D4FDD" w:rsidP="00454625">
      <w:pPr>
        <w:widowControl w:val="0"/>
        <w:autoSpaceDE w:val="0"/>
        <w:autoSpaceDN w:val="0"/>
        <w:spacing w:before="162" w:line="240" w:lineRule="auto"/>
        <w:ind w:right="-7"/>
        <w:jc w:val="both"/>
        <w:rPr>
          <w:rFonts w:ascii="Times New Roman" w:eastAsiaTheme="majorEastAsia" w:hAnsi="Times New Roman" w:cs="Times New Roman"/>
          <w:b/>
          <w:bCs/>
          <w:color w:val="0D0D0D" w:themeColor="text1" w:themeTint="F2"/>
          <w:kern w:val="2"/>
          <w:sz w:val="24"/>
          <w:szCs w:val="24"/>
        </w:rPr>
      </w:pPr>
      <w:r w:rsidRPr="00F14CE5">
        <w:rPr>
          <w:rFonts w:ascii="Times New Roman" w:eastAsiaTheme="majorEastAsia" w:hAnsi="Times New Roman" w:cs="Times New Roman"/>
          <w:b/>
          <w:bCs/>
          <w:color w:val="0D0D0D" w:themeColor="text1" w:themeTint="F2"/>
          <w:kern w:val="2"/>
          <w:sz w:val="24"/>
          <w:szCs w:val="24"/>
        </w:rPr>
        <w:t>Table 10: Difference</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in</w:t>
      </w:r>
      <w:r w:rsidR="009F6A64" w:rsidRPr="00F14CE5">
        <w:rPr>
          <w:rFonts w:ascii="Times New Roman" w:eastAsiaTheme="majorEastAsia" w:hAnsi="Times New Roman" w:cs="Times New Roman"/>
          <w:b/>
          <w:bCs/>
          <w:color w:val="0D0D0D" w:themeColor="text1" w:themeTint="F2"/>
          <w:spacing w:val="-6"/>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the</w:t>
      </w:r>
      <w:r w:rsidR="009F6A64" w:rsidRPr="00F14CE5">
        <w:rPr>
          <w:rFonts w:ascii="Times New Roman" w:eastAsiaTheme="majorEastAsia" w:hAnsi="Times New Roman" w:cs="Times New Roman"/>
          <w:b/>
          <w:bCs/>
          <w:color w:val="0D0D0D" w:themeColor="text1" w:themeTint="F2"/>
          <w:spacing w:val="-7"/>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Perceptions</w:t>
      </w:r>
      <w:r w:rsidR="009F6A64" w:rsidRPr="00F14CE5">
        <w:rPr>
          <w:rFonts w:ascii="Times New Roman" w:eastAsiaTheme="majorEastAsia" w:hAnsi="Times New Roman" w:cs="Times New Roman"/>
          <w:b/>
          <w:bCs/>
          <w:color w:val="0D0D0D" w:themeColor="text1" w:themeTint="F2"/>
          <w:spacing w:val="-7"/>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of</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Pre-service</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Teachers</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on</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 xml:space="preserve">the Emphasis of the </w:t>
      </w:r>
      <w:proofErr w:type="spellStart"/>
      <w:r w:rsidRPr="00F14CE5">
        <w:rPr>
          <w:rFonts w:ascii="Times New Roman" w:eastAsiaTheme="majorEastAsia" w:hAnsi="Times New Roman" w:cs="Times New Roman"/>
          <w:b/>
          <w:bCs/>
          <w:color w:val="0D0D0D" w:themeColor="text1" w:themeTint="F2"/>
          <w:kern w:val="2"/>
          <w:sz w:val="24"/>
          <w:szCs w:val="24"/>
        </w:rPr>
        <w:t>Matatag</w:t>
      </w:r>
      <w:proofErr w:type="spellEnd"/>
      <w:r w:rsidRPr="00F14CE5">
        <w:rPr>
          <w:rFonts w:ascii="Times New Roman" w:eastAsiaTheme="majorEastAsia" w:hAnsi="Times New Roman" w:cs="Times New Roman"/>
          <w:b/>
          <w:bCs/>
          <w:color w:val="0D0D0D" w:themeColor="text1" w:themeTint="F2"/>
          <w:kern w:val="2"/>
          <w:sz w:val="24"/>
          <w:szCs w:val="24"/>
        </w:rPr>
        <w:t xml:space="preserve"> Curriculum Regarding Key Competencies for k-10 learners When Grouped According to Specialization</w:t>
      </w:r>
    </w:p>
    <w:p w14:paraId="2F98EF05" w14:textId="77777777" w:rsidR="009F6A64" w:rsidRPr="00F14CE5" w:rsidRDefault="009F6A64" w:rsidP="00454625">
      <w:pPr>
        <w:widowControl w:val="0"/>
        <w:autoSpaceDE w:val="0"/>
        <w:autoSpaceDN w:val="0"/>
        <w:spacing w:line="240" w:lineRule="auto"/>
        <w:ind w:right="-7" w:firstLine="68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This section determined whether pre-service teachers’ perceptions of the emphasis of the MATATAG Curriculum on key competencies for K–10 learners differ when grouped according to specialization. Examining program-based differences helps identify whether perceptions of the curriculum vary across academic specializations.</w:t>
      </w:r>
    </w:p>
    <w:p w14:paraId="5CF701FF" w14:textId="570569D2" w:rsidR="007D4FDD" w:rsidRPr="00F14CE5" w:rsidRDefault="009F6A64" w:rsidP="00454625">
      <w:pPr>
        <w:widowControl w:val="0"/>
        <w:autoSpaceDE w:val="0"/>
        <w:autoSpaceDN w:val="0"/>
        <w:spacing w:before="1" w:line="240" w:lineRule="auto"/>
        <w:ind w:right="-7" w:firstLine="680"/>
        <w:jc w:val="both"/>
        <w:rPr>
          <w:rFonts w:ascii="Times New Roman" w:eastAsia="Arial" w:hAnsi="Times New Roman" w:cs="Times New Roman"/>
          <w:color w:val="0D0D0D" w:themeColor="text1" w:themeTint="F2"/>
          <w:spacing w:val="-5"/>
          <w:sz w:val="24"/>
          <w:szCs w:val="24"/>
          <w:lang w:val="en-US"/>
        </w:rPr>
      </w:pP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one-way</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z w:val="24"/>
          <w:szCs w:val="24"/>
          <w:lang w:val="en-US"/>
        </w:rPr>
        <w:t>Analysis</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Variance</w:t>
      </w:r>
      <w:r w:rsidRPr="00F14CE5">
        <w:rPr>
          <w:rFonts w:ascii="Times New Roman" w:eastAsia="Arial" w:hAnsi="Times New Roman" w:cs="Times New Roman"/>
          <w:color w:val="0D0D0D" w:themeColor="text1" w:themeTint="F2"/>
          <w:spacing w:val="3"/>
          <w:sz w:val="24"/>
          <w:szCs w:val="24"/>
          <w:lang w:val="en-US"/>
        </w:rPr>
        <w:t xml:space="preserve"> </w:t>
      </w:r>
      <w:r w:rsidRPr="00F14CE5">
        <w:rPr>
          <w:rFonts w:ascii="Times New Roman" w:eastAsia="Arial" w:hAnsi="Times New Roman" w:cs="Times New Roman"/>
          <w:color w:val="0D0D0D" w:themeColor="text1" w:themeTint="F2"/>
          <w:sz w:val="24"/>
          <w:szCs w:val="24"/>
          <w:lang w:val="en-US"/>
        </w:rPr>
        <w:t>(ANOVA)</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results are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presented</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in</w:t>
      </w:r>
      <w:r w:rsidRPr="00F14CE5">
        <w:rPr>
          <w:rFonts w:ascii="Times New Roman" w:eastAsia="Arial" w:hAnsi="Times New Roman" w:cs="Times New Roman"/>
          <w:color w:val="0D0D0D" w:themeColor="text1" w:themeTint="F2"/>
          <w:spacing w:val="-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Table</w:t>
      </w:r>
      <w:r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pacing w:val="-5"/>
          <w:sz w:val="24"/>
          <w:szCs w:val="24"/>
          <w:lang w:val="en-US"/>
        </w:rPr>
        <w:t>10.</w:t>
      </w:r>
    </w:p>
    <w:p w14:paraId="0D33709E" w14:textId="77777777" w:rsidR="009F6A64" w:rsidRPr="00F14CE5" w:rsidRDefault="009F6A64" w:rsidP="009F6A64">
      <w:pPr>
        <w:widowControl w:val="0"/>
        <w:autoSpaceDE w:val="0"/>
        <w:autoSpaceDN w:val="0"/>
        <w:spacing w:after="0" w:line="240" w:lineRule="auto"/>
        <w:ind w:left="688" w:right="688"/>
        <w:jc w:val="center"/>
        <w:rPr>
          <w:rFonts w:ascii="Times New Roman" w:eastAsia="Arial" w:hAnsi="Times New Roman" w:cs="Times New Roman"/>
          <w:b/>
          <w:color w:val="0D0D0D" w:themeColor="text1" w:themeTint="F2"/>
          <w:sz w:val="24"/>
          <w:lang w:val="en-US"/>
        </w:rPr>
      </w:pPr>
      <w:r w:rsidRPr="00F14CE5">
        <w:rPr>
          <w:rFonts w:ascii="Times New Roman" w:eastAsia="Arial" w:hAnsi="Times New Roman" w:cs="Times New Roman"/>
          <w:b/>
          <w:color w:val="0D0D0D" w:themeColor="text1" w:themeTint="F2"/>
          <w:spacing w:val="-2"/>
          <w:sz w:val="24"/>
          <w:lang w:val="en-US"/>
        </w:rPr>
        <w:t>Table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pacing w:val="-5"/>
          <w:sz w:val="24"/>
          <w:lang w:val="en-US"/>
        </w:rPr>
        <w:t>10</w:t>
      </w:r>
    </w:p>
    <w:p w14:paraId="09742841" w14:textId="77777777" w:rsidR="009F6A64" w:rsidRPr="00F14CE5" w:rsidRDefault="009F6A64" w:rsidP="009F6A64">
      <w:pPr>
        <w:widowControl w:val="0"/>
        <w:autoSpaceDE w:val="0"/>
        <w:autoSpaceDN w:val="0"/>
        <w:spacing w:after="0" w:line="240" w:lineRule="auto"/>
        <w:ind w:left="465" w:right="-7"/>
        <w:jc w:val="center"/>
        <w:rPr>
          <w:rFonts w:ascii="Times New Roman" w:eastAsia="Arial" w:hAnsi="Times New Roman" w:cs="Times New Roman"/>
          <w:b/>
          <w:color w:val="0D0D0D" w:themeColor="text1" w:themeTint="F2"/>
          <w:sz w:val="24"/>
          <w:lang w:val="en-US"/>
        </w:rPr>
      </w:pPr>
      <w:r w:rsidRPr="00F14CE5">
        <w:rPr>
          <w:rFonts w:ascii="Times New Roman" w:eastAsia="Arial" w:hAnsi="Times New Roman" w:cs="Times New Roman"/>
          <w:b/>
          <w:color w:val="0D0D0D" w:themeColor="text1" w:themeTint="F2"/>
          <w:sz w:val="24"/>
          <w:lang w:val="en-US"/>
        </w:rPr>
        <w:t>Difference</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in</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Perceptions</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9"/>
          <w:sz w:val="24"/>
          <w:lang w:val="en-US"/>
        </w:rPr>
        <w:t xml:space="preserve"> </w:t>
      </w:r>
      <w:r w:rsidRPr="00F14CE5">
        <w:rPr>
          <w:rFonts w:ascii="Times New Roman" w:eastAsia="Arial" w:hAnsi="Times New Roman" w:cs="Times New Roman"/>
          <w:b/>
          <w:color w:val="0D0D0D" w:themeColor="text1" w:themeTint="F2"/>
          <w:sz w:val="24"/>
          <w:lang w:val="en-US"/>
        </w:rPr>
        <w:t>Pre-Service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Teachers</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on the Emphasis of the MATATAG Curriculum Regarding Key Competencies for</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K-10</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Learners</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When</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Grouped</w:t>
      </w:r>
      <w:r w:rsidRPr="00F14CE5">
        <w:rPr>
          <w:rFonts w:ascii="Times New Roman" w:eastAsia="Arial" w:hAnsi="Times New Roman" w:cs="Times New Roman"/>
          <w:b/>
          <w:color w:val="0D0D0D" w:themeColor="text1" w:themeTint="F2"/>
          <w:spacing w:val="-10"/>
          <w:sz w:val="24"/>
          <w:lang w:val="en-US"/>
        </w:rPr>
        <w:t xml:space="preserve"> </w:t>
      </w:r>
      <w:r w:rsidRPr="00F14CE5">
        <w:rPr>
          <w:rFonts w:ascii="Times New Roman" w:eastAsia="Arial" w:hAnsi="Times New Roman" w:cs="Times New Roman"/>
          <w:b/>
          <w:color w:val="0D0D0D" w:themeColor="text1" w:themeTint="F2"/>
          <w:sz w:val="24"/>
          <w:lang w:val="en-US"/>
        </w:rPr>
        <w:t>According</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to</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Specialization</w:t>
      </w:r>
    </w:p>
    <w:tbl>
      <w:tblPr>
        <w:tblStyle w:val="TableNormal1"/>
        <w:tblW w:w="8647" w:type="dxa"/>
        <w:tblInd w:w="1035" w:type="dxa"/>
        <w:tblLayout w:type="fixed"/>
        <w:tblLook w:val="01E0" w:firstRow="1" w:lastRow="1" w:firstColumn="1" w:lastColumn="1" w:noHBand="0" w:noVBand="0"/>
      </w:tblPr>
      <w:tblGrid>
        <w:gridCol w:w="1675"/>
        <w:gridCol w:w="1287"/>
        <w:gridCol w:w="687"/>
        <w:gridCol w:w="4998"/>
      </w:tblGrid>
      <w:tr w:rsidR="00597834" w:rsidRPr="00F14CE5" w14:paraId="3CC56FDD" w14:textId="77777777" w:rsidTr="007D4FDD">
        <w:trPr>
          <w:trHeight w:val="96"/>
        </w:trPr>
        <w:tc>
          <w:tcPr>
            <w:tcW w:w="1675" w:type="dxa"/>
            <w:tcBorders>
              <w:top w:val="single" w:sz="4" w:space="0" w:color="auto"/>
              <w:bottom w:val="single" w:sz="4" w:space="0" w:color="auto"/>
            </w:tcBorders>
          </w:tcPr>
          <w:p w14:paraId="48390AB2" w14:textId="77777777" w:rsidR="009F6A64" w:rsidRPr="00F14CE5" w:rsidRDefault="009F6A64" w:rsidP="009F6A64">
            <w:pPr>
              <w:ind w:left="393" w:right="382" w:hanging="46"/>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Source</w:t>
            </w:r>
            <w:r w:rsidRPr="00F14CE5">
              <w:rPr>
                <w:rFonts w:ascii="Times New Roman" w:eastAsia="Arial" w:hAnsi="Times New Roman" w:cs="Times New Roman"/>
                <w:color w:val="0D0D0D" w:themeColor="text1" w:themeTint="F2"/>
                <w:spacing w:val="-16"/>
              </w:rPr>
              <w:t xml:space="preserve"> </w:t>
            </w:r>
            <w:r w:rsidRPr="00F14CE5">
              <w:rPr>
                <w:rFonts w:ascii="Times New Roman" w:eastAsia="Arial" w:hAnsi="Times New Roman" w:cs="Times New Roman"/>
                <w:color w:val="0D0D0D" w:themeColor="text1" w:themeTint="F2"/>
              </w:rPr>
              <w:t xml:space="preserve">of </w:t>
            </w:r>
            <w:r w:rsidRPr="00F14CE5">
              <w:rPr>
                <w:rFonts w:ascii="Times New Roman" w:eastAsia="Arial" w:hAnsi="Times New Roman" w:cs="Times New Roman"/>
                <w:color w:val="0D0D0D" w:themeColor="text1" w:themeTint="F2"/>
                <w:spacing w:val="-2"/>
              </w:rPr>
              <w:t>Variation</w:t>
            </w:r>
          </w:p>
        </w:tc>
        <w:tc>
          <w:tcPr>
            <w:tcW w:w="1287" w:type="dxa"/>
            <w:tcBorders>
              <w:top w:val="single" w:sz="4" w:space="0" w:color="auto"/>
              <w:bottom w:val="single" w:sz="4" w:space="0" w:color="auto"/>
            </w:tcBorders>
          </w:tcPr>
          <w:p w14:paraId="4F5C3AA3" w14:textId="77777777" w:rsidR="009F6A64" w:rsidRPr="00F14CE5" w:rsidRDefault="009F6A64" w:rsidP="009F6A64">
            <w:pPr>
              <w:ind w:left="196" w:right="265" w:firstLine="60"/>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 xml:space="preserve">Sum of </w:t>
            </w:r>
            <w:r w:rsidRPr="00F14CE5">
              <w:rPr>
                <w:rFonts w:ascii="Times New Roman" w:eastAsia="Arial" w:hAnsi="Times New Roman" w:cs="Times New Roman"/>
                <w:color w:val="0D0D0D" w:themeColor="text1" w:themeTint="F2"/>
                <w:spacing w:val="-2"/>
              </w:rPr>
              <w:t>Squares</w:t>
            </w:r>
          </w:p>
        </w:tc>
        <w:tc>
          <w:tcPr>
            <w:tcW w:w="687" w:type="dxa"/>
            <w:tcBorders>
              <w:top w:val="single" w:sz="4" w:space="0" w:color="auto"/>
              <w:bottom w:val="single" w:sz="4" w:space="0" w:color="auto"/>
            </w:tcBorders>
          </w:tcPr>
          <w:p w14:paraId="20424F3E" w14:textId="77777777" w:rsidR="009F6A64" w:rsidRPr="00F14CE5" w:rsidRDefault="009F6A64" w:rsidP="009F6A64">
            <w:pPr>
              <w:spacing w:before="10"/>
              <w:rPr>
                <w:rFonts w:ascii="Times New Roman" w:eastAsia="Arial" w:hAnsi="Times New Roman" w:cs="Times New Roman"/>
                <w:b/>
                <w:color w:val="0D0D0D" w:themeColor="text1" w:themeTint="F2"/>
                <w:sz w:val="21"/>
              </w:rPr>
            </w:pPr>
          </w:p>
          <w:p w14:paraId="2AE6B0B3" w14:textId="77777777" w:rsidR="009F6A64" w:rsidRPr="00F14CE5" w:rsidRDefault="009F6A64" w:rsidP="009F6A64">
            <w:pPr>
              <w:ind w:left="213" w:right="199"/>
              <w:jc w:val="center"/>
              <w:rPr>
                <w:rFonts w:ascii="Times New Roman" w:eastAsia="Arial" w:hAnsi="Times New Roman" w:cs="Times New Roman"/>
                <w:color w:val="0D0D0D" w:themeColor="text1" w:themeTint="F2"/>
              </w:rPr>
            </w:pPr>
            <w:proofErr w:type="spellStart"/>
            <w:r w:rsidRPr="00F14CE5">
              <w:rPr>
                <w:rFonts w:ascii="Times New Roman" w:eastAsia="Arial" w:hAnsi="Times New Roman" w:cs="Times New Roman"/>
                <w:color w:val="0D0D0D" w:themeColor="text1" w:themeTint="F2"/>
                <w:spacing w:val="-5"/>
              </w:rPr>
              <w:t>df</w:t>
            </w:r>
            <w:proofErr w:type="spellEnd"/>
          </w:p>
        </w:tc>
        <w:tc>
          <w:tcPr>
            <w:tcW w:w="4998" w:type="dxa"/>
            <w:tcBorders>
              <w:top w:val="single" w:sz="4" w:space="0" w:color="auto"/>
              <w:bottom w:val="single" w:sz="4" w:space="0" w:color="auto"/>
            </w:tcBorders>
          </w:tcPr>
          <w:p w14:paraId="6F159F30" w14:textId="77777777" w:rsidR="009F6A64" w:rsidRPr="00F14CE5" w:rsidRDefault="009F6A64" w:rsidP="009F6A64">
            <w:pPr>
              <w:tabs>
                <w:tab w:val="left" w:pos="1317"/>
                <w:tab w:val="left" w:pos="2407"/>
                <w:tab w:val="left" w:pos="4042"/>
              </w:tabs>
              <w:spacing w:before="4"/>
              <w:ind w:left="29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position w:val="13"/>
              </w:rPr>
              <w:t>Mean</w:t>
            </w:r>
            <w:r w:rsidRPr="00F14CE5">
              <w:rPr>
                <w:rFonts w:ascii="Times New Roman" w:eastAsia="Arial" w:hAnsi="Times New Roman" w:cs="Times New Roman"/>
                <w:color w:val="0D0D0D" w:themeColor="text1" w:themeTint="F2"/>
                <w:position w:val="13"/>
              </w:rPr>
              <w:tab/>
            </w:r>
            <w:r w:rsidRPr="00F14CE5">
              <w:rPr>
                <w:rFonts w:ascii="Times New Roman" w:eastAsia="Arial" w:hAnsi="Times New Roman" w:cs="Times New Roman"/>
                <w:color w:val="0D0D0D" w:themeColor="text1" w:themeTint="F2"/>
                <w:w w:val="95"/>
                <w:position w:val="2"/>
                <w:sz w:val="20"/>
              </w:rPr>
              <w:t>F-</w:t>
            </w:r>
            <w:r w:rsidRPr="00F14CE5">
              <w:rPr>
                <w:rFonts w:ascii="Times New Roman" w:eastAsia="Arial" w:hAnsi="Times New Roman" w:cs="Times New Roman"/>
                <w:color w:val="0D0D0D" w:themeColor="text1" w:themeTint="F2"/>
                <w:spacing w:val="-2"/>
                <w:position w:val="2"/>
                <w:sz w:val="20"/>
              </w:rPr>
              <w:t>value</w:t>
            </w:r>
            <w:r w:rsidRPr="00F14CE5">
              <w:rPr>
                <w:rFonts w:ascii="Times New Roman" w:eastAsia="Arial" w:hAnsi="Times New Roman" w:cs="Times New Roman"/>
                <w:color w:val="0D0D0D" w:themeColor="text1" w:themeTint="F2"/>
                <w:position w:val="2"/>
                <w:sz w:val="20"/>
              </w:rPr>
              <w:tab/>
            </w:r>
            <w:r w:rsidRPr="00F14CE5">
              <w:rPr>
                <w:rFonts w:ascii="Times New Roman" w:eastAsia="Arial" w:hAnsi="Times New Roman" w:cs="Times New Roman"/>
                <w:color w:val="0D0D0D" w:themeColor="text1" w:themeTint="F2"/>
                <w:spacing w:val="-2"/>
                <w:position w:val="1"/>
              </w:rPr>
              <w:t>p-value</w:t>
            </w:r>
            <w:r w:rsidRPr="00F14CE5">
              <w:rPr>
                <w:rFonts w:ascii="Times New Roman" w:eastAsia="Arial" w:hAnsi="Times New Roman" w:cs="Times New Roman"/>
                <w:color w:val="0D0D0D" w:themeColor="text1" w:themeTint="F2"/>
                <w:position w:val="1"/>
              </w:rPr>
              <w:tab/>
            </w:r>
            <w:r w:rsidRPr="00F14CE5">
              <w:rPr>
                <w:rFonts w:ascii="Times New Roman" w:eastAsia="Arial" w:hAnsi="Times New Roman" w:cs="Times New Roman"/>
                <w:color w:val="0D0D0D" w:themeColor="text1" w:themeTint="F2"/>
                <w:spacing w:val="-2"/>
              </w:rPr>
              <w:t>Remarks</w:t>
            </w:r>
          </w:p>
          <w:p w14:paraId="2B88DE50" w14:textId="77777777" w:rsidR="009F6A64" w:rsidRPr="00F14CE5" w:rsidRDefault="009F6A64" w:rsidP="009F6A64">
            <w:pPr>
              <w:ind w:left="213"/>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Square</w:t>
            </w:r>
          </w:p>
        </w:tc>
      </w:tr>
      <w:tr w:rsidR="00597834" w:rsidRPr="00F14CE5" w14:paraId="63CCA021" w14:textId="77777777" w:rsidTr="007D4FDD">
        <w:trPr>
          <w:trHeight w:val="648"/>
        </w:trPr>
        <w:tc>
          <w:tcPr>
            <w:tcW w:w="1675" w:type="dxa"/>
            <w:tcBorders>
              <w:top w:val="single" w:sz="4" w:space="0" w:color="auto"/>
            </w:tcBorders>
          </w:tcPr>
          <w:p w14:paraId="7D615217" w14:textId="77777777" w:rsidR="009F6A64" w:rsidRPr="00F14CE5" w:rsidRDefault="009F6A64" w:rsidP="009F6A64">
            <w:pPr>
              <w:spacing w:before="93"/>
              <w:ind w:left="458" w:right="422" w:hanging="6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Between Groups</w:t>
            </w:r>
          </w:p>
        </w:tc>
        <w:tc>
          <w:tcPr>
            <w:tcW w:w="1287" w:type="dxa"/>
            <w:tcBorders>
              <w:top w:val="single" w:sz="4" w:space="0" w:color="auto"/>
            </w:tcBorders>
          </w:tcPr>
          <w:p w14:paraId="19973046" w14:textId="77777777" w:rsidR="009F6A64" w:rsidRPr="00F14CE5" w:rsidRDefault="009F6A64" w:rsidP="009F6A64">
            <w:pPr>
              <w:spacing w:before="2"/>
              <w:ind w:left="137" w:right="206"/>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218.393</w:t>
            </w:r>
          </w:p>
        </w:tc>
        <w:tc>
          <w:tcPr>
            <w:tcW w:w="687" w:type="dxa"/>
            <w:tcBorders>
              <w:top w:val="single" w:sz="4" w:space="0" w:color="auto"/>
            </w:tcBorders>
          </w:tcPr>
          <w:p w14:paraId="5823A0E7" w14:textId="77777777" w:rsidR="009F6A64" w:rsidRPr="00F14CE5" w:rsidRDefault="009F6A64" w:rsidP="009F6A64">
            <w:pPr>
              <w:spacing w:before="2"/>
              <w:ind w:left="16"/>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7</w:t>
            </w:r>
          </w:p>
        </w:tc>
        <w:tc>
          <w:tcPr>
            <w:tcW w:w="4998" w:type="dxa"/>
            <w:tcBorders>
              <w:top w:val="single" w:sz="4" w:space="0" w:color="auto"/>
            </w:tcBorders>
          </w:tcPr>
          <w:p w14:paraId="69E0B5F3" w14:textId="77777777" w:rsidR="009F6A64" w:rsidRPr="00F14CE5" w:rsidRDefault="009F6A64" w:rsidP="009F6A64">
            <w:pPr>
              <w:tabs>
                <w:tab w:val="left" w:pos="1375"/>
                <w:tab w:val="left" w:pos="2493"/>
              </w:tabs>
              <w:spacing w:before="2"/>
              <w:ind w:left="23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31.199</w:t>
            </w:r>
            <w:r w:rsidRPr="00F14CE5">
              <w:rPr>
                <w:rFonts w:ascii="Times New Roman" w:eastAsia="Arial" w:hAnsi="Times New Roman" w:cs="Times New Roman"/>
                <w:color w:val="0D0D0D" w:themeColor="text1" w:themeTint="F2"/>
              </w:rPr>
              <w:tab/>
            </w:r>
            <w:r w:rsidRPr="00F14CE5">
              <w:rPr>
                <w:rFonts w:ascii="Times New Roman" w:eastAsia="Arial" w:hAnsi="Times New Roman" w:cs="Times New Roman"/>
                <w:color w:val="0D0D0D" w:themeColor="text1" w:themeTint="F2"/>
                <w:spacing w:val="-2"/>
              </w:rPr>
              <w:t>1.421</w:t>
            </w:r>
            <w:r w:rsidRPr="00F14CE5">
              <w:rPr>
                <w:rFonts w:ascii="Times New Roman" w:eastAsia="Arial" w:hAnsi="Times New Roman" w:cs="Times New Roman"/>
                <w:color w:val="0D0D0D" w:themeColor="text1" w:themeTint="F2"/>
              </w:rPr>
              <w:tab/>
            </w:r>
            <w:r w:rsidRPr="00F14CE5">
              <w:rPr>
                <w:rFonts w:ascii="Times New Roman" w:eastAsia="Arial" w:hAnsi="Times New Roman" w:cs="Times New Roman"/>
                <w:color w:val="0D0D0D" w:themeColor="text1" w:themeTint="F2"/>
                <w:spacing w:val="-2"/>
              </w:rPr>
              <w:t>0.223</w:t>
            </w:r>
          </w:p>
          <w:p w14:paraId="6CB12B07" w14:textId="77777777" w:rsidR="009F6A64" w:rsidRPr="00F14CE5" w:rsidRDefault="009F6A64" w:rsidP="009F6A64">
            <w:pPr>
              <w:ind w:left="3814"/>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Not</w:t>
            </w:r>
            <w:r w:rsidRPr="00F14CE5">
              <w:rPr>
                <w:rFonts w:ascii="Times New Roman" w:eastAsia="Arial" w:hAnsi="Times New Roman" w:cs="Times New Roman"/>
                <w:color w:val="0D0D0D" w:themeColor="text1" w:themeTint="F2"/>
                <w:spacing w:val="-2"/>
              </w:rPr>
              <w:t xml:space="preserve"> Significant</w:t>
            </w:r>
          </w:p>
        </w:tc>
      </w:tr>
      <w:tr w:rsidR="00597834" w:rsidRPr="00F14CE5" w14:paraId="74DEB654" w14:textId="77777777" w:rsidTr="007D4FDD">
        <w:trPr>
          <w:trHeight w:val="339"/>
        </w:trPr>
        <w:tc>
          <w:tcPr>
            <w:tcW w:w="1675" w:type="dxa"/>
          </w:tcPr>
          <w:p w14:paraId="3C28041B" w14:textId="77777777" w:rsidR="009F6A64" w:rsidRPr="00F14CE5" w:rsidRDefault="009F6A64" w:rsidP="009F6A64">
            <w:pPr>
              <w:spacing w:before="69"/>
              <w:ind w:left="113" w:right="14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Within</w:t>
            </w:r>
            <w:r w:rsidRPr="00F14CE5">
              <w:rPr>
                <w:rFonts w:ascii="Times New Roman" w:eastAsia="Arial" w:hAnsi="Times New Roman" w:cs="Times New Roman"/>
                <w:color w:val="0D0D0D" w:themeColor="text1" w:themeTint="F2"/>
                <w:spacing w:val="-4"/>
              </w:rPr>
              <w:t xml:space="preserve"> </w:t>
            </w:r>
            <w:r w:rsidRPr="00F14CE5">
              <w:rPr>
                <w:rFonts w:ascii="Times New Roman" w:eastAsia="Arial" w:hAnsi="Times New Roman" w:cs="Times New Roman"/>
                <w:color w:val="0D0D0D" w:themeColor="text1" w:themeTint="F2"/>
                <w:spacing w:val="-2"/>
              </w:rPr>
              <w:t>Groups</w:t>
            </w:r>
          </w:p>
        </w:tc>
        <w:tc>
          <w:tcPr>
            <w:tcW w:w="1287" w:type="dxa"/>
          </w:tcPr>
          <w:p w14:paraId="66324BC9" w14:textId="77777777" w:rsidR="009F6A64" w:rsidRPr="00F14CE5" w:rsidRDefault="009F6A64" w:rsidP="009F6A64">
            <w:pPr>
              <w:spacing w:before="43"/>
              <w:ind w:left="137" w:right="206"/>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922.327</w:t>
            </w:r>
          </w:p>
        </w:tc>
        <w:tc>
          <w:tcPr>
            <w:tcW w:w="687" w:type="dxa"/>
          </w:tcPr>
          <w:p w14:paraId="32923EE7" w14:textId="77777777" w:rsidR="009F6A64" w:rsidRPr="00F14CE5" w:rsidRDefault="009F6A64" w:rsidP="009F6A64">
            <w:pPr>
              <w:spacing w:before="43"/>
              <w:ind w:left="213" w:right="199"/>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5"/>
              </w:rPr>
              <w:t>42</w:t>
            </w:r>
          </w:p>
        </w:tc>
        <w:tc>
          <w:tcPr>
            <w:tcW w:w="4998" w:type="dxa"/>
          </w:tcPr>
          <w:p w14:paraId="2F83F870" w14:textId="77777777" w:rsidR="009F6A64" w:rsidRPr="00F14CE5" w:rsidRDefault="009F6A64" w:rsidP="009F6A64">
            <w:pPr>
              <w:spacing w:before="43"/>
              <w:ind w:left="23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21.960</w:t>
            </w:r>
          </w:p>
        </w:tc>
      </w:tr>
      <w:tr w:rsidR="00597834" w:rsidRPr="00F14CE5" w14:paraId="5F85C5B4" w14:textId="77777777" w:rsidTr="007D4FDD">
        <w:trPr>
          <w:trHeight w:val="331"/>
        </w:trPr>
        <w:tc>
          <w:tcPr>
            <w:tcW w:w="1675" w:type="dxa"/>
            <w:tcBorders>
              <w:bottom w:val="single" w:sz="4" w:space="0" w:color="auto"/>
            </w:tcBorders>
          </w:tcPr>
          <w:p w14:paraId="1F05A5F6" w14:textId="77777777" w:rsidR="009F6A64" w:rsidRPr="00F14CE5" w:rsidRDefault="009F6A64" w:rsidP="009F6A64">
            <w:pPr>
              <w:spacing w:before="44"/>
              <w:ind w:left="109" w:right="14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Total</w:t>
            </w:r>
          </w:p>
        </w:tc>
        <w:tc>
          <w:tcPr>
            <w:tcW w:w="1287" w:type="dxa"/>
            <w:tcBorders>
              <w:bottom w:val="single" w:sz="4" w:space="0" w:color="auto"/>
            </w:tcBorders>
          </w:tcPr>
          <w:p w14:paraId="36BC8225" w14:textId="77777777" w:rsidR="009F6A64" w:rsidRPr="00F14CE5" w:rsidRDefault="009F6A64" w:rsidP="009F6A64">
            <w:pPr>
              <w:spacing w:before="10"/>
              <w:ind w:left="137" w:right="208"/>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1140.720</w:t>
            </w:r>
          </w:p>
        </w:tc>
        <w:tc>
          <w:tcPr>
            <w:tcW w:w="687" w:type="dxa"/>
            <w:tcBorders>
              <w:bottom w:val="single" w:sz="4" w:space="0" w:color="auto"/>
            </w:tcBorders>
          </w:tcPr>
          <w:p w14:paraId="78D98C9F" w14:textId="77777777" w:rsidR="009F6A64" w:rsidRPr="00F14CE5" w:rsidRDefault="009F6A64" w:rsidP="009F6A64">
            <w:pPr>
              <w:spacing w:before="10"/>
              <w:ind w:left="213" w:right="199"/>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5"/>
              </w:rPr>
              <w:t>49</w:t>
            </w:r>
          </w:p>
        </w:tc>
        <w:tc>
          <w:tcPr>
            <w:tcW w:w="4998" w:type="dxa"/>
            <w:tcBorders>
              <w:bottom w:val="single" w:sz="4" w:space="0" w:color="auto"/>
            </w:tcBorders>
          </w:tcPr>
          <w:p w14:paraId="4CF49F08" w14:textId="77777777" w:rsidR="009F6A64" w:rsidRPr="00F14CE5" w:rsidRDefault="009F6A64" w:rsidP="009F6A64">
            <w:pPr>
              <w:rPr>
                <w:rFonts w:ascii="Times New Roman" w:eastAsia="Arial" w:hAnsi="Times New Roman" w:cs="Times New Roman"/>
                <w:color w:val="0D0D0D" w:themeColor="text1" w:themeTint="F2"/>
              </w:rPr>
            </w:pPr>
          </w:p>
        </w:tc>
      </w:tr>
    </w:tbl>
    <w:p w14:paraId="21EA3F7E" w14:textId="25BCBB1B" w:rsidR="009F6A64" w:rsidRPr="00F14CE5" w:rsidRDefault="009F6A64" w:rsidP="00DA02F8">
      <w:pPr>
        <w:widowControl w:val="0"/>
        <w:autoSpaceDE w:val="0"/>
        <w:autoSpaceDN w:val="0"/>
        <w:spacing w:after="0" w:line="240" w:lineRule="auto"/>
        <w:ind w:left="781"/>
        <w:rPr>
          <w:rFonts w:ascii="Times New Roman" w:eastAsia="Arial" w:hAnsi="Times New Roman" w:cs="Times New Roman"/>
          <w:color w:val="0D0D0D" w:themeColor="text1" w:themeTint="F2"/>
          <w:sz w:val="18"/>
          <w:lang w:val="en-US"/>
        </w:rPr>
      </w:pPr>
      <w:r w:rsidRPr="00F14CE5">
        <w:rPr>
          <w:rFonts w:ascii="Times New Roman" w:eastAsia="Arial" w:hAnsi="Times New Roman" w:cs="Times New Roman"/>
          <w:color w:val="0D0D0D" w:themeColor="text1" w:themeTint="F2"/>
          <w:sz w:val="18"/>
          <w:lang w:val="en-US"/>
        </w:rPr>
        <w:t>*significant</w:t>
      </w:r>
      <w:r w:rsidRPr="00F14CE5">
        <w:rPr>
          <w:rFonts w:ascii="Times New Roman" w:eastAsia="Arial" w:hAnsi="Times New Roman" w:cs="Times New Roman"/>
          <w:color w:val="0D0D0D" w:themeColor="text1" w:themeTint="F2"/>
          <w:spacing w:val="-4"/>
          <w:sz w:val="18"/>
          <w:lang w:val="en-US"/>
        </w:rPr>
        <w:t xml:space="preserve"> </w:t>
      </w:r>
      <w:r w:rsidRPr="00F14CE5">
        <w:rPr>
          <w:rFonts w:ascii="Times New Roman" w:eastAsia="Arial" w:hAnsi="Times New Roman" w:cs="Times New Roman"/>
          <w:color w:val="0D0D0D" w:themeColor="text1" w:themeTint="F2"/>
          <w:sz w:val="18"/>
          <w:lang w:val="en-US"/>
        </w:rPr>
        <w:t>at</w:t>
      </w:r>
      <w:r w:rsidRPr="00F14CE5">
        <w:rPr>
          <w:rFonts w:ascii="Times New Roman" w:eastAsia="Arial" w:hAnsi="Times New Roman" w:cs="Times New Roman"/>
          <w:color w:val="0D0D0D" w:themeColor="text1" w:themeTint="F2"/>
          <w:spacing w:val="-4"/>
          <w:sz w:val="18"/>
          <w:lang w:val="en-US"/>
        </w:rPr>
        <w:t xml:space="preserve"> </w:t>
      </w:r>
      <w:r w:rsidRPr="00F14CE5">
        <w:rPr>
          <w:rFonts w:ascii="Times New Roman" w:eastAsia="Arial" w:hAnsi="Times New Roman" w:cs="Times New Roman"/>
          <w:color w:val="0D0D0D" w:themeColor="text1" w:themeTint="F2"/>
          <w:spacing w:val="-2"/>
          <w:sz w:val="18"/>
          <w:lang w:val="en-US"/>
        </w:rPr>
        <w:t>p&lt;0.05</w:t>
      </w:r>
      <w:r w:rsidR="00DA02F8" w:rsidRPr="00F14CE5">
        <w:rPr>
          <w:rFonts w:ascii="Times New Roman" w:eastAsia="Arial" w:hAnsi="Times New Roman" w:cs="Times New Roman"/>
          <w:color w:val="0D0D0D" w:themeColor="text1" w:themeTint="F2"/>
          <w:sz w:val="18"/>
          <w:lang w:val="en-US"/>
        </w:rPr>
        <w:br/>
      </w:r>
    </w:p>
    <w:p w14:paraId="4E8CA7CE" w14:textId="5C5AFD7F" w:rsidR="00DA02F8" w:rsidRPr="00F14CE5" w:rsidRDefault="009F6A64" w:rsidP="00DA02F8">
      <w:pPr>
        <w:widowControl w:val="0"/>
        <w:autoSpaceDE w:val="0"/>
        <w:autoSpaceDN w:val="0"/>
        <w:spacing w:before="93"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Table</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10</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presented</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z w:val="24"/>
          <w:szCs w:val="24"/>
          <w:lang w:val="en-US"/>
        </w:rPr>
        <w:t>results</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6"/>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one-way</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Analysis</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z w:val="24"/>
          <w:szCs w:val="24"/>
          <w:lang w:val="en-US"/>
        </w:rPr>
        <w:t>Variance</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z w:val="24"/>
          <w:szCs w:val="24"/>
          <w:lang w:val="en-US"/>
        </w:rPr>
        <w:t>(ANOVA) comparing</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perceptions</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pre-service</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teachers</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across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different</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programs.</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The analysis shown a between-groups sum of squares of 218.393 with 7 degrees of freedom</w:t>
      </w:r>
      <w:r w:rsidRPr="00F14CE5">
        <w:rPr>
          <w:rFonts w:ascii="Times New Roman" w:eastAsia="Arial" w:hAnsi="Times New Roman" w:cs="Times New Roman"/>
          <w:color w:val="0D0D0D" w:themeColor="text1" w:themeTint="F2"/>
          <w:spacing w:val="-5"/>
          <w:sz w:val="24"/>
          <w:szCs w:val="24"/>
          <w:lang w:val="en-US"/>
        </w:rPr>
        <w:t xml:space="preserve"> </w:t>
      </w:r>
      <w:r w:rsidRPr="00F14CE5">
        <w:rPr>
          <w:rFonts w:ascii="Times New Roman" w:eastAsia="Arial" w:hAnsi="Times New Roman" w:cs="Times New Roman"/>
          <w:color w:val="0D0D0D" w:themeColor="text1" w:themeTint="F2"/>
          <w:sz w:val="24"/>
          <w:szCs w:val="24"/>
          <w:lang w:val="en-US"/>
        </w:rPr>
        <w:t>and</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a</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mean</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square</w:t>
      </w:r>
      <w:r w:rsidRPr="00F14CE5">
        <w:rPr>
          <w:rFonts w:ascii="Times New Roman" w:eastAsia="Arial" w:hAnsi="Times New Roman" w:cs="Times New Roman"/>
          <w:color w:val="0D0D0D" w:themeColor="text1" w:themeTint="F2"/>
          <w:spacing w:val="3"/>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31.199,</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while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within-groups sum</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squares</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pacing w:val="-5"/>
          <w:sz w:val="24"/>
          <w:szCs w:val="24"/>
          <w:lang w:val="en-US"/>
        </w:rPr>
        <w:t xml:space="preserve">is </w:t>
      </w:r>
      <w:r w:rsidRPr="00F14CE5">
        <w:rPr>
          <w:rFonts w:ascii="Times New Roman" w:eastAsia="Arial" w:hAnsi="Times New Roman" w:cs="Times New Roman"/>
          <w:color w:val="0D0D0D" w:themeColor="text1" w:themeTint="F2"/>
          <w:sz w:val="24"/>
          <w:szCs w:val="24"/>
          <w:lang w:val="en-US"/>
        </w:rPr>
        <w:t>922.327</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with</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42</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degrees</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freedom</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and</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a</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mean</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square</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21.960.</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computed F-value is 1.421 with a p-value of 0.223.</w:t>
      </w:r>
      <w:r w:rsidR="00DA02F8" w:rsidRPr="00F14CE5">
        <w:rPr>
          <w:rFonts w:ascii="Times New Roman" w:eastAsia="Arial" w:hAnsi="Times New Roman" w:cs="Times New Roman"/>
          <w:color w:val="0D0D0D" w:themeColor="text1" w:themeTint="F2"/>
          <w:sz w:val="24"/>
          <w:szCs w:val="24"/>
          <w:lang w:val="en-US"/>
        </w:rPr>
        <w:t xml:space="preserve"> </w:t>
      </w:r>
      <w:r w:rsidR="00DA02F8" w:rsidRPr="00F14CE5">
        <w:rPr>
          <w:rFonts w:ascii="Times New Roman" w:eastAsia="Arial" w:hAnsi="Times New Roman" w:cs="Times New Roman"/>
          <w:color w:val="0D0D0D" w:themeColor="text1" w:themeTint="F2"/>
          <w:sz w:val="24"/>
          <w:szCs w:val="24"/>
        </w:rPr>
        <w:t>Since the p-value (0.223) is greater than 0.05 level of significance, the null hypothesis is not rejected, indicating that there is no significant difference in the perceptions of the pre-service teachers on the emphasis of the MATATAG Curriculum on key competencies of K–10 learners when grouped according to the specialization.</w:t>
      </w:r>
    </w:p>
    <w:p w14:paraId="5E18875D" w14:textId="4CEA2B51" w:rsidR="009F6A64" w:rsidRPr="00F14CE5" w:rsidRDefault="00454625" w:rsidP="00DA02F8">
      <w:pPr>
        <w:widowControl w:val="0"/>
        <w:autoSpaceDE w:val="0"/>
        <w:autoSpaceDN w:val="0"/>
        <w:spacing w:before="162"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rPr>
        <w:t xml:space="preserve">The results also indicated that there is a significant difference in the perceptions of pre-service teachers regarding the MATATAG Curriculum based on the students’ year level. </w:t>
      </w:r>
      <w:r w:rsidR="009F6A64" w:rsidRPr="00F14CE5">
        <w:rPr>
          <w:rFonts w:ascii="Times New Roman" w:eastAsia="Arial" w:hAnsi="Times New Roman" w:cs="Times New Roman"/>
          <w:color w:val="0D0D0D" w:themeColor="text1" w:themeTint="F2"/>
          <w:sz w:val="24"/>
          <w:szCs w:val="24"/>
          <w:lang w:val="en-US"/>
        </w:rPr>
        <w:t xml:space="preserve">Supporting this,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{"citationID":"bm7SQBJx","properties":{"unsorted":false,"formattedCitation":"(Osiesi &amp; Blignaut, 2025)","plainCitation":"(Osiesi &amp; Blignaut, 2025)","noteIndex":0},"citationItems":[{"id":"i2yCDwO7/kdPeZNu7","uris":["http://zotero.org/users/local/3HGLAaLg/items/JQXSXSDH"],"itemData":{"id":55,"type":"article-journal","abstract":"This study examined the perceptions of pre-service teachers (PTs) at Nelson Mandela University in South Africa on the role of the Teacher Education Curriculum (TEC) in the Development of 21st-Century Skills (21CS) among PTs. Underpinned by the theories of self-regulated learning, Technological Pedagogical Content Knowledge, and Planned Behaviour, the study adopted the descriptive survey research type of the non-experimental design. The study population comprised all PTs in the education faculty. 411 PTs were selected via purposive and simple random sampling techniques. PTs' Perceived 21CS Development Questionnaire (r = 0.97) was used in collecting the study’s data, which were analysed using Hayes macro process in SPSS version 26.0. Findings indicate that the South African TEC largely inculcates 21CS in PTs, the prevalent 21CS among PTs are collaborative, communication, critical thinking, and creativity skills (in that order), and PTs’ excess academic workloads, lack of digital competencies and literacy, and inadequate assessment of ICT-related skills are the main challenges militating against their development of 21CS. The study concludes that PTs positively perceive the TEC's potency in developing their 21CS for future teaching competencies and efficiencies. Recommendations are made.","container-title":"Social Sciences &amp; Humanities Open","DOI":"10.1016/j.ssaho.2025.101317","ISSN":"2590-2911","journalAbbreviation":"Social Sciences &amp; Humanities Open","page":"101317","source":"ScienceDirect","title":"Impact of the teacher education curriculum on the development of 21st-Century skills: Pre-service teachers’ perceptions","title-short":"Impact of the teacher education curriculum on the development of 21st-Century skills","volume":"11","author":[{"family":"Osiesi","given":"Mensah Prince"},{"family":"Blignaut","given":"Sylvan"}],"issued":{"date-parts":[["2025",1,1]]}}}],"schema":"https://github.com/citation-style-language/schema/raw/master/csl-citation.json"}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 xml:space="preserve">(Osiesi &amp; Blignaut, </w:t>
      </w:r>
      <w:r w:rsidR="009F6A64" w:rsidRPr="00F14CE5">
        <w:rPr>
          <w:rFonts w:ascii="Times New Roman" w:eastAsia="Arial" w:hAnsi="Times New Roman" w:cs="Times New Roman"/>
          <w:color w:val="0D0D0D" w:themeColor="text1" w:themeTint="F2"/>
          <w:sz w:val="24"/>
          <w:szCs w:val="24"/>
          <w:lang w:val="en-US"/>
        </w:rPr>
        <w:lastRenderedPageBreak/>
        <w:t>2025)</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00DA02F8" w:rsidRPr="00F14CE5">
        <w:rPr>
          <w:rFonts w:ascii="Times New Roman" w:eastAsia="Arial" w:hAnsi="Times New Roman" w:cs="Times New Roman"/>
          <w:color w:val="0D0D0D" w:themeColor="text1" w:themeTint="F2"/>
          <w:sz w:val="24"/>
          <w:szCs w:val="24"/>
        </w:rPr>
        <w:t>highlight that a coherent and well-structured curriculum plays a vital role in shaping similar perceptions among pre-service teachers, with</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{"citationID":"T6jQ9Vl1","properties":{"unsorted":false,"formattedCitation":"(Konadu, 2025)","plainCitation":"(Konadu, 2025)","noteIndex":0},"citationItems":[{"id":"i2yCDwO7/y4ZmuUAk","uris":["http://zotero.org/users/local/3HGLAaLg/items/EUD9HPHJ"],"itemData":{"id":58,"type":"webpage","title":"Pre-Service Teachers' Understanding and Perceptions Toward Assessment Literacy: A Systematic Review | Psycho-Educational Research Reviews","URL":"https://perrjournal.com/index.php/perrjournal/article/view/668","author":[{"family":"Konadu","given":"Benjamin Obeng"}],"accessed":{"date-parts":[["2026",4,2]]},"issued":{"date-parts":[["2025"]]}}}],"schema":"https://github.com/citation-style-language/schema/raw/master/csl-citation.json"}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(Konadu, 2025)</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00DA02F8" w:rsidRPr="00F14CE5">
        <w:rPr>
          <w:rFonts w:ascii="Times New Roman" w:eastAsia="Arial" w:hAnsi="Times New Roman" w:cs="Times New Roman"/>
          <w:color w:val="0D0D0D" w:themeColor="text1" w:themeTint="F2"/>
          <w:sz w:val="24"/>
          <w:szCs w:val="24"/>
        </w:rPr>
        <w:t>review emphasizing common understandings of professional competencies when programs provide comprehensive curricular support.</w:t>
      </w:r>
    </w:p>
    <w:p w14:paraId="5D7B272F" w14:textId="77777777" w:rsidR="00DA02F8" w:rsidRPr="00F14CE5" w:rsidRDefault="00454625" w:rsidP="00DA02F8">
      <w:pPr>
        <w:widowControl w:val="0"/>
        <w:autoSpaceDE w:val="0"/>
        <w:autoSpaceDN w:val="0"/>
        <w:spacing w:before="93"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These findings implied that the MATATAG Curriculum’s emphasis is common across different pre-service teacher programs indicating the effectiveness of common curriculum integration and training that standardizes curriculum modifications that are program-specific in developing awareness of key competencies. In line with this,</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{"citationID":"sCDfGHh5","properties":{"unsorted":false,"formattedCitation":"(Espiritu, 2021)","plainCitation":"(Espiritu, 2021)","noteIndex":0},"citationItems":[{"id":"i2yCDwO7/q8Mammgy","uris":["http://zotero.org/users/local/3HGLAaLg/items/XW963A5D"],"itemData":{"id":60,"type":"article-journal","abstract":"Read on Neliti","container-title":"JournalNX","DOI":"10.17605/OSF.IO/FY8MC","issue":"11","language":"en","license":"(c) JournalNX, 2021","page":"83-105","publisher":"Novateur Publication","source":"www.neliti.com","title":"Awareness and Competency of Pre-service Teachers on the Philippine Professional Standards for Teachers (Ppst): A Basis for Training Program","title-short":"Awareness and Competency of Pre-service Teachers on the Philippine Professional Standards for Teachers (Ppst)","volume":"7","author":[{"family":"Espiritu","given":"Raymond D."}],"issued":{"date-parts":[["2021"]]}}}],"schema":"https://github.com/citation-style-language/schema/raw/master/csl-citation.json"}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7D4FDD" w:rsidRPr="00F14CE5">
        <w:rPr>
          <w:rFonts w:ascii="Times New Roman" w:hAnsi="Times New Roman" w:cs="Times New Roman"/>
          <w:color w:val="0D0D0D" w:themeColor="text1" w:themeTint="F2"/>
          <w:sz w:val="24"/>
        </w:rPr>
        <w:t>(Espiritu, 2021)</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found that there was uniformity in the awareness and proficiency among pre-service teachers in the Philippines aligned to the Philippine Professional Standards for Teachers (PPST), thus enforcing the idea of uniformity of professional expectations across groups</w:t>
      </w:r>
      <w:r w:rsidR="00DA02F8" w:rsidRPr="00F14CE5">
        <w:rPr>
          <w:rFonts w:ascii="Times New Roman" w:eastAsia="Arial" w:hAnsi="Times New Roman" w:cs="Times New Roman"/>
          <w:color w:val="0D0D0D" w:themeColor="text1" w:themeTint="F2"/>
          <w:sz w:val="24"/>
          <w:szCs w:val="24"/>
        </w:rPr>
        <w:t>.</w:t>
      </w:r>
    </w:p>
    <w:p w14:paraId="2751A561" w14:textId="32616562" w:rsidR="009F6A64" w:rsidRPr="00F14CE5" w:rsidRDefault="007D4FDD" w:rsidP="00DA02F8">
      <w:pPr>
        <w:widowControl w:val="0"/>
        <w:autoSpaceDE w:val="0"/>
        <w:autoSpaceDN w:val="0"/>
        <w:spacing w:before="93" w:line="240" w:lineRule="auto"/>
        <w:ind w:right="-7"/>
        <w:jc w:val="both"/>
        <w:rPr>
          <w:rFonts w:ascii="Times New Roman" w:eastAsia="Arial" w:hAnsi="Times New Roman" w:cs="Times New Roman"/>
          <w:color w:val="0D0D0D" w:themeColor="text1" w:themeTint="F2"/>
          <w:sz w:val="24"/>
          <w:szCs w:val="24"/>
          <w:lang w:val="en-US"/>
        </w:rPr>
      </w:pPr>
      <w:r w:rsidRPr="00F14CE5">
        <w:rPr>
          <w:rFonts w:ascii="Times New Roman" w:eastAsiaTheme="majorEastAsia" w:hAnsi="Times New Roman" w:cs="Times New Roman"/>
          <w:b/>
          <w:bCs/>
          <w:color w:val="0D0D0D" w:themeColor="text1" w:themeTint="F2"/>
          <w:kern w:val="2"/>
          <w:sz w:val="24"/>
          <w:szCs w:val="24"/>
        </w:rPr>
        <w:t>Table 11: Difference</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in</w:t>
      </w:r>
      <w:r w:rsidRPr="00F14CE5">
        <w:rPr>
          <w:rFonts w:ascii="Times New Roman" w:eastAsiaTheme="majorEastAsia" w:hAnsi="Times New Roman" w:cs="Times New Roman"/>
          <w:b/>
          <w:bCs/>
          <w:color w:val="0D0D0D" w:themeColor="text1" w:themeTint="F2"/>
          <w:spacing w:val="-6"/>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the</w:t>
      </w:r>
      <w:r w:rsidRPr="00F14CE5">
        <w:rPr>
          <w:rFonts w:ascii="Times New Roman" w:eastAsiaTheme="majorEastAsia" w:hAnsi="Times New Roman" w:cs="Times New Roman"/>
          <w:b/>
          <w:bCs/>
          <w:color w:val="0D0D0D" w:themeColor="text1" w:themeTint="F2"/>
          <w:spacing w:val="-7"/>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Perceptions</w:t>
      </w:r>
      <w:r w:rsidRPr="00F14CE5">
        <w:rPr>
          <w:rFonts w:ascii="Times New Roman" w:eastAsiaTheme="majorEastAsia" w:hAnsi="Times New Roman" w:cs="Times New Roman"/>
          <w:b/>
          <w:bCs/>
          <w:color w:val="0D0D0D" w:themeColor="text1" w:themeTint="F2"/>
          <w:spacing w:val="-7"/>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of</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Pre-Service</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Teachers</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on</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the Role of BTVTED Program in Equipping Pre-Service Teachers with Competencies Necessary for Basic Education When Grouped According to Age</w:t>
      </w:r>
    </w:p>
    <w:p w14:paraId="459838F2" w14:textId="77777777" w:rsidR="007D4FDD" w:rsidRPr="00F14CE5" w:rsidRDefault="009F6A64" w:rsidP="009F6A64">
      <w:pPr>
        <w:keepNext/>
        <w:keepLines/>
        <w:widowControl w:val="0"/>
        <w:autoSpaceDE w:val="0"/>
        <w:autoSpaceDN w:val="0"/>
        <w:spacing w:before="159" w:after="80" w:line="240" w:lineRule="auto"/>
        <w:ind w:left="-90" w:firstLine="810"/>
        <w:jc w:val="both"/>
        <w:outlineLvl w:val="1"/>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This section examines whether there is a significant difference in pre-service teachers’ perceptions of the BTVTED program’s role in developing competencies for basic education when grouped according to age. It aims to determine if variations in age, academic exposure, or training influence their perceptions of program effectiveness. </w:t>
      </w:r>
    </w:p>
    <w:p w14:paraId="02424ACA" w14:textId="01D78F11" w:rsidR="009F6A64" w:rsidRPr="00F14CE5" w:rsidRDefault="009F6A64" w:rsidP="009F6A64">
      <w:pPr>
        <w:keepNext/>
        <w:keepLines/>
        <w:widowControl w:val="0"/>
        <w:autoSpaceDE w:val="0"/>
        <w:autoSpaceDN w:val="0"/>
        <w:spacing w:before="159" w:after="80" w:line="240" w:lineRule="auto"/>
        <w:ind w:left="-90" w:firstLine="810"/>
        <w:jc w:val="both"/>
        <w:outlineLvl w:val="1"/>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The results of the one-way Analysis of Variance (ANOVA) are presented in Table 11.</w:t>
      </w:r>
    </w:p>
    <w:p w14:paraId="443BE4F9" w14:textId="77777777" w:rsidR="009F6A64" w:rsidRPr="00F14CE5" w:rsidRDefault="009F6A64" w:rsidP="009F6A64">
      <w:pPr>
        <w:keepNext/>
        <w:keepLines/>
        <w:widowControl w:val="0"/>
        <w:autoSpaceDE w:val="0"/>
        <w:autoSpaceDN w:val="0"/>
        <w:spacing w:before="159" w:after="80" w:line="240" w:lineRule="auto"/>
        <w:ind w:left="590" w:right="688"/>
        <w:jc w:val="center"/>
        <w:outlineLvl w:val="1"/>
        <w:rPr>
          <w:rFonts w:ascii="Times New Roman" w:eastAsiaTheme="majorEastAsia" w:hAnsi="Times New Roman" w:cs="Times New Roman"/>
          <w:b/>
          <w:bCs/>
          <w:color w:val="0D0D0D" w:themeColor="text1" w:themeTint="F2"/>
          <w:sz w:val="24"/>
          <w:szCs w:val="24"/>
          <w:lang w:val="en-US"/>
        </w:rPr>
      </w:pPr>
      <w:r w:rsidRPr="00F14CE5">
        <w:rPr>
          <w:rFonts w:ascii="Times New Roman" w:eastAsiaTheme="majorEastAsia" w:hAnsi="Times New Roman" w:cs="Times New Roman"/>
          <w:b/>
          <w:bCs/>
          <w:color w:val="0D0D0D" w:themeColor="text1" w:themeTint="F2"/>
          <w:sz w:val="24"/>
          <w:szCs w:val="24"/>
          <w:lang w:val="en-US"/>
        </w:rPr>
        <w:t>Table</w:t>
      </w:r>
      <w:r w:rsidRPr="00F14CE5">
        <w:rPr>
          <w:rFonts w:ascii="Times New Roman" w:eastAsiaTheme="majorEastAsia" w:hAnsi="Times New Roman" w:cs="Times New Roman"/>
          <w:b/>
          <w:bCs/>
          <w:color w:val="0D0D0D" w:themeColor="text1" w:themeTint="F2"/>
          <w:spacing w:val="-18"/>
          <w:sz w:val="24"/>
          <w:szCs w:val="24"/>
          <w:lang w:val="en-US"/>
        </w:rPr>
        <w:t xml:space="preserve"> </w:t>
      </w:r>
      <w:r w:rsidRPr="00F14CE5">
        <w:rPr>
          <w:rFonts w:ascii="Times New Roman" w:eastAsiaTheme="majorEastAsia" w:hAnsi="Times New Roman" w:cs="Times New Roman"/>
          <w:b/>
          <w:bCs/>
          <w:color w:val="0D0D0D" w:themeColor="text1" w:themeTint="F2"/>
          <w:spacing w:val="-5"/>
          <w:sz w:val="24"/>
          <w:szCs w:val="24"/>
          <w:lang w:val="en-US"/>
        </w:rPr>
        <w:t>11</w:t>
      </w:r>
    </w:p>
    <w:p w14:paraId="48CC0A23" w14:textId="77777777" w:rsidR="009F6A64" w:rsidRPr="00F14CE5" w:rsidRDefault="009F6A64" w:rsidP="009F6A64">
      <w:pPr>
        <w:widowControl w:val="0"/>
        <w:autoSpaceDE w:val="0"/>
        <w:autoSpaceDN w:val="0"/>
        <w:spacing w:after="5" w:line="240" w:lineRule="auto"/>
        <w:ind w:right="-7"/>
        <w:jc w:val="center"/>
        <w:rPr>
          <w:rFonts w:ascii="Times New Roman" w:eastAsia="Arial" w:hAnsi="Times New Roman" w:cs="Times New Roman"/>
          <w:b/>
          <w:color w:val="0D0D0D" w:themeColor="text1" w:themeTint="F2"/>
          <w:sz w:val="24"/>
          <w:lang w:val="en-US"/>
        </w:rPr>
      </w:pPr>
      <w:r w:rsidRPr="00F14CE5">
        <w:rPr>
          <w:rFonts w:ascii="Times New Roman" w:eastAsia="Arial" w:hAnsi="Times New Roman" w:cs="Times New Roman"/>
          <w:b/>
          <w:color w:val="0D0D0D" w:themeColor="text1" w:themeTint="F2"/>
          <w:sz w:val="24"/>
          <w:lang w:val="en-US"/>
        </w:rPr>
        <w:t>Difference in the Perceptions of Pre-Service Teachers</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on</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7"/>
          <w:sz w:val="24"/>
          <w:lang w:val="en-US"/>
        </w:rPr>
        <w:t xml:space="preserve"> </w:t>
      </w:r>
      <w:r w:rsidRPr="00F14CE5">
        <w:rPr>
          <w:rFonts w:ascii="Times New Roman" w:eastAsia="Arial" w:hAnsi="Times New Roman" w:cs="Times New Roman"/>
          <w:b/>
          <w:color w:val="0D0D0D" w:themeColor="text1" w:themeTint="F2"/>
          <w:sz w:val="24"/>
          <w:lang w:val="en-US"/>
        </w:rPr>
        <w:t>Role</w:t>
      </w:r>
      <w:r w:rsidRPr="00F14CE5">
        <w:rPr>
          <w:rFonts w:ascii="Times New Roman" w:eastAsia="Arial" w:hAnsi="Times New Roman" w:cs="Times New Roman"/>
          <w:b/>
          <w:color w:val="0D0D0D" w:themeColor="text1" w:themeTint="F2"/>
          <w:spacing w:val="-7"/>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BTVTED</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Program</w:t>
      </w:r>
      <w:r w:rsidRPr="00F14CE5">
        <w:rPr>
          <w:rFonts w:ascii="Times New Roman" w:eastAsia="Arial" w:hAnsi="Times New Roman" w:cs="Times New Roman"/>
          <w:b/>
          <w:color w:val="0D0D0D" w:themeColor="text1" w:themeTint="F2"/>
          <w:spacing w:val="-7"/>
          <w:sz w:val="24"/>
          <w:lang w:val="en-US"/>
        </w:rPr>
        <w:t xml:space="preserve"> </w:t>
      </w:r>
      <w:r w:rsidRPr="00F14CE5">
        <w:rPr>
          <w:rFonts w:ascii="Times New Roman" w:eastAsia="Arial" w:hAnsi="Times New Roman" w:cs="Times New Roman"/>
          <w:b/>
          <w:color w:val="0D0D0D" w:themeColor="text1" w:themeTint="F2"/>
          <w:sz w:val="24"/>
          <w:lang w:val="en-US"/>
        </w:rPr>
        <w:t>in</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Equipping</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Pre-Service Teachers with Competencies Necessary for Basic Education When Grouped According to Age</w:t>
      </w:r>
    </w:p>
    <w:tbl>
      <w:tblPr>
        <w:tblStyle w:val="TableNormal1"/>
        <w:tblW w:w="0" w:type="auto"/>
        <w:tblInd w:w="1080" w:type="dxa"/>
        <w:tblLayout w:type="fixed"/>
        <w:tblLook w:val="01E0" w:firstRow="1" w:lastRow="1" w:firstColumn="1" w:lastColumn="1" w:noHBand="0" w:noVBand="0"/>
      </w:tblPr>
      <w:tblGrid>
        <w:gridCol w:w="1228"/>
        <w:gridCol w:w="1418"/>
        <w:gridCol w:w="865"/>
        <w:gridCol w:w="1274"/>
        <w:gridCol w:w="1212"/>
        <w:gridCol w:w="1180"/>
        <w:gridCol w:w="1379"/>
      </w:tblGrid>
      <w:tr w:rsidR="00597834" w:rsidRPr="00F14CE5" w14:paraId="280E6AC8" w14:textId="77777777" w:rsidTr="007D4FDD">
        <w:trPr>
          <w:trHeight w:val="758"/>
        </w:trPr>
        <w:tc>
          <w:tcPr>
            <w:tcW w:w="1228" w:type="dxa"/>
            <w:tcBorders>
              <w:top w:val="single" w:sz="4" w:space="0" w:color="000000"/>
              <w:bottom w:val="single" w:sz="4" w:space="0" w:color="000000"/>
            </w:tcBorders>
          </w:tcPr>
          <w:p w14:paraId="56ADBDDA" w14:textId="77777777" w:rsidR="009F6A64" w:rsidRPr="00F14CE5" w:rsidRDefault="009F6A64" w:rsidP="009F6A64">
            <w:pPr>
              <w:ind w:left="182" w:right="320"/>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Source</w:t>
            </w:r>
          </w:p>
          <w:p w14:paraId="62592591" w14:textId="77777777" w:rsidR="009F6A64" w:rsidRPr="00F14CE5" w:rsidRDefault="009F6A64" w:rsidP="009F6A64">
            <w:pPr>
              <w:ind w:left="117" w:right="253" w:hanging="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6"/>
              </w:rPr>
              <w:t xml:space="preserve">of </w:t>
            </w:r>
            <w:r w:rsidRPr="00F14CE5">
              <w:rPr>
                <w:rFonts w:ascii="Times New Roman" w:eastAsia="Arial" w:hAnsi="Times New Roman" w:cs="Times New Roman"/>
                <w:color w:val="0D0D0D" w:themeColor="text1" w:themeTint="F2"/>
                <w:spacing w:val="-4"/>
              </w:rPr>
              <w:t>Variation</w:t>
            </w:r>
          </w:p>
        </w:tc>
        <w:tc>
          <w:tcPr>
            <w:tcW w:w="1418" w:type="dxa"/>
            <w:tcBorders>
              <w:top w:val="single" w:sz="4" w:space="0" w:color="000000"/>
              <w:bottom w:val="single" w:sz="4" w:space="0" w:color="000000"/>
            </w:tcBorders>
          </w:tcPr>
          <w:p w14:paraId="11030F8F" w14:textId="77777777" w:rsidR="009F6A64" w:rsidRPr="00F14CE5" w:rsidRDefault="009F6A64" w:rsidP="009F6A64">
            <w:pPr>
              <w:spacing w:before="4"/>
              <w:rPr>
                <w:rFonts w:ascii="Times New Roman" w:eastAsia="Arial" w:hAnsi="Times New Roman" w:cs="Times New Roman"/>
                <w:b/>
                <w:color w:val="0D0D0D" w:themeColor="text1" w:themeTint="F2"/>
                <w:sz w:val="20"/>
              </w:rPr>
            </w:pPr>
          </w:p>
          <w:p w14:paraId="3D78994C" w14:textId="77777777" w:rsidR="009F6A64" w:rsidRPr="00F14CE5" w:rsidRDefault="009F6A64" w:rsidP="009F6A64">
            <w:pPr>
              <w:ind w:left="255" w:right="337" w:firstLine="60"/>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 xml:space="preserve">Sum of </w:t>
            </w:r>
            <w:r w:rsidRPr="00F14CE5">
              <w:rPr>
                <w:rFonts w:ascii="Times New Roman" w:eastAsia="Arial" w:hAnsi="Times New Roman" w:cs="Times New Roman"/>
                <w:color w:val="0D0D0D" w:themeColor="text1" w:themeTint="F2"/>
                <w:spacing w:val="-2"/>
              </w:rPr>
              <w:t>Squares</w:t>
            </w:r>
          </w:p>
        </w:tc>
        <w:tc>
          <w:tcPr>
            <w:tcW w:w="865" w:type="dxa"/>
            <w:tcBorders>
              <w:top w:val="single" w:sz="4" w:space="0" w:color="000000"/>
              <w:bottom w:val="single" w:sz="4" w:space="0" w:color="000000"/>
            </w:tcBorders>
          </w:tcPr>
          <w:p w14:paraId="569DC2DD" w14:textId="77777777" w:rsidR="009F6A64" w:rsidRPr="00F14CE5" w:rsidRDefault="009F6A64" w:rsidP="009F6A64">
            <w:pPr>
              <w:rPr>
                <w:rFonts w:ascii="Times New Roman" w:eastAsia="Arial" w:hAnsi="Times New Roman" w:cs="Times New Roman"/>
                <w:b/>
                <w:color w:val="0D0D0D" w:themeColor="text1" w:themeTint="F2"/>
              </w:rPr>
            </w:pPr>
          </w:p>
          <w:p w14:paraId="7D497258" w14:textId="77777777" w:rsidR="009F6A64" w:rsidRPr="00F14CE5" w:rsidRDefault="009F6A64" w:rsidP="009F6A64">
            <w:pPr>
              <w:rPr>
                <w:rFonts w:ascii="Times New Roman" w:eastAsia="Arial" w:hAnsi="Times New Roman" w:cs="Times New Roman"/>
                <w:b/>
                <w:color w:val="0D0D0D" w:themeColor="text1" w:themeTint="F2"/>
                <w:sz w:val="20"/>
              </w:rPr>
            </w:pPr>
          </w:p>
          <w:p w14:paraId="05B4A6EA" w14:textId="77777777" w:rsidR="009F6A64" w:rsidRPr="00F14CE5" w:rsidRDefault="009F6A64" w:rsidP="009F6A64">
            <w:pPr>
              <w:spacing w:before="1"/>
              <w:ind w:right="305"/>
              <w:jc w:val="right"/>
              <w:rPr>
                <w:rFonts w:ascii="Times New Roman" w:eastAsia="Arial" w:hAnsi="Times New Roman" w:cs="Times New Roman"/>
                <w:color w:val="0D0D0D" w:themeColor="text1" w:themeTint="F2"/>
              </w:rPr>
            </w:pPr>
            <w:proofErr w:type="spellStart"/>
            <w:r w:rsidRPr="00F14CE5">
              <w:rPr>
                <w:rFonts w:ascii="Times New Roman" w:eastAsia="Arial" w:hAnsi="Times New Roman" w:cs="Times New Roman"/>
                <w:color w:val="0D0D0D" w:themeColor="text1" w:themeTint="F2"/>
                <w:spacing w:val="-5"/>
              </w:rPr>
              <w:t>df</w:t>
            </w:r>
            <w:proofErr w:type="spellEnd"/>
          </w:p>
        </w:tc>
        <w:tc>
          <w:tcPr>
            <w:tcW w:w="1274" w:type="dxa"/>
            <w:tcBorders>
              <w:top w:val="single" w:sz="4" w:space="0" w:color="000000"/>
              <w:bottom w:val="single" w:sz="4" w:space="0" w:color="000000"/>
            </w:tcBorders>
          </w:tcPr>
          <w:p w14:paraId="7E7405BE" w14:textId="77777777" w:rsidR="009F6A64" w:rsidRPr="00F14CE5" w:rsidRDefault="009F6A64" w:rsidP="009F6A64">
            <w:pPr>
              <w:spacing w:before="4"/>
              <w:rPr>
                <w:rFonts w:ascii="Times New Roman" w:eastAsia="Arial" w:hAnsi="Times New Roman" w:cs="Times New Roman"/>
                <w:b/>
                <w:color w:val="0D0D0D" w:themeColor="text1" w:themeTint="F2"/>
                <w:sz w:val="20"/>
              </w:rPr>
            </w:pPr>
          </w:p>
          <w:p w14:paraId="440D46B4" w14:textId="77777777" w:rsidR="009F6A64" w:rsidRPr="00F14CE5" w:rsidRDefault="009F6A64" w:rsidP="009F6A64">
            <w:pPr>
              <w:ind w:left="279" w:right="277" w:firstLine="79"/>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 xml:space="preserve">Mean </w:t>
            </w:r>
            <w:r w:rsidRPr="00F14CE5">
              <w:rPr>
                <w:rFonts w:ascii="Times New Roman" w:eastAsia="Arial" w:hAnsi="Times New Roman" w:cs="Times New Roman"/>
                <w:color w:val="0D0D0D" w:themeColor="text1" w:themeTint="F2"/>
                <w:spacing w:val="-2"/>
              </w:rPr>
              <w:t>Square</w:t>
            </w:r>
          </w:p>
        </w:tc>
        <w:tc>
          <w:tcPr>
            <w:tcW w:w="1212" w:type="dxa"/>
            <w:tcBorders>
              <w:top w:val="single" w:sz="4" w:space="0" w:color="000000"/>
              <w:bottom w:val="single" w:sz="4" w:space="0" w:color="000000"/>
            </w:tcBorders>
          </w:tcPr>
          <w:p w14:paraId="4C5E4AD2" w14:textId="77777777" w:rsidR="009F6A64" w:rsidRPr="00F14CE5" w:rsidRDefault="009F6A64" w:rsidP="009F6A64">
            <w:pPr>
              <w:spacing w:before="10"/>
              <w:rPr>
                <w:rFonts w:ascii="Times New Roman" w:eastAsia="Arial" w:hAnsi="Times New Roman" w:cs="Times New Roman"/>
                <w:b/>
                <w:color w:val="0D0D0D" w:themeColor="text1" w:themeTint="F2"/>
              </w:rPr>
            </w:pPr>
          </w:p>
          <w:p w14:paraId="5869358D" w14:textId="77777777" w:rsidR="009F6A64" w:rsidRPr="00F14CE5" w:rsidRDefault="009F6A64" w:rsidP="009F6A64">
            <w:pPr>
              <w:ind w:left="275" w:right="248"/>
              <w:jc w:val="center"/>
              <w:rPr>
                <w:rFonts w:ascii="Times New Roman" w:eastAsia="Arial" w:hAnsi="Times New Roman" w:cs="Times New Roman"/>
                <w:color w:val="0D0D0D" w:themeColor="text1" w:themeTint="F2"/>
                <w:sz w:val="20"/>
              </w:rPr>
            </w:pPr>
            <w:r w:rsidRPr="00F14CE5">
              <w:rPr>
                <w:rFonts w:ascii="Times New Roman" w:eastAsia="Arial" w:hAnsi="Times New Roman" w:cs="Times New Roman"/>
                <w:color w:val="0D0D0D" w:themeColor="text1" w:themeTint="F2"/>
                <w:w w:val="95"/>
                <w:sz w:val="20"/>
              </w:rPr>
              <w:t>F-</w:t>
            </w:r>
            <w:r w:rsidRPr="00F14CE5">
              <w:rPr>
                <w:rFonts w:ascii="Times New Roman" w:eastAsia="Arial" w:hAnsi="Times New Roman" w:cs="Times New Roman"/>
                <w:color w:val="0D0D0D" w:themeColor="text1" w:themeTint="F2"/>
                <w:spacing w:val="-2"/>
                <w:sz w:val="20"/>
              </w:rPr>
              <w:t>value</w:t>
            </w:r>
          </w:p>
        </w:tc>
        <w:tc>
          <w:tcPr>
            <w:tcW w:w="1180" w:type="dxa"/>
            <w:tcBorders>
              <w:top w:val="single" w:sz="4" w:space="0" w:color="000000"/>
              <w:bottom w:val="single" w:sz="4" w:space="0" w:color="000000"/>
            </w:tcBorders>
          </w:tcPr>
          <w:p w14:paraId="57384534" w14:textId="77777777" w:rsidR="009F6A64" w:rsidRPr="00F14CE5" w:rsidRDefault="009F6A64" w:rsidP="009F6A64">
            <w:pPr>
              <w:spacing w:before="1"/>
              <w:rPr>
                <w:rFonts w:ascii="Times New Roman" w:eastAsia="Arial" w:hAnsi="Times New Roman" w:cs="Times New Roman"/>
                <w:b/>
                <w:color w:val="0D0D0D" w:themeColor="text1" w:themeTint="F2"/>
              </w:rPr>
            </w:pPr>
          </w:p>
          <w:p w14:paraId="24C3B3B5" w14:textId="77777777" w:rsidR="009F6A64" w:rsidRPr="00F14CE5" w:rsidRDefault="009F6A64" w:rsidP="009F6A64">
            <w:pPr>
              <w:ind w:left="250" w:right="181"/>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p-value</w:t>
            </w:r>
          </w:p>
        </w:tc>
        <w:tc>
          <w:tcPr>
            <w:tcW w:w="1379" w:type="dxa"/>
            <w:tcBorders>
              <w:top w:val="single" w:sz="4" w:space="0" w:color="000000"/>
              <w:bottom w:val="single" w:sz="4" w:space="0" w:color="000000"/>
            </w:tcBorders>
          </w:tcPr>
          <w:p w14:paraId="02D1FC1A" w14:textId="77777777" w:rsidR="009F6A64" w:rsidRPr="00F14CE5" w:rsidRDefault="009F6A64" w:rsidP="009F6A64">
            <w:pPr>
              <w:spacing w:before="1"/>
              <w:rPr>
                <w:rFonts w:ascii="Times New Roman" w:eastAsia="Arial" w:hAnsi="Times New Roman" w:cs="Times New Roman"/>
                <w:b/>
                <w:color w:val="0D0D0D" w:themeColor="text1" w:themeTint="F2"/>
                <w:sz w:val="21"/>
              </w:rPr>
            </w:pPr>
          </w:p>
          <w:p w14:paraId="4CC120A6" w14:textId="77777777" w:rsidR="009F6A64" w:rsidRPr="00F14CE5" w:rsidRDefault="009F6A64" w:rsidP="009F6A64">
            <w:pPr>
              <w:ind w:left="226"/>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Remarks</w:t>
            </w:r>
          </w:p>
        </w:tc>
      </w:tr>
      <w:tr w:rsidR="00597834" w:rsidRPr="00F14CE5" w14:paraId="2D41936F" w14:textId="77777777" w:rsidTr="007D4FDD">
        <w:trPr>
          <w:trHeight w:val="615"/>
        </w:trPr>
        <w:tc>
          <w:tcPr>
            <w:tcW w:w="1228" w:type="dxa"/>
            <w:tcBorders>
              <w:top w:val="single" w:sz="4" w:space="0" w:color="000000"/>
            </w:tcBorders>
          </w:tcPr>
          <w:p w14:paraId="4C234968" w14:textId="77777777" w:rsidR="009F6A64" w:rsidRPr="00F14CE5" w:rsidRDefault="009F6A64" w:rsidP="009F6A64">
            <w:pPr>
              <w:spacing w:before="72"/>
              <w:ind w:left="182" w:right="251" w:hanging="6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Between Groups</w:t>
            </w:r>
          </w:p>
        </w:tc>
        <w:tc>
          <w:tcPr>
            <w:tcW w:w="1418" w:type="dxa"/>
            <w:tcBorders>
              <w:top w:val="single" w:sz="4" w:space="0" w:color="000000"/>
            </w:tcBorders>
          </w:tcPr>
          <w:p w14:paraId="00C3F0F4" w14:textId="77777777" w:rsidR="009F6A64" w:rsidRPr="00F14CE5" w:rsidRDefault="009F6A64" w:rsidP="009F6A64">
            <w:pPr>
              <w:spacing w:before="2"/>
              <w:ind w:left="329"/>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77.551</w:t>
            </w:r>
          </w:p>
        </w:tc>
        <w:tc>
          <w:tcPr>
            <w:tcW w:w="865" w:type="dxa"/>
            <w:tcBorders>
              <w:top w:val="single" w:sz="4" w:space="0" w:color="000000"/>
            </w:tcBorders>
          </w:tcPr>
          <w:p w14:paraId="77FF6FC4" w14:textId="77777777" w:rsidR="009F6A64" w:rsidRPr="00F14CE5" w:rsidRDefault="009F6A64" w:rsidP="009F6A64">
            <w:pPr>
              <w:spacing w:before="2"/>
              <w:ind w:right="335"/>
              <w:jc w:val="right"/>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3</w:t>
            </w:r>
          </w:p>
        </w:tc>
        <w:tc>
          <w:tcPr>
            <w:tcW w:w="1274" w:type="dxa"/>
            <w:tcBorders>
              <w:top w:val="single" w:sz="4" w:space="0" w:color="000000"/>
            </w:tcBorders>
          </w:tcPr>
          <w:p w14:paraId="1D6FBC13" w14:textId="77777777" w:rsidR="009F6A64" w:rsidRPr="00F14CE5" w:rsidRDefault="009F6A64" w:rsidP="009F6A64">
            <w:pPr>
              <w:spacing w:before="2"/>
              <w:ind w:left="29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25.850</w:t>
            </w:r>
          </w:p>
        </w:tc>
        <w:tc>
          <w:tcPr>
            <w:tcW w:w="1212" w:type="dxa"/>
            <w:tcBorders>
              <w:top w:val="single" w:sz="4" w:space="0" w:color="000000"/>
            </w:tcBorders>
          </w:tcPr>
          <w:p w14:paraId="628EEC4F" w14:textId="77777777" w:rsidR="009F6A64" w:rsidRPr="00F14CE5" w:rsidRDefault="009F6A64" w:rsidP="009F6A64">
            <w:pPr>
              <w:spacing w:before="2"/>
              <w:ind w:left="275" w:right="241"/>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1.445</w:t>
            </w:r>
          </w:p>
        </w:tc>
        <w:tc>
          <w:tcPr>
            <w:tcW w:w="1180" w:type="dxa"/>
            <w:tcBorders>
              <w:top w:val="single" w:sz="4" w:space="0" w:color="000000"/>
            </w:tcBorders>
          </w:tcPr>
          <w:p w14:paraId="200C7083" w14:textId="77777777" w:rsidR="009F6A64" w:rsidRPr="00F14CE5" w:rsidRDefault="009F6A64" w:rsidP="009F6A64">
            <w:pPr>
              <w:spacing w:before="2"/>
              <w:ind w:left="250" w:right="179"/>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0.242</w:t>
            </w:r>
          </w:p>
        </w:tc>
        <w:tc>
          <w:tcPr>
            <w:tcW w:w="1379" w:type="dxa"/>
            <w:tcBorders>
              <w:top w:val="single" w:sz="4" w:space="0" w:color="000000"/>
            </w:tcBorders>
          </w:tcPr>
          <w:p w14:paraId="184514F4" w14:textId="77777777" w:rsidR="009F6A64" w:rsidRPr="00F14CE5" w:rsidRDefault="009F6A64" w:rsidP="009F6A64">
            <w:pPr>
              <w:spacing w:before="72"/>
              <w:ind w:left="197" w:firstLine="336"/>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 xml:space="preserve">Not </w:t>
            </w:r>
            <w:r w:rsidRPr="00F14CE5">
              <w:rPr>
                <w:rFonts w:ascii="Times New Roman" w:eastAsia="Arial" w:hAnsi="Times New Roman" w:cs="Times New Roman"/>
                <w:color w:val="0D0D0D" w:themeColor="text1" w:themeTint="F2"/>
                <w:spacing w:val="-2"/>
              </w:rPr>
              <w:t>Significant</w:t>
            </w:r>
          </w:p>
        </w:tc>
      </w:tr>
      <w:tr w:rsidR="00597834" w:rsidRPr="00F14CE5" w14:paraId="697D5EF8" w14:textId="77777777" w:rsidTr="007D4FDD">
        <w:trPr>
          <w:trHeight w:val="895"/>
        </w:trPr>
        <w:tc>
          <w:tcPr>
            <w:tcW w:w="1228" w:type="dxa"/>
            <w:tcBorders>
              <w:bottom w:val="single" w:sz="4" w:space="0" w:color="000000"/>
            </w:tcBorders>
          </w:tcPr>
          <w:p w14:paraId="47C1C50B" w14:textId="77777777" w:rsidR="009F6A64" w:rsidRPr="00F14CE5" w:rsidRDefault="009F6A64" w:rsidP="009F6A64">
            <w:pPr>
              <w:spacing w:before="32"/>
              <w:ind w:left="182" w:right="318" w:hanging="2"/>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Within Groups Total</w:t>
            </w:r>
          </w:p>
        </w:tc>
        <w:tc>
          <w:tcPr>
            <w:tcW w:w="1418" w:type="dxa"/>
            <w:tcBorders>
              <w:bottom w:val="single" w:sz="4" w:space="0" w:color="000000"/>
            </w:tcBorders>
          </w:tcPr>
          <w:p w14:paraId="6FB107EB" w14:textId="77777777" w:rsidR="009F6A64" w:rsidRPr="00F14CE5" w:rsidRDefault="009F6A64" w:rsidP="009F6A64">
            <w:pPr>
              <w:spacing w:before="32"/>
              <w:ind w:left="26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823.029</w:t>
            </w:r>
          </w:p>
          <w:p w14:paraId="7589A2CD" w14:textId="77777777" w:rsidR="009F6A64" w:rsidRPr="00F14CE5" w:rsidRDefault="009F6A64" w:rsidP="009F6A64">
            <w:pPr>
              <w:rPr>
                <w:rFonts w:ascii="Times New Roman" w:eastAsia="Arial" w:hAnsi="Times New Roman" w:cs="Times New Roman"/>
                <w:b/>
                <w:color w:val="0D0D0D" w:themeColor="text1" w:themeTint="F2"/>
              </w:rPr>
            </w:pPr>
          </w:p>
          <w:p w14:paraId="3C3789FC" w14:textId="77777777" w:rsidR="009F6A64" w:rsidRPr="00F14CE5" w:rsidRDefault="009F6A64" w:rsidP="009F6A64">
            <w:pPr>
              <w:ind w:left="26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900.580</w:t>
            </w:r>
          </w:p>
        </w:tc>
        <w:tc>
          <w:tcPr>
            <w:tcW w:w="865" w:type="dxa"/>
            <w:tcBorders>
              <w:bottom w:val="single" w:sz="4" w:space="0" w:color="000000"/>
            </w:tcBorders>
          </w:tcPr>
          <w:p w14:paraId="39B55799" w14:textId="77777777" w:rsidR="009F6A64" w:rsidRPr="00F14CE5" w:rsidRDefault="009F6A64" w:rsidP="009F6A64">
            <w:pPr>
              <w:spacing w:before="32"/>
              <w:ind w:left="34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5"/>
              </w:rPr>
              <w:t>46</w:t>
            </w:r>
          </w:p>
          <w:p w14:paraId="7CEE5442" w14:textId="77777777" w:rsidR="009F6A64" w:rsidRPr="00F14CE5" w:rsidRDefault="009F6A64" w:rsidP="009F6A64">
            <w:pPr>
              <w:rPr>
                <w:rFonts w:ascii="Times New Roman" w:eastAsia="Arial" w:hAnsi="Times New Roman" w:cs="Times New Roman"/>
                <w:b/>
                <w:color w:val="0D0D0D" w:themeColor="text1" w:themeTint="F2"/>
              </w:rPr>
            </w:pPr>
          </w:p>
          <w:p w14:paraId="5E235359" w14:textId="77777777" w:rsidR="009F6A64" w:rsidRPr="00F14CE5" w:rsidRDefault="009F6A64" w:rsidP="009F6A64">
            <w:pPr>
              <w:ind w:left="34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5"/>
              </w:rPr>
              <w:t>49</w:t>
            </w:r>
          </w:p>
        </w:tc>
        <w:tc>
          <w:tcPr>
            <w:tcW w:w="1274" w:type="dxa"/>
            <w:tcBorders>
              <w:bottom w:val="single" w:sz="4" w:space="0" w:color="000000"/>
            </w:tcBorders>
          </w:tcPr>
          <w:p w14:paraId="0C41626A" w14:textId="77777777" w:rsidR="009F6A64" w:rsidRPr="00F14CE5" w:rsidRDefault="009F6A64" w:rsidP="009F6A64">
            <w:pPr>
              <w:spacing w:before="32"/>
              <w:ind w:left="29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17.892</w:t>
            </w:r>
          </w:p>
        </w:tc>
        <w:tc>
          <w:tcPr>
            <w:tcW w:w="1212" w:type="dxa"/>
            <w:tcBorders>
              <w:bottom w:val="single" w:sz="4" w:space="0" w:color="000000"/>
            </w:tcBorders>
          </w:tcPr>
          <w:p w14:paraId="43693142" w14:textId="77777777" w:rsidR="009F6A64" w:rsidRPr="00F14CE5" w:rsidRDefault="009F6A64" w:rsidP="009F6A64">
            <w:pPr>
              <w:rPr>
                <w:rFonts w:ascii="Times New Roman" w:eastAsia="Arial" w:hAnsi="Times New Roman" w:cs="Times New Roman"/>
                <w:color w:val="0D0D0D" w:themeColor="text1" w:themeTint="F2"/>
              </w:rPr>
            </w:pPr>
          </w:p>
        </w:tc>
        <w:tc>
          <w:tcPr>
            <w:tcW w:w="1180" w:type="dxa"/>
            <w:tcBorders>
              <w:bottom w:val="single" w:sz="4" w:space="0" w:color="000000"/>
            </w:tcBorders>
          </w:tcPr>
          <w:p w14:paraId="35938605" w14:textId="77777777" w:rsidR="009F6A64" w:rsidRPr="00F14CE5" w:rsidRDefault="009F6A64" w:rsidP="009F6A64">
            <w:pPr>
              <w:rPr>
                <w:rFonts w:ascii="Times New Roman" w:eastAsia="Arial" w:hAnsi="Times New Roman" w:cs="Times New Roman"/>
                <w:color w:val="0D0D0D" w:themeColor="text1" w:themeTint="F2"/>
              </w:rPr>
            </w:pPr>
          </w:p>
        </w:tc>
        <w:tc>
          <w:tcPr>
            <w:tcW w:w="1379" w:type="dxa"/>
            <w:tcBorders>
              <w:bottom w:val="single" w:sz="4" w:space="0" w:color="000000"/>
            </w:tcBorders>
          </w:tcPr>
          <w:p w14:paraId="77894DDF" w14:textId="77777777" w:rsidR="009F6A64" w:rsidRPr="00F14CE5" w:rsidRDefault="009F6A64" w:rsidP="009F6A64">
            <w:pPr>
              <w:rPr>
                <w:rFonts w:ascii="Times New Roman" w:eastAsia="Arial" w:hAnsi="Times New Roman" w:cs="Times New Roman"/>
                <w:color w:val="0D0D0D" w:themeColor="text1" w:themeTint="F2"/>
              </w:rPr>
            </w:pPr>
          </w:p>
        </w:tc>
      </w:tr>
    </w:tbl>
    <w:p w14:paraId="09B12CC9" w14:textId="77777777" w:rsidR="009F6A64" w:rsidRPr="00F14CE5" w:rsidRDefault="009F6A64" w:rsidP="009F6A64">
      <w:pPr>
        <w:widowControl w:val="0"/>
        <w:autoSpaceDE w:val="0"/>
        <w:autoSpaceDN w:val="0"/>
        <w:spacing w:after="0" w:line="240" w:lineRule="auto"/>
        <w:ind w:left="680"/>
        <w:jc w:val="both"/>
        <w:rPr>
          <w:rFonts w:ascii="Times New Roman" w:eastAsia="Arial" w:hAnsi="Times New Roman" w:cs="Times New Roman"/>
          <w:color w:val="0D0D0D" w:themeColor="text1" w:themeTint="F2"/>
          <w:spacing w:val="-2"/>
          <w:sz w:val="18"/>
          <w:lang w:val="en-US"/>
        </w:rPr>
      </w:pPr>
      <w:r w:rsidRPr="00F14CE5">
        <w:rPr>
          <w:rFonts w:ascii="Times New Roman" w:eastAsia="Arial" w:hAnsi="Times New Roman" w:cs="Times New Roman"/>
          <w:color w:val="0D0D0D" w:themeColor="text1" w:themeTint="F2"/>
          <w:sz w:val="18"/>
          <w:lang w:val="en-US"/>
        </w:rPr>
        <w:t>*significant</w:t>
      </w:r>
      <w:r w:rsidRPr="00F14CE5">
        <w:rPr>
          <w:rFonts w:ascii="Times New Roman" w:eastAsia="Arial" w:hAnsi="Times New Roman" w:cs="Times New Roman"/>
          <w:color w:val="0D0D0D" w:themeColor="text1" w:themeTint="F2"/>
          <w:spacing w:val="-4"/>
          <w:sz w:val="18"/>
          <w:lang w:val="en-US"/>
        </w:rPr>
        <w:t xml:space="preserve"> </w:t>
      </w:r>
      <w:r w:rsidRPr="00F14CE5">
        <w:rPr>
          <w:rFonts w:ascii="Times New Roman" w:eastAsia="Arial" w:hAnsi="Times New Roman" w:cs="Times New Roman"/>
          <w:color w:val="0D0D0D" w:themeColor="text1" w:themeTint="F2"/>
          <w:sz w:val="18"/>
          <w:lang w:val="en-US"/>
        </w:rPr>
        <w:t>at</w:t>
      </w:r>
      <w:r w:rsidRPr="00F14CE5">
        <w:rPr>
          <w:rFonts w:ascii="Times New Roman" w:eastAsia="Arial" w:hAnsi="Times New Roman" w:cs="Times New Roman"/>
          <w:color w:val="0D0D0D" w:themeColor="text1" w:themeTint="F2"/>
          <w:spacing w:val="-2"/>
          <w:sz w:val="18"/>
          <w:lang w:val="en-US"/>
        </w:rPr>
        <w:t xml:space="preserve"> p&lt;0.05</w:t>
      </w:r>
    </w:p>
    <w:p w14:paraId="1CBF843D" w14:textId="5E554371" w:rsidR="00DA02F8" w:rsidRPr="00F14CE5" w:rsidRDefault="00DA02F8" w:rsidP="00DA02F8">
      <w:pPr>
        <w:widowControl w:val="0"/>
        <w:autoSpaceDE w:val="0"/>
        <w:autoSpaceDN w:val="0"/>
        <w:spacing w:before="159"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As shown in Table 11, the F-value computed stands at 1.445, with its corresponding p-value being 0.242. Since the p-value is above 0.05 level of significance, the null hypothesis is not rejected which shows that there is no statistically significant difference between the different age groups of the respondents in terms of perception. This implied that age does not affect how pre-service teachers perceive the role of BTVTED program in nurturing important teaching competencies. </w:t>
      </w:r>
    </w:p>
    <w:p w14:paraId="6A2AC268" w14:textId="5D96072F" w:rsidR="00DA02F8" w:rsidRPr="00F14CE5" w:rsidRDefault="00DA02F8" w:rsidP="00DA02F8">
      <w:pPr>
        <w:spacing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The non-significant difference in perceptions across age groups, therefore, meant that age does not affect how pre-service teachers evaluate the BTVTED program’s effectiveness. This is in part because of standardized coursework, practicum experiences, and pedagogical training that leads to a certain consensus about the program’s role in professional preparation. </w:t>
      </w:r>
    </w:p>
    <w:p w14:paraId="6B198BB6" w14:textId="09AF2E9A" w:rsidR="009F6A64" w:rsidRPr="00F14CE5" w:rsidRDefault="009F6A64" w:rsidP="00DA02F8">
      <w:pPr>
        <w:spacing w:line="240" w:lineRule="auto"/>
        <w:ind w:right="-7" w:firstLine="68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 xml:space="preserve">Moreover, </w:t>
      </w:r>
      <w:r w:rsidR="00DA02F8" w:rsidRPr="00F14CE5">
        <w:rPr>
          <w:rFonts w:ascii="Times New Roman" w:hAnsi="Times New Roman" w:cs="Times New Roman"/>
          <w:color w:val="0D0D0D" w:themeColor="text1" w:themeTint="F2"/>
          <w:kern w:val="2"/>
          <w:sz w:val="24"/>
          <w:szCs w:val="24"/>
        </w:rPr>
        <w:t xml:space="preserve">the lack of variation by age indicates that the program offers instructional quality and stimulates competency development among respondents despite their age. This calls for the use of standardized curricula and training to ensure that there is a uniformity of learning outcomes. Supporting this, </w:t>
      </w:r>
      <w:r w:rsidRPr="00F14CE5">
        <w:rPr>
          <w:rFonts w:ascii="Times New Roman" w:hAnsi="Times New Roman" w:cs="Times New Roman"/>
          <w:color w:val="0D0D0D" w:themeColor="text1" w:themeTint="F2"/>
          <w:kern w:val="2"/>
          <w:sz w:val="24"/>
          <w:szCs w:val="24"/>
        </w:rPr>
        <w:fldChar w:fldCharType="begin"/>
      </w:r>
      <w:r w:rsidR="007D4FDD" w:rsidRPr="00F14CE5">
        <w:rPr>
          <w:rFonts w:ascii="Times New Roman" w:hAnsi="Times New Roman" w:cs="Times New Roman"/>
          <w:color w:val="0D0D0D" w:themeColor="text1" w:themeTint="F2"/>
          <w:kern w:val="2"/>
          <w:sz w:val="24"/>
          <w:szCs w:val="24"/>
        </w:rPr>
        <w:instrText xml:space="preserve"> ADDIN ZOTERO_ITEM CSL_CITATION {"citationID":"M9EWZbVL","properties":{"unsorted":false,"formattedCitation":"(Vallente et al., 2025)","plainCitation":"(Vallente et al., 2025)","noteIndex":0},"citationItems":[{"id":"i2yCDwO7/6FjD9Kr7","uris":["http://zotero.org/users/local/3HGLAaLg/items/C66JCWCU"],"itemData":{"id":62,"type":"article-journal","abstract":"The Philippine Professional Standards for Teachers (PPST) is a nationally recognized framework for teacher quality. Yet, its use in assessing pre-service teachers' competencies remains limited, especially in teacher education institutions. This study sought to address that gap by evaluating the competencies of pre-service teachers at Initao College in both classroom and non-classroom settings and by determining whether significant differences exist across gender, age, and grade level. A quantitative-comparative research design was employed, utilizing cluster sampling to select 34 pre-service teachers and their Cooperating Teachers at Initao Central School. Instructional competencies were measured using validated PPST-aligned instruments: the Classroom Observable Indicators (COI) Evaluation Form and the Non-Classroom Observable Indicators (NCOI) Self-Reflection Form. Statistical analyses included the Mann-Whitney U Test for gender comparisons, the One-Way ANOVA for age and grade comparisons, and the Wilcoxon Signed-Rank Test for COI and NCOI ratings. Results revealed that pre-service teachers demonstrated high competency levels in both COI and NCOI, with classroom indicators rated slightly higher. No significant differences in competency levels were found based on gender, age, or grade level handled, leading to the acceptance of the null hypotheses. However, a statistically significant difference was observed between COI and NCOI, suggesting that pre-service teachers perform more strongly in classroom settings than in professional or reflective practices. In response to the findings, the GROW-TEACH program (Guided Reflection and Orientation for Wholistic Teacher Competency) was developed to prepare pre-service teachers holistically. Grounded in the PPST, it aims to bridge theory and practice by enhancing instructional competence and professional behavior through guided reflection and structured orientation, fostering the skills, values, and dispositions needed for today’s diverse classrooms.","container-title":"Journal of Interdisciplinary Perspectives","DOI":"10.69569/jip.2025.520","ISSN":"2984-8385","issue":"11","language":"en","license":"Copyright (c) 2025 Journal of Interdisciplinary Perspectives","page":"169-179","source":"jippublication.com","title":"Bridging Competency Gaps: A PPST-Aligned Assessment of Pre-Service Teachers at Initao College","title-short":"Bridging Competency Gaps","volume":"3","author":[{"family":"Vallente","given":"Junrey"},{"family":"Macalong","given":"Jammie"},{"family":"Gaid","given":"Cristhel Cate"},{"family":"Paderog","given":"Sarah Unice"},{"family":"Ganat","given":"Sittie Aisha"},{"family":"Villarin","given":"Sydney Jay"},{"family":"Gapol","given":"Terence Katherine Stephanie"}],"issued":{"date-parts":[["2025",10,27]]}}}],"schema":"https://github.com/citation-style-language/schema/raw/master/csl-citation.json"}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(Vallente et al.,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spacing w:val="-8"/>
          <w:kern w:val="2"/>
          <w:sz w:val="24"/>
          <w:szCs w:val="24"/>
        </w:rPr>
        <w:t xml:space="preserve"> </w:t>
      </w:r>
      <w:r w:rsidR="00DA02F8" w:rsidRPr="00F14CE5">
        <w:rPr>
          <w:rFonts w:ascii="Times New Roman" w:hAnsi="Times New Roman" w:cs="Times New Roman"/>
          <w:color w:val="0D0D0D" w:themeColor="text1" w:themeTint="F2"/>
          <w:kern w:val="2"/>
          <w:sz w:val="24"/>
          <w:szCs w:val="24"/>
        </w:rPr>
        <w:t>found no significant variations between the competencies and age of the Philippine pre-service teachers, and</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007D4FDD" w:rsidRPr="00F14CE5">
        <w:rPr>
          <w:rFonts w:ascii="Times New Roman" w:hAnsi="Times New Roman" w:cs="Times New Roman"/>
          <w:color w:val="0D0D0D" w:themeColor="text1" w:themeTint="F2"/>
          <w:kern w:val="2"/>
          <w:sz w:val="24"/>
          <w:szCs w:val="24"/>
        </w:rPr>
        <w:instrText xml:space="preserve"> ADDIN ZOTERO_ITEM CSL_CITATION {"citationID":"XbGsVDmZ","properties":{"unsorted":false,"formattedCitation":"(Rubio &amp; Saenz, 2023)","plainCitation":"(Rubio &amp; Saenz, 2023)","noteIndex":0},"citationItems":[{"id":"i2yCDwO7/8tQ0M1Ck","uris":["http://zotero.org/users/local/3HGLAaLg/items/SAQ38HIJ"],"itemData":{"id":64,"type":"article-journal","abstract":"This study aimed to describe the level of competence of pre-service teachers of Camarines Norte State College College of Education in terms of the Philippine Professional Standards for Teachers (PPST) and the significant relationship between their academic performance and level of competence. &amp;nbsp;The study employed the descriptive-correlational research design. &amp;nbsp;Data used in this study came from a survey of BSEd and BEEd pre-service teachers (n=125) and cooperating teachers (n=125) in Camarines Norte, Philippines. &amp;nbsp;A questionnaire consisting of the specific indicators of the PPST was the main data-gathering instrument.&amp;nbsp;&amp;nbsp;The study revealed that the pre-service teachers had an advanced level of competence in Content Knowledge and Pedagogy, Learning Environment, Curriculum and Planning, Community Linkages and Professional Engagement, Personal Growth and Professional Development, and above average level of competence along Diversity of Learners and Assessment and Reporting domains of the PPST.&amp;nbsp;Policies and programs were proposed to improve the level of competence of the pre-service teachers.","container-title":"The Quest: Journal of Multidisciplinary Research and Development","DOI":"10.60008/thequest.v2i2.78","ISSN":"1908-3211","issue":"2","language":"en","license":"Copyright (c) 2023 The QUEST: Journal of Multidisciplinary Research and Development","source":"neust.journalintellect.com","title":"Pre-Service Teacher Competence in a Teacher Education Institution","URL":"https://neust.journalintellect.com/quest","volume":"2","author":[{"family":"Rubio","given":"Jennifer"},{"family":"Saenz","given":"Consuelo"}],"accessed":{"date-parts":[["2026",4,2]]},"issued":{"date-parts":[["2023",12,30]]}}}],"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(Rubio &amp; Saenz, 2023)</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DA02F8" w:rsidRPr="00F14CE5">
        <w:rPr>
          <w:rFonts w:ascii="Times New Roman" w:hAnsi="Times New Roman" w:cs="Times New Roman"/>
          <w:color w:val="0D0D0D" w:themeColor="text1" w:themeTint="F2"/>
          <w:kern w:val="2"/>
          <w:sz w:val="24"/>
          <w:szCs w:val="24"/>
        </w:rPr>
        <w:t>noted consistently high competencies among all demographic groups, thus supporting standardized teacher education programs.</w:t>
      </w:r>
    </w:p>
    <w:p w14:paraId="4E11A39A" w14:textId="1B913725" w:rsidR="009F6A64" w:rsidRPr="00F14CE5" w:rsidRDefault="007D4FDD" w:rsidP="007D4FDD">
      <w:pPr>
        <w:spacing w:line="240" w:lineRule="auto"/>
        <w:ind w:right="-7"/>
        <w:jc w:val="both"/>
        <w:rPr>
          <w:rFonts w:ascii="Times New Roman" w:hAnsi="Times New Roman" w:cs="Times New Roman"/>
          <w:b/>
          <w:bCs/>
          <w:color w:val="0D0D0D" w:themeColor="text1" w:themeTint="F2"/>
          <w:kern w:val="2"/>
          <w:sz w:val="24"/>
          <w:szCs w:val="24"/>
        </w:rPr>
      </w:pPr>
      <w:r w:rsidRPr="00F14CE5">
        <w:rPr>
          <w:rFonts w:ascii="Times New Roman" w:hAnsi="Times New Roman" w:cs="Times New Roman"/>
          <w:b/>
          <w:bCs/>
          <w:color w:val="0D0D0D" w:themeColor="text1" w:themeTint="F2"/>
          <w:kern w:val="2"/>
          <w:sz w:val="24"/>
          <w:szCs w:val="24"/>
        </w:rPr>
        <w:t xml:space="preserve">Table 12: </w:t>
      </w:r>
      <w:r w:rsidRPr="00F14CE5">
        <w:rPr>
          <w:rFonts w:ascii="Times New Roman" w:eastAsia="Times New Roman" w:hAnsi="Times New Roman" w:cs="Times New Roman"/>
          <w:b/>
          <w:bCs/>
          <w:iCs/>
          <w:color w:val="0D0D0D" w:themeColor="text1" w:themeTint="F2"/>
          <w:kern w:val="2"/>
          <w:sz w:val="24"/>
          <w:szCs w:val="24"/>
        </w:rPr>
        <w:t>Difference i</w:t>
      </w:r>
      <w:r w:rsidRPr="00F14CE5">
        <w:rPr>
          <w:rFonts w:ascii="Times New Roman" w:eastAsia="Arial" w:hAnsi="Times New Roman" w:cs="Times New Roman"/>
          <w:b/>
          <w:bCs/>
          <w:color w:val="0D0D0D" w:themeColor="text1" w:themeTint="F2"/>
          <w:kern w:val="2"/>
          <w:sz w:val="24"/>
          <w:szCs w:val="24"/>
        </w:rPr>
        <w:t>n the Perceptions of Pre-Service Teachers on the Role of BTVTED Program in Equipping Pre-Service Teachers with Competencies Necessary for Basic Education When Grouped According to Gender</w:t>
      </w:r>
      <w:r w:rsidRPr="00F14CE5">
        <w:rPr>
          <w:rFonts w:ascii="Times New Roman" w:hAnsi="Times New Roman" w:cs="Times New Roman"/>
          <w:b/>
          <w:bCs/>
          <w:color w:val="0D0D0D" w:themeColor="text1" w:themeTint="F2"/>
          <w:kern w:val="2"/>
          <w:sz w:val="24"/>
          <w:szCs w:val="24"/>
        </w:rPr>
        <w:t xml:space="preserve"> </w:t>
      </w:r>
    </w:p>
    <w:p w14:paraId="09AC5DA9" w14:textId="77777777" w:rsidR="007D4FDD" w:rsidRPr="00F14CE5" w:rsidRDefault="009F6A64" w:rsidP="009F6A64">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lastRenderedPageBreak/>
        <w:t xml:space="preserve">This section examined whether significant differences exist in the perceptions of pre-service teachers on the effectiveness of the BTVTED program in developing competencies for basic education when grouped according to gender. It also highlights the importance of identifying gender-based differences in evaluating program effectiveness. </w:t>
      </w:r>
    </w:p>
    <w:p w14:paraId="15BE26BC" w14:textId="2CFD3A25" w:rsidR="009F6A64" w:rsidRPr="00F14CE5" w:rsidRDefault="009F6A64" w:rsidP="009F6A64">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The results of the Independent Samples t-test are presented in Table 12.</w:t>
      </w:r>
    </w:p>
    <w:tbl>
      <w:tblPr>
        <w:tblpPr w:leftFromText="180" w:rightFromText="180" w:vertAnchor="text" w:horzAnchor="margin" w:tblpXSpec="center" w:tblpY="23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770"/>
        <w:gridCol w:w="1137"/>
        <w:gridCol w:w="1228"/>
        <w:gridCol w:w="1232"/>
        <w:gridCol w:w="850"/>
        <w:gridCol w:w="1081"/>
        <w:gridCol w:w="1276"/>
      </w:tblGrid>
      <w:tr w:rsidR="00597834" w:rsidRPr="00F14CE5" w14:paraId="630C20CC" w14:textId="77777777" w:rsidTr="00EA5FA3">
        <w:trPr>
          <w:trHeight w:val="360"/>
        </w:trPr>
        <w:tc>
          <w:tcPr>
            <w:tcW w:w="8789" w:type="dxa"/>
            <w:gridSpan w:val="8"/>
            <w:tcBorders>
              <w:top w:val="nil"/>
              <w:left w:val="nil"/>
              <w:bottom w:val="single" w:sz="4" w:space="0" w:color="auto"/>
              <w:right w:val="nil"/>
            </w:tcBorders>
          </w:tcPr>
          <w:p w14:paraId="3AE0C154" w14:textId="77777777" w:rsidR="009F6A64" w:rsidRPr="00F14CE5" w:rsidRDefault="009F6A64" w:rsidP="009F6A64">
            <w:pPr>
              <w:spacing w:after="0" w:line="240" w:lineRule="auto"/>
              <w:jc w:val="center"/>
              <w:rPr>
                <w:rFonts w:ascii="Times New Roman" w:hAnsi="Times New Roman" w:cs="Times New Roman"/>
                <w:b/>
                <w:bCs/>
                <w:color w:val="0D0D0D" w:themeColor="text1" w:themeTint="F2"/>
                <w:kern w:val="2"/>
                <w:sz w:val="24"/>
                <w:szCs w:val="24"/>
              </w:rPr>
            </w:pPr>
            <w:r w:rsidRPr="00F14CE5">
              <w:rPr>
                <w:rFonts w:ascii="Times New Roman" w:hAnsi="Times New Roman" w:cs="Times New Roman"/>
                <w:b/>
                <w:bCs/>
                <w:color w:val="0D0D0D" w:themeColor="text1" w:themeTint="F2"/>
                <w:kern w:val="2"/>
                <w:sz w:val="24"/>
                <w:szCs w:val="24"/>
              </w:rPr>
              <w:t>Table 12</w:t>
            </w:r>
          </w:p>
          <w:p w14:paraId="5B6594D9"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eastAsia="Times New Roman" w:hAnsi="Times New Roman" w:cs="Times New Roman"/>
                <w:b/>
                <w:bCs/>
                <w:iCs/>
                <w:color w:val="0D0D0D" w:themeColor="text1" w:themeTint="F2"/>
                <w:kern w:val="2"/>
                <w:sz w:val="24"/>
                <w:szCs w:val="24"/>
              </w:rPr>
              <w:t>Difference i</w:t>
            </w:r>
            <w:r w:rsidRPr="00F14CE5">
              <w:rPr>
                <w:rFonts w:ascii="Times New Roman" w:eastAsia="Arial" w:hAnsi="Times New Roman" w:cs="Times New Roman"/>
                <w:b/>
                <w:bCs/>
                <w:color w:val="0D0D0D" w:themeColor="text1" w:themeTint="F2"/>
                <w:kern w:val="2"/>
                <w:sz w:val="24"/>
                <w:szCs w:val="24"/>
              </w:rPr>
              <w:t>n the Perceptions of Pre-Service Teachers on the Role of BTVTED Program in Equipping Pre-Service Teachers with Competencies Necessary for Basic Education When Grouped According to Gender</w:t>
            </w:r>
          </w:p>
        </w:tc>
      </w:tr>
      <w:tr w:rsidR="00597834" w:rsidRPr="00F14CE5" w14:paraId="795FF068" w14:textId="77777777" w:rsidTr="00EA5FA3">
        <w:trPr>
          <w:trHeight w:val="638"/>
        </w:trPr>
        <w:tc>
          <w:tcPr>
            <w:tcW w:w="1215" w:type="dxa"/>
            <w:tcBorders>
              <w:top w:val="single" w:sz="4" w:space="0" w:color="auto"/>
              <w:left w:val="nil"/>
              <w:bottom w:val="single" w:sz="4" w:space="0" w:color="auto"/>
              <w:right w:val="nil"/>
            </w:tcBorders>
          </w:tcPr>
          <w:p w14:paraId="63531563"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05686AA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Source of Difference</w:t>
            </w:r>
          </w:p>
        </w:tc>
        <w:tc>
          <w:tcPr>
            <w:tcW w:w="770" w:type="dxa"/>
            <w:tcBorders>
              <w:top w:val="single" w:sz="4" w:space="0" w:color="auto"/>
              <w:left w:val="nil"/>
              <w:bottom w:val="single" w:sz="4" w:space="0" w:color="auto"/>
              <w:right w:val="nil"/>
            </w:tcBorders>
          </w:tcPr>
          <w:p w14:paraId="11D073E5"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04FAC8E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Mean</w:t>
            </w:r>
          </w:p>
        </w:tc>
        <w:tc>
          <w:tcPr>
            <w:tcW w:w="1137" w:type="dxa"/>
            <w:tcBorders>
              <w:top w:val="single" w:sz="4" w:space="0" w:color="auto"/>
              <w:left w:val="nil"/>
              <w:bottom w:val="single" w:sz="4" w:space="0" w:color="auto"/>
              <w:right w:val="nil"/>
            </w:tcBorders>
          </w:tcPr>
          <w:p w14:paraId="23F9D594"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4283672E"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Standard Deviation</w:t>
            </w:r>
          </w:p>
        </w:tc>
        <w:tc>
          <w:tcPr>
            <w:tcW w:w="1228" w:type="dxa"/>
            <w:tcBorders>
              <w:top w:val="single" w:sz="4" w:space="0" w:color="auto"/>
              <w:left w:val="nil"/>
              <w:bottom w:val="single" w:sz="4" w:space="0" w:color="auto"/>
              <w:right w:val="nil"/>
            </w:tcBorders>
          </w:tcPr>
          <w:p w14:paraId="461A367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76A741A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Mean Difference</w:t>
            </w:r>
          </w:p>
        </w:tc>
        <w:tc>
          <w:tcPr>
            <w:tcW w:w="1232" w:type="dxa"/>
            <w:tcBorders>
              <w:top w:val="single" w:sz="4" w:space="0" w:color="auto"/>
              <w:left w:val="nil"/>
              <w:bottom w:val="single" w:sz="4" w:space="0" w:color="auto"/>
              <w:right w:val="nil"/>
            </w:tcBorders>
          </w:tcPr>
          <w:p w14:paraId="098E6AC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37A3164E"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Computed</w:t>
            </w:r>
          </w:p>
          <w:p w14:paraId="069B892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t- value</w:t>
            </w:r>
          </w:p>
        </w:tc>
        <w:tc>
          <w:tcPr>
            <w:tcW w:w="850" w:type="dxa"/>
            <w:tcBorders>
              <w:top w:val="single" w:sz="4" w:space="0" w:color="auto"/>
              <w:left w:val="nil"/>
              <w:bottom w:val="single" w:sz="4" w:space="0" w:color="auto"/>
              <w:right w:val="nil"/>
            </w:tcBorders>
          </w:tcPr>
          <w:p w14:paraId="17E9565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6DA211C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p-value</w:t>
            </w:r>
          </w:p>
        </w:tc>
        <w:tc>
          <w:tcPr>
            <w:tcW w:w="1081" w:type="dxa"/>
            <w:tcBorders>
              <w:top w:val="single" w:sz="4" w:space="0" w:color="auto"/>
              <w:left w:val="nil"/>
              <w:bottom w:val="single" w:sz="4" w:space="0" w:color="auto"/>
              <w:right w:val="nil"/>
            </w:tcBorders>
          </w:tcPr>
          <w:p w14:paraId="7D911F1D"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4363864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Decision</w:t>
            </w:r>
          </w:p>
        </w:tc>
        <w:tc>
          <w:tcPr>
            <w:tcW w:w="1276" w:type="dxa"/>
            <w:tcBorders>
              <w:top w:val="single" w:sz="4" w:space="0" w:color="auto"/>
              <w:left w:val="nil"/>
              <w:bottom w:val="single" w:sz="4" w:space="0" w:color="auto"/>
              <w:right w:val="nil"/>
            </w:tcBorders>
            <w:vAlign w:val="center"/>
          </w:tcPr>
          <w:p w14:paraId="5C245865"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Result</w:t>
            </w:r>
          </w:p>
        </w:tc>
      </w:tr>
      <w:tr w:rsidR="00597834" w:rsidRPr="00F14CE5" w14:paraId="2CED07CD" w14:textId="77777777" w:rsidTr="00EA5FA3">
        <w:trPr>
          <w:trHeight w:val="765"/>
        </w:trPr>
        <w:tc>
          <w:tcPr>
            <w:tcW w:w="1215" w:type="dxa"/>
            <w:tcBorders>
              <w:top w:val="single" w:sz="4" w:space="0" w:color="auto"/>
              <w:left w:val="nil"/>
              <w:bottom w:val="nil"/>
              <w:right w:val="nil"/>
            </w:tcBorders>
            <w:vAlign w:val="center"/>
          </w:tcPr>
          <w:p w14:paraId="7096BE3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Female</w:t>
            </w:r>
          </w:p>
        </w:tc>
        <w:tc>
          <w:tcPr>
            <w:tcW w:w="770" w:type="dxa"/>
            <w:tcBorders>
              <w:top w:val="single" w:sz="4" w:space="0" w:color="auto"/>
              <w:left w:val="nil"/>
              <w:bottom w:val="nil"/>
              <w:right w:val="nil"/>
            </w:tcBorders>
            <w:vAlign w:val="center"/>
          </w:tcPr>
          <w:p w14:paraId="620B33BE"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31.42</w:t>
            </w:r>
          </w:p>
        </w:tc>
        <w:tc>
          <w:tcPr>
            <w:tcW w:w="1137" w:type="dxa"/>
            <w:tcBorders>
              <w:top w:val="single" w:sz="4" w:space="0" w:color="auto"/>
              <w:left w:val="nil"/>
              <w:bottom w:val="nil"/>
              <w:right w:val="nil"/>
            </w:tcBorders>
            <w:vAlign w:val="center"/>
          </w:tcPr>
          <w:p w14:paraId="62CCE70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4.54</w:t>
            </w:r>
          </w:p>
        </w:tc>
        <w:tc>
          <w:tcPr>
            <w:tcW w:w="1228" w:type="dxa"/>
            <w:vMerge w:val="restart"/>
            <w:tcBorders>
              <w:top w:val="single" w:sz="4" w:space="0" w:color="auto"/>
              <w:left w:val="nil"/>
              <w:right w:val="nil"/>
            </w:tcBorders>
            <w:vAlign w:val="center"/>
          </w:tcPr>
          <w:p w14:paraId="69C8AE3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0.52</w:t>
            </w:r>
          </w:p>
        </w:tc>
        <w:tc>
          <w:tcPr>
            <w:tcW w:w="1232" w:type="dxa"/>
            <w:vMerge w:val="restart"/>
            <w:tcBorders>
              <w:top w:val="single" w:sz="4" w:space="0" w:color="auto"/>
              <w:left w:val="nil"/>
              <w:right w:val="nil"/>
            </w:tcBorders>
            <w:vAlign w:val="center"/>
          </w:tcPr>
          <w:p w14:paraId="52CF912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0.416</w:t>
            </w:r>
          </w:p>
        </w:tc>
        <w:tc>
          <w:tcPr>
            <w:tcW w:w="850" w:type="dxa"/>
            <w:vMerge w:val="restart"/>
            <w:tcBorders>
              <w:top w:val="single" w:sz="4" w:space="0" w:color="auto"/>
              <w:left w:val="nil"/>
              <w:right w:val="nil"/>
            </w:tcBorders>
            <w:vAlign w:val="center"/>
          </w:tcPr>
          <w:p w14:paraId="0000489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0.679</w:t>
            </w:r>
          </w:p>
        </w:tc>
        <w:tc>
          <w:tcPr>
            <w:tcW w:w="1081" w:type="dxa"/>
            <w:vMerge w:val="restart"/>
            <w:tcBorders>
              <w:top w:val="single" w:sz="4" w:space="0" w:color="auto"/>
              <w:left w:val="nil"/>
              <w:right w:val="nil"/>
            </w:tcBorders>
            <w:vAlign w:val="center"/>
          </w:tcPr>
          <w:p w14:paraId="25EE281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Do not Reject H</w:t>
            </w:r>
            <w:r w:rsidRPr="00F14CE5">
              <w:rPr>
                <w:rFonts w:ascii="Times New Roman" w:hAnsi="Times New Roman" w:cs="Times New Roman"/>
                <w:color w:val="0D0D0D" w:themeColor="text1" w:themeTint="F2"/>
                <w:kern w:val="2"/>
                <w:vertAlign w:val="subscript"/>
              </w:rPr>
              <w:t>o</w:t>
            </w:r>
          </w:p>
        </w:tc>
        <w:tc>
          <w:tcPr>
            <w:tcW w:w="1276" w:type="dxa"/>
            <w:vMerge w:val="restart"/>
            <w:tcBorders>
              <w:top w:val="single" w:sz="4" w:space="0" w:color="auto"/>
              <w:left w:val="nil"/>
              <w:right w:val="nil"/>
            </w:tcBorders>
            <w:vAlign w:val="center"/>
          </w:tcPr>
          <w:p w14:paraId="3C83F223"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Not Significant</w:t>
            </w:r>
          </w:p>
        </w:tc>
      </w:tr>
      <w:tr w:rsidR="00597834" w:rsidRPr="00F14CE5" w14:paraId="5ADD531A" w14:textId="77777777" w:rsidTr="00EA5FA3">
        <w:trPr>
          <w:trHeight w:val="800"/>
        </w:trPr>
        <w:tc>
          <w:tcPr>
            <w:tcW w:w="1215" w:type="dxa"/>
            <w:tcBorders>
              <w:top w:val="nil"/>
              <w:left w:val="nil"/>
              <w:bottom w:val="single" w:sz="4" w:space="0" w:color="auto"/>
              <w:right w:val="nil"/>
            </w:tcBorders>
            <w:vAlign w:val="center"/>
          </w:tcPr>
          <w:p w14:paraId="1C510A35"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Male</w:t>
            </w:r>
          </w:p>
        </w:tc>
        <w:tc>
          <w:tcPr>
            <w:tcW w:w="770" w:type="dxa"/>
            <w:tcBorders>
              <w:top w:val="nil"/>
              <w:left w:val="nil"/>
              <w:bottom w:val="single" w:sz="4" w:space="0" w:color="auto"/>
              <w:right w:val="nil"/>
            </w:tcBorders>
            <w:vAlign w:val="center"/>
          </w:tcPr>
          <w:p w14:paraId="6C0158B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30.89</w:t>
            </w:r>
          </w:p>
        </w:tc>
        <w:tc>
          <w:tcPr>
            <w:tcW w:w="1137" w:type="dxa"/>
            <w:tcBorders>
              <w:top w:val="nil"/>
              <w:left w:val="nil"/>
              <w:bottom w:val="single" w:sz="4" w:space="0" w:color="auto"/>
              <w:right w:val="nil"/>
            </w:tcBorders>
            <w:vAlign w:val="center"/>
          </w:tcPr>
          <w:p w14:paraId="0AB5269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3.94</w:t>
            </w:r>
          </w:p>
        </w:tc>
        <w:tc>
          <w:tcPr>
            <w:tcW w:w="1228" w:type="dxa"/>
            <w:vMerge/>
            <w:tcBorders>
              <w:left w:val="nil"/>
              <w:bottom w:val="single" w:sz="4" w:space="0" w:color="auto"/>
              <w:right w:val="nil"/>
            </w:tcBorders>
          </w:tcPr>
          <w:p w14:paraId="62956A9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232" w:type="dxa"/>
            <w:vMerge/>
            <w:tcBorders>
              <w:left w:val="nil"/>
              <w:bottom w:val="single" w:sz="4" w:space="0" w:color="auto"/>
              <w:right w:val="nil"/>
            </w:tcBorders>
          </w:tcPr>
          <w:p w14:paraId="1927A5A9"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850" w:type="dxa"/>
            <w:vMerge/>
            <w:tcBorders>
              <w:left w:val="nil"/>
              <w:bottom w:val="single" w:sz="4" w:space="0" w:color="auto"/>
              <w:right w:val="nil"/>
            </w:tcBorders>
          </w:tcPr>
          <w:p w14:paraId="210B06B5" w14:textId="77777777" w:rsidR="009F6A64" w:rsidRPr="00F14CE5" w:rsidRDefault="009F6A64" w:rsidP="009F6A64">
            <w:pPr>
              <w:spacing w:line="240" w:lineRule="auto"/>
              <w:jc w:val="center"/>
              <w:rPr>
                <w:rFonts w:ascii="Times New Roman" w:hAnsi="Times New Roman" w:cs="Times New Roman"/>
                <w:color w:val="0D0D0D" w:themeColor="text1" w:themeTint="F2"/>
                <w:kern w:val="2"/>
              </w:rPr>
            </w:pPr>
          </w:p>
        </w:tc>
        <w:tc>
          <w:tcPr>
            <w:tcW w:w="1081" w:type="dxa"/>
            <w:vMerge/>
            <w:tcBorders>
              <w:left w:val="nil"/>
              <w:bottom w:val="single" w:sz="4" w:space="0" w:color="auto"/>
              <w:right w:val="nil"/>
            </w:tcBorders>
          </w:tcPr>
          <w:p w14:paraId="3F0D1E14" w14:textId="77777777" w:rsidR="009F6A64" w:rsidRPr="00F14CE5" w:rsidRDefault="009F6A64" w:rsidP="009F6A64">
            <w:pPr>
              <w:spacing w:line="240" w:lineRule="auto"/>
              <w:jc w:val="center"/>
              <w:rPr>
                <w:rFonts w:ascii="Times New Roman" w:hAnsi="Times New Roman" w:cs="Times New Roman"/>
                <w:color w:val="0D0D0D" w:themeColor="text1" w:themeTint="F2"/>
                <w:kern w:val="2"/>
              </w:rPr>
            </w:pPr>
          </w:p>
        </w:tc>
        <w:tc>
          <w:tcPr>
            <w:tcW w:w="1276" w:type="dxa"/>
            <w:vMerge/>
            <w:tcBorders>
              <w:left w:val="nil"/>
              <w:bottom w:val="single" w:sz="4" w:space="0" w:color="auto"/>
              <w:right w:val="nil"/>
            </w:tcBorders>
          </w:tcPr>
          <w:p w14:paraId="7547B450" w14:textId="77777777" w:rsidR="009F6A64" w:rsidRPr="00F14CE5" w:rsidRDefault="009F6A64" w:rsidP="009F6A64">
            <w:pPr>
              <w:spacing w:line="240" w:lineRule="auto"/>
              <w:jc w:val="center"/>
              <w:rPr>
                <w:rFonts w:ascii="Times New Roman" w:hAnsi="Times New Roman" w:cs="Times New Roman"/>
                <w:color w:val="0D0D0D" w:themeColor="text1" w:themeTint="F2"/>
                <w:kern w:val="2"/>
              </w:rPr>
            </w:pPr>
          </w:p>
        </w:tc>
      </w:tr>
      <w:tr w:rsidR="00597834" w:rsidRPr="00F14CE5" w14:paraId="1A3AB1AC" w14:textId="77777777" w:rsidTr="00EA5FA3">
        <w:trPr>
          <w:trHeight w:val="77"/>
        </w:trPr>
        <w:tc>
          <w:tcPr>
            <w:tcW w:w="8789" w:type="dxa"/>
            <w:gridSpan w:val="8"/>
            <w:tcBorders>
              <w:top w:val="single" w:sz="4" w:space="0" w:color="auto"/>
              <w:left w:val="nil"/>
              <w:bottom w:val="nil"/>
              <w:right w:val="nil"/>
            </w:tcBorders>
            <w:vAlign w:val="center"/>
          </w:tcPr>
          <w:p w14:paraId="77C9F7F7" w14:textId="77777777" w:rsidR="009F6A64" w:rsidRPr="00F14CE5" w:rsidRDefault="009F6A64" w:rsidP="009F6A64">
            <w:pPr>
              <w:spacing w:after="0" w:line="240" w:lineRule="auto"/>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 xml:space="preserve">*significant at p &lt; 0.05 (two-tailed); </w:t>
            </w:r>
            <w:proofErr w:type="spellStart"/>
            <w:r w:rsidRPr="00F14CE5">
              <w:rPr>
                <w:rFonts w:ascii="Times New Roman" w:hAnsi="Times New Roman" w:cs="Times New Roman"/>
                <w:color w:val="0D0D0D" w:themeColor="text1" w:themeTint="F2"/>
                <w:kern w:val="2"/>
                <w:sz w:val="18"/>
                <w:szCs w:val="18"/>
              </w:rPr>
              <w:t>df</w:t>
            </w:r>
            <w:proofErr w:type="spellEnd"/>
            <w:r w:rsidRPr="00F14CE5">
              <w:rPr>
                <w:rFonts w:ascii="Times New Roman" w:hAnsi="Times New Roman" w:cs="Times New Roman"/>
                <w:color w:val="0D0D0D" w:themeColor="text1" w:themeTint="F2"/>
                <w:kern w:val="2"/>
                <w:sz w:val="18"/>
                <w:szCs w:val="18"/>
              </w:rPr>
              <w:t xml:space="preserve"> = 48</w:t>
            </w:r>
          </w:p>
        </w:tc>
      </w:tr>
    </w:tbl>
    <w:p w14:paraId="58BEDF89" w14:textId="77777777" w:rsidR="009F6A64" w:rsidRPr="00F14CE5" w:rsidRDefault="009F6A64" w:rsidP="009F6A64">
      <w:pPr>
        <w:widowControl w:val="0"/>
        <w:autoSpaceDE w:val="0"/>
        <w:autoSpaceDN w:val="0"/>
        <w:spacing w:after="0" w:line="240" w:lineRule="auto"/>
        <w:ind w:left="680" w:right="676"/>
        <w:jc w:val="both"/>
        <w:rPr>
          <w:rFonts w:ascii="Times New Roman" w:eastAsia="Arial" w:hAnsi="Times New Roman" w:cs="Times New Roman"/>
          <w:color w:val="0D0D0D" w:themeColor="text1" w:themeTint="F2"/>
          <w:sz w:val="24"/>
          <w:szCs w:val="24"/>
          <w:lang w:val="en-US"/>
        </w:rPr>
      </w:pPr>
    </w:p>
    <w:p w14:paraId="2D92729F" w14:textId="77777777" w:rsidR="009F6A64" w:rsidRPr="00F14CE5" w:rsidRDefault="009F6A64" w:rsidP="009F6A64">
      <w:pPr>
        <w:widowControl w:val="0"/>
        <w:autoSpaceDE w:val="0"/>
        <w:autoSpaceDN w:val="0"/>
        <w:spacing w:after="0"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As shown in</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Table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12,</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 xml:space="preserve">the computed </w:t>
      </w:r>
      <w:r w:rsidRPr="00F14CE5">
        <w:rPr>
          <w:rFonts w:ascii="Times New Roman" w:eastAsia="Arial" w:hAnsi="Times New Roman" w:cs="Times New Roman"/>
          <w:i/>
          <w:color w:val="0D0D0D" w:themeColor="text1" w:themeTint="F2"/>
          <w:sz w:val="24"/>
          <w:szCs w:val="24"/>
          <w:lang w:val="en-US"/>
        </w:rPr>
        <w:t>t</w:t>
      </w:r>
      <w:r w:rsidRPr="00F14CE5">
        <w:rPr>
          <w:rFonts w:ascii="Times New Roman" w:eastAsia="Arial" w:hAnsi="Times New Roman" w:cs="Times New Roman"/>
          <w:color w:val="0D0D0D" w:themeColor="text1" w:themeTint="F2"/>
          <w:sz w:val="24"/>
          <w:szCs w:val="24"/>
          <w:lang w:val="en-US"/>
        </w:rPr>
        <w:t xml:space="preserve">-value is 0.416 with a corresponding </w:t>
      </w:r>
      <w:r w:rsidRPr="00F14CE5">
        <w:rPr>
          <w:rFonts w:ascii="Times New Roman" w:eastAsia="Arial" w:hAnsi="Times New Roman" w:cs="Times New Roman"/>
          <w:i/>
          <w:color w:val="0D0D0D" w:themeColor="text1" w:themeTint="F2"/>
          <w:sz w:val="24"/>
          <w:szCs w:val="24"/>
          <w:lang w:val="en-US"/>
        </w:rPr>
        <w:t>p</w:t>
      </w:r>
      <w:r w:rsidRPr="00F14CE5">
        <w:rPr>
          <w:rFonts w:ascii="Times New Roman" w:eastAsia="Arial" w:hAnsi="Times New Roman" w:cs="Times New Roman"/>
          <w:color w:val="0D0D0D" w:themeColor="text1" w:themeTint="F2"/>
          <w:sz w:val="24"/>
          <w:szCs w:val="24"/>
          <w:lang w:val="en-US"/>
        </w:rPr>
        <w:t xml:space="preserve">-value of 0.679. Since the </w:t>
      </w:r>
      <w:r w:rsidRPr="00F14CE5">
        <w:rPr>
          <w:rFonts w:ascii="Times New Roman" w:eastAsia="Arial" w:hAnsi="Times New Roman" w:cs="Times New Roman"/>
          <w:i/>
          <w:color w:val="0D0D0D" w:themeColor="text1" w:themeTint="F2"/>
          <w:sz w:val="24"/>
          <w:szCs w:val="24"/>
          <w:lang w:val="en-US"/>
        </w:rPr>
        <w:t>p</w:t>
      </w:r>
      <w:r w:rsidRPr="00F14CE5">
        <w:rPr>
          <w:rFonts w:ascii="Times New Roman" w:eastAsia="Arial" w:hAnsi="Times New Roman" w:cs="Times New Roman"/>
          <w:color w:val="0D0D0D" w:themeColor="text1" w:themeTint="F2"/>
          <w:sz w:val="24"/>
          <w:szCs w:val="24"/>
          <w:lang w:val="en-US"/>
        </w:rPr>
        <w:t>-value is greater than the 0.05 level of significance, the</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null</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hypothesis</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is</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not</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rejected,</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indicating</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that</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there</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is</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no</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statistically</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 xml:space="preserve">significant </w:t>
      </w:r>
      <w:r w:rsidRPr="00F14CE5">
        <w:rPr>
          <w:rFonts w:ascii="Times New Roman" w:eastAsia="Arial" w:hAnsi="Times New Roman" w:cs="Times New Roman"/>
          <w:color w:val="0D0D0D" w:themeColor="text1" w:themeTint="F2"/>
          <w:sz w:val="24"/>
          <w:szCs w:val="24"/>
          <w:lang w:val="en-US"/>
        </w:rPr>
        <w:t>difference between male and female pre-service teachers’ perceptions. This finding</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suggested</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that</w:t>
      </w:r>
      <w:r w:rsidRPr="00F14CE5">
        <w:rPr>
          <w:rFonts w:ascii="Times New Roman" w:eastAsia="Arial" w:hAnsi="Times New Roman" w:cs="Times New Roman"/>
          <w:color w:val="0D0D0D" w:themeColor="text1" w:themeTint="F2"/>
          <w:spacing w:val="-16"/>
          <w:sz w:val="24"/>
          <w:szCs w:val="24"/>
          <w:lang w:val="en-US"/>
        </w:rPr>
        <w:t xml:space="preserve"> </w:t>
      </w:r>
      <w:r w:rsidRPr="00F14CE5">
        <w:rPr>
          <w:rFonts w:ascii="Times New Roman" w:eastAsia="Arial" w:hAnsi="Times New Roman" w:cs="Times New Roman"/>
          <w:color w:val="0D0D0D" w:themeColor="text1" w:themeTint="F2"/>
          <w:sz w:val="24"/>
          <w:szCs w:val="24"/>
          <w:lang w:val="en-US"/>
        </w:rPr>
        <w:t>both</w:t>
      </w:r>
      <w:r w:rsidRPr="00F14CE5">
        <w:rPr>
          <w:rFonts w:ascii="Times New Roman" w:eastAsia="Arial" w:hAnsi="Times New Roman" w:cs="Times New Roman"/>
          <w:color w:val="0D0D0D" w:themeColor="text1" w:themeTint="F2"/>
          <w:spacing w:val="-16"/>
          <w:sz w:val="24"/>
          <w:szCs w:val="24"/>
          <w:lang w:val="en-US"/>
        </w:rPr>
        <w:t xml:space="preserve"> </w:t>
      </w:r>
      <w:r w:rsidRPr="00F14CE5">
        <w:rPr>
          <w:rFonts w:ascii="Times New Roman" w:eastAsia="Arial" w:hAnsi="Times New Roman" w:cs="Times New Roman"/>
          <w:color w:val="0D0D0D" w:themeColor="text1" w:themeTint="F2"/>
          <w:sz w:val="24"/>
          <w:szCs w:val="24"/>
          <w:lang w:val="en-US"/>
        </w:rPr>
        <w:t>groups</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similarly</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assess</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role</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BTVTED</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program in developing essential teaching competencies.</w:t>
      </w:r>
    </w:p>
    <w:p w14:paraId="478916EB" w14:textId="499C6778" w:rsidR="00DA02F8" w:rsidRPr="00F14CE5" w:rsidRDefault="00DA02F8" w:rsidP="007D4FDD">
      <w:pPr>
        <w:widowControl w:val="0"/>
        <w:autoSpaceDE w:val="0"/>
        <w:autoSpaceDN w:val="0"/>
        <w:spacing w:before="158" w:after="0" w:line="240" w:lineRule="auto"/>
        <w:ind w:right="-7" w:firstLine="811"/>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The non-significant result indicates that gender has no influence on pre-service teachers’ perceptions on the effectiveness of the BTVTED program, as both males and females’ respondents undergo equal training, exposure, and effectiveness on their level of competence. This presents an effective measure of learning opportunity provisions irrespective of gender.</w:t>
      </w:r>
      <w:r w:rsidR="009F6A64" w:rsidRPr="00F14CE5">
        <w:rPr>
          <w:rFonts w:ascii="Times New Roman" w:eastAsia="Arial" w:hAnsi="Times New Roman" w:cs="Times New Roman"/>
          <w:color w:val="0D0D0D" w:themeColor="text1" w:themeTint="F2"/>
          <w:sz w:val="24"/>
          <w:szCs w:val="24"/>
        </w:rPr>
        <w:t xml:space="preserve"> Supporting this,</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{"citationID":"0LZRJHZQ","properties":{"unsorted":false,"formattedCitation":"(Muega-Geronimo &amp; Carlos, 2023)","plainCitation":"(Muega-Geronimo &amp; Carlos, 2023)","noteIndex":0},"citationItems":[{"id":"i2yCDwO7/UuIaQGO8","uris":["http://zotero.org/users/local/3HGLAaLg/items/QSZ6TZQC"],"itemData":{"id":66,"type":"article-journal","abstract":"The study aimed to determine whether preservice teachers’ self-efficacy belief differs according to gender and whether this belief relates to their readiness in taking the licensure examination for teachers (LET). Participants of the study were 545 preservice teachers who were undergoing in-service training both from the secondary and elementary programs that came from four campuses of the university. The researcher utilized a descriptive quantitative approach with weighted mean, t-test for the independent sample, and Pearson R correlation statistical treatments for the data. Results revealed that females are statistically higher in self-efficacy beliefs than their male counterparts. Further, the study disclosed that female preservice teachers are significantly more ready to take the examination than their male peers. In addition, the male students’ self-efficacy beliefs statistically have a positive significant relationship to their readiness to take examination. Meanwhile, a positive significant relationship exists also between self-efficacy beliefs and readiness in taking the test with their female counterparts.","container-title":"International Journal of Evaluation and Research in Education (IJERE)","DOI":"10.11591/ijere.v12i3.24461","ISSN":"2620-5440","issue":"3","language":"English","license":"Copyright (c) 2023 Institute of Advanced Engineering and Science","page":"1536-1541","source":"ijere.iaescore.com","title":"Gender-based analysis on self-efficacy beliefs of pre-service teachers and their readiness in taking licensure examination","volume":"12","author":[{"family":"Muega-Geronimo","given":"Vilma"},{"family":"Carlos","given":"Marites D."}],"issued":{"date-parts":[["2023",9,1]]}}}],"schema":"https://github.com/citation-style-language/schema/raw/master/csl-citation.json"}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(Muega-Geronimo &amp; Carlos, 2023)</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found that gender has no significant influence on self-efficacy and professional readiness among Philippine pre-service teachers, with</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{"citationID":"rSvCvopw","properties":{"unsorted":false,"formattedCitation":"(Abela et al., 2025)","plainCitation":"(Abela et al., 2025)","noteIndex":0},"citationItems":[{"id":"i2yCDwO7/vq3J5qb2","uris":["http://zotero.org/users/local/3HGLAaLg/items/ZNCPHPYY"],"itemData":{"id":68,"type":"article-journal","abstract":"The preservice teachers' student teaching program serves as a culmination activity for future educators in the Philippines. The quality of their training could affect the quality of the learners in the country. This study investigated the self-efficacy level and the learning experiences of 251 preservice teachers during the post-pandemic. The study employed a mixed method, specifically a sequential explanatory research design. A researcher-made semi-structured interview questions and one (1) adapted questionnaire were employed in the study. Mean and standard deviation were utilized for the quantitative data, while thematic analysis was employed for the qualitative data. Results revealed that preservice teacher's self-efficacy was high in both gender and all academic programs. Furthermore, three (3) themes emerged as preservice teachers' learning experiences, including utilizing pedagogical strategies and practices, hurdles and difficulties encountered, and managing obstacles. Results imply the need to strengthen, revise, and create policies on student teaching in State Universities and Colleges (SUC) in the country emphasizing flexible learning. Capacitating preservice teachers and improving their instructional capacity to adjust to any learning setup are also deemed essential.","container-title":"Journal of Curriculum and Teaching","DOI":"10.5430/jct.v14n1p163","ISSN":"1927-2685","issue":"1","language":"en","license":"Copyright (c) 2025 Rosario Abela, Marilyn Manaig, Leo Mamolo","page":"163","source":"www.sciedupress.com","title":"Self-Efficacy and Learning Experiences of Preservice Teachers in a State University","volume":"14","author":[{"family":"Abela","given":"Rosario"},{"family":"Manaig","given":"Marilyn"},{"family":"Mamolo","given":"Leo"}],"issued":{"date-parts":[["2025",2,7]]}}}],"schema":"https://github.com/citation-style-language/schema/raw/master/csl-citation.json"}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7D4FDD" w:rsidRPr="00F14CE5">
        <w:rPr>
          <w:rFonts w:ascii="Times New Roman" w:hAnsi="Times New Roman" w:cs="Times New Roman"/>
          <w:color w:val="0D0D0D" w:themeColor="text1" w:themeTint="F2"/>
          <w:sz w:val="24"/>
        </w:rPr>
        <w:t>(Abela et al., 2025)</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 xml:space="preserve">reporting that both genders demonstrate a high level of self-efficacy and learning experience in teacher education programs, demonstrating the effectiveness of inclusive and standardized instructional practices. </w:t>
      </w:r>
    </w:p>
    <w:p w14:paraId="1BF1E0A9" w14:textId="103A3DBD" w:rsidR="007D4FDD" w:rsidRPr="00F14CE5" w:rsidRDefault="00DA02F8" w:rsidP="007D4FDD">
      <w:pPr>
        <w:widowControl w:val="0"/>
        <w:autoSpaceDE w:val="0"/>
        <w:autoSpaceDN w:val="0"/>
        <w:spacing w:before="158" w:after="0" w:line="240" w:lineRule="auto"/>
        <w:ind w:right="-7" w:firstLine="811"/>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rPr>
        <w:t>Based on these findings, it is unnecessary to differentiate the implementation of the program based on gender, and it will be essential to ensure that similar structures are implemented to ensure equal levels of professional readiness among all pre-service teachers.</w:t>
      </w:r>
    </w:p>
    <w:p w14:paraId="3DF5A891" w14:textId="195E1A76" w:rsidR="009F6A64" w:rsidRPr="00F14CE5" w:rsidRDefault="007D4FDD" w:rsidP="007D4FDD">
      <w:pPr>
        <w:widowControl w:val="0"/>
        <w:autoSpaceDE w:val="0"/>
        <w:autoSpaceDN w:val="0"/>
        <w:spacing w:before="158" w:after="0" w:line="240" w:lineRule="auto"/>
        <w:ind w:right="-7"/>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t>Table 13</w:t>
      </w:r>
      <w:r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Times New Roman" w:hAnsi="Times New Roman" w:cs="Times New Roman"/>
          <w:b/>
          <w:bCs/>
          <w:iCs/>
          <w:color w:val="0D0D0D" w:themeColor="text1" w:themeTint="F2"/>
          <w:kern w:val="2"/>
          <w:sz w:val="24"/>
          <w:szCs w:val="24"/>
        </w:rPr>
        <w:t>Test of Significance of Difference i</w:t>
      </w:r>
      <w:r w:rsidRPr="00F14CE5">
        <w:rPr>
          <w:rFonts w:ascii="Times New Roman" w:eastAsia="Arial" w:hAnsi="Times New Roman" w:cs="Times New Roman"/>
          <w:b/>
          <w:bCs/>
          <w:color w:val="0D0D0D" w:themeColor="text1" w:themeTint="F2"/>
          <w:kern w:val="2"/>
          <w:sz w:val="24"/>
          <w:szCs w:val="24"/>
        </w:rPr>
        <w:t xml:space="preserve">n the Perceptions of Pre-Service Teachers on the Role of BTVTED Program in Equipping Pre-Service Teachers with Competencies Necessary for Basic Education When Grouped According to Specialization </w:t>
      </w:r>
    </w:p>
    <w:p w14:paraId="4586FA51" w14:textId="77777777" w:rsidR="007D4FDD" w:rsidRPr="00F14CE5" w:rsidRDefault="009F6A64" w:rsidP="007D4FDD">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This</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section investigated whether</w:t>
      </w:r>
      <w:r w:rsidRPr="00F14CE5">
        <w:rPr>
          <w:rFonts w:ascii="Times New Roman" w:eastAsia="Arial" w:hAnsi="Times New Roman" w:cs="Times New Roman"/>
          <w:color w:val="0D0D0D" w:themeColor="text1" w:themeTint="F2"/>
          <w:spacing w:val="-3"/>
          <w:sz w:val="24"/>
          <w:szCs w:val="24"/>
          <w:lang w:val="en-US"/>
        </w:rPr>
        <w:t xml:space="preserve"> </w:t>
      </w:r>
      <w:r w:rsidRPr="00F14CE5">
        <w:rPr>
          <w:rFonts w:ascii="Times New Roman" w:eastAsia="Arial" w:hAnsi="Times New Roman" w:cs="Times New Roman"/>
          <w:color w:val="0D0D0D" w:themeColor="text1" w:themeTint="F2"/>
          <w:sz w:val="24"/>
          <w:szCs w:val="24"/>
          <w:lang w:val="en-US"/>
        </w:rPr>
        <w:t>pre-service</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teachers’</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perceptions</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 xml:space="preserve">of the BTVTED program’s role in developing necessary competencies differ based on </w:t>
      </w:r>
      <w:r w:rsidRPr="00F14CE5">
        <w:rPr>
          <w:rFonts w:ascii="Times New Roman" w:eastAsia="Arial" w:hAnsi="Times New Roman" w:cs="Times New Roman"/>
          <w:color w:val="0D0D0D" w:themeColor="text1" w:themeTint="F2"/>
          <w:spacing w:val="-2"/>
          <w:sz w:val="24"/>
          <w:szCs w:val="24"/>
          <w:lang w:val="en-US"/>
        </w:rPr>
        <w:t>their</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enrolled</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academic</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program.</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Analysis</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of</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Variance</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(ANOVA)</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was</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 xml:space="preserve">conducted </w:t>
      </w:r>
      <w:r w:rsidRPr="00F14CE5">
        <w:rPr>
          <w:rFonts w:ascii="Times New Roman" w:eastAsia="Arial" w:hAnsi="Times New Roman" w:cs="Times New Roman"/>
          <w:color w:val="0D0D0D" w:themeColor="text1" w:themeTint="F2"/>
          <w:sz w:val="24"/>
          <w:szCs w:val="24"/>
          <w:lang w:val="en-US"/>
        </w:rPr>
        <w:t xml:space="preserve">to determine if program affiliation influences these perceptions. </w:t>
      </w:r>
    </w:p>
    <w:p w14:paraId="14508810" w14:textId="4A29ED72" w:rsidR="009F6A64" w:rsidRPr="00F14CE5" w:rsidRDefault="009F6A64" w:rsidP="007D4FDD">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pacing w:val="-5"/>
          <w:sz w:val="24"/>
          <w:szCs w:val="24"/>
          <w:lang w:val="en-US"/>
        </w:rPr>
      </w:pPr>
      <w:r w:rsidRPr="00F14CE5">
        <w:rPr>
          <w:rFonts w:ascii="Times New Roman" w:eastAsia="Arial" w:hAnsi="Times New Roman" w:cs="Times New Roman"/>
          <w:color w:val="0D0D0D" w:themeColor="text1" w:themeTint="F2"/>
          <w:spacing w:val="-2"/>
          <w:sz w:val="24"/>
          <w:szCs w:val="24"/>
          <w:lang w:val="en-US"/>
        </w:rPr>
        <w:t>The</w:t>
      </w:r>
      <w:r w:rsidRPr="00F14CE5">
        <w:rPr>
          <w:rFonts w:ascii="Times New Roman" w:eastAsia="Arial" w:hAnsi="Times New Roman" w:cs="Times New Roman"/>
          <w:color w:val="0D0D0D" w:themeColor="text1" w:themeTint="F2"/>
          <w:spacing w:val="-12"/>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results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of</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the</w:t>
      </w:r>
      <w:r w:rsidRPr="00F14CE5">
        <w:rPr>
          <w:rFonts w:ascii="Times New Roman" w:eastAsia="Arial" w:hAnsi="Times New Roman" w:cs="Times New Roman"/>
          <w:color w:val="0D0D0D" w:themeColor="text1" w:themeTint="F2"/>
          <w:spacing w:val="-22"/>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Analysis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of</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Variance</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(ANOVA)</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test</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are</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presented</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in</w:t>
      </w:r>
      <w:r w:rsidRPr="00F14CE5">
        <w:rPr>
          <w:rFonts w:ascii="Times New Roman" w:eastAsia="Arial" w:hAnsi="Times New Roman" w:cs="Times New Roman"/>
          <w:color w:val="0D0D0D" w:themeColor="text1" w:themeTint="F2"/>
          <w:spacing w:val="-16"/>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Table</w:t>
      </w:r>
      <w:r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pacing w:val="-5"/>
          <w:sz w:val="24"/>
          <w:szCs w:val="24"/>
          <w:lang w:val="en-US"/>
        </w:rPr>
        <w:t>13.</w:t>
      </w:r>
    </w:p>
    <w:p w14:paraId="6C48153E" w14:textId="77777777" w:rsidR="007D4FDD" w:rsidRPr="00F14CE5" w:rsidRDefault="007D4FDD" w:rsidP="007D4FDD">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lang w:val="en-US"/>
        </w:rPr>
      </w:pPr>
    </w:p>
    <w:tbl>
      <w:tblPr>
        <w:tblW w:w="8931" w:type="dxa"/>
        <w:jc w:val="center"/>
        <w:tblLook w:val="04A0" w:firstRow="1" w:lastRow="0" w:firstColumn="1" w:lastColumn="0" w:noHBand="0" w:noVBand="1"/>
      </w:tblPr>
      <w:tblGrid>
        <w:gridCol w:w="1073"/>
        <w:gridCol w:w="1445"/>
        <w:gridCol w:w="844"/>
        <w:gridCol w:w="1163"/>
        <w:gridCol w:w="1237"/>
        <w:gridCol w:w="1246"/>
        <w:gridCol w:w="1923"/>
      </w:tblGrid>
      <w:tr w:rsidR="00597834" w:rsidRPr="00F14CE5" w14:paraId="6271E2D2" w14:textId="77777777" w:rsidTr="00EA5FA3">
        <w:trPr>
          <w:trHeight w:val="340"/>
          <w:jc w:val="center"/>
        </w:trPr>
        <w:tc>
          <w:tcPr>
            <w:tcW w:w="8931" w:type="dxa"/>
            <w:gridSpan w:val="7"/>
            <w:tcBorders>
              <w:left w:val="nil"/>
              <w:bottom w:val="single" w:sz="4" w:space="0" w:color="auto"/>
              <w:right w:val="nil"/>
            </w:tcBorders>
            <w:noWrap/>
            <w:vAlign w:val="bottom"/>
            <w:hideMark/>
          </w:tcPr>
          <w:p w14:paraId="708088EE" w14:textId="77777777" w:rsidR="009F6A64" w:rsidRPr="00F14CE5" w:rsidRDefault="009F6A64" w:rsidP="009F6A64">
            <w:pPr>
              <w:spacing w:after="0" w:line="240" w:lineRule="auto"/>
              <w:jc w:val="center"/>
              <w:rPr>
                <w:rFonts w:ascii="Times New Roman" w:eastAsia="Times New Roman" w:hAnsi="Times New Roman" w:cs="Times New Roman"/>
                <w:b/>
                <w:bCs/>
                <w:iCs/>
                <w:color w:val="0D0D0D" w:themeColor="text1" w:themeTint="F2"/>
                <w:kern w:val="2"/>
                <w:sz w:val="24"/>
                <w:szCs w:val="24"/>
              </w:rPr>
            </w:pPr>
            <w:r w:rsidRPr="00F14CE5">
              <w:rPr>
                <w:rFonts w:ascii="Times New Roman" w:eastAsia="Times New Roman" w:hAnsi="Times New Roman" w:cs="Times New Roman"/>
                <w:b/>
                <w:bCs/>
                <w:iCs/>
                <w:color w:val="0D0D0D" w:themeColor="text1" w:themeTint="F2"/>
                <w:kern w:val="2"/>
                <w:sz w:val="24"/>
                <w:szCs w:val="24"/>
              </w:rPr>
              <w:t>Table 13</w:t>
            </w:r>
          </w:p>
          <w:p w14:paraId="0E11F85E" w14:textId="77777777" w:rsidR="009F6A64" w:rsidRPr="00F14CE5" w:rsidRDefault="009F6A64" w:rsidP="009F6A64">
            <w:pPr>
              <w:spacing w:after="0" w:line="240" w:lineRule="auto"/>
              <w:jc w:val="center"/>
              <w:rPr>
                <w:rFonts w:ascii="Times New Roman" w:eastAsia="Times New Roman" w:hAnsi="Times New Roman" w:cs="Times New Roman"/>
                <w:b/>
                <w:bCs/>
                <w:iCs/>
                <w:color w:val="0D0D0D" w:themeColor="text1" w:themeTint="F2"/>
                <w:kern w:val="2"/>
                <w:sz w:val="24"/>
                <w:szCs w:val="24"/>
              </w:rPr>
            </w:pPr>
            <w:r w:rsidRPr="00F14CE5">
              <w:rPr>
                <w:rFonts w:ascii="Times New Roman" w:eastAsia="Times New Roman" w:hAnsi="Times New Roman" w:cs="Times New Roman"/>
                <w:b/>
                <w:bCs/>
                <w:iCs/>
                <w:color w:val="0D0D0D" w:themeColor="text1" w:themeTint="F2"/>
                <w:kern w:val="2"/>
                <w:sz w:val="24"/>
                <w:szCs w:val="24"/>
              </w:rPr>
              <w:t>Test of Significance of Difference i</w:t>
            </w:r>
            <w:r w:rsidRPr="00F14CE5">
              <w:rPr>
                <w:rFonts w:ascii="Times New Roman" w:eastAsia="Arial" w:hAnsi="Times New Roman" w:cs="Times New Roman"/>
                <w:b/>
                <w:bCs/>
                <w:color w:val="0D0D0D" w:themeColor="text1" w:themeTint="F2"/>
                <w:kern w:val="2"/>
                <w:sz w:val="24"/>
                <w:szCs w:val="24"/>
              </w:rPr>
              <w:t>n the Perceptions of Pre-Service Teachers on the Role of BTVTED Program in Equipping Pre-Service Teachers with Competencies Necessary for Basic Education When Grouped According to Specialization</w:t>
            </w:r>
          </w:p>
        </w:tc>
      </w:tr>
      <w:tr w:rsidR="00597834" w:rsidRPr="00F14CE5" w14:paraId="447706D1" w14:textId="77777777" w:rsidTr="00EA5FA3">
        <w:trPr>
          <w:trHeight w:val="340"/>
          <w:jc w:val="center"/>
        </w:trPr>
        <w:tc>
          <w:tcPr>
            <w:tcW w:w="1073" w:type="dxa"/>
            <w:tcBorders>
              <w:top w:val="single" w:sz="4" w:space="0" w:color="auto"/>
              <w:left w:val="nil"/>
              <w:bottom w:val="single" w:sz="4" w:space="0" w:color="auto"/>
              <w:right w:val="nil"/>
            </w:tcBorders>
            <w:noWrap/>
            <w:vAlign w:val="bottom"/>
            <w:hideMark/>
          </w:tcPr>
          <w:p w14:paraId="461786BA"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r w:rsidRPr="00F14CE5">
              <w:rPr>
                <w:rFonts w:ascii="Times New Roman" w:eastAsia="Times New Roman" w:hAnsi="Times New Roman" w:cs="Times New Roman"/>
                <w:iCs/>
                <w:color w:val="0D0D0D" w:themeColor="text1" w:themeTint="F2"/>
                <w:kern w:val="2"/>
              </w:rPr>
              <w:t>Source of Variation</w:t>
            </w:r>
          </w:p>
        </w:tc>
        <w:tc>
          <w:tcPr>
            <w:tcW w:w="1445" w:type="dxa"/>
            <w:tcBorders>
              <w:top w:val="single" w:sz="4" w:space="0" w:color="auto"/>
              <w:left w:val="nil"/>
              <w:bottom w:val="single" w:sz="4" w:space="0" w:color="auto"/>
              <w:right w:val="nil"/>
            </w:tcBorders>
            <w:noWrap/>
            <w:vAlign w:val="bottom"/>
            <w:hideMark/>
          </w:tcPr>
          <w:p w14:paraId="0F9871C1"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r w:rsidRPr="00F14CE5">
              <w:rPr>
                <w:rFonts w:ascii="Times New Roman" w:eastAsia="Times New Roman" w:hAnsi="Times New Roman" w:cs="Times New Roman"/>
                <w:iCs/>
                <w:color w:val="0D0D0D" w:themeColor="text1" w:themeTint="F2"/>
                <w:kern w:val="2"/>
              </w:rPr>
              <w:t>Sum of Squares</w:t>
            </w:r>
          </w:p>
        </w:tc>
        <w:tc>
          <w:tcPr>
            <w:tcW w:w="844" w:type="dxa"/>
            <w:tcBorders>
              <w:top w:val="single" w:sz="4" w:space="0" w:color="auto"/>
              <w:left w:val="nil"/>
              <w:bottom w:val="single" w:sz="4" w:space="0" w:color="auto"/>
              <w:right w:val="nil"/>
            </w:tcBorders>
            <w:noWrap/>
            <w:vAlign w:val="bottom"/>
            <w:hideMark/>
          </w:tcPr>
          <w:p w14:paraId="6650A6F8"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proofErr w:type="spellStart"/>
            <w:r w:rsidRPr="00F14CE5">
              <w:rPr>
                <w:rFonts w:ascii="Times New Roman" w:eastAsia="Times New Roman" w:hAnsi="Times New Roman" w:cs="Times New Roman"/>
                <w:iCs/>
                <w:color w:val="0D0D0D" w:themeColor="text1" w:themeTint="F2"/>
                <w:kern w:val="2"/>
              </w:rPr>
              <w:t>df</w:t>
            </w:r>
            <w:proofErr w:type="spellEnd"/>
          </w:p>
        </w:tc>
        <w:tc>
          <w:tcPr>
            <w:tcW w:w="1163" w:type="dxa"/>
            <w:tcBorders>
              <w:top w:val="single" w:sz="4" w:space="0" w:color="auto"/>
              <w:left w:val="nil"/>
              <w:bottom w:val="single" w:sz="4" w:space="0" w:color="auto"/>
              <w:right w:val="nil"/>
            </w:tcBorders>
            <w:noWrap/>
            <w:vAlign w:val="bottom"/>
            <w:hideMark/>
          </w:tcPr>
          <w:p w14:paraId="3F22583A"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r w:rsidRPr="00F14CE5">
              <w:rPr>
                <w:rFonts w:ascii="Times New Roman" w:eastAsia="Times New Roman" w:hAnsi="Times New Roman" w:cs="Times New Roman"/>
                <w:iCs/>
                <w:color w:val="0D0D0D" w:themeColor="text1" w:themeTint="F2"/>
                <w:kern w:val="2"/>
              </w:rPr>
              <w:t>Mean Square</w:t>
            </w:r>
          </w:p>
        </w:tc>
        <w:tc>
          <w:tcPr>
            <w:tcW w:w="1237" w:type="dxa"/>
            <w:tcBorders>
              <w:top w:val="single" w:sz="4" w:space="0" w:color="auto"/>
              <w:left w:val="nil"/>
              <w:bottom w:val="single" w:sz="4" w:space="0" w:color="auto"/>
              <w:right w:val="nil"/>
            </w:tcBorders>
            <w:noWrap/>
            <w:vAlign w:val="center"/>
            <w:hideMark/>
          </w:tcPr>
          <w:p w14:paraId="239F84A2"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20"/>
              </w:rPr>
            </w:pPr>
            <w:r w:rsidRPr="00F14CE5">
              <w:rPr>
                <w:rFonts w:ascii="Times New Roman" w:eastAsia="Times New Roman" w:hAnsi="Times New Roman" w:cs="Times New Roman"/>
                <w:iCs/>
                <w:color w:val="0D0D0D" w:themeColor="text1" w:themeTint="F2"/>
                <w:kern w:val="2"/>
                <w:sz w:val="20"/>
              </w:rPr>
              <w:t>F-value</w:t>
            </w:r>
          </w:p>
        </w:tc>
        <w:tc>
          <w:tcPr>
            <w:tcW w:w="1246" w:type="dxa"/>
            <w:tcBorders>
              <w:top w:val="single" w:sz="4" w:space="0" w:color="auto"/>
              <w:left w:val="nil"/>
              <w:bottom w:val="single" w:sz="4" w:space="0" w:color="auto"/>
              <w:right w:val="nil"/>
            </w:tcBorders>
            <w:noWrap/>
            <w:vAlign w:val="center"/>
            <w:hideMark/>
          </w:tcPr>
          <w:p w14:paraId="39B01358"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r w:rsidRPr="00F14CE5">
              <w:rPr>
                <w:rFonts w:ascii="Times New Roman" w:eastAsia="Times New Roman" w:hAnsi="Times New Roman" w:cs="Times New Roman"/>
                <w:iCs/>
                <w:color w:val="0D0D0D" w:themeColor="text1" w:themeTint="F2"/>
                <w:kern w:val="2"/>
              </w:rPr>
              <w:t>p-value</w:t>
            </w:r>
          </w:p>
        </w:tc>
        <w:tc>
          <w:tcPr>
            <w:tcW w:w="1923" w:type="dxa"/>
            <w:tcBorders>
              <w:top w:val="single" w:sz="4" w:space="0" w:color="auto"/>
              <w:left w:val="nil"/>
              <w:bottom w:val="single" w:sz="4" w:space="0" w:color="auto"/>
              <w:right w:val="nil"/>
            </w:tcBorders>
            <w:vAlign w:val="center"/>
          </w:tcPr>
          <w:p w14:paraId="32E2DE4D"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24"/>
                <w:szCs w:val="24"/>
              </w:rPr>
            </w:pPr>
            <w:r w:rsidRPr="00F14CE5">
              <w:rPr>
                <w:rFonts w:ascii="Times New Roman" w:eastAsia="Times New Roman" w:hAnsi="Times New Roman" w:cs="Times New Roman"/>
                <w:iCs/>
                <w:color w:val="0D0D0D" w:themeColor="text1" w:themeTint="F2"/>
                <w:kern w:val="2"/>
                <w:sz w:val="24"/>
                <w:szCs w:val="24"/>
              </w:rPr>
              <w:t>Remarks</w:t>
            </w:r>
          </w:p>
        </w:tc>
      </w:tr>
      <w:tr w:rsidR="00597834" w:rsidRPr="00F14CE5" w14:paraId="3EBA50D3" w14:textId="77777777" w:rsidTr="00EA5FA3">
        <w:trPr>
          <w:trHeight w:val="766"/>
          <w:jc w:val="center"/>
        </w:trPr>
        <w:tc>
          <w:tcPr>
            <w:tcW w:w="1073" w:type="dxa"/>
            <w:tcBorders>
              <w:top w:val="single" w:sz="4" w:space="0" w:color="auto"/>
              <w:left w:val="nil"/>
            </w:tcBorders>
            <w:noWrap/>
            <w:vAlign w:val="center"/>
            <w:hideMark/>
          </w:tcPr>
          <w:p w14:paraId="254D4769"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lastRenderedPageBreak/>
              <w:t>Between Groups</w:t>
            </w:r>
          </w:p>
        </w:tc>
        <w:tc>
          <w:tcPr>
            <w:tcW w:w="1445" w:type="dxa"/>
            <w:tcBorders>
              <w:top w:val="single" w:sz="4" w:space="0" w:color="auto"/>
            </w:tcBorders>
            <w:shd w:val="clear" w:color="auto" w:fill="FFFFFF"/>
            <w:noWrap/>
            <w:hideMark/>
          </w:tcPr>
          <w:p w14:paraId="20B9459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101.960</w:t>
            </w:r>
          </w:p>
        </w:tc>
        <w:tc>
          <w:tcPr>
            <w:tcW w:w="844" w:type="dxa"/>
            <w:tcBorders>
              <w:top w:val="single" w:sz="4" w:space="0" w:color="auto"/>
            </w:tcBorders>
            <w:shd w:val="clear" w:color="auto" w:fill="FFFFFF"/>
            <w:noWrap/>
            <w:hideMark/>
          </w:tcPr>
          <w:p w14:paraId="7EAE648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7</w:t>
            </w:r>
          </w:p>
        </w:tc>
        <w:tc>
          <w:tcPr>
            <w:tcW w:w="1163" w:type="dxa"/>
            <w:tcBorders>
              <w:top w:val="single" w:sz="4" w:space="0" w:color="auto"/>
            </w:tcBorders>
            <w:shd w:val="clear" w:color="auto" w:fill="FFFFFF"/>
            <w:noWrap/>
            <w:hideMark/>
          </w:tcPr>
          <w:p w14:paraId="03545AC1"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14.566</w:t>
            </w:r>
          </w:p>
        </w:tc>
        <w:tc>
          <w:tcPr>
            <w:tcW w:w="1237" w:type="dxa"/>
            <w:tcBorders>
              <w:top w:val="single" w:sz="4" w:space="0" w:color="auto"/>
            </w:tcBorders>
            <w:shd w:val="clear" w:color="auto" w:fill="FFFFFF"/>
            <w:noWrap/>
            <w:hideMark/>
          </w:tcPr>
          <w:p w14:paraId="562A566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0.766</w:t>
            </w:r>
          </w:p>
        </w:tc>
        <w:tc>
          <w:tcPr>
            <w:tcW w:w="1246" w:type="dxa"/>
            <w:tcBorders>
              <w:top w:val="single" w:sz="4" w:space="0" w:color="auto"/>
            </w:tcBorders>
            <w:shd w:val="clear" w:color="auto" w:fill="FFFFFF"/>
            <w:noWrap/>
            <w:hideMark/>
          </w:tcPr>
          <w:p w14:paraId="3140D741"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0.619</w:t>
            </w:r>
          </w:p>
        </w:tc>
        <w:tc>
          <w:tcPr>
            <w:tcW w:w="1923" w:type="dxa"/>
            <w:tcBorders>
              <w:top w:val="single" w:sz="4" w:space="0" w:color="auto"/>
              <w:right w:val="nil"/>
            </w:tcBorders>
            <w:vAlign w:val="center"/>
          </w:tcPr>
          <w:p w14:paraId="1F8EA771"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Not Significant</w:t>
            </w:r>
          </w:p>
        </w:tc>
      </w:tr>
      <w:tr w:rsidR="00597834" w:rsidRPr="00F14CE5" w14:paraId="0F85ED6F" w14:textId="77777777" w:rsidTr="00905E0D">
        <w:trPr>
          <w:trHeight w:val="340"/>
          <w:jc w:val="center"/>
        </w:trPr>
        <w:tc>
          <w:tcPr>
            <w:tcW w:w="1073" w:type="dxa"/>
            <w:tcBorders>
              <w:left w:val="nil"/>
            </w:tcBorders>
            <w:noWrap/>
            <w:vAlign w:val="center"/>
            <w:hideMark/>
          </w:tcPr>
          <w:p w14:paraId="0CBB800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Within Groups</w:t>
            </w:r>
          </w:p>
        </w:tc>
        <w:tc>
          <w:tcPr>
            <w:tcW w:w="1445" w:type="dxa"/>
            <w:shd w:val="clear" w:color="auto" w:fill="FFFFFF"/>
            <w:noWrap/>
            <w:hideMark/>
          </w:tcPr>
          <w:p w14:paraId="102B4A1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798.620</w:t>
            </w:r>
          </w:p>
        </w:tc>
        <w:tc>
          <w:tcPr>
            <w:tcW w:w="844" w:type="dxa"/>
            <w:shd w:val="clear" w:color="auto" w:fill="FFFFFF"/>
            <w:noWrap/>
            <w:hideMark/>
          </w:tcPr>
          <w:p w14:paraId="67C5002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42</w:t>
            </w:r>
          </w:p>
        </w:tc>
        <w:tc>
          <w:tcPr>
            <w:tcW w:w="1163" w:type="dxa"/>
            <w:shd w:val="clear" w:color="auto" w:fill="FFFFFF"/>
            <w:noWrap/>
            <w:hideMark/>
          </w:tcPr>
          <w:p w14:paraId="0BA3EF2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19.015</w:t>
            </w:r>
          </w:p>
        </w:tc>
        <w:tc>
          <w:tcPr>
            <w:tcW w:w="1237" w:type="dxa"/>
            <w:shd w:val="clear" w:color="auto" w:fill="FFFFFF"/>
            <w:noWrap/>
            <w:vAlign w:val="center"/>
            <w:hideMark/>
          </w:tcPr>
          <w:p w14:paraId="2B1A5ED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246" w:type="dxa"/>
            <w:shd w:val="clear" w:color="auto" w:fill="FFFFFF"/>
            <w:noWrap/>
            <w:vAlign w:val="center"/>
            <w:hideMark/>
          </w:tcPr>
          <w:p w14:paraId="2DB6513A"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923" w:type="dxa"/>
            <w:tcBorders>
              <w:right w:val="nil"/>
            </w:tcBorders>
            <w:vAlign w:val="center"/>
          </w:tcPr>
          <w:p w14:paraId="4656EB19"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r>
      <w:tr w:rsidR="00597834" w:rsidRPr="00F14CE5" w14:paraId="2CBC0406" w14:textId="77777777" w:rsidTr="00905E0D">
        <w:trPr>
          <w:trHeight w:val="357"/>
          <w:jc w:val="center"/>
        </w:trPr>
        <w:tc>
          <w:tcPr>
            <w:tcW w:w="1073" w:type="dxa"/>
            <w:tcBorders>
              <w:left w:val="nil"/>
              <w:bottom w:val="single" w:sz="4" w:space="0" w:color="auto"/>
            </w:tcBorders>
            <w:noWrap/>
            <w:vAlign w:val="center"/>
            <w:hideMark/>
          </w:tcPr>
          <w:p w14:paraId="1FF27C84"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Total</w:t>
            </w:r>
          </w:p>
        </w:tc>
        <w:tc>
          <w:tcPr>
            <w:tcW w:w="1445" w:type="dxa"/>
            <w:tcBorders>
              <w:bottom w:val="single" w:sz="4" w:space="0" w:color="auto"/>
            </w:tcBorders>
            <w:shd w:val="clear" w:color="auto" w:fill="FFFFFF"/>
            <w:noWrap/>
            <w:hideMark/>
          </w:tcPr>
          <w:p w14:paraId="349F887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900.580</w:t>
            </w:r>
          </w:p>
        </w:tc>
        <w:tc>
          <w:tcPr>
            <w:tcW w:w="844" w:type="dxa"/>
            <w:tcBorders>
              <w:bottom w:val="single" w:sz="4" w:space="0" w:color="auto"/>
            </w:tcBorders>
            <w:shd w:val="clear" w:color="auto" w:fill="FFFFFF"/>
            <w:noWrap/>
            <w:hideMark/>
          </w:tcPr>
          <w:p w14:paraId="674396D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49</w:t>
            </w:r>
          </w:p>
        </w:tc>
        <w:tc>
          <w:tcPr>
            <w:tcW w:w="1163" w:type="dxa"/>
            <w:tcBorders>
              <w:bottom w:val="single" w:sz="4" w:space="0" w:color="auto"/>
            </w:tcBorders>
            <w:shd w:val="clear" w:color="auto" w:fill="FFFFFF"/>
            <w:noWrap/>
            <w:vAlign w:val="center"/>
            <w:hideMark/>
          </w:tcPr>
          <w:p w14:paraId="26FDE2B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237" w:type="dxa"/>
            <w:tcBorders>
              <w:bottom w:val="single" w:sz="4" w:space="0" w:color="auto"/>
            </w:tcBorders>
            <w:shd w:val="clear" w:color="auto" w:fill="FFFFFF"/>
            <w:noWrap/>
            <w:vAlign w:val="center"/>
            <w:hideMark/>
          </w:tcPr>
          <w:p w14:paraId="74EF339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246" w:type="dxa"/>
            <w:tcBorders>
              <w:bottom w:val="single" w:sz="4" w:space="0" w:color="auto"/>
            </w:tcBorders>
            <w:shd w:val="clear" w:color="auto" w:fill="FFFFFF"/>
            <w:noWrap/>
            <w:vAlign w:val="center"/>
            <w:hideMark/>
          </w:tcPr>
          <w:p w14:paraId="179AE8A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923" w:type="dxa"/>
            <w:tcBorders>
              <w:bottom w:val="single" w:sz="4" w:space="0" w:color="auto"/>
              <w:right w:val="nil"/>
            </w:tcBorders>
            <w:vAlign w:val="center"/>
          </w:tcPr>
          <w:p w14:paraId="2CDCC69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r>
      <w:tr w:rsidR="00597834" w:rsidRPr="00F14CE5" w14:paraId="518F941A" w14:textId="77777777" w:rsidTr="00905E0D">
        <w:trPr>
          <w:trHeight w:val="357"/>
          <w:jc w:val="center"/>
        </w:trPr>
        <w:tc>
          <w:tcPr>
            <w:tcW w:w="8931" w:type="dxa"/>
            <w:gridSpan w:val="7"/>
            <w:tcBorders>
              <w:top w:val="single" w:sz="4" w:space="0" w:color="auto"/>
              <w:left w:val="nil"/>
            </w:tcBorders>
            <w:noWrap/>
            <w:vAlign w:val="center"/>
          </w:tcPr>
          <w:p w14:paraId="2C04DC99" w14:textId="1FAABF58" w:rsidR="00905E0D" w:rsidRPr="00F14CE5" w:rsidRDefault="00905E0D" w:rsidP="00905E0D">
            <w:pPr>
              <w:spacing w:after="0" w:line="240" w:lineRule="auto"/>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sz w:val="18"/>
              </w:rPr>
              <w:t>*significant</w:t>
            </w:r>
            <w:r w:rsidRPr="00F14CE5">
              <w:rPr>
                <w:rFonts w:ascii="Times New Roman" w:hAnsi="Times New Roman" w:cs="Times New Roman"/>
                <w:color w:val="0D0D0D" w:themeColor="text1" w:themeTint="F2"/>
                <w:spacing w:val="-4"/>
                <w:kern w:val="2"/>
                <w:sz w:val="18"/>
              </w:rPr>
              <w:t xml:space="preserve"> </w:t>
            </w:r>
            <w:r w:rsidRPr="00F14CE5">
              <w:rPr>
                <w:rFonts w:ascii="Times New Roman" w:hAnsi="Times New Roman" w:cs="Times New Roman"/>
                <w:color w:val="0D0D0D" w:themeColor="text1" w:themeTint="F2"/>
                <w:kern w:val="2"/>
                <w:sz w:val="18"/>
              </w:rPr>
              <w:t>at</w:t>
            </w:r>
            <w:r w:rsidRPr="00F14CE5">
              <w:rPr>
                <w:rFonts w:ascii="Times New Roman" w:hAnsi="Times New Roman" w:cs="Times New Roman"/>
                <w:color w:val="0D0D0D" w:themeColor="text1" w:themeTint="F2"/>
                <w:spacing w:val="-2"/>
                <w:kern w:val="2"/>
                <w:sz w:val="18"/>
              </w:rPr>
              <w:t xml:space="preserve"> p&lt;0.05</w:t>
            </w:r>
          </w:p>
        </w:tc>
      </w:tr>
    </w:tbl>
    <w:p w14:paraId="23877B32" w14:textId="77777777" w:rsidR="00DA02F8" w:rsidRPr="00F14CE5" w:rsidRDefault="00DA02F8" w:rsidP="00DA02F8">
      <w:pPr>
        <w:widowControl w:val="0"/>
        <w:autoSpaceDE w:val="0"/>
        <w:autoSpaceDN w:val="0"/>
        <w:spacing w:before="159" w:after="0" w:line="240" w:lineRule="auto"/>
        <w:ind w:right="-7" w:firstLine="811"/>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 xml:space="preserve">Table 13 shown that there is no significant difference in the perceptions of pre-service teachers on the role of the BTVTED program in equipping them with competencies necessary for basic education when grouped according to their enrolled programs. The ANOVA test gave a value of (F = 0.766, p = 0.619), which is beyond the 0.05 significance level. This means that the perceptions of the pre-service teachers regarding the BTVTED program equipping them with the necessary competencies required in basic education are not different when grouped according to the enrolled programs. </w:t>
      </w:r>
    </w:p>
    <w:p w14:paraId="48BC24EF" w14:textId="32EC04F8" w:rsidR="00DA02F8" w:rsidRPr="00F14CE5" w:rsidRDefault="009F6A64" w:rsidP="00DA02F8">
      <w:pPr>
        <w:widowControl w:val="0"/>
        <w:autoSpaceDE w:val="0"/>
        <w:autoSpaceDN w:val="0"/>
        <w:spacing w:before="159" w:after="0" w:line="240" w:lineRule="auto"/>
        <w:ind w:right="-7" w:firstLine="811"/>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lang w:val="en-US"/>
        </w:rPr>
        <w:t xml:space="preserve">This finding suggested that the </w:t>
      </w:r>
      <w:r w:rsidR="00DA02F8" w:rsidRPr="00F14CE5">
        <w:rPr>
          <w:rFonts w:ascii="Times New Roman" w:eastAsia="Arial" w:hAnsi="Times New Roman" w:cs="Times New Roman"/>
          <w:color w:val="0D0D0D" w:themeColor="text1" w:themeTint="F2"/>
          <w:sz w:val="24"/>
          <w:szCs w:val="24"/>
        </w:rPr>
        <w:t>BTVTED program provides a similar learning experience for pre-service teachers, regardless of the academic tracks. According to</w:t>
      </w:r>
      <w:r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{"citationID":"xbvDF2p5","properties":{"unsorted":false,"formattedCitation":"(DelaTorre-Diaz et al., 2025)","plainCitation":"(DelaTorre-Diaz et al., 2025)","noteIndex":0},"citationItems":[{"id":"i2yCDwO7/qwidkg36","uris":["http://zotero.org/users/local/3HGLAaLg/items/RWP9U7V3"],"itemData":{"id":70,"type":"article-journal","abstract":"IntroductionThe rapid evolution of technology necessitates the development of advanced computing and data analysis skills in undergraduate education. Standardizing curricula is a strategy to ensure consistent learning outcomes and align educational objectives with industry requirements. This study investigates the impact of a standardized curriculum on students' academic performance and professional certification outcomes.MethodsA quasi-experimental design was used to analyze 1,597 students enrolled in a data analysis course before and after implementing a standardized curriculum at a private university in Mexico City. The study assessed course grades and certification exam scores to evaluate the effectiveness of standardization. Parametric and non-parametric tests were applied to ensure robust analysis.ResultsImplementing the standardized curriculum resulted in a slight decrease in average course grades but significantly improved certification exam scores, exceeding the threshold for certification. The findings highlight enhanced proficiency in data analysis tools and consistency in achieving educational objectives across groups.DiscussionThe results suggest that curriculum standardization effectively addresses teaching methodologies and assessment criteria discrepancies. While increased curriculum difficulty temporarily impacted grades, the improved certification outcomes demonstrate the value of standardization in preparing students for industry demands. These insights provide a foundation for future curriculum development to align academic instruction with the evolving requirements of a technology-driven workforce.","container-title":"Frontiers in Education","DOI":"10.3389/feduc.2025.1537174","ISSN":"2504-284X","journalAbbreviation":"Front. Educ.","language":"English","publisher":"Frontiers","source":"Frontiers","title":"The effectiveness of curriculum standardization in data analysis and tools proficiency for undergraduate education: a case study","title-short":"The effectiveness of curriculum standardization in data analysis and tools proficiency for undergraduate education","URL":"https://www.frontiersin.org/journals/education/articles/10.3389/feduc.2025.1537174/full","volume":"10","author":[{"family":"DelaTorre-Diaz","given":"Lorena"},{"family":"Ramírez-Pérez","given":"Héctor X."},{"family":"Escobar-Castillejos","given":"David"}],"accessed":{"date-parts":[["2026",4,2]]},"issued":{"date-parts":[["2025",4,11]]}}}],"schema":"https://github.com/citation-style-language/schema/raw/master/csl-citation.json"}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(DelaTorre-Diaz et al., 2025)</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lang w:val="en-US"/>
        </w:rPr>
        <w:t xml:space="preserve"> </w:t>
      </w:r>
      <w:r w:rsidR="00DA02F8" w:rsidRPr="00F14CE5">
        <w:rPr>
          <w:rFonts w:ascii="Times New Roman" w:eastAsia="Arial" w:hAnsi="Times New Roman" w:cs="Times New Roman"/>
          <w:color w:val="0D0D0D" w:themeColor="text1" w:themeTint="F2"/>
          <w:sz w:val="24"/>
          <w:szCs w:val="24"/>
        </w:rPr>
        <w:t xml:space="preserve">, structured and aligned curricula help reduce discrepancies in teaching methods and assessments. Consistent perception of the program by the students is a reflection of its successful standardized curriculum. </w:t>
      </w:r>
    </w:p>
    <w:p w14:paraId="36228006" w14:textId="02C7DED4" w:rsidR="008602C5" w:rsidRPr="00F14CE5" w:rsidRDefault="00DA02F8" w:rsidP="00DA02F8">
      <w:pPr>
        <w:widowControl w:val="0"/>
        <w:autoSpaceDE w:val="0"/>
        <w:autoSpaceDN w:val="0"/>
        <w:spacing w:before="159" w:after="0" w:line="240" w:lineRule="auto"/>
        <w:ind w:right="-7" w:firstLine="811"/>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rPr>
        <w:t xml:space="preserve">The implications for program administrators and curriculum planners are significant, being that they can maintain this uniformity while looking for means to improve overall program quality.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{"citationID":"DIxWdwcb","properties":{"unsorted":false,"formattedCitation":"(Johnson et al., 2020)","plainCitation":"(Johnson et al., 2020)","noteIndex":0},"citationItems":[{"id":"i2yCDwO7/JubEXL4T","uris":["http://zotero.org/users/local/3HGLAaLg/items/DX9YLBDS"],"itemData":{"id":72,"type":"article-journal","container-title":"Australian Journal of Teacher Education","DOI":"10.14221/ajte.202v45n11.3","ISSN":"1835-517X","issue":"11","source":"COinS","title":"Curriculum Alignment After Reforms: A Systematic Review with Considerations for Queensland Pre- and In-service Teachers","title-short":"Curriculum Alignment After Reforms","URL":"https://ro.ecu.edu.au/ajte/vol45/iss11/3","volume":"45","author":[{"family":"Johnson","given":"Claudia"},{"family":"Boon","given":"Helen"},{"family":"Thompson","given":"Maree Dinan"}],"issued":{"date-parts":[["2020",1,1]]}}}],"schema":"https://github.com/citation-style-language/schema/raw/master/csl-citation.json"}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(Johnson et al., 2020)</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emphasize that uniformity in curriculum alignment allows educators to focus on identifying areas of continuous improvement and professional development. Theorists argue that such coherency can be fundamental in enabling program planners to develop specific competencies based on individual learner expectations without creating room for bias and variations in learning outcomes, thus boosting overall program effectiveness.</w:t>
      </w:r>
    </w:p>
    <w:p w14:paraId="6C87BE86" w14:textId="27E86928" w:rsidR="004A2164" w:rsidRPr="00F14CE5" w:rsidRDefault="004A2164" w:rsidP="004A2164">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CONCLUSION</w:t>
      </w:r>
    </w:p>
    <w:p w14:paraId="31EE4852" w14:textId="77777777" w:rsidR="00DA02F8" w:rsidRPr="00F14CE5" w:rsidRDefault="009F6A64" w:rsidP="00DA02F8">
      <w:pPr>
        <w:spacing w:before="223" w:line="240" w:lineRule="auto"/>
        <w:ind w:right="-7" w:firstLine="720"/>
        <w:jc w:val="both"/>
        <w:rPr>
          <w:rFonts w:ascii="Times New Roman" w:hAnsi="Times New Roman" w:cs="Times New Roman"/>
          <w:iCs/>
          <w:color w:val="0D0D0D" w:themeColor="text1" w:themeTint="F2"/>
          <w:sz w:val="24"/>
          <w:szCs w:val="24"/>
        </w:rPr>
      </w:pPr>
      <w:r w:rsidRPr="00F14CE5">
        <w:rPr>
          <w:rFonts w:ascii="Times New Roman" w:hAnsi="Times New Roman" w:cs="Times New Roman"/>
          <w:iCs/>
          <w:color w:val="0D0D0D" w:themeColor="text1" w:themeTint="F2"/>
          <w:sz w:val="24"/>
          <w:szCs w:val="24"/>
        </w:rPr>
        <w:t xml:space="preserve">It is concluded that the </w:t>
      </w:r>
      <w:r w:rsidR="00DA02F8" w:rsidRPr="00F14CE5">
        <w:rPr>
          <w:rFonts w:ascii="Times New Roman" w:hAnsi="Times New Roman" w:cs="Times New Roman"/>
          <w:iCs/>
          <w:color w:val="0D0D0D" w:themeColor="text1" w:themeTint="F2"/>
          <w:sz w:val="24"/>
          <w:szCs w:val="24"/>
        </w:rPr>
        <w:t xml:space="preserve">MATATAG Curriculum emphasizes the identified competencies, and the BTVTED program is capable of equipping future teachers with matching skills. The lack of significant difference in groups further confirms the coherence and standardization in teacher education efforts. Notwithstanding, the pre-service teachers acknowledge the importance of promoting the current state of the program constantly to match the changing technology and labor market needs. Emphasizing the professional development, mentorship, and availability of resources remain critical in improving the level of teacher readiness. </w:t>
      </w:r>
    </w:p>
    <w:p w14:paraId="7A45EDC1" w14:textId="465B26DA" w:rsidR="004A2164" w:rsidRPr="00F14CE5" w:rsidRDefault="004A2164" w:rsidP="00DA4C79">
      <w:pPr>
        <w:spacing w:before="223" w:line="240" w:lineRule="auto"/>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ACKNOWLEDGEMENTS</w:t>
      </w:r>
    </w:p>
    <w:p w14:paraId="2950D1C9" w14:textId="209A6F37" w:rsidR="00720B5E" w:rsidRPr="00F14CE5" w:rsidRDefault="00720B5E" w:rsidP="00934218">
      <w:pPr>
        <w:spacing w:before="223" w:line="240" w:lineRule="auto"/>
        <w:ind w:right="-7" w:firstLine="720"/>
        <w:jc w:val="both"/>
        <w:rPr>
          <w:rFonts w:ascii="Times New Roman" w:hAnsi="Times New Roman" w:cs="Times New Roman"/>
          <w:iCs/>
          <w:color w:val="0D0D0D" w:themeColor="text1" w:themeTint="F2"/>
          <w:sz w:val="24"/>
          <w:szCs w:val="24"/>
        </w:rPr>
      </w:pPr>
      <w:r w:rsidRPr="00F14CE5">
        <w:rPr>
          <w:rFonts w:ascii="Times New Roman" w:hAnsi="Times New Roman" w:cs="Times New Roman"/>
          <w:iCs/>
          <w:color w:val="0D0D0D" w:themeColor="text1" w:themeTint="F2"/>
          <w:sz w:val="24"/>
          <w:szCs w:val="24"/>
        </w:rPr>
        <w:t xml:space="preserve">I would like to give my most sincere and profound thanks to my thesis panel members who guided me throughout this study and whose advice and support this research study. Dr. Marjorie B. Aero, Chairman, for her inspiring leadership and valuable suggestions. To Dr. Veronica O. </w:t>
      </w:r>
      <w:proofErr w:type="spellStart"/>
      <w:r w:rsidRPr="00F14CE5">
        <w:rPr>
          <w:rFonts w:ascii="Times New Roman" w:hAnsi="Times New Roman" w:cs="Times New Roman"/>
          <w:iCs/>
          <w:color w:val="0D0D0D" w:themeColor="text1" w:themeTint="F2"/>
          <w:sz w:val="24"/>
          <w:szCs w:val="24"/>
        </w:rPr>
        <w:t>Calasang</w:t>
      </w:r>
      <w:proofErr w:type="spellEnd"/>
      <w:r w:rsidRPr="00F14CE5">
        <w:rPr>
          <w:rFonts w:ascii="Times New Roman" w:hAnsi="Times New Roman" w:cs="Times New Roman"/>
          <w:iCs/>
          <w:color w:val="0D0D0D" w:themeColor="text1" w:themeTint="F2"/>
          <w:sz w:val="24"/>
          <w:szCs w:val="24"/>
        </w:rPr>
        <w:t xml:space="preserve">, Adviser for the knowledge, guidance, expert and sincere advice, patience and the help extended to me in making this study possible. The researcher is also grateful to the distinguished members of the committee: Dr. Reylan G. Capuno, Dr. Randy C. Mangubat, Dr. Anabelle T. Pantaleon, Dr. Raymond C. Espina, and Prof. </w:t>
      </w:r>
      <w:proofErr w:type="spellStart"/>
      <w:r w:rsidRPr="00F14CE5">
        <w:rPr>
          <w:rFonts w:ascii="Times New Roman" w:hAnsi="Times New Roman" w:cs="Times New Roman"/>
          <w:iCs/>
          <w:color w:val="0D0D0D" w:themeColor="text1" w:themeTint="F2"/>
          <w:sz w:val="24"/>
          <w:szCs w:val="24"/>
        </w:rPr>
        <w:t>Janneka</w:t>
      </w:r>
      <w:proofErr w:type="spellEnd"/>
      <w:r w:rsidRPr="00F14CE5">
        <w:rPr>
          <w:rFonts w:ascii="Times New Roman" w:hAnsi="Times New Roman" w:cs="Times New Roman"/>
          <w:iCs/>
          <w:color w:val="0D0D0D" w:themeColor="text1" w:themeTint="F2"/>
          <w:sz w:val="24"/>
          <w:szCs w:val="24"/>
        </w:rPr>
        <w:t xml:space="preserve"> </w:t>
      </w:r>
      <w:proofErr w:type="spellStart"/>
      <w:r w:rsidRPr="00F14CE5">
        <w:rPr>
          <w:rFonts w:ascii="Times New Roman" w:hAnsi="Times New Roman" w:cs="Times New Roman"/>
          <w:iCs/>
          <w:color w:val="0D0D0D" w:themeColor="text1" w:themeTint="F2"/>
          <w:sz w:val="24"/>
          <w:szCs w:val="24"/>
        </w:rPr>
        <w:t>Fae</w:t>
      </w:r>
      <w:proofErr w:type="spellEnd"/>
      <w:r w:rsidRPr="00F14CE5">
        <w:rPr>
          <w:rFonts w:ascii="Times New Roman" w:hAnsi="Times New Roman" w:cs="Times New Roman"/>
          <w:iCs/>
          <w:color w:val="0D0D0D" w:themeColor="text1" w:themeTint="F2"/>
          <w:sz w:val="24"/>
          <w:szCs w:val="24"/>
        </w:rPr>
        <w:t xml:space="preserve"> C. Marsan, thesis committee members for their valuable remarks, critical advice and support to make this study come into reality.</w:t>
      </w:r>
    </w:p>
    <w:p w14:paraId="210A058B" w14:textId="1592C7D7" w:rsidR="004A2164" w:rsidRPr="00F14CE5" w:rsidRDefault="004A2164" w:rsidP="004A2164">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REFERENCES</w:t>
      </w:r>
    </w:p>
    <w:p w14:paraId="3BBA547A" w14:textId="46878688"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color w:val="0D0D0D" w:themeColor="text1" w:themeTint="F2"/>
          <w:sz w:val="24"/>
          <w:szCs w:val="24"/>
        </w:rPr>
        <w:fldChar w:fldCharType="begin"/>
      </w:r>
      <w:r w:rsidRPr="00F14CE5">
        <w:rPr>
          <w:color w:val="0D0D0D" w:themeColor="text1" w:themeTint="F2"/>
          <w:sz w:val="24"/>
          <w:szCs w:val="24"/>
        </w:rPr>
        <w:instrText xml:space="preserve"> ADDIN ZOTERO_BIBL {"uncited":[],"omitted":[],"custom":[]} CSL_BIBLIOGRAPHY </w:instrText>
      </w:r>
      <w:r w:rsidRPr="00F14CE5">
        <w:rPr>
          <w:color w:val="0D0D0D" w:themeColor="text1" w:themeTint="F2"/>
          <w:sz w:val="24"/>
          <w:szCs w:val="24"/>
        </w:rPr>
        <w:fldChar w:fldCharType="separate"/>
      </w:r>
      <w:r w:rsidRPr="00F14CE5">
        <w:rPr>
          <w:rFonts w:ascii="Times New Roman" w:hAnsi="Times New Roman" w:cs="Times New Roman"/>
          <w:color w:val="0D0D0D" w:themeColor="text1" w:themeTint="F2"/>
          <w:sz w:val="24"/>
        </w:rPr>
        <w:t xml:space="preserve">Abao, J., Balaba, C., Cap-atan, M. A., Cosmiano, C., &amp; Mahinay, R. B. (2025). Disparities in Technical and Vocational Education Attrition in the Philippines: From Enrollment to Certification. </w:t>
      </w:r>
      <w:r w:rsidRPr="00F14CE5">
        <w:rPr>
          <w:rFonts w:ascii="Times New Roman" w:hAnsi="Times New Roman" w:cs="Times New Roman"/>
          <w:i/>
          <w:iCs/>
          <w:color w:val="0D0D0D" w:themeColor="text1" w:themeTint="F2"/>
          <w:sz w:val="24"/>
        </w:rPr>
        <w:t>Journal of Interdisciplinary Perspectives</w:t>
      </w:r>
      <w:r w:rsidRPr="00F14CE5">
        <w:rPr>
          <w:rFonts w:ascii="Times New Roman" w:hAnsi="Times New Roman" w:cs="Times New Roman"/>
          <w:color w:val="0D0D0D" w:themeColor="text1" w:themeTint="F2"/>
          <w:sz w:val="24"/>
        </w:rPr>
        <w:t xml:space="preserve">, </w:t>
      </w:r>
      <w:r w:rsidRPr="00F14CE5">
        <w:rPr>
          <w:rFonts w:ascii="Times New Roman" w:hAnsi="Times New Roman" w:cs="Times New Roman"/>
          <w:i/>
          <w:iCs/>
          <w:color w:val="0D0D0D" w:themeColor="text1" w:themeTint="F2"/>
          <w:sz w:val="24"/>
        </w:rPr>
        <w:t>3</w:t>
      </w:r>
      <w:r w:rsidRPr="00F14CE5">
        <w:rPr>
          <w:rFonts w:ascii="Times New Roman" w:hAnsi="Times New Roman" w:cs="Times New Roman"/>
          <w:color w:val="0D0D0D" w:themeColor="text1" w:themeTint="F2"/>
          <w:sz w:val="24"/>
        </w:rPr>
        <w:t xml:space="preserve">(9), 364–373. </w:t>
      </w:r>
    </w:p>
    <w:p w14:paraId="7647A4E2" w14:textId="5840FB3A"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Abela, R., Manaig, M., &amp; Mamolo, L. (2025). Self-Efficacy and Learning Experiences of Preservice Teachers in a State University. </w:t>
      </w:r>
    </w:p>
    <w:p w14:paraId="358D66C4" w14:textId="6868951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lastRenderedPageBreak/>
        <w:t xml:space="preserve">Ali, A. I. H., Bungsu, H. J. H., &amp; Shahrill, M. (2025). Experiential Learning in Action: How Design-Build-Test Projects Impact VTE Students’ Academic Motivation and Learning. </w:t>
      </w:r>
    </w:p>
    <w:p w14:paraId="0CAC4001" w14:textId="0F2DAFC4"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Alinea, J. M., &amp; Reyes, W. (2023). A gender and industry-responsive curriculum model for technical-vocational teacher education program. </w:t>
      </w:r>
    </w:p>
    <w:p w14:paraId="47200ED3" w14:textId="66BC9C16"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Al-Khrisha, S. F., &amp; Mansour, D. O. N. (2021). The Impact of Teaching Vocational Education Using Project-based Learning Strategy on Developing Critical Thinking Skills among 10th_Grade Students. </w:t>
      </w:r>
    </w:p>
    <w:p w14:paraId="33E591CA" w14:textId="6CBCE66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Aytaç, A. (2023). A Study on Teachers’ Perceptions of Curriculum Changes. </w:t>
      </w:r>
      <w:r w:rsidRPr="00F14CE5">
        <w:rPr>
          <w:rFonts w:ascii="Times New Roman" w:hAnsi="Times New Roman" w:cs="Times New Roman"/>
          <w:i/>
          <w:iCs/>
          <w:color w:val="0D0D0D" w:themeColor="text1" w:themeTint="F2"/>
          <w:sz w:val="24"/>
        </w:rPr>
        <w:t>International Journal of Innovative Approaches in Education</w:t>
      </w:r>
      <w:r w:rsidRPr="00F14CE5">
        <w:rPr>
          <w:rFonts w:ascii="Times New Roman" w:hAnsi="Times New Roman" w:cs="Times New Roman"/>
          <w:color w:val="0D0D0D" w:themeColor="text1" w:themeTint="F2"/>
          <w:sz w:val="24"/>
        </w:rPr>
        <w:t xml:space="preserve">, </w:t>
      </w:r>
      <w:r w:rsidRPr="00F14CE5">
        <w:rPr>
          <w:rFonts w:ascii="Times New Roman" w:hAnsi="Times New Roman" w:cs="Times New Roman"/>
          <w:i/>
          <w:iCs/>
          <w:color w:val="0D0D0D" w:themeColor="text1" w:themeTint="F2"/>
          <w:sz w:val="24"/>
        </w:rPr>
        <w:t>7</w:t>
      </w:r>
      <w:r w:rsidRPr="00F14CE5">
        <w:rPr>
          <w:rFonts w:ascii="Times New Roman" w:hAnsi="Times New Roman" w:cs="Times New Roman"/>
          <w:color w:val="0D0D0D" w:themeColor="text1" w:themeTint="F2"/>
          <w:sz w:val="24"/>
        </w:rPr>
        <w:t xml:space="preserve">(1), 28–41. </w:t>
      </w:r>
    </w:p>
    <w:p w14:paraId="0916C3C2" w14:textId="25E1267D"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Bacosa, D. P., &amp; Caballes, D. G. (2022). Teachers’ Practices in Curriculum and Instruction in a Science High School Amidst the Covid-19 Pandemic. </w:t>
      </w:r>
    </w:p>
    <w:p w14:paraId="4960A6FE" w14:textId="498E4E1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Bernas, R. F., &amp; Andal, E. (2024). </w:t>
      </w:r>
      <w:r w:rsidRPr="00F14CE5">
        <w:rPr>
          <w:rFonts w:ascii="Times New Roman" w:hAnsi="Times New Roman" w:cs="Times New Roman"/>
          <w:i/>
          <w:iCs/>
          <w:color w:val="0D0D0D" w:themeColor="text1" w:themeTint="F2"/>
          <w:sz w:val="24"/>
        </w:rPr>
        <w:t>Project-Based Learning Approach, Productive Competence, and Learning Engagement of the Bachelor of Technical-Vocational Teacher Education (BTVTED) Students</w:t>
      </w:r>
      <w:r w:rsidRPr="00F14CE5">
        <w:rPr>
          <w:rFonts w:ascii="Times New Roman" w:hAnsi="Times New Roman" w:cs="Times New Roman"/>
          <w:color w:val="0D0D0D" w:themeColor="text1" w:themeTint="F2"/>
          <w:sz w:val="24"/>
        </w:rPr>
        <w:t>.</w:t>
      </w:r>
    </w:p>
    <w:p w14:paraId="1BF33CFC" w14:textId="7777777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Cabreros, B., &amp; Barbacena, C. (2024). Management Framework for Quality Assurance to Strengthen Technology and TVET Pre-service Teacher Education. </w:t>
      </w:r>
      <w:r w:rsidRPr="00F14CE5">
        <w:rPr>
          <w:rFonts w:ascii="Times New Roman" w:hAnsi="Times New Roman" w:cs="Times New Roman"/>
          <w:i/>
          <w:iCs/>
          <w:color w:val="0D0D0D" w:themeColor="text1" w:themeTint="F2"/>
          <w:sz w:val="24"/>
        </w:rPr>
        <w:t>Journal of Technical Education and Training</w:t>
      </w:r>
      <w:r w:rsidRPr="00F14CE5">
        <w:rPr>
          <w:rFonts w:ascii="Times New Roman" w:hAnsi="Times New Roman" w:cs="Times New Roman"/>
          <w:color w:val="0D0D0D" w:themeColor="text1" w:themeTint="F2"/>
          <w:sz w:val="24"/>
        </w:rPr>
        <w:t xml:space="preserve">, </w:t>
      </w:r>
      <w:r w:rsidRPr="00F14CE5">
        <w:rPr>
          <w:rFonts w:ascii="Times New Roman" w:hAnsi="Times New Roman" w:cs="Times New Roman"/>
          <w:i/>
          <w:iCs/>
          <w:color w:val="0D0D0D" w:themeColor="text1" w:themeTint="F2"/>
          <w:sz w:val="24"/>
        </w:rPr>
        <w:t>16</w:t>
      </w:r>
      <w:r w:rsidRPr="00F14CE5">
        <w:rPr>
          <w:rFonts w:ascii="Times New Roman" w:hAnsi="Times New Roman" w:cs="Times New Roman"/>
          <w:color w:val="0D0D0D" w:themeColor="text1" w:themeTint="F2"/>
          <w:sz w:val="24"/>
        </w:rPr>
        <w:t>(2), 37–54.</w:t>
      </w:r>
    </w:p>
    <w:p w14:paraId="5D7759CD" w14:textId="7357C464"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Clarete, P. M. D., Mondejar, M. A. D., Quimba, N. R. L., &amp; Carlos, J. G. (2023). A Descriptive-Correlational Study on Personality Traits and Entrepreneurial Intentions of Senior High School Learners. </w:t>
      </w:r>
    </w:p>
    <w:p w14:paraId="46BCE789" w14:textId="091614F6"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Cubillas, T. E., Cubillas, A. U., &amp; Matuguina, C. A. (2021). Linking the Extent of Curriculum Contextualization to the Learners’ Level of Academic Achievement: Basis for a Teacher-Training Design. </w:t>
      </w:r>
    </w:p>
    <w:p w14:paraId="580B5958" w14:textId="7777777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Cuya–Antonio, O. C. M., &amp; Gabriel, A. G. (2021). </w:t>
      </w:r>
      <w:r w:rsidRPr="00F14CE5">
        <w:rPr>
          <w:rFonts w:ascii="Times New Roman" w:hAnsi="Times New Roman" w:cs="Times New Roman"/>
          <w:i/>
          <w:iCs/>
          <w:color w:val="0D0D0D" w:themeColor="text1" w:themeTint="F2"/>
          <w:sz w:val="24"/>
        </w:rPr>
        <w:t>ANALYSIS OF THE OCCUPATIONAL SAFETY AND HEALTH PRACTICES OF PUBLIC ORGANIZATION IN THE PHILIPPINES</w:t>
      </w:r>
      <w:r w:rsidRPr="00F14CE5">
        <w:rPr>
          <w:rFonts w:ascii="Times New Roman" w:hAnsi="Times New Roman" w:cs="Times New Roman"/>
          <w:color w:val="0D0D0D" w:themeColor="text1" w:themeTint="F2"/>
          <w:sz w:val="24"/>
        </w:rPr>
        <w:t>.</w:t>
      </w:r>
    </w:p>
    <w:p w14:paraId="466F785C" w14:textId="3257B7C3"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Dayola, Y. M., Kilag, O. K. T., Nogueras, R. H., Cojuangco, F. U., Wagas, H. B., &amp; Uy, F. T. (2024). </w:t>
      </w:r>
      <w:r w:rsidRPr="00F14CE5">
        <w:rPr>
          <w:rFonts w:ascii="Times New Roman" w:hAnsi="Times New Roman" w:cs="Times New Roman"/>
          <w:i/>
          <w:iCs/>
          <w:color w:val="0D0D0D" w:themeColor="text1" w:themeTint="F2"/>
          <w:sz w:val="24"/>
        </w:rPr>
        <w:t>The MATATAG Curriculum:</w:t>
      </w:r>
    </w:p>
    <w:p w14:paraId="3D6930C5" w14:textId="6A318D8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DelaTorre-Diaz, L., Ramírez-Pérez, H. X., &amp; Escobar-Castillejos, D. (2025). The effectiveness of curriculum standardization in data analysis and tools proficiency for undergraduate education: A case study. </w:t>
      </w:r>
      <w:r w:rsidRPr="00F14CE5">
        <w:rPr>
          <w:rFonts w:ascii="Times New Roman" w:hAnsi="Times New Roman" w:cs="Times New Roman"/>
          <w:i/>
          <w:iCs/>
          <w:color w:val="0D0D0D" w:themeColor="text1" w:themeTint="F2"/>
          <w:sz w:val="24"/>
        </w:rPr>
        <w:t>Frontiers in Education</w:t>
      </w:r>
      <w:r w:rsidRPr="00F14CE5">
        <w:rPr>
          <w:rFonts w:ascii="Times New Roman" w:hAnsi="Times New Roman" w:cs="Times New Roman"/>
          <w:color w:val="0D0D0D" w:themeColor="text1" w:themeTint="F2"/>
          <w:sz w:val="24"/>
        </w:rPr>
        <w:t xml:space="preserve">, </w:t>
      </w:r>
      <w:r w:rsidRPr="00F14CE5">
        <w:rPr>
          <w:rFonts w:ascii="Times New Roman" w:hAnsi="Times New Roman" w:cs="Times New Roman"/>
          <w:i/>
          <w:iCs/>
          <w:color w:val="0D0D0D" w:themeColor="text1" w:themeTint="F2"/>
          <w:sz w:val="24"/>
        </w:rPr>
        <w:t>10</w:t>
      </w:r>
      <w:r w:rsidRPr="00F14CE5">
        <w:rPr>
          <w:rFonts w:ascii="Times New Roman" w:hAnsi="Times New Roman" w:cs="Times New Roman"/>
          <w:color w:val="0D0D0D" w:themeColor="text1" w:themeTint="F2"/>
          <w:sz w:val="24"/>
        </w:rPr>
        <w:t xml:space="preserve">. </w:t>
      </w:r>
    </w:p>
    <w:p w14:paraId="0780DD1F" w14:textId="0A0F5E2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Diquito, T. J. (2024). Basic Education Curriculum under the Newly Implemented K to 10 (MATATAG) Curriculum in the Philippines: The Case of Science Education. </w:t>
      </w:r>
    </w:p>
    <w:p w14:paraId="75AFA2C9" w14:textId="0A9B6CB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Dogara, G. (2023). Project-based Learning in Vocational Education: A Bibliometric Approach. </w:t>
      </w:r>
      <w:r w:rsidRPr="00F14CE5">
        <w:rPr>
          <w:rFonts w:ascii="Times New Roman" w:hAnsi="Times New Roman" w:cs="Times New Roman"/>
          <w:i/>
          <w:iCs/>
          <w:color w:val="0D0D0D" w:themeColor="text1" w:themeTint="F2"/>
          <w:sz w:val="24"/>
        </w:rPr>
        <w:t>Project-Based Learning in Vocational Education: A Bibliometric Approach</w:t>
      </w:r>
      <w:r w:rsidRPr="00F14CE5">
        <w:rPr>
          <w:rFonts w:ascii="Times New Roman" w:hAnsi="Times New Roman" w:cs="Times New Roman"/>
          <w:color w:val="0D0D0D" w:themeColor="text1" w:themeTint="F2"/>
          <w:sz w:val="24"/>
        </w:rPr>
        <w:t xml:space="preserve">. </w:t>
      </w:r>
    </w:p>
    <w:p w14:paraId="6E04DF85" w14:textId="07A64F99"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Dumaplin, A. H. (2024). Factors That Influence Technical Vocational Students’ Choice of Specialization in Relation to Their Academic Performance in Deped Division of Sorsogon. </w:t>
      </w:r>
    </w:p>
    <w:p w14:paraId="4BFFDDBD" w14:textId="12484D0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Espiritu, R. D. (2021). Awareness and Competency of Pre-service Teachers on the Philippine Professional Standards for Teachers (Ppst): A Basis for Training Program.</w:t>
      </w:r>
    </w:p>
    <w:p w14:paraId="31EA6F35" w14:textId="7ABF6146"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Estadilla, L. (2025). Occupational Safety and Health Practices of Selected Private Higher Education Institutions in the Philippines.</w:t>
      </w:r>
    </w:p>
    <w:p w14:paraId="09B90C0A" w14:textId="799A24E8"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Estubio, M., &amp; Sarsale, M. (2024). Exploring the Preparedness and Competence Level of Pre-service TVET Teachers Using Knowledge, Skills, and Attitude Model.</w:t>
      </w:r>
    </w:p>
    <w:p w14:paraId="1B0F8F90" w14:textId="2C1DA7CD"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Fiel, S. S., &amp; Sermona, N. L. D. (2024). Assessing Pre-service Teachers’ Level of Technical-vocational and Pedagogical Competencies in Southern Philippines.</w:t>
      </w:r>
    </w:p>
    <w:p w14:paraId="3F033611" w14:textId="08BB2723"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Francisco, J. M., &amp; Jasmin, N. (2023). Evaluating The Philippine TVET Competency Assessment and Certification System Using SERVQUAL Model.</w:t>
      </w:r>
    </w:p>
    <w:p w14:paraId="793E1133" w14:textId="0ED91E0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Gaganao, R. D., &amp; Odon, Ma. G. B. (2024). Teaching proficiency of pre-service secondary teachers in Eastern Samar State University-Salcedo Campus.</w:t>
      </w:r>
    </w:p>
    <w:p w14:paraId="5D26C85D" w14:textId="3A61510D"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Gerodias, A. (2025). Development and Evaluation of Competency-Based Learning Resources for Grade 7 Life Science in the Matatag Curriculum.</w:t>
      </w:r>
    </w:p>
    <w:p w14:paraId="33E174EC" w14:textId="426F322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Johnson, C., Boon, H., &amp; Thompson, M. D. (2020). Curriculum Alignment After Reforms: A Systematic Review with Considerations for Queensland Pre- and In-service Teachers. </w:t>
      </w:r>
    </w:p>
    <w:p w14:paraId="6B4F531B" w14:textId="15B29A01"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Konadu, B. O. (2025). </w:t>
      </w:r>
      <w:r w:rsidRPr="00F14CE5">
        <w:rPr>
          <w:rFonts w:ascii="Times New Roman" w:hAnsi="Times New Roman" w:cs="Times New Roman"/>
          <w:i/>
          <w:iCs/>
          <w:color w:val="0D0D0D" w:themeColor="text1" w:themeTint="F2"/>
          <w:sz w:val="24"/>
        </w:rPr>
        <w:t>Pre-Service Teachers’ Understanding and Perceptions Toward Assessment Literacy: A Systematic Review</w:t>
      </w:r>
    </w:p>
    <w:p w14:paraId="5D3416B0" w14:textId="7FCADCEB"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lastRenderedPageBreak/>
        <w:t xml:space="preserve">Lomeda-Junio, M. M. (2025). Readiness of Bachelor of Technical-Vocational Teacher Education Pre-Service Teachers of Camarines Sur Polytechnic Colleges. </w:t>
      </w:r>
    </w:p>
    <w:p w14:paraId="32573CB9" w14:textId="63ABA2E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Montebon, D. R. (2024). Perceptions of Select Filipino Teachers on the Most Essential Learning Competencies (MELCs) of the K to 12 Curriculum.</w:t>
      </w:r>
    </w:p>
    <w:p w14:paraId="57C1566E" w14:textId="4A955CC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Montilla, E. D. T., Olan, C. L., Oring, M. D. R., &amp; Tagarao, M. (2025). Teachers’ Preparedness For The Matatag Curricu-lum: Implication To Localized Implementation.</w:t>
      </w:r>
    </w:p>
    <w:p w14:paraId="2F1D8FE8" w14:textId="5F14DE23"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Moreno, N. I., Callueng, R. Z., &amp; Portez, A. P. (2025). Exploring Technical Vocational Teacher Education: Inputs To Curriculum Model Development.</w:t>
      </w:r>
    </w:p>
    <w:p w14:paraId="1C2677DF" w14:textId="3E9AC61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Muega-Geronimo, V., &amp; Carlos, M. D. (2023). Gender-based analysis on self-efficacy beliefs of pre-service teachers and their readiness in taking licensure examination.</w:t>
      </w:r>
    </w:p>
    <w:p w14:paraId="0AD16F85" w14:textId="52AF7232"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Osiesi, M. P., &amp; Blignaut, S. (2025). Impact of the teacher education curriculum on the development of 21st-Century skills: Pre-service teachers’ perceptions.</w:t>
      </w:r>
    </w:p>
    <w:p w14:paraId="1FAFFC10" w14:textId="2FBCC753"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Pat, J. D., Tahanlangit, V. R., Macalos, J. C., Balio, M. M., &amp; Naldoza, L. A. (2025). Gender Differences in Co-Curricular Involvement and Academic Performance.</w:t>
      </w:r>
    </w:p>
    <w:p w14:paraId="3D65B4E0" w14:textId="783788DA"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Ramos, R., Asistin, J., Vergara, I., Manalo, B., Gappi, L., &amp; Morfi, T. (2020). THE TPACK CONFIDENCE OF PRE-SERVICE TEACHERS IN SELECTED PHILIPPINE TEACHER EDUCATION INSTITUTIONS.</w:t>
      </w:r>
    </w:p>
    <w:p w14:paraId="01D8BEA9" w14:textId="0589FAE6"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Rubio, J., &amp; Saenz, C. (2023). Pre-Service Teacher Competence in a Teacher Education Institution.</w:t>
      </w:r>
    </w:p>
    <w:p w14:paraId="7316FF3B" w14:textId="196B0C0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Vallente, J., Macalong, J., Gaid, C. C., Paderog, S. U., Ganat, S. A., Villarin, S. J., &amp; Gapol, T. K. S. (2025). Bridging Competency Gaps: A PPST-Aligned Assessment of Pre-Service Teachers at Initao College.</w:t>
      </w:r>
    </w:p>
    <w:p w14:paraId="544A7039" w14:textId="0F477B0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Verano, R. T., &amp; Baguio, J. B. (2025). Future Thinking and Curriculum Coherence among Public Junior High School Teachers.</w:t>
      </w:r>
    </w:p>
    <w:p w14:paraId="057123C1" w14:textId="4D58DE7A" w:rsidR="00F14CE5" w:rsidRPr="00F14CE5" w:rsidRDefault="007D4FDD" w:rsidP="00511F3C">
      <w:pPr>
        <w:spacing w:line="240" w:lineRule="auto"/>
        <w:ind w:left="720"/>
        <w:jc w:val="both"/>
        <w:rPr>
          <w:rFonts w:ascii="Times New Roman" w:hAnsi="Times New Roman" w:cs="Times New Roman"/>
          <w:color w:val="0D0D0D" w:themeColor="text1" w:themeTint="F2"/>
          <w:sz w:val="24"/>
          <w:szCs w:val="24"/>
        </w:rPr>
      </w:pPr>
      <w:r w:rsidRPr="00F14CE5">
        <w:rPr>
          <w:rFonts w:ascii="Times New Roman" w:hAnsi="Times New Roman" w:cs="Times New Roman"/>
          <w:color w:val="0D0D0D" w:themeColor="text1" w:themeTint="F2"/>
          <w:sz w:val="24"/>
          <w:szCs w:val="24"/>
        </w:rPr>
        <w:fldChar w:fldCharType="end"/>
      </w:r>
    </w:p>
    <w:sectPr w:rsidR="00F14CE5" w:rsidRPr="00F14CE5" w:rsidSect="00FF0BEB">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CAC12" w14:textId="77777777" w:rsidR="00F35F34" w:rsidRDefault="00F35F34" w:rsidP="00FF0BEB">
      <w:pPr>
        <w:spacing w:after="0" w:line="240" w:lineRule="auto"/>
      </w:pPr>
      <w:r>
        <w:separator/>
      </w:r>
    </w:p>
  </w:endnote>
  <w:endnote w:type="continuationSeparator" w:id="0">
    <w:p w14:paraId="0BEAF759" w14:textId="77777777" w:rsidR="00F35F34" w:rsidRDefault="00F35F34" w:rsidP="00FF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E93C0" w14:textId="77777777" w:rsidR="00F35F34" w:rsidRDefault="00F35F34" w:rsidP="00FF0BEB">
      <w:pPr>
        <w:spacing w:after="0" w:line="240" w:lineRule="auto"/>
      </w:pPr>
      <w:r>
        <w:separator/>
      </w:r>
    </w:p>
  </w:footnote>
  <w:footnote w:type="continuationSeparator" w:id="0">
    <w:p w14:paraId="7E85BA64" w14:textId="77777777" w:rsidR="00F35F34" w:rsidRDefault="00F35F34" w:rsidP="00FF0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58A"/>
    <w:multiLevelType w:val="hybridMultilevel"/>
    <w:tmpl w:val="A6DCCC26"/>
    <w:lvl w:ilvl="0" w:tplc="4282FAF0">
      <w:start w:val="1"/>
      <w:numFmt w:val="decimal"/>
      <w:lvlText w:val="%1."/>
      <w:lvlJc w:val="left"/>
      <w:pPr>
        <w:ind w:left="720" w:hanging="360"/>
      </w:pPr>
      <w:rPr>
        <w:rFonts w:hint="default"/>
      </w:rPr>
    </w:lvl>
    <w:lvl w:ilvl="1" w:tplc="3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3A335E3"/>
    <w:multiLevelType w:val="hybridMultilevel"/>
    <w:tmpl w:val="85A0D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5E55B81"/>
    <w:multiLevelType w:val="multilevel"/>
    <w:tmpl w:val="05E55B81"/>
    <w:lvl w:ilvl="0">
      <w:start w:val="1"/>
      <w:numFmt w:val="bullet"/>
      <w:lvlText w:val="-"/>
      <w:lvlJc w:val="left"/>
      <w:pPr>
        <w:ind w:left="420" w:hanging="360"/>
      </w:pPr>
      <w:rPr>
        <w:rFonts w:ascii="Arial" w:eastAsiaTheme="minorHAnsi" w:hAnsi="Arial" w:cs="Arial" w:hint="default"/>
        <w:sz w:val="24"/>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
    <w:nsid w:val="1010759A"/>
    <w:multiLevelType w:val="hybridMultilevel"/>
    <w:tmpl w:val="A9629590"/>
    <w:lvl w:ilvl="0" w:tplc="34090001">
      <w:start w:val="1"/>
      <w:numFmt w:val="bullet"/>
      <w:lvlText w:val=""/>
      <w:lvlJc w:val="left"/>
      <w:pPr>
        <w:ind w:left="1430" w:hanging="360"/>
      </w:pPr>
      <w:rPr>
        <w:rFonts w:ascii="Symbol" w:hAnsi="Symbol" w:hint="default"/>
      </w:rPr>
    </w:lvl>
    <w:lvl w:ilvl="1" w:tplc="34090003" w:tentative="1">
      <w:start w:val="1"/>
      <w:numFmt w:val="bullet"/>
      <w:lvlText w:val="o"/>
      <w:lvlJc w:val="left"/>
      <w:pPr>
        <w:ind w:left="2150" w:hanging="360"/>
      </w:pPr>
      <w:rPr>
        <w:rFonts w:ascii="Courier New" w:hAnsi="Courier New" w:cs="Courier New" w:hint="default"/>
      </w:rPr>
    </w:lvl>
    <w:lvl w:ilvl="2" w:tplc="34090005" w:tentative="1">
      <w:start w:val="1"/>
      <w:numFmt w:val="bullet"/>
      <w:lvlText w:val=""/>
      <w:lvlJc w:val="left"/>
      <w:pPr>
        <w:ind w:left="2870" w:hanging="360"/>
      </w:pPr>
      <w:rPr>
        <w:rFonts w:ascii="Wingdings" w:hAnsi="Wingdings" w:hint="default"/>
      </w:rPr>
    </w:lvl>
    <w:lvl w:ilvl="3" w:tplc="34090001" w:tentative="1">
      <w:start w:val="1"/>
      <w:numFmt w:val="bullet"/>
      <w:lvlText w:val=""/>
      <w:lvlJc w:val="left"/>
      <w:pPr>
        <w:ind w:left="3590" w:hanging="360"/>
      </w:pPr>
      <w:rPr>
        <w:rFonts w:ascii="Symbol" w:hAnsi="Symbol" w:hint="default"/>
      </w:rPr>
    </w:lvl>
    <w:lvl w:ilvl="4" w:tplc="34090003" w:tentative="1">
      <w:start w:val="1"/>
      <w:numFmt w:val="bullet"/>
      <w:lvlText w:val="o"/>
      <w:lvlJc w:val="left"/>
      <w:pPr>
        <w:ind w:left="4310" w:hanging="360"/>
      </w:pPr>
      <w:rPr>
        <w:rFonts w:ascii="Courier New" w:hAnsi="Courier New" w:cs="Courier New" w:hint="default"/>
      </w:rPr>
    </w:lvl>
    <w:lvl w:ilvl="5" w:tplc="34090005" w:tentative="1">
      <w:start w:val="1"/>
      <w:numFmt w:val="bullet"/>
      <w:lvlText w:val=""/>
      <w:lvlJc w:val="left"/>
      <w:pPr>
        <w:ind w:left="5030" w:hanging="360"/>
      </w:pPr>
      <w:rPr>
        <w:rFonts w:ascii="Wingdings" w:hAnsi="Wingdings" w:hint="default"/>
      </w:rPr>
    </w:lvl>
    <w:lvl w:ilvl="6" w:tplc="34090001" w:tentative="1">
      <w:start w:val="1"/>
      <w:numFmt w:val="bullet"/>
      <w:lvlText w:val=""/>
      <w:lvlJc w:val="left"/>
      <w:pPr>
        <w:ind w:left="5750" w:hanging="360"/>
      </w:pPr>
      <w:rPr>
        <w:rFonts w:ascii="Symbol" w:hAnsi="Symbol" w:hint="default"/>
      </w:rPr>
    </w:lvl>
    <w:lvl w:ilvl="7" w:tplc="34090003" w:tentative="1">
      <w:start w:val="1"/>
      <w:numFmt w:val="bullet"/>
      <w:lvlText w:val="o"/>
      <w:lvlJc w:val="left"/>
      <w:pPr>
        <w:ind w:left="6470" w:hanging="360"/>
      </w:pPr>
      <w:rPr>
        <w:rFonts w:ascii="Courier New" w:hAnsi="Courier New" w:cs="Courier New" w:hint="default"/>
      </w:rPr>
    </w:lvl>
    <w:lvl w:ilvl="8" w:tplc="34090005" w:tentative="1">
      <w:start w:val="1"/>
      <w:numFmt w:val="bullet"/>
      <w:lvlText w:val=""/>
      <w:lvlJc w:val="left"/>
      <w:pPr>
        <w:ind w:left="7190" w:hanging="360"/>
      </w:pPr>
      <w:rPr>
        <w:rFonts w:ascii="Wingdings" w:hAnsi="Wingdings" w:hint="default"/>
      </w:rPr>
    </w:lvl>
  </w:abstractNum>
  <w:abstractNum w:abstractNumId="4">
    <w:nsid w:val="175E24E6"/>
    <w:multiLevelType w:val="hybridMultilevel"/>
    <w:tmpl w:val="D3F4E6F6"/>
    <w:lvl w:ilvl="0" w:tplc="201E65EA">
      <w:start w:val="16"/>
      <w:numFmt w:val="lowerLetter"/>
      <w:lvlText w:val="%1-"/>
      <w:lvlJc w:val="left"/>
      <w:pPr>
        <w:ind w:left="370" w:hanging="197"/>
      </w:pPr>
      <w:rPr>
        <w:rFonts w:ascii="Arial" w:eastAsia="Arial" w:hAnsi="Arial" w:cs="Arial" w:hint="default"/>
        <w:b w:val="0"/>
        <w:bCs w:val="0"/>
        <w:i w:val="0"/>
        <w:iCs w:val="0"/>
        <w:color w:val="0D0D0D"/>
        <w:spacing w:val="-1"/>
        <w:w w:val="100"/>
        <w:sz w:val="20"/>
        <w:szCs w:val="20"/>
      </w:rPr>
    </w:lvl>
    <w:lvl w:ilvl="1" w:tplc="317A9B64">
      <w:start w:val="1"/>
      <w:numFmt w:val="decimal"/>
      <w:lvlText w:val="%2."/>
      <w:lvlJc w:val="left"/>
      <w:pPr>
        <w:ind w:left="680" w:hanging="305"/>
        <w:jc w:val="right"/>
      </w:pPr>
      <w:rPr>
        <w:rFonts w:ascii="Arial" w:eastAsia="Arial" w:hAnsi="Arial" w:cs="Arial" w:hint="default"/>
        <w:b w:val="0"/>
        <w:bCs w:val="0"/>
        <w:i w:val="0"/>
        <w:iCs w:val="0"/>
        <w:color w:val="0D0D0D"/>
        <w:w w:val="100"/>
        <w:sz w:val="24"/>
        <w:szCs w:val="24"/>
      </w:rPr>
    </w:lvl>
    <w:lvl w:ilvl="2" w:tplc="CAB62546">
      <w:numFmt w:val="bullet"/>
      <w:lvlText w:val="•"/>
      <w:lvlJc w:val="left"/>
      <w:pPr>
        <w:ind w:left="1064" w:hanging="305"/>
      </w:pPr>
      <w:rPr>
        <w:rFonts w:hint="default"/>
      </w:rPr>
    </w:lvl>
    <w:lvl w:ilvl="3" w:tplc="7556DCE6">
      <w:numFmt w:val="bullet"/>
      <w:lvlText w:val="•"/>
      <w:lvlJc w:val="left"/>
      <w:pPr>
        <w:ind w:left="1448" w:hanging="305"/>
      </w:pPr>
      <w:rPr>
        <w:rFonts w:hint="default"/>
      </w:rPr>
    </w:lvl>
    <w:lvl w:ilvl="4" w:tplc="21867226">
      <w:numFmt w:val="bullet"/>
      <w:lvlText w:val="•"/>
      <w:lvlJc w:val="left"/>
      <w:pPr>
        <w:ind w:left="1833" w:hanging="305"/>
      </w:pPr>
      <w:rPr>
        <w:rFonts w:hint="default"/>
      </w:rPr>
    </w:lvl>
    <w:lvl w:ilvl="5" w:tplc="B1D0F260">
      <w:numFmt w:val="bullet"/>
      <w:lvlText w:val="•"/>
      <w:lvlJc w:val="left"/>
      <w:pPr>
        <w:ind w:left="2217" w:hanging="305"/>
      </w:pPr>
      <w:rPr>
        <w:rFonts w:hint="default"/>
      </w:rPr>
    </w:lvl>
    <w:lvl w:ilvl="6" w:tplc="147060A6">
      <w:numFmt w:val="bullet"/>
      <w:lvlText w:val="•"/>
      <w:lvlJc w:val="left"/>
      <w:pPr>
        <w:ind w:left="2602" w:hanging="305"/>
      </w:pPr>
      <w:rPr>
        <w:rFonts w:hint="default"/>
      </w:rPr>
    </w:lvl>
    <w:lvl w:ilvl="7" w:tplc="1D7A5296">
      <w:numFmt w:val="bullet"/>
      <w:lvlText w:val="•"/>
      <w:lvlJc w:val="left"/>
      <w:pPr>
        <w:ind w:left="2986" w:hanging="305"/>
      </w:pPr>
      <w:rPr>
        <w:rFonts w:hint="default"/>
      </w:rPr>
    </w:lvl>
    <w:lvl w:ilvl="8" w:tplc="BB5E9000">
      <w:numFmt w:val="bullet"/>
      <w:lvlText w:val="•"/>
      <w:lvlJc w:val="left"/>
      <w:pPr>
        <w:ind w:left="3371" w:hanging="305"/>
      </w:pPr>
      <w:rPr>
        <w:rFonts w:hint="default"/>
      </w:rPr>
    </w:lvl>
  </w:abstractNum>
  <w:abstractNum w:abstractNumId="5">
    <w:nsid w:val="180E0442"/>
    <w:multiLevelType w:val="multilevel"/>
    <w:tmpl w:val="5938377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6">
    <w:nsid w:val="27D71838"/>
    <w:multiLevelType w:val="multilevel"/>
    <w:tmpl w:val="FFFFFFFF"/>
    <w:lvl w:ilvl="0">
      <w:start w:val="1"/>
      <w:numFmt w:val="decimal"/>
      <w:lvlText w:val="%1"/>
      <w:lvlJc w:val="left"/>
      <w:pPr>
        <w:ind w:left="399" w:hanging="399"/>
      </w:pPr>
      <w:rPr>
        <w:rFonts w:hint="default"/>
      </w:rPr>
    </w:lvl>
    <w:lvl w:ilvl="1">
      <w:start w:val="1"/>
      <w:numFmt w:val="decimal"/>
      <w:lvlText w:val="%1.%2"/>
      <w:lvlJc w:val="left"/>
      <w:pPr>
        <w:ind w:left="759" w:hanging="399"/>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E6A67D0"/>
    <w:multiLevelType w:val="multilevel"/>
    <w:tmpl w:val="2E6A67D0"/>
    <w:lvl w:ilvl="0">
      <w:start w:val="1"/>
      <w:numFmt w:val="bullet"/>
      <w:lvlText w:val="-"/>
      <w:lvlJc w:val="left"/>
      <w:pPr>
        <w:ind w:left="786" w:hanging="360"/>
      </w:pPr>
      <w:rPr>
        <w:rFonts w:ascii="Arial" w:eastAsiaTheme="minorHAnsi" w:hAnsi="Arial" w:cs="Aria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nsid w:val="367977F7"/>
    <w:multiLevelType w:val="multilevel"/>
    <w:tmpl w:val="36797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D0704D"/>
    <w:multiLevelType w:val="hybridMultilevel"/>
    <w:tmpl w:val="F09414C2"/>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0">
    <w:nsid w:val="37FC0FD3"/>
    <w:multiLevelType w:val="hybridMultilevel"/>
    <w:tmpl w:val="8238120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3BBD08EE"/>
    <w:multiLevelType w:val="hybridMultilevel"/>
    <w:tmpl w:val="A7CA7C52"/>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2">
    <w:nsid w:val="3D093E0D"/>
    <w:multiLevelType w:val="hybridMultilevel"/>
    <w:tmpl w:val="C5B2E4D2"/>
    <w:lvl w:ilvl="0" w:tplc="0436E5DC">
      <w:numFmt w:val="bullet"/>
      <w:lvlText w:val="-"/>
      <w:lvlJc w:val="left"/>
      <w:pPr>
        <w:ind w:left="786" w:hanging="360"/>
      </w:pPr>
      <w:rPr>
        <w:rFonts w:ascii="Arial" w:eastAsiaTheme="minorHAnsi" w:hAnsi="Arial" w:cs="Arial" w:hint="default"/>
        <w:b/>
      </w:rPr>
    </w:lvl>
    <w:lvl w:ilvl="1" w:tplc="34090003" w:tentative="1">
      <w:start w:val="1"/>
      <w:numFmt w:val="bullet"/>
      <w:lvlText w:val="o"/>
      <w:lvlJc w:val="left"/>
      <w:pPr>
        <w:ind w:left="1506" w:hanging="360"/>
      </w:pPr>
      <w:rPr>
        <w:rFonts w:ascii="Courier New" w:hAnsi="Courier New" w:cs="Courier New" w:hint="default"/>
      </w:rPr>
    </w:lvl>
    <w:lvl w:ilvl="2" w:tplc="34090005" w:tentative="1">
      <w:start w:val="1"/>
      <w:numFmt w:val="bullet"/>
      <w:lvlText w:val=""/>
      <w:lvlJc w:val="left"/>
      <w:pPr>
        <w:ind w:left="2226" w:hanging="360"/>
      </w:pPr>
      <w:rPr>
        <w:rFonts w:ascii="Wingdings" w:hAnsi="Wingdings" w:hint="default"/>
      </w:rPr>
    </w:lvl>
    <w:lvl w:ilvl="3" w:tplc="34090001" w:tentative="1">
      <w:start w:val="1"/>
      <w:numFmt w:val="bullet"/>
      <w:lvlText w:val=""/>
      <w:lvlJc w:val="left"/>
      <w:pPr>
        <w:ind w:left="2946" w:hanging="360"/>
      </w:pPr>
      <w:rPr>
        <w:rFonts w:ascii="Symbol" w:hAnsi="Symbol" w:hint="default"/>
      </w:rPr>
    </w:lvl>
    <w:lvl w:ilvl="4" w:tplc="34090003" w:tentative="1">
      <w:start w:val="1"/>
      <w:numFmt w:val="bullet"/>
      <w:lvlText w:val="o"/>
      <w:lvlJc w:val="left"/>
      <w:pPr>
        <w:ind w:left="3666" w:hanging="360"/>
      </w:pPr>
      <w:rPr>
        <w:rFonts w:ascii="Courier New" w:hAnsi="Courier New" w:cs="Courier New" w:hint="default"/>
      </w:rPr>
    </w:lvl>
    <w:lvl w:ilvl="5" w:tplc="34090005" w:tentative="1">
      <w:start w:val="1"/>
      <w:numFmt w:val="bullet"/>
      <w:lvlText w:val=""/>
      <w:lvlJc w:val="left"/>
      <w:pPr>
        <w:ind w:left="4386" w:hanging="360"/>
      </w:pPr>
      <w:rPr>
        <w:rFonts w:ascii="Wingdings" w:hAnsi="Wingdings" w:hint="default"/>
      </w:rPr>
    </w:lvl>
    <w:lvl w:ilvl="6" w:tplc="34090001" w:tentative="1">
      <w:start w:val="1"/>
      <w:numFmt w:val="bullet"/>
      <w:lvlText w:val=""/>
      <w:lvlJc w:val="left"/>
      <w:pPr>
        <w:ind w:left="5106" w:hanging="360"/>
      </w:pPr>
      <w:rPr>
        <w:rFonts w:ascii="Symbol" w:hAnsi="Symbol" w:hint="default"/>
      </w:rPr>
    </w:lvl>
    <w:lvl w:ilvl="7" w:tplc="34090003" w:tentative="1">
      <w:start w:val="1"/>
      <w:numFmt w:val="bullet"/>
      <w:lvlText w:val="o"/>
      <w:lvlJc w:val="left"/>
      <w:pPr>
        <w:ind w:left="5826" w:hanging="360"/>
      </w:pPr>
      <w:rPr>
        <w:rFonts w:ascii="Courier New" w:hAnsi="Courier New" w:cs="Courier New" w:hint="default"/>
      </w:rPr>
    </w:lvl>
    <w:lvl w:ilvl="8" w:tplc="34090005" w:tentative="1">
      <w:start w:val="1"/>
      <w:numFmt w:val="bullet"/>
      <w:lvlText w:val=""/>
      <w:lvlJc w:val="left"/>
      <w:pPr>
        <w:ind w:left="6546" w:hanging="360"/>
      </w:pPr>
      <w:rPr>
        <w:rFonts w:ascii="Wingdings" w:hAnsi="Wingdings" w:hint="default"/>
      </w:rPr>
    </w:lvl>
  </w:abstractNum>
  <w:abstractNum w:abstractNumId="13">
    <w:nsid w:val="40B65996"/>
    <w:multiLevelType w:val="hybridMultilevel"/>
    <w:tmpl w:val="448C2E18"/>
    <w:lvl w:ilvl="0" w:tplc="34090001">
      <w:start w:val="1"/>
      <w:numFmt w:val="bullet"/>
      <w:lvlText w:val=""/>
      <w:lvlJc w:val="left"/>
      <w:pPr>
        <w:ind w:left="1800" w:hanging="360"/>
      </w:pPr>
      <w:rPr>
        <w:rFonts w:ascii="Symbol" w:hAnsi="Symbol" w:hint="default"/>
      </w:rPr>
    </w:lvl>
    <w:lvl w:ilvl="1" w:tplc="34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nsid w:val="44E25CCE"/>
    <w:multiLevelType w:val="multilevel"/>
    <w:tmpl w:val="FA564CF2"/>
    <w:lvl w:ilvl="0">
      <w:start w:val="1"/>
      <w:numFmt w:val="decimal"/>
      <w:lvlText w:val="%1."/>
      <w:lvlJc w:val="left"/>
      <w:pPr>
        <w:ind w:left="720" w:hanging="360"/>
      </w:pPr>
      <w:rPr>
        <w:rFonts w:hint="default"/>
      </w:rPr>
    </w:lvl>
    <w:lvl w:ilvl="1">
      <w:start w:val="1"/>
      <w:numFmt w:val="decimal"/>
      <w:isLgl/>
      <w:lvlText w:val="%1.%2"/>
      <w:lvlJc w:val="left"/>
      <w:pPr>
        <w:ind w:left="110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452968A2"/>
    <w:multiLevelType w:val="hybridMultilevel"/>
    <w:tmpl w:val="DB9214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475D0E5E"/>
    <w:multiLevelType w:val="hybridMultilevel"/>
    <w:tmpl w:val="DC7CFA6C"/>
    <w:lvl w:ilvl="0" w:tplc="5DCA67E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4C3E300D"/>
    <w:multiLevelType w:val="hybridMultilevel"/>
    <w:tmpl w:val="5DD89EB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4D76786B"/>
    <w:multiLevelType w:val="hybridMultilevel"/>
    <w:tmpl w:val="48EAAF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53D264E6"/>
    <w:multiLevelType w:val="hybridMultilevel"/>
    <w:tmpl w:val="9B024778"/>
    <w:lvl w:ilvl="0" w:tplc="6EE26394">
      <w:numFmt w:val="bullet"/>
      <w:lvlText w:val="-"/>
      <w:lvlJc w:val="left"/>
      <w:pPr>
        <w:ind w:left="720" w:hanging="360"/>
      </w:pPr>
      <w:rPr>
        <w:rFonts w:ascii="Arial" w:eastAsiaTheme="minorHAnsi" w:hAnsi="Arial" w:cs="Arial"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60D04ACB"/>
    <w:multiLevelType w:val="hybridMultilevel"/>
    <w:tmpl w:val="150E2418"/>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21">
    <w:nsid w:val="64DB7331"/>
    <w:multiLevelType w:val="hybridMultilevel"/>
    <w:tmpl w:val="FF2AAF60"/>
    <w:lvl w:ilvl="0" w:tplc="5DCA67E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nsid w:val="64F14640"/>
    <w:multiLevelType w:val="hybridMultilevel"/>
    <w:tmpl w:val="5DD89E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6830FAF"/>
    <w:multiLevelType w:val="multilevel"/>
    <w:tmpl w:val="FFFFFFFF"/>
    <w:lvl w:ilvl="0">
      <w:start w:val="1"/>
      <w:numFmt w:val="decimal"/>
      <w:lvlText w:val="%1"/>
      <w:lvlJc w:val="left"/>
      <w:pPr>
        <w:ind w:left="586" w:hanging="586"/>
      </w:pPr>
      <w:rPr>
        <w:rFonts w:hint="default"/>
      </w:rPr>
    </w:lvl>
    <w:lvl w:ilvl="1">
      <w:start w:val="1"/>
      <w:numFmt w:val="decimal"/>
      <w:lvlText w:val="%1.%2"/>
      <w:lvlJc w:val="left"/>
      <w:pPr>
        <w:ind w:left="766" w:hanging="58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12"/>
  </w:num>
  <w:num w:numId="2">
    <w:abstractNumId w:val="21"/>
  </w:num>
  <w:num w:numId="3">
    <w:abstractNumId w:val="16"/>
  </w:num>
  <w:num w:numId="4">
    <w:abstractNumId w:val="2"/>
  </w:num>
  <w:num w:numId="5">
    <w:abstractNumId w:val="7"/>
  </w:num>
  <w:num w:numId="6">
    <w:abstractNumId w:val="19"/>
  </w:num>
  <w:num w:numId="7">
    <w:abstractNumId w:val="8"/>
  </w:num>
  <w:num w:numId="8">
    <w:abstractNumId w:val="14"/>
  </w:num>
  <w:num w:numId="9">
    <w:abstractNumId w:val="3"/>
  </w:num>
  <w:num w:numId="10">
    <w:abstractNumId w:val="6"/>
  </w:num>
  <w:num w:numId="11">
    <w:abstractNumId w:val="23"/>
  </w:num>
  <w:num w:numId="12">
    <w:abstractNumId w:val="17"/>
  </w:num>
  <w:num w:numId="13">
    <w:abstractNumId w:val="5"/>
  </w:num>
  <w:num w:numId="14">
    <w:abstractNumId w:val="10"/>
  </w:num>
  <w:num w:numId="15">
    <w:abstractNumId w:val="11"/>
  </w:num>
  <w:num w:numId="16">
    <w:abstractNumId w:val="9"/>
  </w:num>
  <w:num w:numId="17">
    <w:abstractNumId w:val="20"/>
  </w:num>
  <w:num w:numId="18">
    <w:abstractNumId w:val="13"/>
  </w:num>
  <w:num w:numId="19">
    <w:abstractNumId w:val="1"/>
  </w:num>
  <w:num w:numId="20">
    <w:abstractNumId w:val="4"/>
  </w:num>
  <w:num w:numId="21">
    <w:abstractNumId w:val="22"/>
  </w:num>
  <w:num w:numId="22">
    <w:abstractNumId w:val="15"/>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F6"/>
    <w:rsid w:val="000233DF"/>
    <w:rsid w:val="0003204E"/>
    <w:rsid w:val="000352AC"/>
    <w:rsid w:val="000A2868"/>
    <w:rsid w:val="000C3BC1"/>
    <w:rsid w:val="000D6EC1"/>
    <w:rsid w:val="000E30EF"/>
    <w:rsid w:val="00102CAC"/>
    <w:rsid w:val="00133481"/>
    <w:rsid w:val="00135D30"/>
    <w:rsid w:val="00183BD1"/>
    <w:rsid w:val="001E4FA5"/>
    <w:rsid w:val="002211FC"/>
    <w:rsid w:val="00241611"/>
    <w:rsid w:val="00242D5A"/>
    <w:rsid w:val="0024588E"/>
    <w:rsid w:val="00275FE4"/>
    <w:rsid w:val="003223CA"/>
    <w:rsid w:val="00385519"/>
    <w:rsid w:val="003D077E"/>
    <w:rsid w:val="00406EBF"/>
    <w:rsid w:val="00433B0E"/>
    <w:rsid w:val="00454625"/>
    <w:rsid w:val="00476C98"/>
    <w:rsid w:val="00491DBD"/>
    <w:rsid w:val="004A0332"/>
    <w:rsid w:val="004A2164"/>
    <w:rsid w:val="004A4894"/>
    <w:rsid w:val="00505558"/>
    <w:rsid w:val="00511F3C"/>
    <w:rsid w:val="0053254B"/>
    <w:rsid w:val="005847A0"/>
    <w:rsid w:val="005865C1"/>
    <w:rsid w:val="00597834"/>
    <w:rsid w:val="005D5C82"/>
    <w:rsid w:val="005D79ED"/>
    <w:rsid w:val="005E25AC"/>
    <w:rsid w:val="00603C1C"/>
    <w:rsid w:val="00660CA1"/>
    <w:rsid w:val="00682104"/>
    <w:rsid w:val="00684CCD"/>
    <w:rsid w:val="00695AC3"/>
    <w:rsid w:val="0069756A"/>
    <w:rsid w:val="00720B5E"/>
    <w:rsid w:val="00722204"/>
    <w:rsid w:val="00742324"/>
    <w:rsid w:val="00743F80"/>
    <w:rsid w:val="00780BA4"/>
    <w:rsid w:val="00782AE9"/>
    <w:rsid w:val="007A3A6E"/>
    <w:rsid w:val="007D31DF"/>
    <w:rsid w:val="007D4FDD"/>
    <w:rsid w:val="007E79F6"/>
    <w:rsid w:val="00817FDB"/>
    <w:rsid w:val="008602C5"/>
    <w:rsid w:val="00893B10"/>
    <w:rsid w:val="008A16BB"/>
    <w:rsid w:val="008A4200"/>
    <w:rsid w:val="008B15DD"/>
    <w:rsid w:val="008B6901"/>
    <w:rsid w:val="00902EF0"/>
    <w:rsid w:val="00905E0D"/>
    <w:rsid w:val="0093341B"/>
    <w:rsid w:val="00934218"/>
    <w:rsid w:val="00944DF6"/>
    <w:rsid w:val="00956781"/>
    <w:rsid w:val="00962D80"/>
    <w:rsid w:val="00997877"/>
    <w:rsid w:val="009A4872"/>
    <w:rsid w:val="009A74D6"/>
    <w:rsid w:val="009B2BBF"/>
    <w:rsid w:val="009C4AC9"/>
    <w:rsid w:val="009F6A64"/>
    <w:rsid w:val="00A04907"/>
    <w:rsid w:val="00A372DE"/>
    <w:rsid w:val="00A842BA"/>
    <w:rsid w:val="00A95C73"/>
    <w:rsid w:val="00AA2931"/>
    <w:rsid w:val="00AC338B"/>
    <w:rsid w:val="00AF5ADE"/>
    <w:rsid w:val="00B03905"/>
    <w:rsid w:val="00B2166E"/>
    <w:rsid w:val="00B318FF"/>
    <w:rsid w:val="00B327F8"/>
    <w:rsid w:val="00B3333B"/>
    <w:rsid w:val="00B41A72"/>
    <w:rsid w:val="00B7734C"/>
    <w:rsid w:val="00BA17F5"/>
    <w:rsid w:val="00C230C3"/>
    <w:rsid w:val="00C32CBD"/>
    <w:rsid w:val="00C408F3"/>
    <w:rsid w:val="00C86FB9"/>
    <w:rsid w:val="00CB2F7A"/>
    <w:rsid w:val="00CB369D"/>
    <w:rsid w:val="00CC2328"/>
    <w:rsid w:val="00D06ADF"/>
    <w:rsid w:val="00D34366"/>
    <w:rsid w:val="00D42801"/>
    <w:rsid w:val="00D45115"/>
    <w:rsid w:val="00DA02F8"/>
    <w:rsid w:val="00DA4C79"/>
    <w:rsid w:val="00DC43D6"/>
    <w:rsid w:val="00DE113A"/>
    <w:rsid w:val="00E16256"/>
    <w:rsid w:val="00E25EBB"/>
    <w:rsid w:val="00E509CE"/>
    <w:rsid w:val="00E525F2"/>
    <w:rsid w:val="00E7667C"/>
    <w:rsid w:val="00EA5FA3"/>
    <w:rsid w:val="00EC2194"/>
    <w:rsid w:val="00EE0534"/>
    <w:rsid w:val="00F12677"/>
    <w:rsid w:val="00F14CE5"/>
    <w:rsid w:val="00F21774"/>
    <w:rsid w:val="00F2740B"/>
    <w:rsid w:val="00F35F34"/>
    <w:rsid w:val="00F85711"/>
    <w:rsid w:val="00F91012"/>
    <w:rsid w:val="00F9180D"/>
    <w:rsid w:val="00FC663C"/>
    <w:rsid w:val="00FE49B3"/>
    <w:rsid w:val="00FF0BEB"/>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0B"/>
  </w:style>
  <w:style w:type="paragraph" w:styleId="Heading1">
    <w:name w:val="heading 1"/>
    <w:basedOn w:val="Normal"/>
    <w:next w:val="Normal"/>
    <w:link w:val="Heading1Char"/>
    <w:uiPriority w:val="9"/>
    <w:qFormat/>
    <w:rsid w:val="007E7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9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9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9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9F6"/>
    <w:rPr>
      <w:rFonts w:eastAsiaTheme="majorEastAsia" w:cstheme="majorBidi"/>
      <w:color w:val="272727" w:themeColor="text1" w:themeTint="D8"/>
    </w:rPr>
  </w:style>
  <w:style w:type="paragraph" w:styleId="Title">
    <w:name w:val="Title"/>
    <w:basedOn w:val="Normal"/>
    <w:next w:val="Normal"/>
    <w:link w:val="TitleChar"/>
    <w:uiPriority w:val="10"/>
    <w:qFormat/>
    <w:rsid w:val="007E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9F6"/>
    <w:pPr>
      <w:spacing w:before="160"/>
      <w:jc w:val="center"/>
    </w:pPr>
    <w:rPr>
      <w:i/>
      <w:iCs/>
      <w:color w:val="404040" w:themeColor="text1" w:themeTint="BF"/>
    </w:rPr>
  </w:style>
  <w:style w:type="character" w:customStyle="1" w:styleId="QuoteChar">
    <w:name w:val="Quote Char"/>
    <w:basedOn w:val="DefaultParagraphFont"/>
    <w:link w:val="Quote"/>
    <w:uiPriority w:val="29"/>
    <w:rsid w:val="007E79F6"/>
    <w:rPr>
      <w:i/>
      <w:iCs/>
      <w:color w:val="404040" w:themeColor="text1" w:themeTint="BF"/>
    </w:rPr>
  </w:style>
  <w:style w:type="paragraph" w:styleId="ListParagraph">
    <w:name w:val="List Paragraph"/>
    <w:basedOn w:val="Normal"/>
    <w:link w:val="ListParagraphChar"/>
    <w:uiPriority w:val="1"/>
    <w:qFormat/>
    <w:rsid w:val="007E79F6"/>
    <w:pPr>
      <w:ind w:left="720"/>
      <w:contextualSpacing/>
    </w:pPr>
  </w:style>
  <w:style w:type="character" w:styleId="IntenseEmphasis">
    <w:name w:val="Intense Emphasis"/>
    <w:basedOn w:val="DefaultParagraphFont"/>
    <w:uiPriority w:val="21"/>
    <w:qFormat/>
    <w:rsid w:val="007E79F6"/>
    <w:rPr>
      <w:i/>
      <w:iCs/>
      <w:color w:val="2F5496" w:themeColor="accent1" w:themeShade="BF"/>
    </w:rPr>
  </w:style>
  <w:style w:type="paragraph" w:styleId="IntenseQuote">
    <w:name w:val="Intense Quote"/>
    <w:basedOn w:val="Normal"/>
    <w:next w:val="Normal"/>
    <w:link w:val="IntenseQuoteChar"/>
    <w:uiPriority w:val="30"/>
    <w:qFormat/>
    <w:rsid w:val="007E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9F6"/>
    <w:rPr>
      <w:i/>
      <w:iCs/>
      <w:color w:val="2F5496" w:themeColor="accent1" w:themeShade="BF"/>
    </w:rPr>
  </w:style>
  <w:style w:type="character" w:styleId="IntenseReference">
    <w:name w:val="Intense Reference"/>
    <w:basedOn w:val="DefaultParagraphFont"/>
    <w:uiPriority w:val="32"/>
    <w:qFormat/>
    <w:rsid w:val="007E79F6"/>
    <w:rPr>
      <w:b/>
      <w:bCs/>
      <w:smallCaps/>
      <w:color w:val="2F5496" w:themeColor="accent1" w:themeShade="BF"/>
      <w:spacing w:val="5"/>
    </w:rPr>
  </w:style>
  <w:style w:type="paragraph" w:styleId="Header">
    <w:name w:val="header"/>
    <w:basedOn w:val="Normal"/>
    <w:link w:val="HeaderChar"/>
    <w:uiPriority w:val="99"/>
    <w:unhideWhenUsed/>
    <w:rsid w:val="00FF0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EB"/>
  </w:style>
  <w:style w:type="paragraph" w:styleId="Footer">
    <w:name w:val="footer"/>
    <w:basedOn w:val="Normal"/>
    <w:link w:val="FooterChar"/>
    <w:uiPriority w:val="99"/>
    <w:unhideWhenUsed/>
    <w:rsid w:val="00FF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EB"/>
  </w:style>
  <w:style w:type="paragraph" w:styleId="BodyText">
    <w:name w:val="Body Text"/>
    <w:basedOn w:val="Normal"/>
    <w:link w:val="BodyTextChar"/>
    <w:uiPriority w:val="1"/>
    <w:qFormat/>
    <w:rsid w:val="00FF0BE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F0BEB"/>
    <w:rPr>
      <w:rFonts w:ascii="Arial" w:eastAsia="Arial" w:hAnsi="Arial" w:cs="Arial"/>
      <w:sz w:val="24"/>
      <w:szCs w:val="24"/>
      <w:lang w:val="en-US"/>
    </w:rPr>
  </w:style>
  <w:style w:type="numbering" w:customStyle="1" w:styleId="NoList1">
    <w:name w:val="No List1"/>
    <w:next w:val="NoList"/>
    <w:uiPriority w:val="99"/>
    <w:semiHidden/>
    <w:unhideWhenUsed/>
    <w:rsid w:val="009F6A64"/>
  </w:style>
  <w:style w:type="paragraph" w:styleId="NormalWeb">
    <w:name w:val="Normal (Web)"/>
    <w:basedOn w:val="Normal"/>
    <w:uiPriority w:val="99"/>
    <w:semiHidden/>
    <w:unhideWhenUsed/>
    <w:rsid w:val="009F6A64"/>
    <w:rPr>
      <w:rFonts w:ascii="Times New Roman" w:hAnsi="Times New Roman" w:cs="Times New Roman"/>
      <w:kern w:val="2"/>
      <w:sz w:val="24"/>
      <w:szCs w:val="24"/>
    </w:rPr>
  </w:style>
  <w:style w:type="paragraph" w:styleId="NoSpacing">
    <w:name w:val="No Spacing"/>
    <w:aliases w:val="Flor"/>
    <w:link w:val="NoSpacingChar"/>
    <w:uiPriority w:val="1"/>
    <w:qFormat/>
    <w:rsid w:val="009F6A64"/>
    <w:pPr>
      <w:spacing w:after="0" w:line="240" w:lineRule="auto"/>
    </w:pPr>
    <w:rPr>
      <w:kern w:val="2"/>
    </w:rPr>
  </w:style>
  <w:style w:type="character" w:customStyle="1" w:styleId="NoSpacingChar">
    <w:name w:val="No Spacing Char"/>
    <w:aliases w:val="Flor Char"/>
    <w:link w:val="NoSpacing"/>
    <w:uiPriority w:val="1"/>
    <w:qFormat/>
    <w:rsid w:val="009F6A64"/>
    <w:rPr>
      <w:kern w:val="2"/>
    </w:rPr>
  </w:style>
  <w:style w:type="character" w:customStyle="1" w:styleId="ListParagraphChar">
    <w:name w:val="List Paragraph Char"/>
    <w:link w:val="ListParagraph"/>
    <w:uiPriority w:val="1"/>
    <w:locked/>
    <w:rsid w:val="009F6A64"/>
  </w:style>
  <w:style w:type="character" w:styleId="Hyperlink">
    <w:name w:val="Hyperlink"/>
    <w:basedOn w:val="DefaultParagraphFont"/>
    <w:uiPriority w:val="99"/>
    <w:unhideWhenUsed/>
    <w:rsid w:val="009F6A64"/>
    <w:rPr>
      <w:color w:val="0563C1" w:themeColor="hyperlink"/>
      <w:u w:val="single"/>
    </w:rPr>
  </w:style>
  <w:style w:type="character" w:customStyle="1" w:styleId="UnresolvedMention">
    <w:name w:val="Unresolved Mention"/>
    <w:basedOn w:val="DefaultParagraphFont"/>
    <w:uiPriority w:val="99"/>
    <w:semiHidden/>
    <w:unhideWhenUsed/>
    <w:rsid w:val="009F6A64"/>
    <w:rPr>
      <w:color w:val="605E5C"/>
      <w:shd w:val="clear" w:color="auto" w:fill="E1DFDD"/>
    </w:rPr>
  </w:style>
  <w:style w:type="paragraph" w:styleId="Bibliography">
    <w:name w:val="Bibliography"/>
    <w:basedOn w:val="Normal"/>
    <w:next w:val="Normal"/>
    <w:uiPriority w:val="37"/>
    <w:unhideWhenUsed/>
    <w:rsid w:val="009F6A64"/>
    <w:pPr>
      <w:spacing w:after="0" w:line="480" w:lineRule="auto"/>
      <w:ind w:left="720" w:hanging="720"/>
    </w:pPr>
    <w:rPr>
      <w:kern w:val="2"/>
    </w:rPr>
  </w:style>
  <w:style w:type="table" w:styleId="TableGrid">
    <w:name w:val="Table Grid"/>
    <w:basedOn w:val="TableNormal"/>
    <w:uiPriority w:val="39"/>
    <w:qFormat/>
    <w:rsid w:val="009F6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F6A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6A64"/>
    <w:pPr>
      <w:widowControl w:val="0"/>
      <w:autoSpaceDE w:val="0"/>
      <w:autoSpaceDN w:val="0"/>
      <w:spacing w:after="0" w:line="240" w:lineRule="auto"/>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0B"/>
  </w:style>
  <w:style w:type="paragraph" w:styleId="Heading1">
    <w:name w:val="heading 1"/>
    <w:basedOn w:val="Normal"/>
    <w:next w:val="Normal"/>
    <w:link w:val="Heading1Char"/>
    <w:uiPriority w:val="9"/>
    <w:qFormat/>
    <w:rsid w:val="007E7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9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9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9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9F6"/>
    <w:rPr>
      <w:rFonts w:eastAsiaTheme="majorEastAsia" w:cstheme="majorBidi"/>
      <w:color w:val="272727" w:themeColor="text1" w:themeTint="D8"/>
    </w:rPr>
  </w:style>
  <w:style w:type="paragraph" w:styleId="Title">
    <w:name w:val="Title"/>
    <w:basedOn w:val="Normal"/>
    <w:next w:val="Normal"/>
    <w:link w:val="TitleChar"/>
    <w:uiPriority w:val="10"/>
    <w:qFormat/>
    <w:rsid w:val="007E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9F6"/>
    <w:pPr>
      <w:spacing w:before="160"/>
      <w:jc w:val="center"/>
    </w:pPr>
    <w:rPr>
      <w:i/>
      <w:iCs/>
      <w:color w:val="404040" w:themeColor="text1" w:themeTint="BF"/>
    </w:rPr>
  </w:style>
  <w:style w:type="character" w:customStyle="1" w:styleId="QuoteChar">
    <w:name w:val="Quote Char"/>
    <w:basedOn w:val="DefaultParagraphFont"/>
    <w:link w:val="Quote"/>
    <w:uiPriority w:val="29"/>
    <w:rsid w:val="007E79F6"/>
    <w:rPr>
      <w:i/>
      <w:iCs/>
      <w:color w:val="404040" w:themeColor="text1" w:themeTint="BF"/>
    </w:rPr>
  </w:style>
  <w:style w:type="paragraph" w:styleId="ListParagraph">
    <w:name w:val="List Paragraph"/>
    <w:basedOn w:val="Normal"/>
    <w:link w:val="ListParagraphChar"/>
    <w:uiPriority w:val="1"/>
    <w:qFormat/>
    <w:rsid w:val="007E79F6"/>
    <w:pPr>
      <w:ind w:left="720"/>
      <w:contextualSpacing/>
    </w:pPr>
  </w:style>
  <w:style w:type="character" w:styleId="IntenseEmphasis">
    <w:name w:val="Intense Emphasis"/>
    <w:basedOn w:val="DefaultParagraphFont"/>
    <w:uiPriority w:val="21"/>
    <w:qFormat/>
    <w:rsid w:val="007E79F6"/>
    <w:rPr>
      <w:i/>
      <w:iCs/>
      <w:color w:val="2F5496" w:themeColor="accent1" w:themeShade="BF"/>
    </w:rPr>
  </w:style>
  <w:style w:type="paragraph" w:styleId="IntenseQuote">
    <w:name w:val="Intense Quote"/>
    <w:basedOn w:val="Normal"/>
    <w:next w:val="Normal"/>
    <w:link w:val="IntenseQuoteChar"/>
    <w:uiPriority w:val="30"/>
    <w:qFormat/>
    <w:rsid w:val="007E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9F6"/>
    <w:rPr>
      <w:i/>
      <w:iCs/>
      <w:color w:val="2F5496" w:themeColor="accent1" w:themeShade="BF"/>
    </w:rPr>
  </w:style>
  <w:style w:type="character" w:styleId="IntenseReference">
    <w:name w:val="Intense Reference"/>
    <w:basedOn w:val="DefaultParagraphFont"/>
    <w:uiPriority w:val="32"/>
    <w:qFormat/>
    <w:rsid w:val="007E79F6"/>
    <w:rPr>
      <w:b/>
      <w:bCs/>
      <w:smallCaps/>
      <w:color w:val="2F5496" w:themeColor="accent1" w:themeShade="BF"/>
      <w:spacing w:val="5"/>
    </w:rPr>
  </w:style>
  <w:style w:type="paragraph" w:styleId="Header">
    <w:name w:val="header"/>
    <w:basedOn w:val="Normal"/>
    <w:link w:val="HeaderChar"/>
    <w:uiPriority w:val="99"/>
    <w:unhideWhenUsed/>
    <w:rsid w:val="00FF0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EB"/>
  </w:style>
  <w:style w:type="paragraph" w:styleId="Footer">
    <w:name w:val="footer"/>
    <w:basedOn w:val="Normal"/>
    <w:link w:val="FooterChar"/>
    <w:uiPriority w:val="99"/>
    <w:unhideWhenUsed/>
    <w:rsid w:val="00FF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EB"/>
  </w:style>
  <w:style w:type="paragraph" w:styleId="BodyText">
    <w:name w:val="Body Text"/>
    <w:basedOn w:val="Normal"/>
    <w:link w:val="BodyTextChar"/>
    <w:uiPriority w:val="1"/>
    <w:qFormat/>
    <w:rsid w:val="00FF0BE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F0BEB"/>
    <w:rPr>
      <w:rFonts w:ascii="Arial" w:eastAsia="Arial" w:hAnsi="Arial" w:cs="Arial"/>
      <w:sz w:val="24"/>
      <w:szCs w:val="24"/>
      <w:lang w:val="en-US"/>
    </w:rPr>
  </w:style>
  <w:style w:type="numbering" w:customStyle="1" w:styleId="NoList1">
    <w:name w:val="No List1"/>
    <w:next w:val="NoList"/>
    <w:uiPriority w:val="99"/>
    <w:semiHidden/>
    <w:unhideWhenUsed/>
    <w:rsid w:val="009F6A64"/>
  </w:style>
  <w:style w:type="paragraph" w:styleId="NormalWeb">
    <w:name w:val="Normal (Web)"/>
    <w:basedOn w:val="Normal"/>
    <w:uiPriority w:val="99"/>
    <w:semiHidden/>
    <w:unhideWhenUsed/>
    <w:rsid w:val="009F6A64"/>
    <w:rPr>
      <w:rFonts w:ascii="Times New Roman" w:hAnsi="Times New Roman" w:cs="Times New Roman"/>
      <w:kern w:val="2"/>
      <w:sz w:val="24"/>
      <w:szCs w:val="24"/>
    </w:rPr>
  </w:style>
  <w:style w:type="paragraph" w:styleId="NoSpacing">
    <w:name w:val="No Spacing"/>
    <w:aliases w:val="Flor"/>
    <w:link w:val="NoSpacingChar"/>
    <w:uiPriority w:val="1"/>
    <w:qFormat/>
    <w:rsid w:val="009F6A64"/>
    <w:pPr>
      <w:spacing w:after="0" w:line="240" w:lineRule="auto"/>
    </w:pPr>
    <w:rPr>
      <w:kern w:val="2"/>
    </w:rPr>
  </w:style>
  <w:style w:type="character" w:customStyle="1" w:styleId="NoSpacingChar">
    <w:name w:val="No Spacing Char"/>
    <w:aliases w:val="Flor Char"/>
    <w:link w:val="NoSpacing"/>
    <w:uiPriority w:val="1"/>
    <w:qFormat/>
    <w:rsid w:val="009F6A64"/>
    <w:rPr>
      <w:kern w:val="2"/>
    </w:rPr>
  </w:style>
  <w:style w:type="character" w:customStyle="1" w:styleId="ListParagraphChar">
    <w:name w:val="List Paragraph Char"/>
    <w:link w:val="ListParagraph"/>
    <w:uiPriority w:val="1"/>
    <w:locked/>
    <w:rsid w:val="009F6A64"/>
  </w:style>
  <w:style w:type="character" w:styleId="Hyperlink">
    <w:name w:val="Hyperlink"/>
    <w:basedOn w:val="DefaultParagraphFont"/>
    <w:uiPriority w:val="99"/>
    <w:unhideWhenUsed/>
    <w:rsid w:val="009F6A64"/>
    <w:rPr>
      <w:color w:val="0563C1" w:themeColor="hyperlink"/>
      <w:u w:val="single"/>
    </w:rPr>
  </w:style>
  <w:style w:type="character" w:customStyle="1" w:styleId="UnresolvedMention">
    <w:name w:val="Unresolved Mention"/>
    <w:basedOn w:val="DefaultParagraphFont"/>
    <w:uiPriority w:val="99"/>
    <w:semiHidden/>
    <w:unhideWhenUsed/>
    <w:rsid w:val="009F6A64"/>
    <w:rPr>
      <w:color w:val="605E5C"/>
      <w:shd w:val="clear" w:color="auto" w:fill="E1DFDD"/>
    </w:rPr>
  </w:style>
  <w:style w:type="paragraph" w:styleId="Bibliography">
    <w:name w:val="Bibliography"/>
    <w:basedOn w:val="Normal"/>
    <w:next w:val="Normal"/>
    <w:uiPriority w:val="37"/>
    <w:unhideWhenUsed/>
    <w:rsid w:val="009F6A64"/>
    <w:pPr>
      <w:spacing w:after="0" w:line="480" w:lineRule="auto"/>
      <w:ind w:left="720" w:hanging="720"/>
    </w:pPr>
    <w:rPr>
      <w:kern w:val="2"/>
    </w:rPr>
  </w:style>
  <w:style w:type="table" w:styleId="TableGrid">
    <w:name w:val="Table Grid"/>
    <w:basedOn w:val="TableNormal"/>
    <w:uiPriority w:val="39"/>
    <w:qFormat/>
    <w:rsid w:val="009F6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F6A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6A6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21763</Words>
  <Characters>124050</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dc:creator>
  <cp:keywords/>
  <dc:description/>
  <cp:lastModifiedBy>qwert</cp:lastModifiedBy>
  <cp:revision>3</cp:revision>
  <dcterms:created xsi:type="dcterms:W3CDTF">2026-04-23T03:23:00Z</dcterms:created>
  <dcterms:modified xsi:type="dcterms:W3CDTF">2026-04-23T15:49:00Z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id="i2yCDwO7"/&gt;&lt;style id="http://www.zotero.org/styles/apa" locale="en-US" hasBibliography="1" bibliographyStyleHasBeenSet="1"/&gt;&lt;prefs&gt;&lt;pref name="fieldType" value="Field"/&gt;&lt;/prefs&gt;&lt;/data&gt;</vt:lpwstr>
  </property>
</Properties>
</file>