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DFBFF2" w14:textId="2294ECD0" w:rsidR="00F82167" w:rsidRPr="001C5B56" w:rsidRDefault="00F82167" w:rsidP="00F82167">
      <w:pPr>
        <w:spacing w:after="240"/>
        <w:jc w:val="center"/>
        <w:rPr>
          <w:b/>
          <w:bCs/>
          <w:sz w:val="36"/>
          <w:szCs w:val="36"/>
        </w:rPr>
      </w:pPr>
      <w:r w:rsidRPr="001C5B56">
        <w:rPr>
          <w:b/>
          <w:bCs/>
          <w:sz w:val="36"/>
          <w:szCs w:val="36"/>
        </w:rPr>
        <w:t xml:space="preserve">Impact of </w:t>
      </w:r>
      <w:r>
        <w:rPr>
          <w:b/>
          <w:bCs/>
          <w:sz w:val="36"/>
          <w:szCs w:val="36"/>
        </w:rPr>
        <w:t>Financial Technology on the Performance of Commercial Banks in Nigeria</w:t>
      </w:r>
    </w:p>
    <w:p w14:paraId="46446FA2" w14:textId="2AA71074" w:rsidR="00825162" w:rsidRPr="00464E96" w:rsidRDefault="00F82167" w:rsidP="00464E96">
      <w:pPr>
        <w:spacing w:after="240"/>
        <w:jc w:val="both"/>
      </w:pPr>
      <w:bookmarkStart w:id="0" w:name="_GoBack"/>
      <w:bookmarkEnd w:id="0"/>
      <w:r w:rsidRPr="00464E96">
        <w:rPr>
          <w:b/>
          <w:bCs/>
        </w:rPr>
        <w:t>ABSTRACT</w:t>
      </w:r>
      <w:r w:rsidR="001E42E6">
        <w:rPr>
          <w:b/>
          <w:bCs/>
        </w:rPr>
        <w:t xml:space="preserve"> </w:t>
      </w:r>
    </w:p>
    <w:p w14:paraId="20D6BAC9" w14:textId="254DC6EE" w:rsidR="006D6D07" w:rsidRPr="00464E96" w:rsidRDefault="006D6D07" w:rsidP="006D6D07">
      <w:pPr>
        <w:spacing w:after="160" w:line="278" w:lineRule="auto"/>
        <w:jc w:val="both"/>
        <w:rPr>
          <w:i/>
          <w:iCs/>
        </w:rPr>
      </w:pPr>
      <w:r w:rsidRPr="00B80ECF">
        <w:rPr>
          <w:i/>
          <w:iCs/>
        </w:rPr>
        <w:t>The growth and penetration of financial technology (FinTech) are instrumental to achieving universal financial inclusion and integrating the unbanked population into the financial system. However, this development has intensified competition between traditional and agency bank</w:t>
      </w:r>
      <w:r w:rsidRPr="00464E96">
        <w:rPr>
          <w:i/>
          <w:iCs/>
        </w:rPr>
        <w:t>s</w:t>
      </w:r>
      <w:r w:rsidRPr="00B80ECF">
        <w:rPr>
          <w:i/>
          <w:iCs/>
        </w:rPr>
        <w:t>, thereby posing a threat to the performance of commercial banks. This context has motivated several existing studies examining the impact of FinTech on the performance of commercial banks, although notable econometric shortcomings persist in the literature. Against this backdrop, this study employs robust analytical techniques that have been inadequately utilized in prior research.</w:t>
      </w:r>
      <w:r w:rsidRPr="00464E96">
        <w:rPr>
          <w:i/>
          <w:iCs/>
        </w:rPr>
        <w:t xml:space="preserve"> </w:t>
      </w:r>
      <w:r w:rsidRPr="00B80ECF">
        <w:rPr>
          <w:i/>
          <w:iCs/>
        </w:rPr>
        <w:t xml:space="preserve">An ex-post facto research design was adopted, using annual time series data spanning from 2012 to 2025. The variables considered include Return on Assets (ROA) as the </w:t>
      </w:r>
      <w:r w:rsidRPr="00464E96">
        <w:rPr>
          <w:i/>
          <w:iCs/>
        </w:rPr>
        <w:t>regressand</w:t>
      </w:r>
      <w:r w:rsidRPr="00B80ECF">
        <w:rPr>
          <w:i/>
          <w:iCs/>
        </w:rPr>
        <w:t>, while Automated Teller Machines (ATM), Point of Sale (POS), and Mobile Banking (MB) serve as</w:t>
      </w:r>
      <w:r w:rsidRPr="00464E96">
        <w:rPr>
          <w:i/>
          <w:iCs/>
        </w:rPr>
        <w:t xml:space="preserve"> regressors</w:t>
      </w:r>
      <w:r w:rsidRPr="00B80ECF">
        <w:rPr>
          <w:i/>
          <w:iCs/>
        </w:rPr>
        <w:t>. To determine the appropriate estimation technique, a unit root test was conducted, revealing a mixed order of integration at I(0) and I(1), while the F-bound test confirmed the existence of a cointegrating relationshi</w:t>
      </w:r>
      <w:r w:rsidRPr="00464E96">
        <w:rPr>
          <w:i/>
          <w:iCs/>
        </w:rPr>
        <w:t>p in</w:t>
      </w:r>
      <w:r w:rsidRPr="00B80ECF">
        <w:rPr>
          <w:i/>
          <w:iCs/>
        </w:rPr>
        <w:t xml:space="preserve"> the </w:t>
      </w:r>
      <w:r w:rsidRPr="00464E96">
        <w:rPr>
          <w:i/>
          <w:iCs/>
        </w:rPr>
        <w:t>model</w:t>
      </w:r>
      <w:r w:rsidRPr="00B80ECF">
        <w:rPr>
          <w:i/>
          <w:iCs/>
        </w:rPr>
        <w:t>. Given this mixed order of integration, the Auto Regressive Distributed Lag (ARDL) model was employed,</w:t>
      </w:r>
      <w:r w:rsidRPr="00464E96">
        <w:rPr>
          <w:i/>
          <w:iCs/>
        </w:rPr>
        <w:t xml:space="preserve"> but the cointegrating relationship established suggests estimation of</w:t>
      </w:r>
      <w:r w:rsidRPr="00B80ECF">
        <w:rPr>
          <w:i/>
          <w:iCs/>
        </w:rPr>
        <w:t xml:space="preserve"> Error Correction Mechanism (ECM) to </w:t>
      </w:r>
      <w:r w:rsidRPr="00464E96">
        <w:rPr>
          <w:i/>
          <w:iCs/>
        </w:rPr>
        <w:t>address</w:t>
      </w:r>
      <w:r w:rsidRPr="00B80ECF">
        <w:rPr>
          <w:i/>
          <w:iCs/>
        </w:rPr>
        <w:t xml:space="preserve"> disequilibrium</w:t>
      </w:r>
      <w:r w:rsidRPr="00464E96">
        <w:rPr>
          <w:i/>
          <w:iCs/>
        </w:rPr>
        <w:t xml:space="preserve"> in the model. </w:t>
      </w:r>
      <w:r w:rsidRPr="00B80ECF">
        <w:rPr>
          <w:i/>
          <w:iCs/>
        </w:rPr>
        <w:t xml:space="preserve">The ECM results indicate that ATM and MB exert a significant positive impact on the performance of commercial banks in the short run, while POS demonstrates a positive but statistically insignificant effect during the period under review. In the long run, however, only MB maintains a significant positive impact, whereas ATM and POS exhibit negative but insignificant </w:t>
      </w:r>
      <w:r w:rsidRPr="00464E96">
        <w:rPr>
          <w:i/>
          <w:iCs/>
        </w:rPr>
        <w:t>impact</w:t>
      </w:r>
      <w:r w:rsidRPr="00B80ECF">
        <w:rPr>
          <w:i/>
          <w:iCs/>
        </w:rPr>
        <w:t xml:space="preserve"> on </w:t>
      </w:r>
      <w:r w:rsidRPr="00464E96">
        <w:rPr>
          <w:i/>
          <w:iCs/>
        </w:rPr>
        <w:t xml:space="preserve">commercial </w:t>
      </w:r>
      <w:r w:rsidRPr="00B80ECF">
        <w:rPr>
          <w:i/>
          <w:iCs/>
        </w:rPr>
        <w:t>bank</w:t>
      </w:r>
      <w:r w:rsidRPr="00464E96">
        <w:rPr>
          <w:i/>
          <w:iCs/>
        </w:rPr>
        <w:t>s’</w:t>
      </w:r>
      <w:r w:rsidRPr="00B80ECF">
        <w:rPr>
          <w:i/>
          <w:iCs/>
        </w:rPr>
        <w:t xml:space="preserve"> performance in Nigeria. These findings suggest that although FinTech contributes positively </w:t>
      </w:r>
      <w:r w:rsidR="00C2089E" w:rsidRPr="00B80ECF">
        <w:rPr>
          <w:i/>
          <w:iCs/>
        </w:rPr>
        <w:t>to</w:t>
      </w:r>
      <w:r w:rsidRPr="00B80ECF">
        <w:rPr>
          <w:i/>
          <w:iCs/>
        </w:rPr>
        <w:t xml:space="preserve"> the </w:t>
      </w:r>
      <w:r w:rsidR="00C2089E">
        <w:rPr>
          <w:i/>
          <w:iCs/>
        </w:rPr>
        <w:t xml:space="preserve">performance of commercial banks in </w:t>
      </w:r>
      <w:r w:rsidRPr="00B80ECF">
        <w:rPr>
          <w:i/>
          <w:iCs/>
        </w:rPr>
        <w:t>short run, the increasing convenience and operational flexibility of agency banking may drive greater adoption among Nigerians in the long run, potentially crowding out traditional banking channels. Consequently, this may lead to declining performance associated with ATM and POS over time.</w:t>
      </w:r>
      <w:r w:rsidRPr="00464E96">
        <w:rPr>
          <w:i/>
          <w:iCs/>
        </w:rPr>
        <w:t xml:space="preserve"> </w:t>
      </w:r>
      <w:r w:rsidRPr="00B80ECF">
        <w:rPr>
          <w:i/>
          <w:iCs/>
        </w:rPr>
        <w:t>In light of these findings, th</w:t>
      </w:r>
      <w:r w:rsidRPr="00464E96">
        <w:rPr>
          <w:i/>
          <w:iCs/>
        </w:rPr>
        <w:t>is</w:t>
      </w:r>
      <w:r w:rsidRPr="00B80ECF">
        <w:rPr>
          <w:i/>
          <w:iCs/>
        </w:rPr>
        <w:t xml:space="preserve"> study recommends that commercial banks develop innovative, secure, and user-friendly payment systems to strengthen their competitive advantage and enhance performance within Nigeria’s evolving financial landscape.</w:t>
      </w:r>
    </w:p>
    <w:p w14:paraId="0AE4F43E" w14:textId="6E19F24D" w:rsidR="00464E96" w:rsidRPr="006D6D07" w:rsidRDefault="00F82167" w:rsidP="006D6D07">
      <w:pPr>
        <w:spacing w:after="240"/>
        <w:jc w:val="both"/>
      </w:pPr>
      <w:r w:rsidRPr="001C5B56">
        <w:rPr>
          <w:b/>
          <w:bCs/>
        </w:rPr>
        <w:t>Keywords</w:t>
      </w:r>
      <w:r w:rsidRPr="001C5B56">
        <w:t xml:space="preserve">: </w:t>
      </w:r>
      <w:r>
        <w:t>ATM, Commercial Banks, FinTech, Mobile Banking, POS, Return on Assets</w:t>
      </w:r>
      <w:r w:rsidR="008D23E3">
        <w:t>, TAM</w:t>
      </w:r>
      <w:r>
        <w:t>.</w:t>
      </w:r>
    </w:p>
    <w:p w14:paraId="2FC794AB" w14:textId="2955BA58" w:rsidR="004B0E9E" w:rsidRPr="00304E91" w:rsidRDefault="002F410C" w:rsidP="0048381D">
      <w:pPr>
        <w:spacing w:line="360" w:lineRule="auto"/>
        <w:jc w:val="both"/>
        <w:rPr>
          <w:b/>
          <w:color w:val="000000" w:themeColor="text1"/>
        </w:rPr>
      </w:pPr>
      <w:r w:rsidRPr="00F06F32">
        <w:rPr>
          <w:b/>
          <w:color w:val="000000" w:themeColor="text1"/>
        </w:rPr>
        <w:t>INTRODUCTION</w:t>
      </w:r>
    </w:p>
    <w:p w14:paraId="2F153267" w14:textId="1E6FFF59" w:rsidR="00AB0EB9" w:rsidRPr="001F2A90" w:rsidRDefault="00AB0EB9" w:rsidP="00AB0EB9">
      <w:pPr>
        <w:spacing w:after="160" w:line="278" w:lineRule="auto"/>
        <w:jc w:val="both"/>
      </w:pPr>
      <w:r w:rsidRPr="001F2A90">
        <w:t>Commercial or deposit money banks are central to the monetarist argument that money is exogenously determined in an economy. In practice, deposit money banks create money through the extension of credit and charging of interest on loanable funds. More recently, the emergence of electronic payment platforms</w:t>
      </w:r>
      <w:r w:rsidR="00304E91">
        <w:t xml:space="preserve"> and </w:t>
      </w:r>
      <w:r w:rsidR="00304E91" w:rsidRPr="00464E96">
        <w:t>agency banking</w:t>
      </w:r>
      <w:r w:rsidRPr="001F2A90">
        <w:t xml:space="preserve"> in Nigeria, formally introduced around 2012 (Mustapha, 2018), has enhanced the capacity of banks to reach the unbanked population, </w:t>
      </w:r>
      <w:r w:rsidRPr="001F2A90">
        <w:lastRenderedPageBreak/>
        <w:t>often described as the “last mile,” in a bid to deepen financial inclusion and achieve universal financial coverage. In particular, the Universal Financial Access (UFA) 2020 goal emphasized the need to integrate the unbanked population by providing access to transaction accounts that enable individuals to store, send, and receive money (World Bank, 2018). By incorporating the unbanked population through e-payment platforms and financial technology (FinTech) innovations such as Automated Teller Machines (ATMs), Point of Sale (POS) terminals, internet banking, blockchain, and mobile banking, commercial banks are able to mobilize idle funds outside the formal financial system, thereby expanding their capacity to create money through interest rate mechanisms within the economy. This transformation driven by FinTech can also be attributed to the high cost of establishing new bank branches, estimated at about ₦250 million (Idris, 2021)</w:t>
      </w:r>
      <w:r w:rsidR="00351333">
        <w:t xml:space="preserve"> in Nigeria</w:t>
      </w:r>
      <w:r w:rsidRPr="001F2A90">
        <w:t>, particularly in rural or low-income areas where income streams are limited and may not generate sufficient deposits to optimize profitability or return on assets (ROA).</w:t>
      </w:r>
    </w:p>
    <w:p w14:paraId="5B3B6DF0" w14:textId="6FA9130C" w:rsidR="00AB0EB9" w:rsidRPr="001F2A90" w:rsidRDefault="00AB0EB9" w:rsidP="00AB0EB9">
      <w:pPr>
        <w:spacing w:after="160" w:line="278" w:lineRule="auto"/>
        <w:jc w:val="both"/>
      </w:pPr>
      <w:r w:rsidRPr="001F2A90">
        <w:t>As FinTech deepens, one critical dimension that has attracted considerable attention is agency banking. With its distinctive services, including peer-to-peer (P2P) transfers, cash withdrawals, cash deposits, and bill payments—often at charges comparable to transportation costs to physical bank branches—agency banking has gained widespread acceptance. Originating in Brazil and gaining significant traction in countries such as India and Colombia (Geopalakrishna, 2023), agency banking has become a global phenomenon. Following the 2006 directive by the Reserve Bank of India encouraging commercial banks to engage agents in delivering financial services outside traditional branches, approximately 90% of the adult population had access to basic financial services by 2021, compared to 58.7% in 2011 (EFInA, n.d.). Similarly, the proportion of adults with bank accounts increased from 56% in 2011 to 84% in 2024 (Montel, 2021). The positive impact of agency banking is even more pronounced in Africa, although the continent still faces structural gaps in financial infrastructure. For instance, the average of five bank branches per 100,000 people (World Bank, n.d.; Ironsi, 2023) remains significantly lower than the approximately 200 ATMs and 30 bank branches per 100,000 adults observed in South Korea (World Bank, n.d.). Over time, however, this disparity has been increasingly mitigated by the growth of FinTech and e-payment platforms. In Nigeria, for example, about 49% of the adult population had access to basic financial services in 2022, compared to 34% in 2014 (World Bank, 2024). Furthermore, Africa accounted for approximately 69.23% of the global volume of agency banking transactions in 2022 (Statista, 2025). This impact is particularly evident in Kenya, where the M-Pesa mobile payment service, introduced by Safaricom in 2007, significantly enhanced financial inclusion</w:t>
      </w:r>
      <w:r w:rsidR="006C0444">
        <w:t>, commercial banks performance, and productivity in Kenya (</w:t>
      </w:r>
      <w:r w:rsidR="006C0444" w:rsidRPr="006C0444">
        <w:t>Anazia &amp; Nwachukwu, 2025; Wachira &amp; Njuguna, 2023)</w:t>
      </w:r>
      <w:r w:rsidRPr="001F2A90">
        <w:t>.</w:t>
      </w:r>
    </w:p>
    <w:p w14:paraId="11F565D5" w14:textId="7D640B54" w:rsidR="00AB0EB9" w:rsidRPr="001F2A90" w:rsidRDefault="00AB0EB9" w:rsidP="00AB0EB9">
      <w:pPr>
        <w:spacing w:after="160" w:line="278" w:lineRule="auto"/>
        <w:jc w:val="both"/>
      </w:pPr>
      <w:r w:rsidRPr="001F2A90">
        <w:t xml:space="preserve">Similar to the Kenyan experience, the expansion of FinTech in Nigeria—driven by policy initiatives such as the National Financial Inclusion Strategy (NFIS 3.0), which aimed to reduce financial exclusion to 25% by 2024 (EFInA, 2023)—has stimulated the adoption of innovative financial solutions, including blockchain technology, mobile banking, POS systems, and internet </w:t>
      </w:r>
      <w:r w:rsidRPr="001F2A90">
        <w:lastRenderedPageBreak/>
        <w:t>banking. These innovations have enhanced customer acceptance and strengthened the competitive positioning of commercial banks within the financial system. This development aligns with the Technology Acceptance Model (TAM), which posits that perceived usefulness and ease of use are critical determinants of user</w:t>
      </w:r>
      <w:r w:rsidR="00A15776">
        <w:t>s’</w:t>
      </w:r>
      <w:r w:rsidRPr="001F2A90">
        <w:t xml:space="preserve"> acceptance of technological innovations</w:t>
      </w:r>
      <w:r>
        <w:t xml:space="preserve"> (Davies,</w:t>
      </w:r>
      <w:r w:rsidR="00464E96">
        <w:t xml:space="preserve"> 1989</w:t>
      </w:r>
      <w:r>
        <w:t>)</w:t>
      </w:r>
      <w:r w:rsidRPr="001F2A90">
        <w:t xml:space="preserve">. A practical illustration can be observed in First Bank of Nigeria (FBN) Ltd, where innovations such as FirstMonie, introduced in 2010, the early adoption of ATMs in 1990, and enhanced security of customer deposits have reinforced its position as one of the leading banks in Nigeria. These efforts </w:t>
      </w:r>
      <w:r w:rsidR="00E3669A">
        <w:t>nosedived</w:t>
      </w:r>
      <w:r w:rsidRPr="001F2A90">
        <w:t xml:space="preserve"> into favorable ratings by Fitch, S&amp;P, and Moody’s in 2022. In the preceding year, FBN was ranked as the third-largest bank, accounting for approximately 11% of domestic banking assets (Akanbi, 2022). Additionally, it was recognized as the best bank in terms of overall performance, profitability, efficiency, and risk-adjusted returns in Nigeria, based on the 2021 audit of the top 100 banks in Africa published by The Banker (Akanbi, 2022). Further reports indicate that FBN received the award for the most innovative bank in Africa in 2014 at the EMEA Finance African Banking Awards, as well as the Best Mobile Banking App in Nigeria in 2019 by Global Business Outlook (Akanji, 2022).</w:t>
      </w:r>
    </w:p>
    <w:p w14:paraId="1F3AD54A" w14:textId="32ACF0A1" w:rsidR="00AB0EB9" w:rsidRPr="00D96A6F" w:rsidRDefault="00AB0EB9" w:rsidP="00D96A6F">
      <w:pPr>
        <w:spacing w:after="160" w:line="278" w:lineRule="auto"/>
        <w:jc w:val="both"/>
      </w:pPr>
      <w:r w:rsidRPr="001F2A90">
        <w:t>Despite these advancements, increasing competition from agency banking platforms such as Opay, MoniePoint, Paga, and PalmPay—characterized by flexible mobile applications, rapid transaction capabilities, and deeper penetration into rural areas with minimal presence of traditional banks—continues to pose a significant threat to commercial banks in Nigeria. This intensifying competition, coupled with regulatory policies such as the recapitalization requirements introduced by the Central Bank of Nigeria (CBN) in March 2024—₦500 billion for international banks, ₦200 billion for national banks, ₦50 billion for regional banks, ₦20 billion for national non-interest banks, and ₦10 billion for regional non-interest banks—with a compliance deadline of March 31, 2026 (Ali, 2026), underscores the need for commercial banks to strengthen innovation in order to build customer trust, enhance acceptance, and optimize performance, particularly in terms of ROA. While existing empirical studies generally report positive effects of financial technology on the performance of commercial banks in Nigeria, Kenya, and other economies</w:t>
      </w:r>
      <w:r w:rsidR="009E6A42">
        <w:t xml:space="preserve"> </w:t>
      </w:r>
      <w:r w:rsidR="00464E96">
        <w:t>(Unachukwu &amp; Chuckuma, 2026; Okoro et al., 2024; Muttai et al., 2023)</w:t>
      </w:r>
      <w:r w:rsidRPr="001F2A90">
        <w:t xml:space="preserve"> many of these studies pay limited attention to rigorous econometric procedures necessary for producing reliable results. Consequently, their findings may be biased or misleading. This underscores the need for a more robust empirical assessment of the impact of financial technology on the performance of commercial banks in Nigeria over the period 2012 to 2025. To this end, this study is guided by the following hypotheses.</w:t>
      </w:r>
    </w:p>
    <w:p w14:paraId="14D65247" w14:textId="7D1F2B28" w:rsidR="004B0E9E" w:rsidRDefault="00BC290D" w:rsidP="004B0E9E">
      <w:pPr>
        <w:jc w:val="both"/>
      </w:pPr>
      <w:r w:rsidRPr="00BC290D">
        <w:rPr>
          <w:b/>
          <w:bCs/>
        </w:rPr>
        <w:t>H</w:t>
      </w:r>
      <w:r w:rsidRPr="00BC290D">
        <w:rPr>
          <w:b/>
          <w:bCs/>
          <w:vertAlign w:val="subscript"/>
        </w:rPr>
        <w:t>01</w:t>
      </w:r>
      <w:r>
        <w:t xml:space="preserve">: ATMs have no significant impact on the performance of commercial banks in Nigeria </w:t>
      </w:r>
    </w:p>
    <w:p w14:paraId="497AB3CF" w14:textId="6BD2E634" w:rsidR="00BC290D" w:rsidRDefault="00BC290D" w:rsidP="004B0E9E">
      <w:pPr>
        <w:jc w:val="both"/>
      </w:pPr>
      <w:r w:rsidRPr="00BC290D">
        <w:rPr>
          <w:b/>
          <w:bCs/>
        </w:rPr>
        <w:t>H</w:t>
      </w:r>
      <w:r w:rsidRPr="00BC290D">
        <w:rPr>
          <w:b/>
          <w:bCs/>
          <w:vertAlign w:val="subscript"/>
        </w:rPr>
        <w:t>0</w:t>
      </w:r>
      <w:r>
        <w:rPr>
          <w:b/>
          <w:bCs/>
          <w:vertAlign w:val="subscript"/>
        </w:rPr>
        <w:t>2</w:t>
      </w:r>
      <w:r>
        <w:t xml:space="preserve">: POS has no significant impact on the performance of commercial banks in Nigeria </w:t>
      </w:r>
    </w:p>
    <w:p w14:paraId="026BDEC7" w14:textId="0A11B69B" w:rsidR="00BC290D" w:rsidRDefault="00BC290D" w:rsidP="00BC290D">
      <w:pPr>
        <w:spacing w:after="240" w:line="276" w:lineRule="auto"/>
        <w:jc w:val="both"/>
      </w:pPr>
      <w:r w:rsidRPr="00BC290D">
        <w:rPr>
          <w:b/>
          <w:bCs/>
        </w:rPr>
        <w:t>H</w:t>
      </w:r>
      <w:r w:rsidRPr="00BC290D">
        <w:rPr>
          <w:b/>
          <w:bCs/>
          <w:vertAlign w:val="subscript"/>
        </w:rPr>
        <w:t>0</w:t>
      </w:r>
      <w:r>
        <w:rPr>
          <w:b/>
          <w:bCs/>
          <w:vertAlign w:val="subscript"/>
        </w:rPr>
        <w:t>3</w:t>
      </w:r>
      <w:r>
        <w:t>: MB has no significant impact on the performance of commercial banks in Nigeria</w:t>
      </w:r>
    </w:p>
    <w:p w14:paraId="2F4AD68A" w14:textId="140AC104" w:rsidR="00D96A6F" w:rsidRPr="00D96A6F" w:rsidRDefault="00F25139" w:rsidP="00D96A6F">
      <w:pPr>
        <w:spacing w:after="240" w:line="276" w:lineRule="auto"/>
        <w:jc w:val="both"/>
        <w:rPr>
          <w:b/>
          <w:bCs/>
        </w:rPr>
      </w:pPr>
      <w:r w:rsidRPr="00F25139">
        <w:rPr>
          <w:b/>
          <w:bCs/>
        </w:rPr>
        <w:t>Theoretical Framework</w:t>
      </w:r>
    </w:p>
    <w:p w14:paraId="62DB0BC1" w14:textId="77777777" w:rsidR="001700A1" w:rsidRDefault="00EB2B99" w:rsidP="00EB2B99">
      <w:pPr>
        <w:jc w:val="both"/>
      </w:pPr>
      <w:r w:rsidRPr="00EB2B99">
        <w:lastRenderedPageBreak/>
        <w:t>This study is anchored on the Technology Acceptance Model (TAM), developed by Davis (1989), as its theoretical framework. The core constructs of the model are perceived usefulness (PU) and perceived ease of use (PEOU), which posit that individuals are more likely to adopt an innovation if they perceive it to be both beneficial and easy to use (Ajibade, 2018). In essence, perceived usefulness refers to the degree to which a user believes that a particular innovation will enhance performance or overall well-being, while perceived ease of use relates to the extent to which the innovation can be applied with minimal effort and complexity (Mustapha, 2018).</w:t>
      </w:r>
      <w:r w:rsidR="001700A1">
        <w:t xml:space="preserve"> </w:t>
      </w:r>
      <w:r w:rsidRPr="00EB2B99">
        <w:t>Within the context of this study, the TAM provides a relevant lens for understanding how</w:t>
      </w:r>
      <w:r w:rsidR="001700A1">
        <w:t xml:space="preserve"> </w:t>
      </w:r>
      <w:r w:rsidRPr="00EB2B99">
        <w:t>FinTech innovations influence customer behavior and, by extension, the performance of commercial banks in Nigeria. Specifically, the model explains how commercial banks can deploy innovative financial solutions that are flexible, secure, user-friendly, and efficient in order to attract and retain customers. This is particularly important given the rising competition from agency banking platforms such as Opay, MoniePoint, Paga, and Kuda, which offer simplified account opening processes, faster transaction speeds, and extensive penetration into rural and underserved areas where traditional banks have limited presence.</w:t>
      </w:r>
    </w:p>
    <w:p w14:paraId="3806F2A5" w14:textId="77777777" w:rsidR="001700A1" w:rsidRDefault="001700A1" w:rsidP="00EB2B99">
      <w:pPr>
        <w:jc w:val="both"/>
      </w:pPr>
    </w:p>
    <w:p w14:paraId="5CF10D0C" w14:textId="15493C16" w:rsidR="00EB2B99" w:rsidRDefault="00EB2B99" w:rsidP="00EB2B99">
      <w:pPr>
        <w:jc w:val="both"/>
      </w:pPr>
      <w:r w:rsidRPr="00EB2B99">
        <w:t>The increasing competition from these agency banks has compelled traditional banks such as Guaranty Trust</w:t>
      </w:r>
      <w:r w:rsidR="001700A1">
        <w:t xml:space="preserve"> Holding Company</w:t>
      </w:r>
      <w:r w:rsidRPr="00EB2B99">
        <w:t xml:space="preserve"> (GT</w:t>
      </w:r>
      <w:r w:rsidR="001700A1">
        <w:t>CO</w:t>
      </w:r>
      <w:r w:rsidRPr="00EB2B99">
        <w:t>), United Bank for Africa (UBA), and First Bank of Nigeria to intensify their innovation strategies. For instance, in response to the ease with which customers can obtain ATM cards from agent outlets operated by platforms like Opay and MoniePoint, GT</w:t>
      </w:r>
      <w:r w:rsidR="001700A1">
        <w:t>CO</w:t>
      </w:r>
      <w:r w:rsidRPr="00EB2B99">
        <w:t xml:space="preserve"> has introduced ATM card dispensing machines that allow customers to obtain their cards within five to ten minutes, thereby eliminating the prolonged delays associated with traditional collection processes. Similarly, UBA has implemented POS-based services within its branches to facilitate quick cash withdrawals and deposits, reducing the need for customers to endure long queues.</w:t>
      </w:r>
      <w:r w:rsidR="001700A1">
        <w:t xml:space="preserve"> This underscores the applicability of TAM to deepen customer’s acceptance and the growth of commercial banks in Nigeria. </w:t>
      </w:r>
    </w:p>
    <w:p w14:paraId="563ECDF7" w14:textId="77777777" w:rsidR="001700A1" w:rsidRPr="00EB2B99" w:rsidRDefault="001700A1" w:rsidP="00EB2B99">
      <w:pPr>
        <w:jc w:val="both"/>
      </w:pPr>
    </w:p>
    <w:p w14:paraId="268E7F1F" w14:textId="0CB32FF1" w:rsidR="00EB2B99" w:rsidRDefault="00EB2B99" w:rsidP="00EB2B99">
      <w:pPr>
        <w:jc w:val="both"/>
      </w:pPr>
      <w:r w:rsidRPr="00EB2B99">
        <w:t>Despite its wide applicability, T</w:t>
      </w:r>
      <w:r w:rsidR="001700A1">
        <w:t>AM</w:t>
      </w:r>
      <w:r w:rsidRPr="00EB2B99">
        <w:t xml:space="preserve"> has been criticized for its limited relevance in institutional contexts where user choice is constrained by organizational or regulatory factors. Ajibade (2018) highlights this limitation by illustrating that the adoption of certain technological tools in library systems may depend more on institutional requirements than on perceived usefulness or ease of use. A similar situation exists in Nigeria’s public sector, where employees are often mandated to maintain salary accounts with specific traditional banks, thereby limiting their ability to adopt alternative financial platforms such as Opay or MoniePoint, regardless of their perceived advantages.</w:t>
      </w:r>
    </w:p>
    <w:p w14:paraId="0FCDBFB9" w14:textId="77777777" w:rsidR="001700A1" w:rsidRPr="00EB2B99" w:rsidRDefault="001700A1" w:rsidP="00EB2B99">
      <w:pPr>
        <w:jc w:val="both"/>
      </w:pPr>
    </w:p>
    <w:p w14:paraId="3F1F2857" w14:textId="4C06F4BB" w:rsidR="00EB2B99" w:rsidRPr="00EB2B99" w:rsidRDefault="00EB2B99" w:rsidP="00EB2B99">
      <w:pPr>
        <w:jc w:val="both"/>
      </w:pPr>
      <w:r w:rsidRPr="00EB2B99">
        <w:t>Notwithstanding these criticisms, the TAM remains highly relevant to this study as it provides a robust framework for analyzing the relationship between FinTech adoption and the performance of commercial banks in Nigeria. The growing penetration of agency banking platforms—characterized by flexible mobile applications, simplified onboarding processes, virtual banking services, and reliable transaction systems—demonstrates how perceived usefulness and ease of use drive customer preference and adoption. Consequently, commercial banks must continuously innovate and refine their financial technology offerings to remain competitive.</w:t>
      </w:r>
      <w:r w:rsidR="001700A1">
        <w:t xml:space="preserve"> </w:t>
      </w:r>
      <w:r w:rsidRPr="00EB2B99">
        <w:t xml:space="preserve">In conclusion, the application of TAM in this study underscores the critical role of user perception in shaping the adoption of FinTech solutions and highlights how these perceptions translate into performance outcomes for commercial banks. By leveraging technologies that align with customer </w:t>
      </w:r>
      <w:r w:rsidRPr="00EB2B99">
        <w:lastRenderedPageBreak/>
        <w:t>expectations for convenience, security, and efficiency, commercial banks can enhance their return on assets, improve profitability, and sustain their relevance within Nigeria’s rapidly evolving financial ecosystem.</w:t>
      </w:r>
    </w:p>
    <w:p w14:paraId="3C4ED4B3" w14:textId="77777777" w:rsidR="00EB2B99" w:rsidRDefault="00EB2B99" w:rsidP="002F410C">
      <w:pPr>
        <w:jc w:val="both"/>
        <w:rPr>
          <w:b/>
          <w:bCs/>
        </w:rPr>
      </w:pPr>
    </w:p>
    <w:p w14:paraId="0AB5D56D" w14:textId="43170C7C" w:rsidR="002F410C" w:rsidRPr="00381089" w:rsidRDefault="002F410C" w:rsidP="002F410C">
      <w:pPr>
        <w:jc w:val="both"/>
        <w:rPr>
          <w:b/>
          <w:bCs/>
        </w:rPr>
      </w:pPr>
      <w:r w:rsidRPr="008A2331">
        <w:rPr>
          <w:b/>
          <w:bCs/>
        </w:rPr>
        <w:t>Empirical Review</w:t>
      </w:r>
      <w:r w:rsidR="004A6B36">
        <w:rPr>
          <w:b/>
          <w:bCs/>
        </w:rPr>
        <w:t xml:space="preserve"> and Gaps in Literature</w:t>
      </w:r>
    </w:p>
    <w:p w14:paraId="0457BE47" w14:textId="77777777" w:rsidR="00DE0596" w:rsidRDefault="00DE0596" w:rsidP="002F410C">
      <w:pPr>
        <w:jc w:val="both"/>
      </w:pPr>
    </w:p>
    <w:p w14:paraId="6C601D16" w14:textId="222725CE" w:rsidR="00DE0596" w:rsidRPr="00C967B4" w:rsidRDefault="00DE0596" w:rsidP="00DE0596">
      <w:pPr>
        <w:spacing w:after="160" w:line="278" w:lineRule="auto"/>
        <w:jc w:val="both"/>
      </w:pPr>
      <w:r w:rsidRPr="00C967B4">
        <w:t>Unachukwu and Chukwuma (2026) examined the effects of financial technology on financial performance of commercial banks in Nigeria using an ex-post facto research design. The study employed annual time series data spanning from 2009 to 2024, with Point of Sale (POS), Mobile Banking (MB), Internet Banking (IB), and Automated Teller Machine (ATM) as explanatory variables, and Return on Assets (ROA) as the dependent variable. Despite the use of time series data, the authors adopted random effects model for estimation, which is methodologically inappropriate for single-country time series analysis. Furthermore, although random effect framework was claimed, the model specification reflected a simple linear regression. The results indicated a significant positive impact of POS, MB, IB, and ATM on bank performance. The study recommended increased investment in digital banking infrastructure to enhance customer adoption and performance. However, the failure to align the estimation technique with the data structure and the absence of relevant pre- and post-estimation diagnostics limit the reliability of the findings.</w:t>
      </w:r>
    </w:p>
    <w:p w14:paraId="3E48B38D" w14:textId="30041512" w:rsidR="00DE0596" w:rsidRPr="00C967B4" w:rsidRDefault="00DE0596" w:rsidP="00DE0596">
      <w:pPr>
        <w:spacing w:after="160" w:line="278" w:lineRule="auto"/>
        <w:jc w:val="both"/>
      </w:pPr>
      <w:r w:rsidRPr="00C967B4">
        <w:t>Amah and Charles-Olimene (2025) evaluated the impact of FinTech on traditional banking and allied financial services in Port Harcourt, Nigeria. The study incorporated Digital Payment Systems and Blockchain and Cryptocurrency Technologies as explanatory variables, while Customer Satisfaction and Financial Accessibility served as outcome variables. A regulatory framework was introduced as a moderating variable. Using a descriptive survey design, primary data w</w:t>
      </w:r>
      <w:r w:rsidR="005A0ABF">
        <w:t>as</w:t>
      </w:r>
      <w:r w:rsidRPr="00C967B4">
        <w:t xml:space="preserve"> collected from bank staff and customers and analyzed using Pearson correlation and multiple regression techniques. The findings revealed significant positive relationships between FinTech variables and both customer satisfaction and financial accessibility, with the regulatory framework exerting a significant moderating effect. The study recommended increased investment in digital infrastructure. However, the reliance on perception-based primary data limits generalizability, and the absence of time series or macro-financial indicators restricts its relevance for evaluating bank performance dynamics.</w:t>
      </w:r>
    </w:p>
    <w:p w14:paraId="061D0B0F" w14:textId="2D8213B0" w:rsidR="00DE0596" w:rsidRPr="00C967B4" w:rsidRDefault="00DE0596" w:rsidP="00DE0596">
      <w:pPr>
        <w:spacing w:after="160" w:line="278" w:lineRule="auto"/>
        <w:jc w:val="both"/>
      </w:pPr>
      <w:r w:rsidRPr="00C967B4">
        <w:t xml:space="preserve">Osagu and Ehiedu (2025) investigated the impact of FinTech growth risks on bank performance in Nigeria using annual time series data from 2003 to 2023. The variables included Cybersecurity Risk (CYR), Operational Risk (OPR), Regulatory Compliance Risk (RCR), and Technology Adoption and Integration Risk (TAIR), with Return on Equity (ROE) as the dependent variable. Although the Johansen cointegration test indicated a long-run relationship, the study employed Ordinary Least Squares (OLS), which is unsuitable in the presence of cointegration. The Vector Error Correction Model (VECM) would have been more appropriate. The findings showed no significant short-run effects of the risk variables, although some </w:t>
      </w:r>
      <w:r w:rsidRPr="00C967B4">
        <w:lastRenderedPageBreak/>
        <w:t xml:space="preserve">exhibited positive coefficients. While diagnostic tests confirmed model adequacy, the inappropriate estimation technique undermines the robustness of </w:t>
      </w:r>
      <w:r w:rsidR="00033DC2">
        <w:t xml:space="preserve">its </w:t>
      </w:r>
      <w:r w:rsidRPr="00C967B4">
        <w:t>conclusion.</w:t>
      </w:r>
    </w:p>
    <w:p w14:paraId="233DE1F8" w14:textId="371639B2" w:rsidR="00DE0596" w:rsidRPr="00C967B4" w:rsidRDefault="00DE0596" w:rsidP="00DE0596">
      <w:pPr>
        <w:spacing w:after="160" w:line="278" w:lineRule="auto"/>
        <w:jc w:val="both"/>
      </w:pPr>
      <w:r w:rsidRPr="00C967B4">
        <w:t>Okoro et al. (2024) analyzed the impact of financial technology on the performance of Nigerian commercial banks using annual time series data from 2010 to 2020. The study employed ATM, POS, and Internet transactions as explanatory variables, with Liquidity Ratio (LR) as the dependent variable. The s</w:t>
      </w:r>
      <w:r w:rsidR="00033DC2">
        <w:t>tudy</w:t>
      </w:r>
      <w:r w:rsidRPr="00C967B4">
        <w:t xml:space="preserve"> failed to conduct essential pre-estimation tests such as unit root and cointegration analysis, yet</w:t>
      </w:r>
      <w:r w:rsidR="00D76BB2">
        <w:t>,</w:t>
      </w:r>
      <w:r w:rsidRPr="00C967B4">
        <w:t xml:space="preserve"> applied OLS estimation. The results showed non-significant positive effects of ATM and POS, and a non-significant negative effect of internet banking on performance</w:t>
      </w:r>
      <w:r w:rsidR="00033DC2">
        <w:t xml:space="preserve"> of commercial banks in Nigeria</w:t>
      </w:r>
      <w:r w:rsidRPr="00C967B4">
        <w:t>. The absence of diagnostic testing raises concerns about model validity and potential violations of classical assumptions.</w:t>
      </w:r>
    </w:p>
    <w:p w14:paraId="18129E52" w14:textId="77777777" w:rsidR="00DE0596" w:rsidRPr="00C967B4" w:rsidRDefault="00DE0596" w:rsidP="00DE0596">
      <w:pPr>
        <w:spacing w:after="160" w:line="278" w:lineRule="auto"/>
        <w:jc w:val="both"/>
      </w:pPr>
      <w:r w:rsidRPr="00C967B4">
        <w:t>Muttai, Njoka, and Muchira (2023) assessed the effects of financial technology on bank performance in Kenya using monthly time series data from 2012 to 2021. The variables included mobile banking, agency banking, internet banking, and ATM usage, with ROA as the dependent variable. Despite the time series nature of the data, panel regression and ANOVA techniques were employed, indicating methodological inconsistency. Although diagnostic tests were conducted, the unit root test did not clearly establish the order of integration, suggesting possible model misspecification. The results showed significant positive relationships between FinTech variables and bank performance, but the analytical inconsistencies weaken the credibility of the findings.</w:t>
      </w:r>
    </w:p>
    <w:p w14:paraId="61459266" w14:textId="51587157" w:rsidR="00D76BB2" w:rsidRDefault="00DE0596" w:rsidP="00DE0596">
      <w:pPr>
        <w:spacing w:after="160" w:line="278" w:lineRule="auto"/>
        <w:jc w:val="both"/>
      </w:pPr>
      <w:r w:rsidRPr="00C967B4">
        <w:t xml:space="preserve">Osigbemhe, Nwoha, and Okwo (2023) examined the effect of financial technology on bank performance in Nigeria using annual data from 2009 to 2021. The variables included ATM, National Electronic Funds Transfer (NEFT), and Mobile Pay (MPAY), with ROA as the dependent variable. The study did not conduct unit root or cointegration tests and relied solely on linear regression. The results indicated non-significant negative effects of ATM and NEFT, and a non-significant positive effect of MPAY. The lack of econometric rigor limits the validity of </w:t>
      </w:r>
      <w:r w:rsidR="00033DC2">
        <w:t>its</w:t>
      </w:r>
      <w:r w:rsidRPr="00C967B4">
        <w:t xml:space="preserve"> conclusion.</w:t>
      </w:r>
    </w:p>
    <w:p w14:paraId="4B58A943" w14:textId="77777777" w:rsidR="00D76BB2" w:rsidRDefault="00D76BB2" w:rsidP="00D76BB2">
      <w:pPr>
        <w:jc w:val="both"/>
      </w:pPr>
      <w:r w:rsidRPr="000B2A8E">
        <w:t>Otonne and Ige (2023)</w:t>
      </w:r>
      <w:r>
        <w:t xml:space="preserve"> e</w:t>
      </w:r>
      <w:r w:rsidRPr="00E20CB2">
        <w:t>xplor</w:t>
      </w:r>
      <w:r>
        <w:t>ed</w:t>
      </w:r>
      <w:r w:rsidRPr="00E20CB2">
        <w:t xml:space="preserve"> the influence of financial technology on banking services in Nigeria</w:t>
      </w:r>
      <w:r>
        <w:t xml:space="preserve">. Quarterly time series data for the period 2012 to 2019 was used for the study. Multiple outcome variables used for the study included </w:t>
      </w:r>
      <w:r w:rsidRPr="007D6090">
        <w:t>return on assets</w:t>
      </w:r>
      <w:r>
        <w:t xml:space="preserve"> (ROA),</w:t>
      </w:r>
      <w:r w:rsidRPr="007D6090">
        <w:t xml:space="preserve"> return on equity</w:t>
      </w:r>
      <w:r>
        <w:t xml:space="preserve"> (ROE),</w:t>
      </w:r>
      <w:r w:rsidRPr="007D6090">
        <w:t xml:space="preserve"> Earnings per share</w:t>
      </w:r>
      <w:r>
        <w:t xml:space="preserve"> (</w:t>
      </w:r>
      <w:r w:rsidRPr="007D6090">
        <w:t>EPS</w:t>
      </w:r>
      <w:r>
        <w:t>), and</w:t>
      </w:r>
      <w:r w:rsidRPr="007D6090">
        <w:t xml:space="preserve"> price earning</w:t>
      </w:r>
      <w:r>
        <w:t>s</w:t>
      </w:r>
      <w:r w:rsidRPr="007D6090">
        <w:t xml:space="preserve"> ratio</w:t>
      </w:r>
      <w:r>
        <w:t xml:space="preserve"> (</w:t>
      </w:r>
      <w:r w:rsidRPr="007D6090">
        <w:t>PER</w:t>
      </w:r>
      <w:r>
        <w:t xml:space="preserve">), while the explanatory variables included </w:t>
      </w:r>
    </w:p>
    <w:p w14:paraId="676D9A0C" w14:textId="72BBB378" w:rsidR="00B90FF9" w:rsidRDefault="00D76BB2" w:rsidP="00B90FF9">
      <w:pPr>
        <w:jc w:val="both"/>
      </w:pPr>
      <w:r w:rsidRPr="007D6090">
        <w:t>the value of point-of-sale transactions</w:t>
      </w:r>
      <w:r>
        <w:t xml:space="preserve"> (POS), </w:t>
      </w:r>
      <w:r w:rsidRPr="007D6090">
        <w:t>the value of mobile money transfer</w:t>
      </w:r>
      <w:r>
        <w:t xml:space="preserve"> (MOB), </w:t>
      </w:r>
      <w:r w:rsidRPr="007D6090">
        <w:t xml:space="preserve">value of automated teller machine transactions </w:t>
      </w:r>
      <w:r>
        <w:t xml:space="preserve">(ATM), and the </w:t>
      </w:r>
      <w:r w:rsidRPr="007D6090">
        <w:t>value of online payment transfer</w:t>
      </w:r>
      <w:r>
        <w:t xml:space="preserve"> (OPT). The unit root result indicated a mixed order of integration [</w:t>
      </w:r>
      <w:r w:rsidRPr="007D6090">
        <w:rPr>
          <w:i/>
          <w:iCs/>
        </w:rPr>
        <w:t>I</w:t>
      </w:r>
      <w:r>
        <w:t xml:space="preserve">(0) and </w:t>
      </w:r>
      <w:r w:rsidRPr="007D6090">
        <w:rPr>
          <w:i/>
          <w:iCs/>
        </w:rPr>
        <w:t>I</w:t>
      </w:r>
      <w:r>
        <w:t xml:space="preserve">(1)]. Cointegration test result from F-bound test showed no evidence of cointegration in one model and evidence of cointegration in three modes. The study adopted the ARDL model which is largely unfit for multivariate analysis against the Vector Autoregressive (VAR) model that is equipped to analyze multiple time series dependent and independent variables simultaneously. </w:t>
      </w:r>
      <w:r w:rsidRPr="00E20CB2">
        <w:t xml:space="preserve">The study found </w:t>
      </w:r>
      <w:r>
        <w:t xml:space="preserve">a positive impact of </w:t>
      </w:r>
      <w:r w:rsidRPr="00E20CB2">
        <w:t xml:space="preserve">Fintech </w:t>
      </w:r>
      <w:r>
        <w:t xml:space="preserve">on the performance of commercial banks in Nigeria. Regardless, the study relied on an analytical technique unfit for the data set, being that the varying data collected </w:t>
      </w:r>
      <w:r>
        <w:lastRenderedPageBreak/>
        <w:t>for Access Bank and GT Bank for the period 2012 to 2019 is better estimated with panel methods such as pooled OLS, fixed-effect, or random effect.</w:t>
      </w:r>
      <w:r w:rsidR="00B90FF9">
        <w:t xml:space="preserve"> Similarly, </w:t>
      </w:r>
      <w:r w:rsidR="00DE0596" w:rsidRPr="00C967B4">
        <w:t>Otonne, Melikam and Ige (2023) analyzed FinTech adoption and bank performance using quarterly data. Despite identifying mixed integration, cointegration was not tested, and ARDL was applied across multiple models. Given the cross-bank nature of the data, panel methods would have been more suitable. The study reported mixed effects but lacked diagnostic validation.</w:t>
      </w:r>
    </w:p>
    <w:p w14:paraId="6FE712C1" w14:textId="77777777" w:rsidR="00CA5809" w:rsidRPr="00C91C0F" w:rsidRDefault="00CA5809" w:rsidP="00CA5809">
      <w:pPr>
        <w:spacing w:line="360" w:lineRule="auto"/>
        <w:contextualSpacing/>
        <w:jc w:val="both"/>
        <w:rPr>
          <w:sz w:val="10"/>
        </w:rPr>
      </w:pPr>
    </w:p>
    <w:p w14:paraId="1C876CC1" w14:textId="63153B3D" w:rsidR="004A6B36" w:rsidRDefault="004A6B36" w:rsidP="004A6B36">
      <w:pPr>
        <w:jc w:val="both"/>
      </w:pPr>
      <w:r>
        <w:t>Njogo and Adekonojo (2021) assessed the impact of financial technology on performance of Guaranty Trust</w:t>
      </w:r>
      <w:r w:rsidR="00CA5809">
        <w:t xml:space="preserve"> Bank (GTB)</w:t>
      </w:r>
      <w:r>
        <w:t xml:space="preserve"> in Ogun State, Nigeria. Primary data was sourced through structured questionnaires administered to 168 staff of GTB in the state. Variables used for the study included</w:t>
      </w:r>
    </w:p>
    <w:p w14:paraId="1263E422" w14:textId="77777777" w:rsidR="004A6B36" w:rsidRDefault="004A6B36" w:rsidP="004A6B36">
      <w:pPr>
        <w:jc w:val="both"/>
      </w:pPr>
      <w:r w:rsidRPr="00B400B8">
        <w:t>Customer satisfaction (CS</w:t>
      </w:r>
      <w:r>
        <w:t xml:space="preserve">) and </w:t>
      </w:r>
      <w:r w:rsidRPr="00B400B8">
        <w:t>Competitive Advantage (</w:t>
      </w:r>
      <w:r>
        <w:t>CA) as the d</w:t>
      </w:r>
      <w:r w:rsidRPr="00B400B8">
        <w:t>ependent variable</w:t>
      </w:r>
      <w:r>
        <w:t xml:space="preserve">s and </w:t>
      </w:r>
      <w:r w:rsidRPr="00B400B8">
        <w:t>Mobile banking transactions</w:t>
      </w:r>
      <w:r>
        <w:t xml:space="preserve"> (Mobile) with </w:t>
      </w:r>
      <w:r w:rsidRPr="00B400B8">
        <w:t>Artificial Intelligent (</w:t>
      </w:r>
      <w:r>
        <w:t>AI) as i</w:t>
      </w:r>
      <w:r w:rsidRPr="00B400B8">
        <w:t>ndependent variable</w:t>
      </w:r>
      <w:r>
        <w:t xml:space="preserve">s. For data analysis, the Pearson Product Moment Correlation was adopted to show </w:t>
      </w:r>
      <w:r w:rsidRPr="00CE3C93">
        <w:t xml:space="preserve">a statistically strong and positive relationship between mobile payments and customer satisfaction </w:t>
      </w:r>
      <w:r>
        <w:t xml:space="preserve">as well as a strong positive relationship between </w:t>
      </w:r>
      <w:r w:rsidRPr="00CE3C93">
        <w:t>artificial intelligence</w:t>
      </w:r>
      <w:r>
        <w:t xml:space="preserve"> and</w:t>
      </w:r>
      <w:r w:rsidRPr="00CE3C93">
        <w:t xml:space="preserve"> competitive advantage</w:t>
      </w:r>
      <w:r>
        <w:t xml:space="preserve"> in the study. T</w:t>
      </w:r>
      <w:r w:rsidRPr="00CE3C93">
        <w:t>he study recommended</w:t>
      </w:r>
      <w:r>
        <w:t xml:space="preserve"> the need for technology adoption, notably artificial intelligence to enhance competitive advantage and productivity of GTB in the competitive financial market.</w:t>
      </w:r>
    </w:p>
    <w:p w14:paraId="408E74CB" w14:textId="77777777" w:rsidR="00CA5809" w:rsidRPr="00C91C0F" w:rsidRDefault="00CA5809" w:rsidP="00CA5809">
      <w:pPr>
        <w:spacing w:line="360" w:lineRule="auto"/>
        <w:contextualSpacing/>
        <w:jc w:val="both"/>
        <w:rPr>
          <w:sz w:val="10"/>
        </w:rPr>
      </w:pPr>
    </w:p>
    <w:p w14:paraId="06739E2A" w14:textId="4A54FB2D" w:rsidR="004A6B36" w:rsidRDefault="004A6B36" w:rsidP="00464E96">
      <w:pPr>
        <w:jc w:val="both"/>
      </w:pPr>
      <w:r w:rsidRPr="00D17012">
        <w:t>Mustapha</w:t>
      </w:r>
      <w:r>
        <w:t xml:space="preserve"> </w:t>
      </w:r>
      <w:r w:rsidRPr="00D17012">
        <w:t>(2018)</w:t>
      </w:r>
      <w:r>
        <w:t xml:space="preserve"> examined</w:t>
      </w:r>
      <w:r w:rsidRPr="00D17012">
        <w:t xml:space="preserve"> E-</w:t>
      </w:r>
      <w:r>
        <w:t>p</w:t>
      </w:r>
      <w:r w:rsidRPr="00D17012">
        <w:t xml:space="preserve">ayment technology effect on </w:t>
      </w:r>
      <w:r>
        <w:t xml:space="preserve">the performance of </w:t>
      </w:r>
      <w:r w:rsidRPr="00D17012">
        <w:t>bank</w:t>
      </w:r>
      <w:r>
        <w:t xml:space="preserve">s in </w:t>
      </w:r>
      <w:r w:rsidRPr="00D17012">
        <w:t>Nigeria</w:t>
      </w:r>
      <w:r>
        <w:t xml:space="preserve">. Annual time series data for the period 2012 to 2017 was used for the study. </w:t>
      </w:r>
      <w:r w:rsidRPr="004A6B36">
        <w:t>This, however, is significantly short for time series analysis</w:t>
      </w:r>
      <w:r>
        <w:t xml:space="preserve">. Multiple dependent variables used for the study included </w:t>
      </w:r>
      <w:r w:rsidRPr="00B42757">
        <w:t>the performance index and the risk exposure variable</w:t>
      </w:r>
      <w:r>
        <w:t xml:space="preserve">, while the explanatory variables included </w:t>
      </w:r>
      <w:r w:rsidRPr="00B42757">
        <w:t>ATM, POS, Mobile Money Transfer (MMT)</w:t>
      </w:r>
      <w:r>
        <w:t>,</w:t>
      </w:r>
      <w:r w:rsidRPr="00B42757">
        <w:t xml:space="preserve"> and the internet services (Web)</w:t>
      </w:r>
      <w:r>
        <w:t xml:space="preserve">. The study failed to perform relevant pre-estimation tests and adopted panel regression largely unfit for time series data as an analytical technique. The results indicated </w:t>
      </w:r>
      <w:r w:rsidRPr="00D17012">
        <w:t>that bank performance increased after the adoption of electronic payment technologies.</w:t>
      </w:r>
      <w:r>
        <w:t xml:space="preserve"> It was recommended in line with the result that commercial banks should prioritize </w:t>
      </w:r>
      <w:r w:rsidRPr="00B9282B">
        <w:t>electronic payment channels to stimulate financial inclusion in Nigeria.</w:t>
      </w:r>
    </w:p>
    <w:p w14:paraId="5A1695D7" w14:textId="77777777" w:rsidR="00CA5809" w:rsidRPr="00C91C0F" w:rsidRDefault="00CA5809" w:rsidP="00CA5809">
      <w:pPr>
        <w:spacing w:line="360" w:lineRule="auto"/>
        <w:contextualSpacing/>
        <w:jc w:val="both"/>
        <w:rPr>
          <w:sz w:val="10"/>
        </w:rPr>
      </w:pPr>
    </w:p>
    <w:p w14:paraId="6378B4A5" w14:textId="6646CA36" w:rsidR="00DE0596" w:rsidRDefault="00DE0596" w:rsidP="004A6B36">
      <w:pPr>
        <w:spacing w:after="160" w:line="278" w:lineRule="auto"/>
        <w:jc w:val="both"/>
      </w:pPr>
      <w:r w:rsidRPr="00C967B4">
        <w:t>Overall, the empirical literature reveals consistent evidence of a positive relationship between financial technology and bank performance. However, significant methodological gaps persist. These include inappropriate model selection, failure to conduct unit root and cointegration tests, misuse of panel techniques for time series data, absence of diagnostic testing, and over-reliance on primary survey data. Additionally, many studies fail to distinguish between short-run and long-run dynamics, thereby limiting policy relevance. This study addresses these gaps by employing robust econometric techniques that account for mixed integration orders, cointegration, and dynamic adjustments, thereby providing more reliable evidence on the impact of financial technology on the performance of commercial banks in Nigeria.</w:t>
      </w:r>
    </w:p>
    <w:p w14:paraId="1334ACD1" w14:textId="77777777" w:rsidR="00DE0596" w:rsidRDefault="00DE0596" w:rsidP="002F410C">
      <w:pPr>
        <w:jc w:val="both"/>
      </w:pPr>
    </w:p>
    <w:p w14:paraId="211B7140" w14:textId="77777777" w:rsidR="00432612" w:rsidRDefault="00432612" w:rsidP="002F410C">
      <w:pPr>
        <w:jc w:val="both"/>
      </w:pPr>
    </w:p>
    <w:p w14:paraId="51E88439" w14:textId="77777777" w:rsidR="00432612" w:rsidRDefault="00432612" w:rsidP="002F410C">
      <w:pPr>
        <w:jc w:val="both"/>
      </w:pPr>
    </w:p>
    <w:p w14:paraId="15A5AECF" w14:textId="77777777" w:rsidR="00432612" w:rsidRDefault="00432612" w:rsidP="002F410C">
      <w:pPr>
        <w:jc w:val="both"/>
      </w:pPr>
    </w:p>
    <w:p w14:paraId="36E763D6" w14:textId="77777777" w:rsidR="00CA5809" w:rsidRDefault="00CA5809" w:rsidP="002F410C">
      <w:pPr>
        <w:jc w:val="both"/>
      </w:pPr>
    </w:p>
    <w:p w14:paraId="724DFD78" w14:textId="77777777" w:rsidR="00CA5809" w:rsidRDefault="00CA5809" w:rsidP="002F410C">
      <w:pPr>
        <w:jc w:val="both"/>
      </w:pPr>
    </w:p>
    <w:p w14:paraId="198DF867" w14:textId="77777777" w:rsidR="00432612" w:rsidRDefault="00432612" w:rsidP="002F410C">
      <w:pPr>
        <w:jc w:val="both"/>
      </w:pPr>
    </w:p>
    <w:p w14:paraId="19957870" w14:textId="6563B7D9" w:rsidR="004B0E9E" w:rsidRPr="004B0E9E" w:rsidRDefault="00341456" w:rsidP="0048381D">
      <w:pPr>
        <w:spacing w:line="360" w:lineRule="auto"/>
        <w:jc w:val="both"/>
        <w:rPr>
          <w:b/>
          <w:bCs/>
        </w:rPr>
      </w:pPr>
      <w:r w:rsidRPr="00CC0BEC">
        <w:rPr>
          <w:b/>
          <w:bCs/>
        </w:rPr>
        <w:lastRenderedPageBreak/>
        <w:t>M</w:t>
      </w:r>
      <w:r w:rsidR="00464E96">
        <w:rPr>
          <w:b/>
          <w:bCs/>
        </w:rPr>
        <w:t>ETHODOLOGY</w:t>
      </w:r>
    </w:p>
    <w:p w14:paraId="500DB2BE" w14:textId="045B5535" w:rsidR="004B0E9E" w:rsidRDefault="00CC0BEC" w:rsidP="004B0E9E">
      <w:pPr>
        <w:jc w:val="both"/>
      </w:pPr>
      <w:r w:rsidRPr="000A7264">
        <w:t>Th</w:t>
      </w:r>
      <w:r w:rsidR="004A6B36">
        <w:t>is</w:t>
      </w:r>
      <w:r w:rsidRPr="000A7264">
        <w:t xml:space="preserve"> study relie</w:t>
      </w:r>
      <w:r w:rsidR="00722BC0">
        <w:t xml:space="preserve">d on the </w:t>
      </w:r>
      <w:r w:rsidRPr="000A7264">
        <w:t xml:space="preserve">ex-post facto research design </w:t>
      </w:r>
      <w:r w:rsidR="00722BC0">
        <w:t xml:space="preserve">because of its usefulness in </w:t>
      </w:r>
      <w:r w:rsidRPr="000A7264">
        <w:t xml:space="preserve">identifying the patterns, causes, and effects of an event or situation that has already taken place. </w:t>
      </w:r>
      <w:r w:rsidR="00722BC0">
        <w:t xml:space="preserve">Also, the </w:t>
      </w:r>
      <w:r w:rsidRPr="000A7264">
        <w:t xml:space="preserve">design </w:t>
      </w:r>
      <w:r w:rsidR="00722BC0">
        <w:t>was</w:t>
      </w:r>
      <w:r w:rsidRPr="000A7264">
        <w:t xml:space="preserve"> adopted </w:t>
      </w:r>
      <w:r w:rsidR="00722BC0">
        <w:t xml:space="preserve">for this study because of </w:t>
      </w:r>
      <w:r w:rsidRPr="000A7264">
        <w:t>its flexibility and cost-effectiveness as it enables retrieval of processed data from data base</w:t>
      </w:r>
      <w:r w:rsidR="00722BC0">
        <w:t>, making it less expensive compared to experimental design and ethnography design</w:t>
      </w:r>
      <w:r w:rsidR="00EE0606">
        <w:t xml:space="preserve">. As such, annual </w:t>
      </w:r>
      <w:r w:rsidR="00CA292F">
        <w:t xml:space="preserve">time series data </w:t>
      </w:r>
      <w:r w:rsidR="00EE0606">
        <w:t xml:space="preserve">sourced </w:t>
      </w:r>
      <w:r w:rsidR="00CA292F">
        <w:t>from</w:t>
      </w:r>
      <w:r w:rsidR="004A6B36">
        <w:t xml:space="preserve"> </w:t>
      </w:r>
      <w:r w:rsidR="00EE0606">
        <w:t>CBN</w:t>
      </w:r>
      <w:r w:rsidR="00CA292F">
        <w:t xml:space="preserve"> statistical bulletin</w:t>
      </w:r>
      <w:r w:rsidR="00EE0606">
        <w:t xml:space="preserve"> and</w:t>
      </w:r>
      <w:r w:rsidR="00CA292F">
        <w:t xml:space="preserve"> the National Bureau of Statistics (NBS) spanning from 2012 to 2025</w:t>
      </w:r>
      <w:r w:rsidR="00EE0606">
        <w:t xml:space="preserve"> was used for the </w:t>
      </w:r>
      <w:r w:rsidR="00CA5809">
        <w:t>study</w:t>
      </w:r>
      <w:r w:rsidR="00CA292F">
        <w:t>.</w:t>
      </w:r>
      <w:r w:rsidR="00EE0606">
        <w:t xml:space="preserve"> Th</w:t>
      </w:r>
      <w:r w:rsidR="004A6B36">
        <w:t>is period was selected because it</w:t>
      </w:r>
      <w:r w:rsidR="004F02B5">
        <w:t xml:space="preserve"> heralds the era of data collection and availability on FinTech and e-payment platforms as well as </w:t>
      </w:r>
      <w:r w:rsidR="00EE0606">
        <w:t xml:space="preserve">policies </w:t>
      </w:r>
      <w:r w:rsidR="004F02B5">
        <w:t xml:space="preserve">like </w:t>
      </w:r>
      <w:r w:rsidR="004A6B36" w:rsidRPr="00995C61">
        <w:t>NFIS 3</w:t>
      </w:r>
      <w:r w:rsidR="004A6B36">
        <w:t>.0</w:t>
      </w:r>
      <w:r w:rsidR="00EE0606">
        <w:t xml:space="preserve"> that will provide sufficient information for this study.</w:t>
      </w:r>
    </w:p>
    <w:p w14:paraId="5FE68333" w14:textId="77777777" w:rsidR="004B0E9E" w:rsidRDefault="004B0E9E" w:rsidP="004B0E9E">
      <w:pPr>
        <w:jc w:val="both"/>
      </w:pPr>
    </w:p>
    <w:p w14:paraId="544B5049" w14:textId="6665AF20" w:rsidR="004B0E9E" w:rsidRDefault="00722BC0" w:rsidP="004B0E9E">
      <w:pPr>
        <w:jc w:val="both"/>
      </w:pPr>
      <w:r w:rsidRPr="000A7264">
        <w:t xml:space="preserve">The </w:t>
      </w:r>
      <w:r>
        <w:t xml:space="preserve">model adopted for this </w:t>
      </w:r>
      <w:r w:rsidRPr="000A7264">
        <w:t xml:space="preserve">study </w:t>
      </w:r>
      <w:r>
        <w:t xml:space="preserve">is the </w:t>
      </w:r>
      <w:r w:rsidRPr="000A7264">
        <w:t xml:space="preserve">Autoregressive Distributed Lag (ARDL) model developed by Pesaran and Pesaran (1997) and Pesaran and Shin (2001). ARDL </w:t>
      </w:r>
      <w:r>
        <w:t xml:space="preserve">combines autoregressive (regression of the past values of the dependent variable on itself) with </w:t>
      </w:r>
      <w:r w:rsidRPr="000A7264">
        <w:t xml:space="preserve">distributive lags </w:t>
      </w:r>
      <w:r>
        <w:t xml:space="preserve">(introduction off additional lags of the explanatory variables) in a model </w:t>
      </w:r>
      <w:r w:rsidRPr="000A7264">
        <w:t>(Stock &amp; Watson, 2015).</w:t>
      </w:r>
      <w:r>
        <w:t xml:space="preserve"> Put differently, Ezie and Ezie (2021) sees ARDL as a technique where the repressors and the </w:t>
      </w:r>
      <w:r w:rsidRPr="00257DEC">
        <w:t>regressand</w:t>
      </w:r>
      <w:r>
        <w:t xml:space="preserve"> are not only related </w:t>
      </w:r>
      <w:r w:rsidRPr="000A7264">
        <w:t>contemporaneously, but across historical (lagged) values as well.</w:t>
      </w:r>
      <w:r>
        <w:t xml:space="preserve"> What this means is that ARDL involves multiple time series analysis where the past values of the predictors (Xt) depicted as q-lags are introduced into an autoregression (Yt) known as p-lag to produce the model [ARDL (p,q)] shown as follows</w:t>
      </w:r>
    </w:p>
    <w:p w14:paraId="769BCE2F" w14:textId="77777777" w:rsidR="004B0E9E" w:rsidRDefault="004B0E9E" w:rsidP="004B0E9E">
      <w:pPr>
        <w:jc w:val="both"/>
        <w:rPr>
          <w:bCs/>
          <w:iCs/>
        </w:rPr>
      </w:pPr>
    </w:p>
    <w:p w14:paraId="534DA8FF" w14:textId="77777777" w:rsidR="004B0E9E" w:rsidRDefault="00722BC0" w:rsidP="004B0E9E">
      <w:pPr>
        <w:jc w:val="both"/>
      </w:pPr>
      <w:r w:rsidRPr="000A7264">
        <w:rPr>
          <w:bCs/>
          <w:iCs/>
        </w:rPr>
        <w:t>y</w:t>
      </w:r>
      <w:r w:rsidRPr="000A7264">
        <w:rPr>
          <w:bCs/>
          <w:iCs/>
          <w:vertAlign w:val="subscript"/>
        </w:rPr>
        <w:t>t</w:t>
      </w:r>
      <w:r w:rsidRPr="000A7264">
        <w:rPr>
          <w:bCs/>
          <w:iCs/>
        </w:rPr>
        <w:t> = β</w:t>
      </w:r>
      <w:r w:rsidRPr="000A7264">
        <w:rPr>
          <w:bCs/>
          <w:iCs/>
          <w:vertAlign w:val="subscript"/>
        </w:rPr>
        <w:t>0</w:t>
      </w:r>
      <w:r w:rsidRPr="000A7264">
        <w:rPr>
          <w:bCs/>
          <w:iCs/>
        </w:rPr>
        <w:t> + β</w:t>
      </w:r>
      <w:r w:rsidRPr="000A7264">
        <w:rPr>
          <w:bCs/>
          <w:iCs/>
          <w:vertAlign w:val="subscript"/>
        </w:rPr>
        <w:t>1</w:t>
      </w:r>
      <w:r w:rsidRPr="000A7264">
        <w:rPr>
          <w:bCs/>
          <w:iCs/>
        </w:rPr>
        <w:t>y</w:t>
      </w:r>
      <w:r w:rsidRPr="000A7264">
        <w:rPr>
          <w:bCs/>
          <w:iCs/>
          <w:vertAlign w:val="subscript"/>
        </w:rPr>
        <w:t>t-1</w:t>
      </w:r>
      <w:r w:rsidRPr="000A7264">
        <w:rPr>
          <w:bCs/>
          <w:iCs/>
        </w:rPr>
        <w:t> + β</w:t>
      </w:r>
      <w:r w:rsidRPr="000A7264">
        <w:rPr>
          <w:bCs/>
          <w:iCs/>
          <w:vertAlign w:val="subscript"/>
        </w:rPr>
        <w:t>2</w:t>
      </w:r>
      <w:r w:rsidRPr="000A7264">
        <w:rPr>
          <w:bCs/>
          <w:iCs/>
        </w:rPr>
        <w:t>y</w:t>
      </w:r>
      <w:r w:rsidRPr="000A7264">
        <w:rPr>
          <w:bCs/>
          <w:iCs/>
          <w:vertAlign w:val="subscript"/>
        </w:rPr>
        <w:t>t-2</w:t>
      </w:r>
      <w:r w:rsidRPr="000A7264">
        <w:rPr>
          <w:bCs/>
          <w:iCs/>
        </w:rPr>
        <w:t> .... + β</w:t>
      </w:r>
      <w:r w:rsidRPr="000A7264">
        <w:rPr>
          <w:bCs/>
          <w:iCs/>
          <w:vertAlign w:val="subscript"/>
        </w:rPr>
        <w:t>k</w:t>
      </w:r>
      <w:r w:rsidRPr="000A7264">
        <w:rPr>
          <w:bCs/>
          <w:iCs/>
        </w:rPr>
        <w:t>y</w:t>
      </w:r>
      <w:r w:rsidRPr="000A7264">
        <w:rPr>
          <w:bCs/>
          <w:iCs/>
          <w:vertAlign w:val="subscript"/>
        </w:rPr>
        <w:t>t-k</w:t>
      </w:r>
      <w:r w:rsidRPr="000A7264">
        <w:rPr>
          <w:bCs/>
          <w:iCs/>
        </w:rPr>
        <w:t> + β</w:t>
      </w:r>
      <w:r w:rsidRPr="000A7264">
        <w:rPr>
          <w:bCs/>
          <w:iCs/>
          <w:vertAlign w:val="subscript"/>
        </w:rPr>
        <w:t>0</w:t>
      </w:r>
      <w:r w:rsidRPr="000A7264">
        <w:rPr>
          <w:bCs/>
          <w:iCs/>
        </w:rPr>
        <w:t>x</w:t>
      </w:r>
      <w:r w:rsidRPr="000A7264">
        <w:rPr>
          <w:bCs/>
          <w:iCs/>
          <w:vertAlign w:val="subscript"/>
        </w:rPr>
        <w:t>t</w:t>
      </w:r>
      <w:r w:rsidRPr="000A7264">
        <w:rPr>
          <w:bCs/>
          <w:iCs/>
        </w:rPr>
        <w:t> + β</w:t>
      </w:r>
      <w:r w:rsidRPr="000A7264">
        <w:rPr>
          <w:bCs/>
          <w:iCs/>
          <w:vertAlign w:val="subscript"/>
        </w:rPr>
        <w:t>1</w:t>
      </w:r>
      <w:r w:rsidRPr="000A7264">
        <w:rPr>
          <w:bCs/>
          <w:iCs/>
        </w:rPr>
        <w:t>x</w:t>
      </w:r>
      <w:r w:rsidRPr="000A7264">
        <w:rPr>
          <w:bCs/>
          <w:iCs/>
          <w:vertAlign w:val="subscript"/>
        </w:rPr>
        <w:t>t-1</w:t>
      </w:r>
      <w:r w:rsidRPr="000A7264">
        <w:rPr>
          <w:bCs/>
          <w:iCs/>
        </w:rPr>
        <w:t> + β</w:t>
      </w:r>
      <w:r w:rsidRPr="000A7264">
        <w:rPr>
          <w:bCs/>
          <w:iCs/>
          <w:vertAlign w:val="subscript"/>
        </w:rPr>
        <w:t>2</w:t>
      </w:r>
      <w:r w:rsidRPr="000A7264">
        <w:rPr>
          <w:bCs/>
          <w:iCs/>
        </w:rPr>
        <w:t>x</w:t>
      </w:r>
      <w:r w:rsidRPr="000A7264">
        <w:rPr>
          <w:bCs/>
          <w:iCs/>
          <w:vertAlign w:val="subscript"/>
        </w:rPr>
        <w:t>t-2</w:t>
      </w:r>
      <w:r w:rsidRPr="000A7264">
        <w:rPr>
          <w:bCs/>
          <w:iCs/>
        </w:rPr>
        <w:t> +...... + β</w:t>
      </w:r>
      <w:r w:rsidRPr="000A7264">
        <w:rPr>
          <w:bCs/>
          <w:iCs/>
          <w:vertAlign w:val="subscript"/>
        </w:rPr>
        <w:t>q</w:t>
      </w:r>
      <w:r w:rsidRPr="000A7264">
        <w:rPr>
          <w:bCs/>
          <w:iCs/>
        </w:rPr>
        <w:t>x</w:t>
      </w:r>
      <w:r w:rsidRPr="000A7264">
        <w:rPr>
          <w:bCs/>
          <w:iCs/>
          <w:vertAlign w:val="subscript"/>
        </w:rPr>
        <w:t>t-k</w:t>
      </w:r>
      <w:r w:rsidRPr="000A7264">
        <w:rPr>
          <w:bCs/>
          <w:iCs/>
        </w:rPr>
        <w:t xml:space="preserve"> + </w:t>
      </w:r>
      <w:r w:rsidR="00702825" w:rsidRPr="00441FED">
        <w:t>ε</w:t>
      </w:r>
      <w:r w:rsidR="00702825" w:rsidRPr="000A7264">
        <w:rPr>
          <w:bCs/>
          <w:iCs/>
          <w:vertAlign w:val="subscript"/>
        </w:rPr>
        <w:t xml:space="preserve"> </w:t>
      </w:r>
      <w:r w:rsidRPr="000A7264">
        <w:rPr>
          <w:bCs/>
          <w:iCs/>
          <w:vertAlign w:val="subscript"/>
        </w:rPr>
        <w:t>t</w:t>
      </w:r>
      <w:r>
        <w:rPr>
          <w:bCs/>
          <w:iCs/>
        </w:rPr>
        <w:tab/>
        <w:t>-</w:t>
      </w:r>
      <w:r>
        <w:rPr>
          <w:bCs/>
          <w:iCs/>
        </w:rPr>
        <w:tab/>
        <w:t>-</w:t>
      </w:r>
      <w:r>
        <w:rPr>
          <w:bCs/>
          <w:iCs/>
        </w:rPr>
        <w:tab/>
        <w:t>(1.1)</w:t>
      </w:r>
    </w:p>
    <w:p w14:paraId="46D5EB93" w14:textId="77777777" w:rsidR="004B0E9E" w:rsidRDefault="00722BC0" w:rsidP="004B0E9E">
      <w:pPr>
        <w:jc w:val="both"/>
      </w:pPr>
      <w:r w:rsidRPr="000A7264">
        <w:rPr>
          <w:iCs/>
        </w:rPr>
        <w:t>Where;</w:t>
      </w:r>
    </w:p>
    <w:p w14:paraId="4237F940" w14:textId="77777777" w:rsidR="004B0E9E" w:rsidRDefault="00722BC0" w:rsidP="004B0E9E">
      <w:pPr>
        <w:jc w:val="both"/>
      </w:pPr>
      <w:r>
        <w:rPr>
          <w:iCs/>
        </w:rPr>
        <w:t>Yt = regressand, dependent or endogenous or outcome variable</w:t>
      </w:r>
    </w:p>
    <w:p w14:paraId="60E920D7" w14:textId="77777777" w:rsidR="004B0E9E" w:rsidRDefault="00722BC0" w:rsidP="004B0E9E">
      <w:pPr>
        <w:jc w:val="both"/>
      </w:pPr>
      <w:r>
        <w:rPr>
          <w:iCs/>
        </w:rPr>
        <w:t xml:space="preserve">Xt = regressors, predictors, explanatory or independent or controlled variables  </w:t>
      </w:r>
    </w:p>
    <w:p w14:paraId="599C34CF" w14:textId="77777777" w:rsidR="004B0E9E" w:rsidRDefault="00722BC0" w:rsidP="004B0E9E">
      <w:pPr>
        <w:jc w:val="both"/>
      </w:pPr>
      <w:r w:rsidRPr="000A7264">
        <w:rPr>
          <w:bCs/>
          <w:iCs/>
        </w:rPr>
        <w:t>β</w:t>
      </w:r>
      <w:r w:rsidRPr="000A7264">
        <w:rPr>
          <w:bCs/>
          <w:iCs/>
          <w:vertAlign w:val="subscript"/>
        </w:rPr>
        <w:t>0</w:t>
      </w:r>
      <w:r w:rsidRPr="000A7264">
        <w:rPr>
          <w:bCs/>
          <w:iCs/>
        </w:rPr>
        <w:t xml:space="preserve"> is the constant </w:t>
      </w:r>
      <w:r>
        <w:rPr>
          <w:bCs/>
          <w:iCs/>
        </w:rPr>
        <w:t xml:space="preserve">or </w:t>
      </w:r>
      <w:r w:rsidRPr="000A7264">
        <w:rPr>
          <w:bCs/>
          <w:iCs/>
        </w:rPr>
        <w:t>intercept</w:t>
      </w:r>
    </w:p>
    <w:p w14:paraId="70CC8F4D" w14:textId="77777777" w:rsidR="004B0E9E" w:rsidRDefault="00722BC0" w:rsidP="004B0E9E">
      <w:pPr>
        <w:jc w:val="both"/>
      </w:pPr>
      <w:r w:rsidRPr="000A7264">
        <w:rPr>
          <w:bCs/>
          <w:iCs/>
        </w:rPr>
        <w:t>β</w:t>
      </w:r>
      <w:r w:rsidRPr="000A7264">
        <w:rPr>
          <w:bCs/>
          <w:iCs/>
          <w:vertAlign w:val="subscript"/>
        </w:rPr>
        <w:t>1</w:t>
      </w:r>
      <w:r w:rsidRPr="000A7264">
        <w:rPr>
          <w:bCs/>
          <w:iCs/>
        </w:rPr>
        <w:t> – β</w:t>
      </w:r>
      <w:r w:rsidRPr="000A7264">
        <w:rPr>
          <w:bCs/>
          <w:iCs/>
          <w:vertAlign w:val="subscript"/>
        </w:rPr>
        <w:t>q</w:t>
      </w:r>
      <w:r w:rsidRPr="000A7264">
        <w:rPr>
          <w:bCs/>
          <w:iCs/>
        </w:rPr>
        <w:t xml:space="preserve"> are parameters</w:t>
      </w:r>
      <w:r>
        <w:rPr>
          <w:bCs/>
          <w:iCs/>
        </w:rPr>
        <w:t xml:space="preserve"> to be estimated </w:t>
      </w:r>
    </w:p>
    <w:p w14:paraId="0D8B13BF" w14:textId="7B7C761F" w:rsidR="00CA292F" w:rsidRDefault="00722BC0" w:rsidP="004B0E9E">
      <w:pPr>
        <w:jc w:val="both"/>
      </w:pPr>
      <w:r>
        <w:rPr>
          <w:bCs/>
          <w:iCs/>
        </w:rPr>
        <w:t xml:space="preserve">t-k is the </w:t>
      </w:r>
      <w:r w:rsidRPr="000A7264">
        <w:rPr>
          <w:bCs/>
          <w:iCs/>
        </w:rPr>
        <w:t>lag length</w:t>
      </w:r>
    </w:p>
    <w:p w14:paraId="788C9FBC" w14:textId="77777777" w:rsidR="00CA292F" w:rsidRDefault="00722BC0" w:rsidP="00CA292F">
      <w:pPr>
        <w:spacing w:line="360" w:lineRule="auto"/>
        <w:jc w:val="both"/>
      </w:pPr>
      <w:r w:rsidRPr="000A7264">
        <w:rPr>
          <w:bCs/>
          <w:iCs/>
        </w:rPr>
        <w:t>u</w:t>
      </w:r>
      <w:r w:rsidRPr="000A7264">
        <w:rPr>
          <w:bCs/>
          <w:iCs/>
          <w:vertAlign w:val="subscript"/>
        </w:rPr>
        <w:t>t</w:t>
      </w:r>
      <w:r w:rsidRPr="000A7264">
        <w:rPr>
          <w:bCs/>
          <w:iCs/>
        </w:rPr>
        <w:t xml:space="preserve"> is the error term</w:t>
      </w:r>
      <w:r>
        <w:rPr>
          <w:bCs/>
          <w:iCs/>
        </w:rPr>
        <w:t>/white noise</w:t>
      </w:r>
      <w:r w:rsidRPr="000A7264">
        <w:rPr>
          <w:bCs/>
          <w:iCs/>
        </w:rPr>
        <w:t xml:space="preserve">. </w:t>
      </w:r>
    </w:p>
    <w:p w14:paraId="300A9DF4" w14:textId="38992CBE" w:rsidR="004B0E9E" w:rsidRDefault="00722BC0" w:rsidP="004B0E9E">
      <w:pPr>
        <w:jc w:val="both"/>
      </w:pPr>
      <w:r w:rsidRPr="006C0637">
        <w:t xml:space="preserve">ARDL model is adopted </w:t>
      </w:r>
      <w:r>
        <w:t xml:space="preserve">as the most suitable for this </w:t>
      </w:r>
      <w:r w:rsidRPr="006C0637">
        <w:t>study due to it</w:t>
      </w:r>
      <w:r>
        <w:t xml:space="preserve">s desirable </w:t>
      </w:r>
      <w:r w:rsidR="007E6FAA">
        <w:t>attributes</w:t>
      </w:r>
      <w:r>
        <w:t xml:space="preserve"> that included ease and flexibility in application in a mixed order of integration [</w:t>
      </w:r>
      <w:r w:rsidRPr="00722BC0">
        <w:rPr>
          <w:i/>
          <w:iCs/>
        </w:rPr>
        <w:t>I</w:t>
      </w:r>
      <w:r>
        <w:t xml:space="preserve">(0) and </w:t>
      </w:r>
      <w:r w:rsidRPr="00722BC0">
        <w:rPr>
          <w:i/>
          <w:iCs/>
        </w:rPr>
        <w:t>I</w:t>
      </w:r>
      <w:r>
        <w:t xml:space="preserve">(1)] unlike the Vector Autoregression (VAR) that applies to </w:t>
      </w:r>
      <w:r w:rsidRPr="00495375">
        <w:rPr>
          <w:i/>
        </w:rPr>
        <w:t>I</w:t>
      </w:r>
      <w:r>
        <w:t xml:space="preserve">(1)) integration and OLS that applies to </w:t>
      </w:r>
      <w:r w:rsidRPr="00495375">
        <w:rPr>
          <w:i/>
        </w:rPr>
        <w:t>I</w:t>
      </w:r>
      <w:r>
        <w:t xml:space="preserve">(0) integration. </w:t>
      </w:r>
      <w:r w:rsidR="00C47F2F">
        <w:rPr>
          <w:rFonts w:eastAsia="Aptos"/>
          <w:lang w:val="en-GB"/>
        </w:rPr>
        <w:t xml:space="preserve">In furtherance, the model specified </w:t>
      </w:r>
      <w:r>
        <w:rPr>
          <w:rFonts w:eastAsia="Aptos"/>
          <w:lang w:val="en-GB"/>
        </w:rPr>
        <w:t xml:space="preserve">by </w:t>
      </w:r>
      <w:r w:rsidR="009D2FC7" w:rsidRPr="000603B7">
        <w:t>U</w:t>
      </w:r>
      <w:r w:rsidR="009D2FC7">
        <w:t xml:space="preserve">nachukwu and </w:t>
      </w:r>
      <w:r w:rsidR="009D2FC7" w:rsidRPr="000603B7">
        <w:t>C</w:t>
      </w:r>
      <w:r w:rsidR="009D2FC7">
        <w:t>hukwuma (2026) to examine the e</w:t>
      </w:r>
      <w:r w:rsidR="009D2FC7" w:rsidRPr="000603B7">
        <w:t>ffect</w:t>
      </w:r>
      <w:r w:rsidR="009D2FC7">
        <w:t>s</w:t>
      </w:r>
      <w:r w:rsidR="009D2FC7" w:rsidRPr="000603B7">
        <w:t xml:space="preserve"> of </w:t>
      </w:r>
      <w:r w:rsidR="009D2FC7">
        <w:t>f</w:t>
      </w:r>
      <w:r w:rsidR="009D2FC7" w:rsidRPr="000603B7">
        <w:t xml:space="preserve">inancial </w:t>
      </w:r>
      <w:r w:rsidR="009D2FC7">
        <w:t>t</w:t>
      </w:r>
      <w:r w:rsidR="009D2FC7" w:rsidRPr="000603B7">
        <w:t xml:space="preserve">echnology on the </w:t>
      </w:r>
      <w:r w:rsidR="009D2FC7">
        <w:t>f</w:t>
      </w:r>
      <w:r w:rsidR="009D2FC7" w:rsidRPr="000603B7">
        <w:t xml:space="preserve">inancial </w:t>
      </w:r>
      <w:r w:rsidR="009D2FC7">
        <w:t>p</w:t>
      </w:r>
      <w:r w:rsidR="009D2FC7" w:rsidRPr="000603B7">
        <w:t xml:space="preserve">erformance of </w:t>
      </w:r>
      <w:r w:rsidR="009D2FC7">
        <w:t>c</w:t>
      </w:r>
      <w:r w:rsidR="009D2FC7" w:rsidRPr="000603B7">
        <w:t>ommercial</w:t>
      </w:r>
      <w:r w:rsidR="009D2FC7">
        <w:t xml:space="preserve"> b</w:t>
      </w:r>
      <w:r w:rsidR="009D2FC7" w:rsidRPr="000603B7">
        <w:t>anks in Nigeria</w:t>
      </w:r>
      <w:r w:rsidR="00084ABC">
        <w:t xml:space="preserve"> for the period </w:t>
      </w:r>
      <w:r w:rsidR="00B6717C">
        <w:t>2009 to 2024</w:t>
      </w:r>
      <w:r w:rsidR="00C47F2F">
        <w:t xml:space="preserve"> was adopted for this study</w:t>
      </w:r>
      <w:r w:rsidR="009D2FC7">
        <w:t>. The model follows</w:t>
      </w:r>
    </w:p>
    <w:p w14:paraId="6D483655" w14:textId="77777777" w:rsidR="004B0E9E" w:rsidRDefault="004B0E9E" w:rsidP="004B0E9E">
      <w:pPr>
        <w:jc w:val="both"/>
      </w:pPr>
    </w:p>
    <w:p w14:paraId="3B8682CB" w14:textId="32547639" w:rsidR="004B0E9E" w:rsidRDefault="009D2FC7" w:rsidP="007E6FAA">
      <w:pPr>
        <w:spacing w:line="276" w:lineRule="auto"/>
        <w:jc w:val="both"/>
      </w:pPr>
      <w:r w:rsidRPr="00441FED">
        <w:t>ROA = αO + β</w:t>
      </w:r>
      <w:r w:rsidRPr="007E6FAA">
        <w:rPr>
          <w:vertAlign w:val="subscript"/>
        </w:rPr>
        <w:t>1</w:t>
      </w:r>
      <w:r w:rsidRPr="00441FED">
        <w:t>POS + β</w:t>
      </w:r>
      <w:r w:rsidRPr="007E6FAA">
        <w:rPr>
          <w:vertAlign w:val="subscript"/>
        </w:rPr>
        <w:t>2</w:t>
      </w:r>
      <w:r w:rsidRPr="00441FED">
        <w:t>MB + β</w:t>
      </w:r>
      <w:r w:rsidRPr="007E6FAA">
        <w:rPr>
          <w:vertAlign w:val="subscript"/>
        </w:rPr>
        <w:t>3</w:t>
      </w:r>
      <w:r w:rsidRPr="00441FED">
        <w:t>IB + β</w:t>
      </w:r>
      <w:r w:rsidRPr="007E6FAA">
        <w:rPr>
          <w:vertAlign w:val="subscript"/>
        </w:rPr>
        <w:t>4</w:t>
      </w:r>
      <w:r w:rsidRPr="00441FED">
        <w:t xml:space="preserve">ATM + ε </w:t>
      </w:r>
      <w:r>
        <w:tab/>
        <w:t>-</w:t>
      </w:r>
      <w:r>
        <w:tab/>
        <w:t>-</w:t>
      </w:r>
      <w:r>
        <w:tab/>
        <w:t>-</w:t>
      </w:r>
      <w:r>
        <w:tab/>
        <w:t>-</w:t>
      </w:r>
      <w:r>
        <w:tab/>
        <w:t>(1.2)</w:t>
      </w:r>
    </w:p>
    <w:p w14:paraId="3C63B728" w14:textId="77777777" w:rsidR="004B0E9E" w:rsidRDefault="009D2FC7" w:rsidP="007E6FAA">
      <w:pPr>
        <w:spacing w:line="276" w:lineRule="auto"/>
        <w:jc w:val="both"/>
      </w:pPr>
      <w:r>
        <w:t>Where</w:t>
      </w:r>
    </w:p>
    <w:p w14:paraId="5919C61C" w14:textId="77777777" w:rsidR="004B0E9E" w:rsidRDefault="009D2FC7" w:rsidP="007E6FAA">
      <w:pPr>
        <w:spacing w:line="276" w:lineRule="auto"/>
        <w:jc w:val="both"/>
      </w:pPr>
      <w:r w:rsidRPr="00441FED">
        <w:t xml:space="preserve">α </w:t>
      </w:r>
      <w:r>
        <w:t xml:space="preserve">= </w:t>
      </w:r>
      <w:r w:rsidRPr="00441FED">
        <w:t>Constant Term</w:t>
      </w:r>
    </w:p>
    <w:p w14:paraId="590A6E77" w14:textId="77777777" w:rsidR="004B0E9E" w:rsidRDefault="009D2FC7" w:rsidP="004B0E9E">
      <w:pPr>
        <w:jc w:val="both"/>
      </w:pPr>
      <w:r w:rsidRPr="00441FED">
        <w:t>β</w:t>
      </w:r>
      <w:r>
        <w:t xml:space="preserve"> = </w:t>
      </w:r>
      <w:r w:rsidRPr="00441FED">
        <w:t>Beta coefficients</w:t>
      </w:r>
    </w:p>
    <w:p w14:paraId="74C12C23" w14:textId="68ED1682" w:rsidR="004B0E9E" w:rsidRDefault="007E6FAA" w:rsidP="004B0E9E">
      <w:pPr>
        <w:jc w:val="both"/>
      </w:pPr>
      <w:r w:rsidRPr="00441FED">
        <w:t>ε</w:t>
      </w:r>
      <w:r w:rsidR="009D2FC7" w:rsidRPr="00441FED">
        <w:t xml:space="preserve"> =</w:t>
      </w:r>
      <w:r w:rsidR="009D2FC7">
        <w:t xml:space="preserve"> </w:t>
      </w:r>
      <w:r w:rsidR="009D2FC7" w:rsidRPr="00441FED">
        <w:t>Error Term</w:t>
      </w:r>
    </w:p>
    <w:p w14:paraId="27A9AEF7" w14:textId="77777777" w:rsidR="004B0E9E" w:rsidRDefault="009D2FC7" w:rsidP="004B0E9E">
      <w:pPr>
        <w:jc w:val="both"/>
      </w:pPr>
      <w:r w:rsidRPr="00441FED">
        <w:t>ROA = Return on Assets</w:t>
      </w:r>
      <w:r>
        <w:t xml:space="preserve"> </w:t>
      </w:r>
    </w:p>
    <w:p w14:paraId="25FD7A59" w14:textId="77777777" w:rsidR="004B0E9E" w:rsidRDefault="009D2FC7" w:rsidP="004B0E9E">
      <w:pPr>
        <w:jc w:val="both"/>
      </w:pPr>
      <w:r w:rsidRPr="00441FED">
        <w:t>POS = Point of Sale</w:t>
      </w:r>
    </w:p>
    <w:p w14:paraId="0377C598" w14:textId="77777777" w:rsidR="004B0E9E" w:rsidRDefault="009D2FC7" w:rsidP="004B0E9E">
      <w:pPr>
        <w:jc w:val="both"/>
      </w:pPr>
      <w:r w:rsidRPr="00441FED">
        <w:t xml:space="preserve">MB = Mobile Banking </w:t>
      </w:r>
    </w:p>
    <w:p w14:paraId="579D7970" w14:textId="77777777" w:rsidR="004B0E9E" w:rsidRDefault="009D2FC7" w:rsidP="004B0E9E">
      <w:pPr>
        <w:jc w:val="both"/>
      </w:pPr>
      <w:r w:rsidRPr="00441FED">
        <w:t>IB =</w:t>
      </w:r>
      <w:r>
        <w:t xml:space="preserve"> Internet Banking </w:t>
      </w:r>
    </w:p>
    <w:p w14:paraId="12AE581F" w14:textId="77777777" w:rsidR="007E6FAA" w:rsidRDefault="009D2FC7" w:rsidP="004B0E9E">
      <w:pPr>
        <w:jc w:val="both"/>
        <w:rPr>
          <w:rFonts w:eastAsia="Aptos"/>
          <w:lang w:val="en-GB"/>
        </w:rPr>
      </w:pPr>
      <w:r>
        <w:rPr>
          <w:rFonts w:eastAsia="Aptos"/>
          <w:lang w:val="en-GB"/>
        </w:rPr>
        <w:lastRenderedPageBreak/>
        <w:t xml:space="preserve">Equation 1.2 was modified by retaining ROA, ATM, POS, and MB, while excluding IB. Thus, the </w:t>
      </w:r>
      <w:r w:rsidR="00800E2A">
        <w:rPr>
          <w:rFonts w:eastAsia="Aptos"/>
          <w:lang w:val="en-GB"/>
        </w:rPr>
        <w:t xml:space="preserve">explicit form of the </w:t>
      </w:r>
      <w:r>
        <w:rPr>
          <w:rFonts w:eastAsia="Aptos"/>
          <w:lang w:val="en-GB"/>
        </w:rPr>
        <w:t xml:space="preserve">current </w:t>
      </w:r>
      <w:r w:rsidR="00800E2A">
        <w:rPr>
          <w:rFonts w:eastAsia="Aptos"/>
          <w:lang w:val="en-GB"/>
        </w:rPr>
        <w:t>model is expressed as;</w:t>
      </w:r>
    </w:p>
    <w:p w14:paraId="31DB9C01" w14:textId="77777777" w:rsidR="007E6FAA" w:rsidRPr="00C91C0F" w:rsidRDefault="007E6FAA" w:rsidP="007E6FAA">
      <w:pPr>
        <w:spacing w:line="360" w:lineRule="auto"/>
        <w:contextualSpacing/>
        <w:jc w:val="both"/>
        <w:rPr>
          <w:sz w:val="10"/>
        </w:rPr>
      </w:pPr>
    </w:p>
    <w:p w14:paraId="63055D34" w14:textId="1D7B09FB" w:rsidR="004B0E9E" w:rsidRPr="007E6FAA" w:rsidRDefault="00800E2A" w:rsidP="007E6FAA">
      <w:pPr>
        <w:spacing w:line="276" w:lineRule="auto"/>
        <w:jc w:val="both"/>
      </w:pPr>
      <w:r>
        <w:rPr>
          <w:rFonts w:eastAsia="Aptos"/>
          <w:lang w:val="en-GB"/>
        </w:rPr>
        <w:t>ROA</w:t>
      </w:r>
      <w:r w:rsidRPr="00800E2A">
        <w:rPr>
          <w:rFonts w:eastAsia="Aptos"/>
          <w:vertAlign w:val="subscript"/>
          <w:lang w:val="en-GB"/>
        </w:rPr>
        <w:t>t</w:t>
      </w:r>
      <w:r>
        <w:rPr>
          <w:rFonts w:eastAsia="Aptos"/>
          <w:lang w:val="en-GB"/>
        </w:rPr>
        <w:t xml:space="preserve"> = β</w:t>
      </w:r>
      <w:r w:rsidRPr="00800E2A">
        <w:rPr>
          <w:rFonts w:eastAsia="Aptos"/>
          <w:vertAlign w:val="subscript"/>
          <w:lang w:val="en-GB"/>
        </w:rPr>
        <w:t>0</w:t>
      </w:r>
      <w:r>
        <w:rPr>
          <w:rFonts w:eastAsia="Aptos"/>
          <w:lang w:val="en-GB"/>
        </w:rPr>
        <w:t xml:space="preserve"> + </w:t>
      </w:r>
      <w:r w:rsidR="007E6FAA">
        <w:rPr>
          <w:rFonts w:eastAsia="Aptos"/>
          <w:lang w:val="en-GB"/>
        </w:rPr>
        <w:t>β</w:t>
      </w:r>
      <w:r w:rsidR="007E6FAA">
        <w:rPr>
          <w:rFonts w:eastAsia="Aptos"/>
          <w:vertAlign w:val="subscript"/>
          <w:lang w:val="en-GB"/>
        </w:rPr>
        <w:t>1</w:t>
      </w:r>
      <w:r>
        <w:rPr>
          <w:rFonts w:eastAsia="Aptos"/>
          <w:lang w:val="en-GB"/>
        </w:rPr>
        <w:t>ATM</w:t>
      </w:r>
      <w:r w:rsidRPr="00800E2A">
        <w:rPr>
          <w:rFonts w:eastAsia="Aptos"/>
          <w:vertAlign w:val="subscript"/>
          <w:lang w:val="en-GB"/>
        </w:rPr>
        <w:t>t</w:t>
      </w:r>
      <w:r>
        <w:rPr>
          <w:rFonts w:eastAsia="Aptos"/>
          <w:lang w:val="en-GB"/>
        </w:rPr>
        <w:t xml:space="preserve"> + </w:t>
      </w:r>
      <w:r w:rsidR="007E6FAA">
        <w:rPr>
          <w:rFonts w:eastAsia="Aptos"/>
          <w:lang w:val="en-GB"/>
        </w:rPr>
        <w:t>β</w:t>
      </w:r>
      <w:r w:rsidR="007E6FAA">
        <w:rPr>
          <w:rFonts w:eastAsia="Aptos"/>
          <w:vertAlign w:val="subscript"/>
          <w:lang w:val="en-GB"/>
        </w:rPr>
        <w:t>2</w:t>
      </w:r>
      <w:r>
        <w:rPr>
          <w:rFonts w:eastAsia="Aptos"/>
          <w:lang w:val="en-GB"/>
        </w:rPr>
        <w:t>POS</w:t>
      </w:r>
      <w:r w:rsidRPr="00800E2A">
        <w:rPr>
          <w:rFonts w:eastAsia="Aptos"/>
          <w:vertAlign w:val="subscript"/>
          <w:lang w:val="en-GB"/>
        </w:rPr>
        <w:t>t</w:t>
      </w:r>
      <w:r>
        <w:rPr>
          <w:rFonts w:eastAsia="Aptos"/>
          <w:lang w:val="en-GB"/>
        </w:rPr>
        <w:t xml:space="preserve"> + </w:t>
      </w:r>
      <w:r w:rsidR="007E6FAA">
        <w:rPr>
          <w:rFonts w:eastAsia="Aptos"/>
          <w:lang w:val="en-GB"/>
        </w:rPr>
        <w:t>β</w:t>
      </w:r>
      <w:r w:rsidR="007E6FAA">
        <w:rPr>
          <w:rFonts w:eastAsia="Aptos"/>
          <w:vertAlign w:val="subscript"/>
          <w:lang w:val="en-GB"/>
        </w:rPr>
        <w:t>3</w:t>
      </w:r>
      <w:r>
        <w:rPr>
          <w:rFonts w:eastAsia="Aptos"/>
          <w:lang w:val="en-GB"/>
        </w:rPr>
        <w:t>MB</w:t>
      </w:r>
      <w:r w:rsidRPr="00800E2A">
        <w:rPr>
          <w:rFonts w:eastAsia="Aptos"/>
          <w:vertAlign w:val="subscript"/>
          <w:lang w:val="en-GB"/>
        </w:rPr>
        <w:t>t</w:t>
      </w:r>
      <w:r>
        <w:rPr>
          <w:rFonts w:eastAsia="Aptos"/>
          <w:lang w:val="en-GB"/>
        </w:rPr>
        <w:t xml:space="preserve"> + </w:t>
      </w:r>
      <w:r w:rsidR="00702825" w:rsidRPr="00441FED">
        <w:t>ε</w:t>
      </w:r>
      <w:r>
        <w:rPr>
          <w:rFonts w:eastAsia="Aptos"/>
          <w:lang w:val="en-GB"/>
        </w:rPr>
        <w:t xml:space="preserve"> </w:t>
      </w:r>
      <w:r>
        <w:rPr>
          <w:rFonts w:eastAsia="Aptos"/>
          <w:lang w:val="en-GB"/>
        </w:rPr>
        <w:tab/>
        <w:t>-</w:t>
      </w:r>
      <w:r>
        <w:rPr>
          <w:rFonts w:eastAsia="Aptos"/>
          <w:lang w:val="en-GB"/>
        </w:rPr>
        <w:tab/>
        <w:t>-</w:t>
      </w:r>
      <w:r>
        <w:rPr>
          <w:rFonts w:eastAsia="Aptos"/>
          <w:lang w:val="en-GB"/>
        </w:rPr>
        <w:tab/>
        <w:t>-</w:t>
      </w:r>
      <w:r>
        <w:rPr>
          <w:rFonts w:eastAsia="Aptos"/>
          <w:lang w:val="en-GB"/>
        </w:rPr>
        <w:tab/>
        <w:t>-</w:t>
      </w:r>
      <w:r>
        <w:rPr>
          <w:rFonts w:eastAsia="Aptos"/>
          <w:lang w:val="en-GB"/>
        </w:rPr>
        <w:tab/>
        <w:t>-</w:t>
      </w:r>
      <w:r>
        <w:rPr>
          <w:rFonts w:eastAsia="Aptos"/>
          <w:lang w:val="en-GB"/>
        </w:rPr>
        <w:tab/>
        <w:t>-</w:t>
      </w:r>
      <w:r>
        <w:rPr>
          <w:rFonts w:eastAsia="Aptos"/>
          <w:lang w:val="en-GB"/>
        </w:rPr>
        <w:tab/>
        <w:t>(1.3)</w:t>
      </w:r>
    </w:p>
    <w:p w14:paraId="4F24B5B4" w14:textId="77777777" w:rsidR="004B0E9E" w:rsidRDefault="00800E2A" w:rsidP="007E6FAA">
      <w:pPr>
        <w:spacing w:line="276" w:lineRule="auto"/>
        <w:jc w:val="both"/>
      </w:pPr>
      <w:r>
        <w:rPr>
          <w:rFonts w:eastAsia="Aptos"/>
          <w:lang w:val="en-GB"/>
        </w:rPr>
        <w:t>Equation 1.3 is specified in an ARDL form expressed as;</w:t>
      </w:r>
    </w:p>
    <w:p w14:paraId="15C35327" w14:textId="77777777" w:rsidR="004B0E9E" w:rsidRDefault="00800E2A" w:rsidP="007E6FAA">
      <w:pPr>
        <w:spacing w:line="276" w:lineRule="auto"/>
        <w:jc w:val="both"/>
      </w:pPr>
      <w:r>
        <w:rPr>
          <w:rFonts w:eastAsia="Aptos"/>
          <w:lang w:val="en-GB"/>
        </w:rPr>
        <w:t>ROA</w:t>
      </w:r>
      <w:r>
        <w:rPr>
          <w:rFonts w:eastAsia="Aptos"/>
          <w:vertAlign w:val="subscript"/>
          <w:lang w:val="en-GB"/>
        </w:rPr>
        <w:t>t</w:t>
      </w:r>
      <w:r>
        <w:rPr>
          <w:rFonts w:eastAsia="Aptos"/>
          <w:lang w:val="en-GB"/>
        </w:rPr>
        <w:t xml:space="preserve"> = β</w:t>
      </w:r>
      <w:r>
        <w:rPr>
          <w:rFonts w:eastAsia="Aptos"/>
          <w:vertAlign w:val="subscript"/>
          <w:lang w:val="en-GB"/>
        </w:rPr>
        <w:t>o</w:t>
      </w:r>
      <w:r>
        <w:rPr>
          <w:rFonts w:eastAsia="Aptos"/>
          <w:lang w:val="en-GB"/>
        </w:rPr>
        <w:t xml:space="preserve"> + </w:t>
      </w:r>
      <m:oMath>
        <m:nary>
          <m:naryPr>
            <m:chr m:val="∑"/>
            <m:limLoc m:val="subSup"/>
            <m:ctrlPr>
              <w:rPr>
                <w:rFonts w:ascii="Cambria Math" w:eastAsia="Aptos" w:hAnsi="Cambria Math"/>
                <w:i/>
                <w:lang w:val="en-GB"/>
              </w:rPr>
            </m:ctrlPr>
          </m:naryPr>
          <m:sub>
            <m:r>
              <w:rPr>
                <w:rFonts w:ascii="Cambria Math" w:eastAsia="Aptos" w:hAnsi="Cambria Math"/>
                <w:lang w:val="en-GB"/>
              </w:rPr>
              <m:t>t=i</m:t>
            </m:r>
          </m:sub>
          <m:sup>
            <m:r>
              <w:rPr>
                <w:rFonts w:ascii="Cambria Math" w:eastAsia="Aptos" w:hAnsi="Cambria Math"/>
                <w:lang w:val="en-GB"/>
              </w:rPr>
              <m:t>n</m:t>
            </m:r>
          </m:sup>
          <m:e>
            <m:r>
              <w:rPr>
                <w:rFonts w:ascii="Cambria Math" w:eastAsia="Aptos" w:hAnsi="Cambria Math"/>
                <w:lang w:val="en-GB"/>
              </w:rPr>
              <m:t xml:space="preserve"> </m:t>
            </m:r>
          </m:e>
        </m:nary>
      </m:oMath>
      <w:r>
        <w:rPr>
          <w:rFonts w:eastAsia="Aptos"/>
          <w:lang w:val="en-GB"/>
        </w:rPr>
        <w:t>β</w:t>
      </w:r>
      <w:r>
        <w:rPr>
          <w:rFonts w:eastAsia="Aptos"/>
          <w:vertAlign w:val="subscript"/>
          <w:lang w:val="en-GB"/>
        </w:rPr>
        <w:t>1</w:t>
      </w:r>
      <w:r>
        <w:rPr>
          <w:rFonts w:eastAsia="Aptos"/>
          <w:lang w:val="en-GB"/>
        </w:rPr>
        <w:t>ROA</w:t>
      </w:r>
      <w:r>
        <w:rPr>
          <w:rFonts w:eastAsia="Aptos"/>
          <w:vertAlign w:val="subscript"/>
          <w:lang w:val="en-GB"/>
        </w:rPr>
        <w:t>t-i</w:t>
      </w:r>
      <w:r>
        <w:rPr>
          <w:lang w:val="en-GB"/>
        </w:rPr>
        <w:t xml:space="preserve"> +</w:t>
      </w:r>
      <w:r>
        <w:rPr>
          <w:rFonts w:eastAsia="Aptos"/>
          <w:lang w:val="en-GB"/>
        </w:rPr>
        <w:t xml:space="preserve"> </w:t>
      </w:r>
      <m:oMath>
        <m:nary>
          <m:naryPr>
            <m:chr m:val="∑"/>
            <m:limLoc m:val="subSup"/>
            <m:ctrlPr>
              <w:rPr>
                <w:rFonts w:ascii="Cambria Math" w:eastAsia="Aptos" w:hAnsi="Cambria Math"/>
                <w:i/>
                <w:lang w:val="en-GB"/>
              </w:rPr>
            </m:ctrlPr>
          </m:naryPr>
          <m:sub>
            <m:r>
              <w:rPr>
                <w:rFonts w:ascii="Cambria Math" w:eastAsia="Aptos" w:hAnsi="Cambria Math"/>
                <w:lang w:val="en-GB"/>
              </w:rPr>
              <m:t>t=i</m:t>
            </m:r>
          </m:sub>
          <m:sup>
            <m:r>
              <w:rPr>
                <w:rFonts w:ascii="Cambria Math" w:eastAsia="Aptos" w:hAnsi="Cambria Math"/>
                <w:lang w:val="en-GB"/>
              </w:rPr>
              <m:t>n</m:t>
            </m:r>
          </m:sup>
          <m:e>
            <m:r>
              <w:rPr>
                <w:rFonts w:ascii="Cambria Math" w:eastAsia="Aptos" w:hAnsi="Cambria Math"/>
                <w:lang w:val="en-GB"/>
              </w:rPr>
              <m:t xml:space="preserve"> </m:t>
            </m:r>
          </m:e>
        </m:nary>
      </m:oMath>
      <w:r>
        <w:rPr>
          <w:rFonts w:eastAsia="Aptos"/>
          <w:lang w:val="en-GB"/>
        </w:rPr>
        <w:t>β</w:t>
      </w:r>
      <w:r>
        <w:rPr>
          <w:rFonts w:eastAsia="Aptos"/>
          <w:vertAlign w:val="subscript"/>
          <w:lang w:val="en-GB"/>
        </w:rPr>
        <w:t>2</w:t>
      </w:r>
      <w:r>
        <w:rPr>
          <w:rFonts w:eastAsia="Aptos"/>
          <w:lang w:val="en-GB"/>
        </w:rPr>
        <w:t xml:space="preserve">ATM </w:t>
      </w:r>
      <w:r>
        <w:rPr>
          <w:vertAlign w:val="subscript"/>
          <w:lang w:val="en-GB"/>
        </w:rPr>
        <w:t>t-i</w:t>
      </w:r>
      <w:r>
        <w:rPr>
          <w:lang w:val="en-GB"/>
        </w:rPr>
        <w:t xml:space="preserve"> </w:t>
      </w:r>
      <w:r>
        <w:rPr>
          <w:rFonts w:eastAsia="Aptos"/>
          <w:lang w:val="en-GB"/>
        </w:rPr>
        <w:t xml:space="preserve">+ </w:t>
      </w:r>
      <m:oMath>
        <m:nary>
          <m:naryPr>
            <m:chr m:val="∑"/>
            <m:limLoc m:val="subSup"/>
            <m:ctrlPr>
              <w:rPr>
                <w:rFonts w:ascii="Cambria Math" w:eastAsia="Aptos" w:hAnsi="Cambria Math"/>
                <w:i/>
                <w:lang w:val="en-GB"/>
              </w:rPr>
            </m:ctrlPr>
          </m:naryPr>
          <m:sub>
            <m:r>
              <w:rPr>
                <w:rFonts w:ascii="Cambria Math" w:eastAsia="Aptos" w:hAnsi="Cambria Math"/>
                <w:lang w:val="en-GB"/>
              </w:rPr>
              <m:t>t=i</m:t>
            </m:r>
          </m:sub>
          <m:sup>
            <m:r>
              <w:rPr>
                <w:rFonts w:ascii="Cambria Math" w:eastAsia="Aptos" w:hAnsi="Cambria Math"/>
                <w:lang w:val="en-GB"/>
              </w:rPr>
              <m:t>n</m:t>
            </m:r>
          </m:sup>
          <m:e>
            <m:r>
              <w:rPr>
                <w:rFonts w:ascii="Cambria Math" w:eastAsia="Aptos" w:hAnsi="Cambria Math"/>
                <w:lang w:val="en-GB"/>
              </w:rPr>
              <m:t xml:space="preserve"> </m:t>
            </m:r>
          </m:e>
        </m:nary>
      </m:oMath>
      <w:r>
        <w:rPr>
          <w:rFonts w:eastAsia="Aptos"/>
          <w:lang w:val="en-GB"/>
        </w:rPr>
        <w:t>β</w:t>
      </w:r>
      <w:r>
        <w:rPr>
          <w:rFonts w:eastAsia="Aptos"/>
          <w:vertAlign w:val="subscript"/>
          <w:lang w:val="en-GB"/>
        </w:rPr>
        <w:t>3</w:t>
      </w:r>
      <w:r>
        <w:rPr>
          <w:rFonts w:eastAsia="Aptos"/>
          <w:lang w:val="en-GB"/>
        </w:rPr>
        <w:t>POS</w:t>
      </w:r>
      <w:r>
        <w:rPr>
          <w:vertAlign w:val="subscript"/>
          <w:lang w:val="en-GB"/>
        </w:rPr>
        <w:t>t-i</w:t>
      </w:r>
      <w:r>
        <w:rPr>
          <w:lang w:val="en-GB"/>
        </w:rPr>
        <w:t xml:space="preserve"> + </w:t>
      </w:r>
      <m:oMath>
        <m:nary>
          <m:naryPr>
            <m:chr m:val="∑"/>
            <m:limLoc m:val="subSup"/>
            <m:ctrlPr>
              <w:rPr>
                <w:rFonts w:ascii="Cambria Math" w:eastAsia="Aptos" w:hAnsi="Cambria Math"/>
                <w:i/>
                <w:lang w:val="en-GB"/>
              </w:rPr>
            </m:ctrlPr>
          </m:naryPr>
          <m:sub>
            <m:r>
              <w:rPr>
                <w:rFonts w:ascii="Cambria Math" w:eastAsia="Aptos" w:hAnsi="Cambria Math"/>
                <w:lang w:val="en-GB"/>
              </w:rPr>
              <m:t>t=i</m:t>
            </m:r>
          </m:sub>
          <m:sup>
            <m:r>
              <w:rPr>
                <w:rFonts w:ascii="Cambria Math" w:eastAsia="Aptos" w:hAnsi="Cambria Math"/>
                <w:lang w:val="en-GB"/>
              </w:rPr>
              <m:t>n</m:t>
            </m:r>
          </m:sup>
          <m:e>
            <m:r>
              <w:rPr>
                <w:rFonts w:ascii="Cambria Math" w:eastAsia="Aptos" w:hAnsi="Cambria Math"/>
                <w:lang w:val="en-GB"/>
              </w:rPr>
              <m:t xml:space="preserve"> </m:t>
            </m:r>
          </m:e>
        </m:nary>
      </m:oMath>
      <w:r>
        <w:rPr>
          <w:rFonts w:eastAsia="Aptos"/>
          <w:lang w:val="en-GB"/>
        </w:rPr>
        <w:t>β</w:t>
      </w:r>
      <w:r>
        <w:rPr>
          <w:vertAlign w:val="subscript"/>
          <w:lang w:val="en-GB"/>
        </w:rPr>
        <w:t>4</w:t>
      </w:r>
      <w:r>
        <w:rPr>
          <w:rFonts w:eastAsia="Aptos"/>
          <w:lang w:val="en-GB"/>
        </w:rPr>
        <w:t>MB</w:t>
      </w:r>
      <w:r>
        <w:rPr>
          <w:vertAlign w:val="subscript"/>
          <w:lang w:val="en-GB"/>
        </w:rPr>
        <w:t>t-i</w:t>
      </w:r>
      <w:r>
        <w:rPr>
          <w:lang w:val="en-GB"/>
        </w:rPr>
        <w:t xml:space="preserve"> </w:t>
      </w:r>
      <w:r>
        <w:rPr>
          <w:rFonts w:eastAsia="Aptos"/>
          <w:lang w:val="en-GB"/>
        </w:rPr>
        <w:t>+</w:t>
      </w:r>
      <w:r>
        <w:rPr>
          <w:rFonts w:eastAsia="Aptos"/>
          <w:i/>
          <w:lang w:val="en-GB"/>
        </w:rPr>
        <w:t xml:space="preserve"> </w:t>
      </w:r>
      <m:oMath>
        <m:r>
          <w:rPr>
            <w:rFonts w:ascii="Cambria Math" w:eastAsia="Aptos" w:hAnsi="Cambria Math"/>
            <w:lang w:val="en-GB"/>
          </w:rPr>
          <m:t>ε</m:t>
        </m:r>
      </m:oMath>
      <w:r>
        <w:rPr>
          <w:rFonts w:eastAsia="Aptos"/>
          <w:vertAlign w:val="subscript"/>
          <w:lang w:val="en-GB"/>
        </w:rPr>
        <w:t>t</w:t>
      </w:r>
      <w:r>
        <w:rPr>
          <w:rFonts w:eastAsia="Aptos"/>
          <w:vertAlign w:val="subscript"/>
          <w:lang w:val="en-GB"/>
        </w:rPr>
        <w:tab/>
        <w:t xml:space="preserve"> </w:t>
      </w:r>
      <w:r>
        <w:rPr>
          <w:rFonts w:eastAsia="Aptos"/>
          <w:lang w:val="en-GB"/>
        </w:rPr>
        <w:t xml:space="preserve">       -   (</w:t>
      </w:r>
      <w:r w:rsidR="00FD7F3A">
        <w:rPr>
          <w:rFonts w:eastAsia="Aptos"/>
          <w:lang w:val="en-GB"/>
        </w:rPr>
        <w:t>1</w:t>
      </w:r>
      <w:r>
        <w:rPr>
          <w:rFonts w:eastAsia="Aptos"/>
          <w:lang w:val="en-GB"/>
        </w:rPr>
        <w:t>.</w:t>
      </w:r>
      <w:r w:rsidR="00FD7F3A">
        <w:rPr>
          <w:rFonts w:eastAsia="Aptos"/>
          <w:lang w:val="en-GB"/>
        </w:rPr>
        <w:t>4</w:t>
      </w:r>
      <w:r>
        <w:rPr>
          <w:rFonts w:eastAsia="Aptos"/>
          <w:lang w:val="en-GB"/>
        </w:rPr>
        <w:t xml:space="preserve">) </w:t>
      </w:r>
    </w:p>
    <w:p w14:paraId="41507527" w14:textId="18EF67A4" w:rsidR="004B0E9E" w:rsidRDefault="00FD7F3A" w:rsidP="00B75F14">
      <w:pPr>
        <w:spacing w:line="276" w:lineRule="auto"/>
        <w:jc w:val="both"/>
      </w:pPr>
      <w:r>
        <w:rPr>
          <w:rFonts w:eastAsia="Aptos"/>
          <w:lang w:val="en-GB"/>
        </w:rPr>
        <w:t>Where</w:t>
      </w:r>
      <w:r w:rsidR="00B75F14">
        <w:rPr>
          <w:rFonts w:eastAsia="Aptos"/>
          <w:lang w:val="en-GB"/>
        </w:rPr>
        <w:t>;</w:t>
      </w:r>
      <w:r>
        <w:rPr>
          <w:rFonts w:eastAsia="Aptos"/>
          <w:lang w:val="en-GB"/>
        </w:rPr>
        <w:t xml:space="preserve"> </w:t>
      </w:r>
    </w:p>
    <w:p w14:paraId="5B0DA60A" w14:textId="77777777" w:rsidR="004B0E9E" w:rsidRDefault="00B6717C" w:rsidP="00B75F14">
      <w:pPr>
        <w:spacing w:line="276" w:lineRule="auto"/>
        <w:jc w:val="both"/>
      </w:pPr>
      <w:r>
        <w:rPr>
          <w:rFonts w:eastAsia="Aptos"/>
          <w:lang w:val="en-GB"/>
        </w:rPr>
        <w:t>β</w:t>
      </w:r>
      <w:r w:rsidR="00FD7F3A" w:rsidRPr="00FD7F3A">
        <w:rPr>
          <w:rFonts w:eastAsia="Aptos"/>
          <w:vertAlign w:val="subscript"/>
          <w:lang w:val="en-GB"/>
        </w:rPr>
        <w:t>0</w:t>
      </w:r>
      <w:r w:rsidR="00FD7F3A">
        <w:rPr>
          <w:rFonts w:eastAsia="Aptos"/>
          <w:lang w:val="en-GB"/>
        </w:rPr>
        <w:t xml:space="preserve"> = intercept/constant </w:t>
      </w:r>
    </w:p>
    <w:p w14:paraId="03061FD0" w14:textId="3367C77C" w:rsidR="004B0E9E" w:rsidRDefault="00B6717C" w:rsidP="00B75F14">
      <w:pPr>
        <w:spacing w:line="276" w:lineRule="auto"/>
        <w:jc w:val="both"/>
      </w:pPr>
      <w:r>
        <w:rPr>
          <w:rFonts w:eastAsia="Aptos"/>
          <w:lang w:val="en-GB"/>
        </w:rPr>
        <w:t>β</w:t>
      </w:r>
      <w:r w:rsidR="00722BC0">
        <w:rPr>
          <w:rFonts w:eastAsia="Aptos"/>
          <w:vertAlign w:val="subscript"/>
          <w:lang w:val="en-GB"/>
        </w:rPr>
        <w:t>1</w:t>
      </w:r>
      <w:r w:rsidR="00722BC0">
        <w:rPr>
          <w:rFonts w:eastAsia="Aptos"/>
          <w:lang w:val="en-GB"/>
        </w:rPr>
        <w:t xml:space="preserve"> </w:t>
      </w:r>
      <w:r>
        <w:rPr>
          <w:rFonts w:eastAsia="Aptos"/>
          <w:lang w:val="en-GB"/>
        </w:rPr>
        <w:t>β</w:t>
      </w:r>
      <w:r w:rsidR="00722BC0">
        <w:rPr>
          <w:rFonts w:eastAsia="Aptos"/>
          <w:vertAlign w:val="subscript"/>
          <w:lang w:val="en-GB"/>
        </w:rPr>
        <w:t>2</w:t>
      </w:r>
      <w:r w:rsidR="00722BC0">
        <w:rPr>
          <w:rFonts w:eastAsia="Aptos"/>
          <w:lang w:val="en-GB"/>
        </w:rPr>
        <w:t xml:space="preserve"> </w:t>
      </w:r>
      <w:r>
        <w:rPr>
          <w:rFonts w:eastAsia="Aptos"/>
          <w:lang w:val="en-GB"/>
        </w:rPr>
        <w:t>β</w:t>
      </w:r>
      <w:r w:rsidR="00722BC0">
        <w:rPr>
          <w:rFonts w:eastAsia="Aptos"/>
          <w:vertAlign w:val="subscript"/>
          <w:lang w:val="en-GB"/>
        </w:rPr>
        <w:t>3</w:t>
      </w:r>
      <w:r w:rsidR="00722BC0">
        <w:rPr>
          <w:rFonts w:eastAsia="Aptos"/>
          <w:lang w:val="en-GB"/>
        </w:rPr>
        <w:t xml:space="preserve"> an</w:t>
      </w:r>
      <w:r w:rsidR="00B75F14">
        <w:rPr>
          <w:rFonts w:eastAsia="Aptos"/>
          <w:lang w:val="en-GB"/>
        </w:rPr>
        <w:t>d</w:t>
      </w:r>
      <w:r w:rsidR="00722BC0">
        <w:rPr>
          <w:rFonts w:eastAsia="Aptos"/>
          <w:lang w:val="en-GB"/>
        </w:rPr>
        <w:t xml:space="preserve"> </w:t>
      </w:r>
      <w:r>
        <w:rPr>
          <w:rFonts w:eastAsia="Aptos"/>
          <w:lang w:val="en-GB"/>
        </w:rPr>
        <w:t>β</w:t>
      </w:r>
      <w:r w:rsidR="00722BC0">
        <w:rPr>
          <w:rFonts w:eastAsia="Aptos"/>
          <w:vertAlign w:val="subscript"/>
          <w:lang w:val="en-GB"/>
        </w:rPr>
        <w:t>4</w:t>
      </w:r>
      <w:r w:rsidR="00722BC0">
        <w:rPr>
          <w:rFonts w:eastAsia="Aptos"/>
          <w:lang w:val="en-GB"/>
        </w:rPr>
        <w:t xml:space="preserve"> are the coefficient of the parameter estimate.</w:t>
      </w:r>
    </w:p>
    <w:p w14:paraId="7BA6D24C" w14:textId="77777777" w:rsidR="004B0E9E" w:rsidRDefault="00722BC0" w:rsidP="00B75F14">
      <w:pPr>
        <w:spacing w:line="276" w:lineRule="auto"/>
        <w:jc w:val="both"/>
      </w:pPr>
      <w:r>
        <w:rPr>
          <w:rFonts w:eastAsia="Aptos"/>
          <w:lang w:val="en-GB"/>
        </w:rPr>
        <w:t xml:space="preserve">t </w:t>
      </w:r>
      <w:r w:rsidR="00BB6C42">
        <w:rPr>
          <w:rFonts w:eastAsia="Aptos"/>
          <w:lang w:val="en-GB"/>
        </w:rPr>
        <w:t xml:space="preserve">= </w:t>
      </w:r>
      <w:r>
        <w:rPr>
          <w:rFonts w:eastAsia="Aptos"/>
          <w:lang w:val="en-GB"/>
        </w:rPr>
        <w:t>time</w:t>
      </w:r>
      <w:r w:rsidR="00BB6C42">
        <w:rPr>
          <w:rFonts w:eastAsia="Aptos"/>
          <w:lang w:val="en-GB"/>
        </w:rPr>
        <w:t xml:space="preserve"> (2012 – 2025)</w:t>
      </w:r>
    </w:p>
    <w:p w14:paraId="222C180C" w14:textId="77777777" w:rsidR="004B0E9E" w:rsidRDefault="009D23EE" w:rsidP="004B0E9E">
      <w:pPr>
        <w:jc w:val="both"/>
        <w:rPr>
          <w:rFonts w:eastAsia="Aptos"/>
          <w:lang w:val="en-GB"/>
        </w:rPr>
      </w:pPr>
      <w:r>
        <w:rPr>
          <w:rFonts w:eastAsia="Aptos"/>
          <w:lang w:val="en-GB"/>
        </w:rPr>
        <w:t>From equation 1.4, ATM, POS, and MB are expected to have positive signs, implying that an increase in β</w:t>
      </w:r>
      <w:r w:rsidRPr="009D23EE">
        <w:rPr>
          <w:rFonts w:eastAsia="Aptos"/>
          <w:vertAlign w:val="subscript"/>
          <w:lang w:val="en-GB"/>
        </w:rPr>
        <w:t>2</w:t>
      </w:r>
      <w:r>
        <w:rPr>
          <w:rFonts w:eastAsia="Aptos"/>
          <w:lang w:val="en-GB"/>
        </w:rPr>
        <w:t xml:space="preserve"> to β</w:t>
      </w:r>
      <w:r w:rsidRPr="009D23EE">
        <w:rPr>
          <w:rFonts w:eastAsia="Aptos"/>
          <w:vertAlign w:val="subscript"/>
          <w:lang w:val="en-GB"/>
        </w:rPr>
        <w:t>4</w:t>
      </w:r>
      <w:r>
        <w:rPr>
          <w:rFonts w:eastAsia="Aptos"/>
          <w:lang w:val="en-GB"/>
        </w:rPr>
        <w:t xml:space="preserve"> will increase Return on Assets of commercial banks in Nigeria. Thus β</w:t>
      </w:r>
      <w:r w:rsidRPr="009D23EE">
        <w:rPr>
          <w:rFonts w:eastAsia="Aptos"/>
          <w:vertAlign w:val="subscript"/>
          <w:lang w:val="en-GB"/>
        </w:rPr>
        <w:t>2</w:t>
      </w:r>
      <w:r>
        <w:rPr>
          <w:rFonts w:eastAsia="Aptos"/>
          <w:lang w:val="en-GB"/>
        </w:rPr>
        <w:t xml:space="preserve"> – β</w:t>
      </w:r>
      <w:r w:rsidRPr="009D23EE">
        <w:rPr>
          <w:rFonts w:eastAsia="Aptos"/>
          <w:vertAlign w:val="subscript"/>
          <w:lang w:val="en-GB"/>
        </w:rPr>
        <w:t>4</w:t>
      </w:r>
      <w:r>
        <w:rPr>
          <w:rFonts w:eastAsia="Aptos"/>
          <w:lang w:val="en-GB"/>
        </w:rPr>
        <w:t xml:space="preserve"> &gt;</w:t>
      </w:r>
    </w:p>
    <w:p w14:paraId="1EE1A7A9" w14:textId="77777777" w:rsidR="004B0E9E" w:rsidRDefault="009D23EE" w:rsidP="004B0E9E">
      <w:pPr>
        <w:jc w:val="both"/>
      </w:pPr>
      <w:r>
        <w:rPr>
          <w:rFonts w:eastAsia="Aptos"/>
          <w:lang w:val="en-GB"/>
        </w:rPr>
        <w:t>0.</w:t>
      </w:r>
      <w:r w:rsidR="00B6717C">
        <w:rPr>
          <w:rFonts w:eastAsia="Aptos"/>
          <w:lang w:val="en-GB"/>
        </w:rPr>
        <w:t xml:space="preserve"> </w:t>
      </w:r>
    </w:p>
    <w:p w14:paraId="4ACA87AB" w14:textId="7A0DB642" w:rsidR="004B0E9E" w:rsidRDefault="00B6717C" w:rsidP="004B0E9E">
      <w:pPr>
        <w:jc w:val="both"/>
      </w:pPr>
      <w:r>
        <w:rPr>
          <w:rFonts w:eastAsia="Aptos"/>
          <w:lang w:val="en-GB"/>
        </w:rPr>
        <w:t xml:space="preserve">While ARDL is suitable for </w:t>
      </w:r>
      <w:r w:rsidR="002879E6">
        <w:rPr>
          <w:rFonts w:eastAsia="Aptos"/>
          <w:lang w:val="en-GB"/>
        </w:rPr>
        <w:t xml:space="preserve">a </w:t>
      </w:r>
      <w:r>
        <w:rPr>
          <w:rFonts w:eastAsia="Aptos"/>
          <w:lang w:val="en-GB"/>
        </w:rPr>
        <w:t>dataset integrated at level [</w:t>
      </w:r>
      <w:r w:rsidRPr="00B6717C">
        <w:rPr>
          <w:rFonts w:eastAsia="Aptos"/>
          <w:i/>
          <w:iCs/>
          <w:lang w:val="en-GB"/>
        </w:rPr>
        <w:t>I</w:t>
      </w:r>
      <w:r>
        <w:rPr>
          <w:rFonts w:eastAsia="Aptos"/>
          <w:lang w:val="en-GB"/>
        </w:rPr>
        <w:t>(0)] and first difference [</w:t>
      </w:r>
      <w:r w:rsidRPr="00B6717C">
        <w:rPr>
          <w:rFonts w:eastAsia="Aptos"/>
          <w:i/>
          <w:iCs/>
          <w:lang w:val="en-GB"/>
        </w:rPr>
        <w:t>I</w:t>
      </w:r>
      <w:r>
        <w:rPr>
          <w:rFonts w:eastAsia="Aptos"/>
          <w:lang w:val="en-GB"/>
        </w:rPr>
        <w:t xml:space="preserve">(1)], it is largely ineffective when there is a cointegrating relationship exemplified by the F-Bound test. </w:t>
      </w:r>
      <w:r w:rsidR="00010410">
        <w:rPr>
          <w:rFonts w:eastAsia="Aptos"/>
          <w:lang w:val="en-GB"/>
        </w:rPr>
        <w:t>When this happens, the data set will require the Error Correction Mechanism (ECM) to address</w:t>
      </w:r>
      <w:r w:rsidR="00C47F2F">
        <w:rPr>
          <w:rFonts w:eastAsia="Aptos"/>
          <w:lang w:val="en-GB"/>
        </w:rPr>
        <w:t xml:space="preserve"> d</w:t>
      </w:r>
      <w:r w:rsidR="00010410">
        <w:rPr>
          <w:rFonts w:eastAsia="Aptos"/>
          <w:lang w:val="en-GB"/>
        </w:rPr>
        <w:t xml:space="preserve">isequilibrium </w:t>
      </w:r>
      <w:r w:rsidR="002879E6">
        <w:rPr>
          <w:rFonts w:eastAsia="Aptos"/>
          <w:lang w:val="en-GB"/>
        </w:rPr>
        <w:t>that may arise between the short and long-run</w:t>
      </w:r>
      <w:r w:rsidR="00010410">
        <w:rPr>
          <w:rFonts w:eastAsia="Aptos"/>
          <w:lang w:val="en-GB"/>
        </w:rPr>
        <w:t xml:space="preserve">. Thus, ECM becomes a suitable estimation technique rather than ARDL to reconcile the short-run behavior of an economic variable with its long-run behavior when there </w:t>
      </w:r>
      <w:r w:rsidR="00C47F2F">
        <w:rPr>
          <w:rFonts w:eastAsia="Aptos"/>
          <w:lang w:val="en-GB"/>
        </w:rPr>
        <w:t xml:space="preserve">is </w:t>
      </w:r>
      <w:r w:rsidR="00010410">
        <w:rPr>
          <w:rFonts w:eastAsia="Aptos"/>
          <w:lang w:val="en-GB"/>
        </w:rPr>
        <w:t xml:space="preserve">a cointegrating relationship expressed by F-bound test. </w:t>
      </w:r>
      <w:r w:rsidR="00895D99">
        <w:rPr>
          <w:rFonts w:eastAsia="Aptos"/>
          <w:lang w:val="en-GB"/>
        </w:rPr>
        <w:t xml:space="preserve">When this situation occurs, equation 1.5 </w:t>
      </w:r>
      <w:r w:rsidR="00C47F2F">
        <w:rPr>
          <w:rFonts w:eastAsia="Aptos"/>
          <w:lang w:val="en-GB"/>
        </w:rPr>
        <w:t xml:space="preserve">specified below </w:t>
      </w:r>
      <w:r w:rsidR="00895D99">
        <w:rPr>
          <w:rFonts w:eastAsia="Aptos"/>
          <w:lang w:val="en-GB"/>
        </w:rPr>
        <w:t>becomes a useful technique rather than the ARDL model specified as equation 1.4. Thus, th</w:t>
      </w:r>
      <w:r w:rsidR="008E5EE2">
        <w:rPr>
          <w:rFonts w:eastAsia="Aptos"/>
          <w:lang w:val="en-GB"/>
        </w:rPr>
        <w:t>e</w:t>
      </w:r>
      <w:r w:rsidR="00895D99">
        <w:rPr>
          <w:rFonts w:eastAsia="Aptos"/>
          <w:lang w:val="en-GB"/>
        </w:rPr>
        <w:t xml:space="preserve"> ECM is expressed as;</w:t>
      </w:r>
    </w:p>
    <w:p w14:paraId="2540E982" w14:textId="77777777" w:rsidR="004B0E9E" w:rsidRDefault="004B0E9E" w:rsidP="004B0E9E">
      <w:pPr>
        <w:jc w:val="both"/>
      </w:pPr>
    </w:p>
    <w:p w14:paraId="5EF8B23D" w14:textId="56C38136" w:rsidR="00895D99" w:rsidRPr="004B0E9E" w:rsidRDefault="00895D99" w:rsidP="004B0E9E">
      <w:pPr>
        <w:jc w:val="both"/>
      </w:pPr>
      <w:r w:rsidRPr="000A7264">
        <w:t>Δ</w:t>
      </w:r>
      <w:r>
        <w:t>ROA</w:t>
      </w:r>
      <w:r w:rsidRPr="000A7264">
        <w:rPr>
          <w:vertAlign w:val="subscript"/>
        </w:rPr>
        <w:t>t</w:t>
      </w:r>
      <w:r w:rsidRPr="000A7264">
        <w:t xml:space="preserve"> = β</w:t>
      </w:r>
      <w:r w:rsidRPr="000A7264">
        <w:rPr>
          <w:vertAlign w:val="subscript"/>
        </w:rPr>
        <w:t>o</w:t>
      </w:r>
      <w:r w:rsidRPr="000A7264">
        <w:t xml:space="preserve"> + </w:t>
      </w:r>
      <m:oMath>
        <m:nary>
          <m:naryPr>
            <m:chr m:val="∑"/>
            <m:limLoc m:val="subSup"/>
            <m:ctrlPr>
              <w:rPr>
                <w:rFonts w:ascii="Cambria Math" w:hAnsi="Cambria Math"/>
                <w:i/>
              </w:rPr>
            </m:ctrlPr>
          </m:naryPr>
          <m:sub>
            <m:r>
              <w:rPr>
                <w:rFonts w:ascii="Cambria Math" w:hAnsi="Cambria Math"/>
              </w:rPr>
              <m:t>t=i</m:t>
            </m:r>
          </m:sub>
          <m:sup>
            <m:r>
              <w:rPr>
                <w:rFonts w:ascii="Cambria Math" w:hAnsi="Cambria Math"/>
              </w:rPr>
              <m:t>n</m:t>
            </m:r>
          </m:sup>
          <m:e>
            <m:r>
              <w:rPr>
                <w:rFonts w:ascii="Cambria Math" w:hAnsi="Cambria Math"/>
              </w:rPr>
              <m:t xml:space="preserve"> </m:t>
            </m:r>
          </m:e>
        </m:nary>
      </m:oMath>
      <w:r w:rsidRPr="000A7264">
        <w:t>β</w:t>
      </w:r>
      <w:r w:rsidRPr="000A7264">
        <w:rPr>
          <w:vertAlign w:val="subscript"/>
        </w:rPr>
        <w:t>1</w:t>
      </w:r>
      <w:r w:rsidRPr="000A7264">
        <w:t>Δ</w:t>
      </w:r>
      <w:r>
        <w:t>ROA</w:t>
      </w:r>
      <w:r w:rsidRPr="000A7264">
        <w:rPr>
          <w:vertAlign w:val="subscript"/>
        </w:rPr>
        <w:t>t-i</w:t>
      </w:r>
      <w:r w:rsidRPr="000A7264">
        <w:rPr>
          <w:rFonts w:eastAsia="SimSun"/>
        </w:rPr>
        <w:t xml:space="preserve"> +</w:t>
      </w:r>
      <w:r w:rsidRPr="000A7264">
        <w:t xml:space="preserve"> </w:t>
      </w:r>
      <m:oMath>
        <m:nary>
          <m:naryPr>
            <m:chr m:val="∑"/>
            <m:limLoc m:val="subSup"/>
            <m:ctrlPr>
              <w:rPr>
                <w:rFonts w:ascii="Cambria Math" w:hAnsi="Cambria Math"/>
                <w:i/>
              </w:rPr>
            </m:ctrlPr>
          </m:naryPr>
          <m:sub>
            <m:r>
              <w:rPr>
                <w:rFonts w:ascii="Cambria Math" w:hAnsi="Cambria Math"/>
              </w:rPr>
              <m:t>t=i</m:t>
            </m:r>
          </m:sub>
          <m:sup>
            <m:r>
              <w:rPr>
                <w:rFonts w:ascii="Cambria Math" w:hAnsi="Cambria Math"/>
              </w:rPr>
              <m:t>n</m:t>
            </m:r>
          </m:sup>
          <m:e>
            <m:r>
              <w:rPr>
                <w:rFonts w:ascii="Cambria Math" w:hAnsi="Cambria Math"/>
              </w:rPr>
              <m:t xml:space="preserve"> </m:t>
            </m:r>
          </m:e>
        </m:nary>
      </m:oMath>
      <w:r w:rsidRPr="000A7264">
        <w:t>β</w:t>
      </w:r>
      <w:r w:rsidRPr="000A7264">
        <w:rPr>
          <w:vertAlign w:val="subscript"/>
        </w:rPr>
        <w:t>2</w:t>
      </w:r>
      <w:r w:rsidRPr="000A7264">
        <w:t>Δ</w:t>
      </w:r>
      <w:r>
        <w:t>ATM</w:t>
      </w:r>
      <w:r w:rsidRPr="000A7264">
        <w:rPr>
          <w:rFonts w:eastAsia="SimSun"/>
          <w:vertAlign w:val="subscript"/>
        </w:rPr>
        <w:t>t-i</w:t>
      </w:r>
      <w:r w:rsidRPr="000A7264">
        <w:rPr>
          <w:rFonts w:eastAsia="SimSun"/>
        </w:rPr>
        <w:t xml:space="preserve"> </w:t>
      </w:r>
      <w:r w:rsidRPr="000A7264">
        <w:t xml:space="preserve">+ </w:t>
      </w:r>
      <m:oMath>
        <m:nary>
          <m:naryPr>
            <m:chr m:val="∑"/>
            <m:limLoc m:val="subSup"/>
            <m:ctrlPr>
              <w:rPr>
                <w:rFonts w:ascii="Cambria Math" w:hAnsi="Cambria Math"/>
                <w:i/>
              </w:rPr>
            </m:ctrlPr>
          </m:naryPr>
          <m:sub>
            <m:r>
              <w:rPr>
                <w:rFonts w:ascii="Cambria Math" w:hAnsi="Cambria Math"/>
              </w:rPr>
              <m:t>t=i</m:t>
            </m:r>
          </m:sub>
          <m:sup>
            <m:r>
              <w:rPr>
                <w:rFonts w:ascii="Cambria Math" w:hAnsi="Cambria Math"/>
              </w:rPr>
              <m:t>n</m:t>
            </m:r>
          </m:sup>
          <m:e>
            <m:r>
              <w:rPr>
                <w:rFonts w:ascii="Cambria Math" w:hAnsi="Cambria Math"/>
              </w:rPr>
              <m:t xml:space="preserve"> </m:t>
            </m:r>
          </m:e>
        </m:nary>
      </m:oMath>
      <w:r w:rsidRPr="000A7264">
        <w:t>β</w:t>
      </w:r>
      <w:r w:rsidRPr="000A7264">
        <w:rPr>
          <w:vertAlign w:val="subscript"/>
        </w:rPr>
        <w:t>3</w:t>
      </w:r>
      <w:r w:rsidRPr="000A7264">
        <w:t>Δ</w:t>
      </w:r>
      <w:r>
        <w:t>POS</w:t>
      </w:r>
      <w:r w:rsidRPr="000A7264">
        <w:rPr>
          <w:rFonts w:eastAsia="SimSun"/>
          <w:vertAlign w:val="subscript"/>
        </w:rPr>
        <w:t>t-i</w:t>
      </w:r>
      <w:r w:rsidRPr="000A7264">
        <w:rPr>
          <w:rFonts w:eastAsia="SimSun"/>
        </w:rPr>
        <w:t xml:space="preserve"> + </w:t>
      </w:r>
      <m:oMath>
        <m:nary>
          <m:naryPr>
            <m:chr m:val="∑"/>
            <m:limLoc m:val="subSup"/>
            <m:ctrlPr>
              <w:rPr>
                <w:rFonts w:ascii="Cambria Math" w:hAnsi="Cambria Math"/>
                <w:i/>
              </w:rPr>
            </m:ctrlPr>
          </m:naryPr>
          <m:sub>
            <m:r>
              <w:rPr>
                <w:rFonts w:ascii="Cambria Math" w:hAnsi="Cambria Math"/>
              </w:rPr>
              <m:t>t=i</m:t>
            </m:r>
          </m:sub>
          <m:sup>
            <m:r>
              <w:rPr>
                <w:rFonts w:ascii="Cambria Math" w:hAnsi="Cambria Math"/>
              </w:rPr>
              <m:t>n</m:t>
            </m:r>
          </m:sup>
          <m:e>
            <m:r>
              <w:rPr>
                <w:rFonts w:ascii="Cambria Math" w:hAnsi="Cambria Math"/>
              </w:rPr>
              <m:t xml:space="preserve"> </m:t>
            </m:r>
          </m:e>
        </m:nary>
      </m:oMath>
      <w:r w:rsidRPr="000A7264">
        <w:t>β</w:t>
      </w:r>
      <w:r w:rsidRPr="000A7264">
        <w:rPr>
          <w:rFonts w:eastAsia="SimSun"/>
          <w:vertAlign w:val="subscript"/>
        </w:rPr>
        <w:t>4</w:t>
      </w:r>
      <w:r w:rsidRPr="000A7264">
        <w:t>Δ</w:t>
      </w:r>
      <w:r>
        <w:t>MB</w:t>
      </w:r>
      <w:r w:rsidRPr="000A7264">
        <w:rPr>
          <w:rFonts w:eastAsia="SimSun"/>
          <w:vertAlign w:val="subscript"/>
        </w:rPr>
        <w:t>t-i</w:t>
      </w:r>
      <w:r w:rsidRPr="000A7264">
        <w:t xml:space="preserve"> </w:t>
      </w:r>
      <w:r>
        <w:t xml:space="preserve">+ </w:t>
      </w:r>
      <w:r w:rsidRPr="000A7264">
        <w:t>ϕ</w:t>
      </w:r>
      <w:r>
        <w:t>µ</w:t>
      </w:r>
      <w:r w:rsidRPr="00C40294">
        <w:rPr>
          <w:vertAlign w:val="subscript"/>
        </w:rPr>
        <w:t>t-1</w:t>
      </w:r>
      <w:r>
        <w:t xml:space="preserve"> - (1.5)</w:t>
      </w:r>
    </w:p>
    <w:p w14:paraId="3CF875D6" w14:textId="77777777" w:rsidR="00895D99" w:rsidRPr="004B0E9E" w:rsidRDefault="00895D99" w:rsidP="00CA292F">
      <w:pPr>
        <w:spacing w:line="360" w:lineRule="auto"/>
        <w:jc w:val="both"/>
      </w:pPr>
    </w:p>
    <w:p w14:paraId="2E43BAE6" w14:textId="34656C19" w:rsidR="004B0E9E" w:rsidRDefault="00722BC0" w:rsidP="00FC4A5F">
      <w:pPr>
        <w:spacing w:line="360" w:lineRule="auto"/>
        <w:jc w:val="both"/>
      </w:pPr>
      <w:r>
        <w:rPr>
          <w:rFonts w:eastAsia="Aptos"/>
          <w:b/>
          <w:lang w:val="en-GB"/>
        </w:rPr>
        <w:t>Pre-Estimation Tests</w:t>
      </w:r>
    </w:p>
    <w:p w14:paraId="4365454C" w14:textId="0E517648" w:rsidR="004B0E9E" w:rsidRDefault="00FC4A5F" w:rsidP="004B0E9E">
      <w:pPr>
        <w:jc w:val="both"/>
      </w:pPr>
      <w:r>
        <w:t>To ascertain the suitability of ARDL for the data set, unit root test using the Augmented Dickey Fuller (ADF)</w:t>
      </w:r>
      <w:r w:rsidR="00E97316">
        <w:t xml:space="preserve"> and</w:t>
      </w:r>
      <w:r>
        <w:t xml:space="preserve"> cointegration test using the F-bound were carried out. Unit root </w:t>
      </w:r>
      <w:r w:rsidR="00722BC0">
        <w:rPr>
          <w:rFonts w:eastAsia="Aptos"/>
          <w:lang w:val="en-GB"/>
        </w:rPr>
        <w:t>examine</w:t>
      </w:r>
      <w:r>
        <w:rPr>
          <w:rFonts w:eastAsia="Aptos"/>
          <w:lang w:val="en-GB"/>
        </w:rPr>
        <w:t>s</w:t>
      </w:r>
      <w:r w:rsidR="00722BC0">
        <w:rPr>
          <w:rFonts w:eastAsia="Aptos"/>
          <w:lang w:val="en-GB"/>
        </w:rPr>
        <w:t xml:space="preserve"> the stationarity of the variables under consideration, to avoid having spurious results, and to determine the co-integrat</w:t>
      </w:r>
      <w:r w:rsidR="00632478">
        <w:rPr>
          <w:rFonts w:eastAsia="Aptos"/>
          <w:lang w:val="en-GB"/>
        </w:rPr>
        <w:t>ing</w:t>
      </w:r>
      <w:r w:rsidR="00722BC0">
        <w:rPr>
          <w:rFonts w:eastAsia="Aptos"/>
          <w:lang w:val="en-GB"/>
        </w:rPr>
        <w:t xml:space="preserve"> properties of all the variables included. The unit root</w:t>
      </w:r>
      <w:r>
        <w:rPr>
          <w:rFonts w:eastAsia="Aptos"/>
          <w:lang w:val="en-GB"/>
        </w:rPr>
        <w:t xml:space="preserve"> using the ADF is expressed as;</w:t>
      </w:r>
    </w:p>
    <w:p w14:paraId="4B8EE4A1" w14:textId="77777777" w:rsidR="004B0E9E" w:rsidRPr="00541B29" w:rsidRDefault="00722BC0" w:rsidP="004B0E9E">
      <w:pPr>
        <w:jc w:val="both"/>
      </w:pPr>
      <w:r w:rsidRPr="00541B29">
        <w:rPr>
          <w:rFonts w:eastAsia="Aptos"/>
        </w:rPr>
        <w:t>∆Y</w:t>
      </w:r>
      <w:r w:rsidR="00FC4A5F" w:rsidRPr="00541B29">
        <w:rPr>
          <w:rFonts w:eastAsia="Aptos"/>
          <w:vertAlign w:val="subscript"/>
        </w:rPr>
        <w:t xml:space="preserve"> t</w:t>
      </w:r>
      <w:r w:rsidRPr="00541B29">
        <w:rPr>
          <w:rFonts w:eastAsia="Aptos"/>
        </w:rPr>
        <w:t xml:space="preserve"> = </w:t>
      </w:r>
      <w:r>
        <w:rPr>
          <w:rFonts w:eastAsia="Aptos"/>
          <w:lang w:val="en-GB"/>
        </w:rPr>
        <w:t>β</w:t>
      </w:r>
      <w:r w:rsidR="00FC4A5F" w:rsidRPr="00541B29">
        <w:rPr>
          <w:rFonts w:eastAsia="Aptos"/>
          <w:vertAlign w:val="subscript"/>
        </w:rPr>
        <w:t>1</w:t>
      </w:r>
      <w:r w:rsidRPr="00541B29">
        <w:rPr>
          <w:rFonts w:eastAsia="Aptos"/>
        </w:rPr>
        <w:t xml:space="preserve"> + </w:t>
      </w:r>
      <w:r>
        <w:rPr>
          <w:rFonts w:eastAsia="Aptos"/>
          <w:lang w:val="en-GB"/>
        </w:rPr>
        <w:t>β</w:t>
      </w:r>
      <w:r w:rsidR="00FC4A5F" w:rsidRPr="00541B29">
        <w:rPr>
          <w:rFonts w:eastAsia="Aptos"/>
          <w:vertAlign w:val="subscript"/>
        </w:rPr>
        <w:t>2t</w:t>
      </w:r>
      <w:r w:rsidRPr="00541B29">
        <w:rPr>
          <w:rFonts w:eastAsia="Aptos"/>
        </w:rPr>
        <w:t xml:space="preserve"> + </w:t>
      </w:r>
      <w:r>
        <w:rPr>
          <w:rFonts w:eastAsia="Aptos"/>
          <w:lang w:val="en-GB"/>
        </w:rPr>
        <w:t>δ</w:t>
      </w:r>
      <w:r w:rsidRPr="00541B29">
        <w:rPr>
          <w:rFonts w:eastAsia="Aptos"/>
        </w:rPr>
        <w:t>Y</w:t>
      </w:r>
      <w:r w:rsidR="00FC4A5F" w:rsidRPr="00541B29">
        <w:rPr>
          <w:rFonts w:eastAsia="Aptos"/>
          <w:vertAlign w:val="subscript"/>
        </w:rPr>
        <w:t xml:space="preserve"> t-1</w:t>
      </w:r>
      <w:r w:rsidRPr="00541B29">
        <w:rPr>
          <w:rFonts w:eastAsia="Aptos"/>
        </w:rPr>
        <w:t xml:space="preserve"> + ∆Y</w:t>
      </w:r>
      <w:r w:rsidR="00FC4A5F" w:rsidRPr="00541B29">
        <w:rPr>
          <w:rFonts w:eastAsia="Aptos"/>
          <w:vertAlign w:val="subscript"/>
        </w:rPr>
        <w:t xml:space="preserve"> t-1 </w:t>
      </w:r>
      <w:r w:rsidRPr="00541B29">
        <w:rPr>
          <w:rFonts w:eastAsia="Aptos"/>
        </w:rPr>
        <w:t>+ U</w:t>
      </w:r>
      <w:r w:rsidR="00FC4A5F" w:rsidRPr="00541B29">
        <w:rPr>
          <w:rFonts w:eastAsia="Aptos"/>
          <w:vertAlign w:val="subscript"/>
        </w:rPr>
        <w:t>t</w:t>
      </w:r>
      <w:r w:rsidRPr="00541B29">
        <w:rPr>
          <w:rFonts w:eastAsia="Aptos"/>
        </w:rPr>
        <w:tab/>
        <w:t>-</w:t>
      </w:r>
      <w:r w:rsidRPr="00541B29">
        <w:rPr>
          <w:rFonts w:eastAsia="Aptos"/>
        </w:rPr>
        <w:tab/>
        <w:t>-</w:t>
      </w:r>
      <w:r w:rsidRPr="00541B29">
        <w:rPr>
          <w:rFonts w:eastAsia="Aptos"/>
        </w:rPr>
        <w:tab/>
        <w:t>-</w:t>
      </w:r>
      <w:r w:rsidRPr="00541B29">
        <w:rPr>
          <w:rFonts w:eastAsia="Aptos"/>
        </w:rPr>
        <w:tab/>
        <w:t>-</w:t>
      </w:r>
      <w:r w:rsidRPr="00541B29">
        <w:rPr>
          <w:rFonts w:eastAsia="Aptos"/>
        </w:rPr>
        <w:tab/>
        <w:t>-</w:t>
      </w:r>
      <w:r w:rsidRPr="00541B29">
        <w:rPr>
          <w:rFonts w:eastAsia="Aptos"/>
        </w:rPr>
        <w:tab/>
      </w:r>
      <w:r w:rsidR="00FC4A5F" w:rsidRPr="00541B29">
        <w:rPr>
          <w:rFonts w:eastAsia="Aptos"/>
        </w:rPr>
        <w:t>-</w:t>
      </w:r>
      <w:r w:rsidR="00FC4A5F" w:rsidRPr="00541B29">
        <w:rPr>
          <w:rFonts w:eastAsia="Aptos"/>
        </w:rPr>
        <w:tab/>
      </w:r>
      <w:r w:rsidR="00E97316" w:rsidRPr="00541B29">
        <w:rPr>
          <w:rFonts w:eastAsia="Aptos"/>
        </w:rPr>
        <w:t>-</w:t>
      </w:r>
      <w:r w:rsidR="00E97316" w:rsidRPr="00541B29">
        <w:rPr>
          <w:rFonts w:eastAsia="Aptos"/>
        </w:rPr>
        <w:tab/>
      </w:r>
      <w:r w:rsidRPr="00541B29">
        <w:rPr>
          <w:rFonts w:eastAsia="Aptos"/>
        </w:rPr>
        <w:t>(</w:t>
      </w:r>
      <w:r w:rsidR="00FC4A5F" w:rsidRPr="00541B29">
        <w:rPr>
          <w:rFonts w:eastAsia="Aptos"/>
        </w:rPr>
        <w:t>1</w:t>
      </w:r>
      <w:r w:rsidRPr="00541B29">
        <w:rPr>
          <w:rFonts w:eastAsia="Aptos"/>
        </w:rPr>
        <w:t>.</w:t>
      </w:r>
      <w:r w:rsidR="00E97316" w:rsidRPr="00541B29">
        <w:rPr>
          <w:rFonts w:eastAsia="Aptos"/>
        </w:rPr>
        <w:t>6</w:t>
      </w:r>
      <w:r w:rsidRPr="00541B29">
        <w:rPr>
          <w:rFonts w:eastAsia="Aptos"/>
        </w:rPr>
        <w:t>)</w:t>
      </w:r>
    </w:p>
    <w:p w14:paraId="2F813E23" w14:textId="77777777" w:rsidR="004B0E9E" w:rsidRDefault="00722BC0" w:rsidP="004B0E9E">
      <w:pPr>
        <w:jc w:val="both"/>
      </w:pPr>
      <w:r>
        <w:rPr>
          <w:rFonts w:eastAsia="Aptos"/>
          <w:lang w:val="en-GB"/>
        </w:rPr>
        <w:t>Where:</w:t>
      </w:r>
    </w:p>
    <w:p w14:paraId="1D29CDCC" w14:textId="77777777" w:rsidR="004B0E9E" w:rsidRDefault="00722BC0" w:rsidP="004B0E9E">
      <w:pPr>
        <w:jc w:val="both"/>
      </w:pPr>
      <w:r>
        <w:rPr>
          <w:rFonts w:eastAsia="Aptos"/>
          <w:lang w:val="en-GB"/>
        </w:rPr>
        <w:t>Y</w:t>
      </w:r>
      <w:r w:rsidR="00FC4A5F" w:rsidRPr="00FC4A5F">
        <w:rPr>
          <w:rFonts w:eastAsia="Aptos"/>
          <w:vertAlign w:val="subscript"/>
        </w:rPr>
        <w:t xml:space="preserve"> t</w:t>
      </w:r>
      <w:r>
        <w:rPr>
          <w:rFonts w:eastAsia="Aptos"/>
          <w:lang w:val="en-GB"/>
        </w:rPr>
        <w:t xml:space="preserve"> = variable under investigation.</w:t>
      </w:r>
    </w:p>
    <w:p w14:paraId="635CCCCD" w14:textId="77777777" w:rsidR="004B0E9E" w:rsidRDefault="00722BC0" w:rsidP="004B0E9E">
      <w:pPr>
        <w:jc w:val="both"/>
      </w:pPr>
      <w:r>
        <w:rPr>
          <w:rFonts w:eastAsia="Aptos"/>
          <w:lang w:val="en-GB"/>
        </w:rPr>
        <w:t>∆Y</w:t>
      </w:r>
      <w:r w:rsidR="00FC4A5F" w:rsidRPr="00FC4A5F">
        <w:rPr>
          <w:rFonts w:eastAsia="Aptos"/>
          <w:vertAlign w:val="subscript"/>
        </w:rPr>
        <w:t>t</w:t>
      </w:r>
      <w:r w:rsidR="00FC4A5F">
        <w:rPr>
          <w:rFonts w:eastAsia="Aptos"/>
          <w:vertAlign w:val="subscript"/>
        </w:rPr>
        <w:t>-1</w:t>
      </w:r>
      <w:r>
        <w:rPr>
          <w:rFonts w:eastAsia="Aptos"/>
          <w:lang w:val="en-GB"/>
        </w:rPr>
        <w:t xml:space="preserve"> = (Y</w:t>
      </w:r>
      <w:r w:rsidR="00FC4A5F" w:rsidRPr="00FC4A5F">
        <w:rPr>
          <w:rFonts w:eastAsia="Aptos"/>
          <w:vertAlign w:val="subscript"/>
        </w:rPr>
        <w:t>t</w:t>
      </w:r>
      <w:r w:rsidR="00FC4A5F">
        <w:rPr>
          <w:rFonts w:eastAsia="Aptos"/>
          <w:vertAlign w:val="subscript"/>
        </w:rPr>
        <w:t xml:space="preserve">-1 </w:t>
      </w:r>
      <w:r>
        <w:rPr>
          <w:rFonts w:eastAsia="Aptos"/>
          <w:lang w:val="en-GB"/>
        </w:rPr>
        <w:t>- Y</w:t>
      </w:r>
      <w:r w:rsidR="00FC4A5F" w:rsidRPr="00FC4A5F">
        <w:rPr>
          <w:rFonts w:eastAsia="Aptos"/>
          <w:vertAlign w:val="subscript"/>
        </w:rPr>
        <w:t>t</w:t>
      </w:r>
      <w:r w:rsidR="00FC4A5F">
        <w:rPr>
          <w:rFonts w:eastAsia="Aptos"/>
          <w:vertAlign w:val="subscript"/>
        </w:rPr>
        <w:t>-2</w:t>
      </w:r>
      <w:r>
        <w:rPr>
          <w:rFonts w:eastAsia="Aptos"/>
          <w:lang w:val="en-GB"/>
        </w:rPr>
        <w:t>) = Difference between first two lagged values of the variable under investigation; and U</w:t>
      </w:r>
      <w:r w:rsidR="00FC4A5F" w:rsidRPr="00FC4A5F">
        <w:rPr>
          <w:rFonts w:eastAsia="Aptos"/>
          <w:vertAlign w:val="subscript"/>
        </w:rPr>
        <w:t>t</w:t>
      </w:r>
      <w:r w:rsidR="00FC4A5F">
        <w:rPr>
          <w:rFonts w:eastAsia="Aptos"/>
          <w:vertAlign w:val="subscript"/>
        </w:rPr>
        <w:t xml:space="preserve"> </w:t>
      </w:r>
      <w:r>
        <w:rPr>
          <w:rFonts w:eastAsia="Aptos"/>
          <w:lang w:val="en-GB"/>
        </w:rPr>
        <w:t>= pure white noise error term.</w:t>
      </w:r>
      <w:r w:rsidR="00FC4A5F">
        <w:rPr>
          <w:rFonts w:eastAsia="Aptos"/>
          <w:lang w:val="en-GB"/>
        </w:rPr>
        <w:t xml:space="preserve"> This test is perform</w:t>
      </w:r>
      <w:r w:rsidR="00920A02">
        <w:rPr>
          <w:rFonts w:eastAsia="Aptos"/>
          <w:lang w:val="en-GB"/>
        </w:rPr>
        <w:t>ed</w:t>
      </w:r>
      <w:r w:rsidR="00FC4A5F">
        <w:rPr>
          <w:rFonts w:eastAsia="Aptos"/>
          <w:lang w:val="en-GB"/>
        </w:rPr>
        <w:t xml:space="preserve"> on the following hypotheses</w:t>
      </w:r>
      <w:r>
        <w:rPr>
          <w:rFonts w:eastAsia="Aptos"/>
          <w:lang w:val="en-GB"/>
        </w:rPr>
        <w:t xml:space="preserve"> </w:t>
      </w:r>
    </w:p>
    <w:p w14:paraId="664D5B5A" w14:textId="77777777" w:rsidR="004B0E9E" w:rsidRDefault="00722BC0" w:rsidP="004B0E9E">
      <w:pPr>
        <w:jc w:val="both"/>
      </w:pPr>
      <w:r>
        <w:rPr>
          <w:rFonts w:ascii="Cambria Math" w:eastAsia="Aptos" w:hAnsi="Cambria Math" w:cs="Cambria Math"/>
          <w:lang w:val="en-GB"/>
        </w:rPr>
        <w:t>𝐻</w:t>
      </w:r>
      <w:r>
        <w:rPr>
          <w:rFonts w:eastAsia="Aptos"/>
          <w:lang w:val="en-GB"/>
        </w:rPr>
        <w:t>0:</w:t>
      </w:r>
      <w:r w:rsidR="00FC4A5F">
        <w:rPr>
          <w:rFonts w:eastAsia="Aptos"/>
          <w:lang w:val="en-GB"/>
        </w:rPr>
        <w:t xml:space="preserve"> </w:t>
      </w:r>
      <w:r>
        <w:rPr>
          <w:rFonts w:ascii="Cambria Math" w:eastAsia="Aptos" w:hAnsi="Cambria Math" w:cs="Cambria Math"/>
          <w:lang w:val="en-GB"/>
        </w:rPr>
        <w:t>𝛽</w:t>
      </w:r>
      <w:r>
        <w:rPr>
          <w:rFonts w:eastAsia="Aptos"/>
          <w:lang w:val="en-GB"/>
        </w:rPr>
        <w:t xml:space="preserve"> = 0 (i.e </w:t>
      </w:r>
      <w:r>
        <w:rPr>
          <w:rFonts w:ascii="Cambria Math" w:eastAsia="Aptos" w:hAnsi="Cambria Math" w:cs="Cambria Math"/>
          <w:lang w:val="en-GB"/>
        </w:rPr>
        <w:t>𝛽</w:t>
      </w:r>
      <w:r>
        <w:rPr>
          <w:rFonts w:eastAsia="Aptos"/>
          <w:lang w:val="en-GB"/>
        </w:rPr>
        <w:t xml:space="preserve"> has a unit root),</w:t>
      </w:r>
    </w:p>
    <w:p w14:paraId="29C325B1" w14:textId="77777777" w:rsidR="004B0E9E" w:rsidRDefault="00722BC0" w:rsidP="004B0E9E">
      <w:pPr>
        <w:jc w:val="both"/>
        <w:rPr>
          <w:lang w:val="en-GB"/>
        </w:rPr>
      </w:pPr>
      <w:r>
        <w:rPr>
          <w:rFonts w:ascii="Cambria Math" w:eastAsia="Aptos" w:hAnsi="Cambria Math" w:cs="Cambria Math"/>
          <w:lang w:val="en-GB"/>
        </w:rPr>
        <w:t>𝐻</w:t>
      </w:r>
      <w:r>
        <w:rPr>
          <w:rFonts w:eastAsia="Aptos"/>
          <w:lang w:val="en-GB"/>
        </w:rPr>
        <w:t>1:</w:t>
      </w:r>
      <w:r w:rsidR="00FC4A5F">
        <w:rPr>
          <w:rFonts w:eastAsia="Aptos"/>
          <w:lang w:val="en-GB"/>
        </w:rPr>
        <w:t xml:space="preserve"> </w:t>
      </w:r>
      <w:r>
        <w:rPr>
          <w:rFonts w:ascii="Cambria Math" w:eastAsia="Aptos" w:hAnsi="Cambria Math" w:cs="Cambria Math"/>
          <w:lang w:val="en-GB"/>
        </w:rPr>
        <w:t>𝛽</w:t>
      </w:r>
      <w:r>
        <w:rPr>
          <w:rFonts w:eastAsia="Aptos"/>
          <w:lang w:val="en-GB"/>
        </w:rPr>
        <w:t xml:space="preserve">&lt; 0 (i.e </w:t>
      </w:r>
      <w:r>
        <w:rPr>
          <w:rFonts w:ascii="Cambria Math" w:eastAsia="Aptos" w:hAnsi="Cambria Math" w:cs="Cambria Math"/>
          <w:lang w:val="en-GB"/>
        </w:rPr>
        <w:t>𝛽</w:t>
      </w:r>
      <w:r>
        <w:rPr>
          <w:rFonts w:eastAsia="Aptos"/>
          <w:lang w:val="en-GB"/>
        </w:rPr>
        <w:t xml:space="preserve"> has no unit root). </w:t>
      </w:r>
    </w:p>
    <w:p w14:paraId="1916C142" w14:textId="7D4C6746" w:rsidR="004B0E9E" w:rsidRDefault="00722BC0" w:rsidP="004B0E9E">
      <w:pPr>
        <w:jc w:val="both"/>
      </w:pPr>
      <w:r>
        <w:rPr>
          <w:rFonts w:eastAsia="Aptos"/>
          <w:lang w:val="en-GB"/>
        </w:rPr>
        <w:t>Th</w:t>
      </w:r>
      <w:r w:rsidR="00FC4A5F">
        <w:rPr>
          <w:rFonts w:eastAsia="Aptos"/>
          <w:lang w:val="en-GB"/>
        </w:rPr>
        <w:t xml:space="preserve">e decision rule </w:t>
      </w:r>
      <w:r>
        <w:rPr>
          <w:rFonts w:eastAsia="Aptos"/>
          <w:lang w:val="en-GB"/>
        </w:rPr>
        <w:t>is</w:t>
      </w:r>
      <w:r w:rsidR="00FC4A5F">
        <w:rPr>
          <w:rFonts w:eastAsia="Aptos"/>
          <w:lang w:val="en-GB"/>
        </w:rPr>
        <w:t xml:space="preserve"> to reject H</w:t>
      </w:r>
      <w:r w:rsidR="00FC4A5F" w:rsidRPr="00FC4A5F">
        <w:rPr>
          <w:rFonts w:eastAsia="Aptos"/>
          <w:vertAlign w:val="subscript"/>
          <w:lang w:val="en-GB"/>
        </w:rPr>
        <w:t>0</w:t>
      </w:r>
      <w:r w:rsidR="00FC4A5F">
        <w:rPr>
          <w:rFonts w:eastAsia="Aptos"/>
          <w:lang w:val="en-GB"/>
        </w:rPr>
        <w:t xml:space="preserve"> if the </w:t>
      </w:r>
      <w:r w:rsidR="00920A02">
        <w:rPr>
          <w:rFonts w:eastAsia="Aptos"/>
          <w:lang w:val="en-GB"/>
        </w:rPr>
        <w:t xml:space="preserve">ADF t-statistic is negative and greater than the 5% critical value or th p-value is less than </w:t>
      </w:r>
      <w:r w:rsidR="0038148B">
        <w:rPr>
          <w:rFonts w:eastAsia="Aptos"/>
          <w:lang w:val="en-GB"/>
        </w:rPr>
        <w:t xml:space="preserve">the conventional </w:t>
      </w:r>
      <w:r w:rsidR="00920A02">
        <w:rPr>
          <w:rFonts w:eastAsia="Aptos"/>
          <w:lang w:val="en-GB"/>
        </w:rPr>
        <w:t>0.05</w:t>
      </w:r>
      <w:r w:rsidR="0038148B">
        <w:rPr>
          <w:rFonts w:eastAsia="Aptos"/>
          <w:lang w:val="en-GB"/>
        </w:rPr>
        <w:t xml:space="preserve"> (5%)</w:t>
      </w:r>
      <w:r w:rsidR="00920A02">
        <w:rPr>
          <w:rFonts w:eastAsia="Aptos"/>
          <w:lang w:val="en-GB"/>
        </w:rPr>
        <w:t>. Otherwise, accept H</w:t>
      </w:r>
      <w:r w:rsidR="00920A02" w:rsidRPr="00920A02">
        <w:rPr>
          <w:rFonts w:eastAsia="Aptos"/>
          <w:vertAlign w:val="subscript"/>
          <w:lang w:val="en-GB"/>
        </w:rPr>
        <w:t>0</w:t>
      </w:r>
      <w:r w:rsidR="00920A02">
        <w:rPr>
          <w:rFonts w:eastAsia="Aptos"/>
          <w:lang w:val="en-GB"/>
        </w:rPr>
        <w:t xml:space="preserve"> when the p-value is greater than 0.05 and conclude that there is a unit root.</w:t>
      </w:r>
    </w:p>
    <w:p w14:paraId="1FF0328A" w14:textId="0962BEFD" w:rsidR="004B0E9E" w:rsidRDefault="00920A02" w:rsidP="004B0E9E">
      <w:pPr>
        <w:jc w:val="both"/>
      </w:pPr>
      <w:r>
        <w:lastRenderedPageBreak/>
        <w:t xml:space="preserve">Cointegration test using the </w:t>
      </w:r>
      <w:r w:rsidR="00722BC0">
        <w:t>F-</w:t>
      </w:r>
      <w:r>
        <w:t>b</w:t>
      </w:r>
      <w:r w:rsidR="00722BC0" w:rsidRPr="000A7264">
        <w:t>ound</w:t>
      </w:r>
      <w:r w:rsidR="00722BC0">
        <w:t xml:space="preserve"> </w:t>
      </w:r>
      <w:r>
        <w:t xml:space="preserve">is to </w:t>
      </w:r>
      <w:r w:rsidR="00722BC0" w:rsidRPr="000A7264">
        <w:t xml:space="preserve">determine whether </w:t>
      </w:r>
      <w:r>
        <w:t>there is an evidence of cointegrating or long-run relation</w:t>
      </w:r>
      <w:r w:rsidR="0038148B">
        <w:t>ship</w:t>
      </w:r>
      <w:r>
        <w:t xml:space="preserve"> in the model</w:t>
      </w:r>
      <w:r w:rsidR="00722BC0" w:rsidRPr="000A7264">
        <w:t>.</w:t>
      </w:r>
      <w:r>
        <w:t xml:space="preserve"> This </w:t>
      </w:r>
      <w:r w:rsidR="0038148B">
        <w:t>is</w:t>
      </w:r>
      <w:r>
        <w:t xml:space="preserve"> estimated from equation</w:t>
      </w:r>
      <w:r w:rsidR="00C47F2F">
        <w:t xml:space="preserve"> 1.4</w:t>
      </w:r>
      <w:r>
        <w:t xml:space="preserve"> expressed as;</w:t>
      </w:r>
      <w:r w:rsidR="00722BC0">
        <w:rPr>
          <w:lang w:val="en-GB"/>
        </w:rPr>
        <w:t xml:space="preserve"> </w:t>
      </w:r>
    </w:p>
    <w:p w14:paraId="6BD99408" w14:textId="77777777" w:rsidR="004B0E9E" w:rsidRDefault="004B0E9E" w:rsidP="004B0E9E">
      <w:pPr>
        <w:jc w:val="both"/>
      </w:pPr>
    </w:p>
    <w:p w14:paraId="02B30E35" w14:textId="3332742A" w:rsidR="004B0E9E" w:rsidRDefault="00722BC0" w:rsidP="004B0E9E">
      <w:pPr>
        <w:jc w:val="both"/>
      </w:pPr>
      <w:r w:rsidRPr="000A7264">
        <w:t>Δ</w:t>
      </w:r>
      <w:r>
        <w:t>R</w:t>
      </w:r>
      <w:r w:rsidR="002968DE">
        <w:t>OA</w:t>
      </w:r>
      <w:r w:rsidRPr="000A7264">
        <w:rPr>
          <w:vertAlign w:val="subscript"/>
        </w:rPr>
        <w:t>t</w:t>
      </w:r>
      <w:r w:rsidRPr="000A7264">
        <w:t xml:space="preserve"> = β</w:t>
      </w:r>
      <w:r w:rsidRPr="000A7264">
        <w:rPr>
          <w:vertAlign w:val="subscript"/>
        </w:rPr>
        <w:t>o</w:t>
      </w:r>
      <w:r w:rsidRPr="000A7264">
        <w:t xml:space="preserve"> + </w:t>
      </w:r>
      <m:oMath>
        <m:nary>
          <m:naryPr>
            <m:chr m:val="∑"/>
            <m:limLoc m:val="subSup"/>
            <m:ctrlPr>
              <w:rPr>
                <w:rFonts w:ascii="Cambria Math" w:hAnsi="Cambria Math"/>
                <w:i/>
              </w:rPr>
            </m:ctrlPr>
          </m:naryPr>
          <m:sub>
            <m:r>
              <w:rPr>
                <w:rFonts w:ascii="Cambria Math" w:hAnsi="Cambria Math"/>
              </w:rPr>
              <m:t>t=i</m:t>
            </m:r>
          </m:sub>
          <m:sup>
            <m:r>
              <w:rPr>
                <w:rFonts w:ascii="Cambria Math" w:hAnsi="Cambria Math"/>
              </w:rPr>
              <m:t>n</m:t>
            </m:r>
          </m:sup>
          <m:e>
            <m:r>
              <w:rPr>
                <w:rFonts w:ascii="Cambria Math" w:hAnsi="Cambria Math"/>
              </w:rPr>
              <m:t xml:space="preserve"> </m:t>
            </m:r>
          </m:e>
        </m:nary>
      </m:oMath>
      <w:r w:rsidRPr="000A7264">
        <w:t>β</w:t>
      </w:r>
      <w:r w:rsidRPr="000A7264">
        <w:rPr>
          <w:vertAlign w:val="subscript"/>
        </w:rPr>
        <w:t>1</w:t>
      </w:r>
      <w:r w:rsidRPr="000A7264">
        <w:t>Δ</w:t>
      </w:r>
      <w:r>
        <w:t>R</w:t>
      </w:r>
      <w:r w:rsidR="002968DE">
        <w:t>OA</w:t>
      </w:r>
      <w:r w:rsidRPr="000A7264">
        <w:rPr>
          <w:vertAlign w:val="subscript"/>
        </w:rPr>
        <w:t>t-i</w:t>
      </w:r>
      <w:r w:rsidRPr="000A7264">
        <w:rPr>
          <w:rFonts w:eastAsia="SimSun"/>
        </w:rPr>
        <w:t xml:space="preserve"> +</w:t>
      </w:r>
      <w:r w:rsidRPr="000A7264">
        <w:t xml:space="preserve"> </w:t>
      </w:r>
      <m:oMath>
        <m:nary>
          <m:naryPr>
            <m:chr m:val="∑"/>
            <m:limLoc m:val="subSup"/>
            <m:ctrlPr>
              <w:rPr>
                <w:rFonts w:ascii="Cambria Math" w:hAnsi="Cambria Math"/>
                <w:i/>
              </w:rPr>
            </m:ctrlPr>
          </m:naryPr>
          <m:sub>
            <m:r>
              <w:rPr>
                <w:rFonts w:ascii="Cambria Math" w:hAnsi="Cambria Math"/>
              </w:rPr>
              <m:t>t=i</m:t>
            </m:r>
          </m:sub>
          <m:sup>
            <m:r>
              <w:rPr>
                <w:rFonts w:ascii="Cambria Math" w:hAnsi="Cambria Math"/>
              </w:rPr>
              <m:t>n</m:t>
            </m:r>
          </m:sup>
          <m:e>
            <m:r>
              <w:rPr>
                <w:rFonts w:ascii="Cambria Math" w:hAnsi="Cambria Math"/>
              </w:rPr>
              <m:t xml:space="preserve"> </m:t>
            </m:r>
          </m:e>
        </m:nary>
      </m:oMath>
      <w:r w:rsidRPr="000A7264">
        <w:t>β</w:t>
      </w:r>
      <w:r w:rsidRPr="000A7264">
        <w:rPr>
          <w:vertAlign w:val="subscript"/>
        </w:rPr>
        <w:t>2</w:t>
      </w:r>
      <w:r w:rsidRPr="000A7264">
        <w:t>Δ</w:t>
      </w:r>
      <w:r>
        <w:t>A</w:t>
      </w:r>
      <w:r w:rsidR="00D022C2">
        <w:t>TM</w:t>
      </w:r>
      <w:r w:rsidRPr="000A7264">
        <w:rPr>
          <w:rFonts w:eastAsia="SimSun"/>
          <w:vertAlign w:val="subscript"/>
        </w:rPr>
        <w:t>t-i</w:t>
      </w:r>
      <w:r w:rsidRPr="000A7264">
        <w:rPr>
          <w:rFonts w:eastAsia="SimSun"/>
        </w:rPr>
        <w:t xml:space="preserve"> </w:t>
      </w:r>
      <w:r w:rsidRPr="000A7264">
        <w:t xml:space="preserve">+ </w:t>
      </w:r>
      <m:oMath>
        <m:nary>
          <m:naryPr>
            <m:chr m:val="∑"/>
            <m:limLoc m:val="subSup"/>
            <m:ctrlPr>
              <w:rPr>
                <w:rFonts w:ascii="Cambria Math" w:hAnsi="Cambria Math"/>
                <w:i/>
              </w:rPr>
            </m:ctrlPr>
          </m:naryPr>
          <m:sub>
            <m:r>
              <w:rPr>
                <w:rFonts w:ascii="Cambria Math" w:hAnsi="Cambria Math"/>
              </w:rPr>
              <m:t>t=i</m:t>
            </m:r>
          </m:sub>
          <m:sup>
            <m:r>
              <w:rPr>
                <w:rFonts w:ascii="Cambria Math" w:hAnsi="Cambria Math"/>
              </w:rPr>
              <m:t>n</m:t>
            </m:r>
          </m:sup>
          <m:e>
            <m:r>
              <w:rPr>
                <w:rFonts w:ascii="Cambria Math" w:hAnsi="Cambria Math"/>
              </w:rPr>
              <m:t xml:space="preserve"> </m:t>
            </m:r>
          </m:e>
        </m:nary>
      </m:oMath>
      <w:r w:rsidRPr="000A7264">
        <w:t>β</w:t>
      </w:r>
      <w:r w:rsidRPr="000A7264">
        <w:rPr>
          <w:vertAlign w:val="subscript"/>
        </w:rPr>
        <w:t>3</w:t>
      </w:r>
      <w:r w:rsidRPr="000A7264">
        <w:t>Δ</w:t>
      </w:r>
      <w:r w:rsidR="00D022C2">
        <w:t>POS</w:t>
      </w:r>
      <w:r w:rsidRPr="000A7264">
        <w:rPr>
          <w:rFonts w:eastAsia="SimSun"/>
          <w:vertAlign w:val="subscript"/>
        </w:rPr>
        <w:t>t-i</w:t>
      </w:r>
      <w:r w:rsidRPr="000A7264">
        <w:rPr>
          <w:rFonts w:eastAsia="SimSun"/>
        </w:rPr>
        <w:t xml:space="preserve"> + </w:t>
      </w:r>
      <m:oMath>
        <m:nary>
          <m:naryPr>
            <m:chr m:val="∑"/>
            <m:limLoc m:val="subSup"/>
            <m:ctrlPr>
              <w:rPr>
                <w:rFonts w:ascii="Cambria Math" w:hAnsi="Cambria Math"/>
                <w:i/>
              </w:rPr>
            </m:ctrlPr>
          </m:naryPr>
          <m:sub>
            <m:r>
              <w:rPr>
                <w:rFonts w:ascii="Cambria Math" w:hAnsi="Cambria Math"/>
              </w:rPr>
              <m:t>t=i</m:t>
            </m:r>
          </m:sub>
          <m:sup>
            <m:r>
              <w:rPr>
                <w:rFonts w:ascii="Cambria Math" w:hAnsi="Cambria Math"/>
              </w:rPr>
              <m:t>n</m:t>
            </m:r>
          </m:sup>
          <m:e>
            <m:r>
              <w:rPr>
                <w:rFonts w:ascii="Cambria Math" w:hAnsi="Cambria Math"/>
              </w:rPr>
              <m:t xml:space="preserve"> </m:t>
            </m:r>
          </m:e>
        </m:nary>
      </m:oMath>
      <w:r w:rsidRPr="000A7264">
        <w:t>β</w:t>
      </w:r>
      <w:r w:rsidRPr="000A7264">
        <w:rPr>
          <w:rFonts w:eastAsia="SimSun"/>
          <w:vertAlign w:val="subscript"/>
        </w:rPr>
        <w:t>4</w:t>
      </w:r>
      <w:r w:rsidRPr="000A7264">
        <w:t>Δ</w:t>
      </w:r>
      <w:r w:rsidR="00D022C2">
        <w:t>MB</w:t>
      </w:r>
      <w:r w:rsidRPr="000A7264">
        <w:rPr>
          <w:rFonts w:eastAsia="SimSun"/>
          <w:vertAlign w:val="subscript"/>
        </w:rPr>
        <w:t>t-i</w:t>
      </w:r>
      <w:r w:rsidRPr="000A7264">
        <w:t xml:space="preserve"> </w:t>
      </w:r>
      <w:r w:rsidR="00D022C2">
        <w:t xml:space="preserve">+ </w:t>
      </w:r>
      <w:r w:rsidRPr="000A7264">
        <w:t>ϕ</w:t>
      </w:r>
      <w:r w:rsidRPr="000A7264">
        <w:rPr>
          <w:vertAlign w:val="subscript"/>
        </w:rPr>
        <w:t>1</w:t>
      </w:r>
      <w:r>
        <w:t>R</w:t>
      </w:r>
      <w:r w:rsidR="00D022C2">
        <w:t>OA</w:t>
      </w:r>
      <w:r w:rsidRPr="000A7264">
        <w:rPr>
          <w:vertAlign w:val="subscript"/>
        </w:rPr>
        <w:t>t-1</w:t>
      </w:r>
      <w:r w:rsidRPr="000A7264">
        <w:t xml:space="preserve"> + ϕ</w:t>
      </w:r>
      <w:r w:rsidRPr="000A7264">
        <w:rPr>
          <w:vertAlign w:val="subscript"/>
        </w:rPr>
        <w:t>2</w:t>
      </w:r>
      <w:r>
        <w:t>A</w:t>
      </w:r>
      <w:r w:rsidR="00D022C2">
        <w:t>TM</w:t>
      </w:r>
      <w:r w:rsidRPr="000A7264">
        <w:rPr>
          <w:vertAlign w:val="subscript"/>
        </w:rPr>
        <w:t>t-1</w:t>
      </w:r>
      <w:r w:rsidRPr="000A7264">
        <w:t xml:space="preserve"> + ϕ</w:t>
      </w:r>
      <w:r w:rsidRPr="000A7264">
        <w:rPr>
          <w:vertAlign w:val="subscript"/>
        </w:rPr>
        <w:t>3</w:t>
      </w:r>
      <w:r w:rsidR="00D022C2">
        <w:t>POS</w:t>
      </w:r>
      <w:r w:rsidRPr="000A7264">
        <w:rPr>
          <w:vertAlign w:val="subscript"/>
        </w:rPr>
        <w:t>t-1</w:t>
      </w:r>
      <w:r w:rsidRPr="000A7264">
        <w:t xml:space="preserve"> + ϕ</w:t>
      </w:r>
      <w:r w:rsidRPr="000A7264">
        <w:rPr>
          <w:vertAlign w:val="subscript"/>
        </w:rPr>
        <w:t>4</w:t>
      </w:r>
      <w:r w:rsidR="00D022C2">
        <w:t>MB</w:t>
      </w:r>
      <w:r w:rsidRPr="000A7264">
        <w:rPr>
          <w:vertAlign w:val="subscript"/>
        </w:rPr>
        <w:t>t-1</w:t>
      </w:r>
      <w:r w:rsidRPr="000A7264">
        <w:t>+</w:t>
      </w:r>
      <w:r w:rsidRPr="000A7264">
        <w:rPr>
          <w:i/>
        </w:rPr>
        <w:t xml:space="preserve"> </w:t>
      </w:r>
      <m:oMath>
        <m:r>
          <w:rPr>
            <w:rFonts w:ascii="Cambria Math" w:hAnsi="Cambria Math"/>
          </w:rPr>
          <m:t>ε</m:t>
        </m:r>
      </m:oMath>
      <w:r w:rsidRPr="000A7264">
        <w:rPr>
          <w:vertAlign w:val="subscript"/>
        </w:rPr>
        <w:t>t</w:t>
      </w:r>
      <w:r>
        <w:rPr>
          <w:vertAlign w:val="subscript"/>
        </w:rPr>
        <w:t xml:space="preserve"> </w:t>
      </w:r>
      <w:r>
        <w:t xml:space="preserve">    - </w:t>
      </w:r>
      <w:r w:rsidR="00702825">
        <w:tab/>
        <w:t>-</w:t>
      </w:r>
      <w:r w:rsidR="00702825">
        <w:tab/>
        <w:t>-</w:t>
      </w:r>
      <w:r w:rsidR="00702825">
        <w:tab/>
        <w:t>-</w:t>
      </w:r>
      <w:r w:rsidR="00702825">
        <w:tab/>
        <w:t>-</w:t>
      </w:r>
      <w:r w:rsidR="00702825">
        <w:tab/>
        <w:t>-</w:t>
      </w:r>
      <w:r w:rsidR="00702825">
        <w:tab/>
        <w:t>-</w:t>
      </w:r>
      <w:r w:rsidR="00702825">
        <w:tab/>
      </w:r>
      <w:r>
        <w:t>(</w:t>
      </w:r>
      <w:r w:rsidR="00702825">
        <w:t>1</w:t>
      </w:r>
      <w:r>
        <w:t>.</w:t>
      </w:r>
      <w:r w:rsidR="0038148B">
        <w:t>7</w:t>
      </w:r>
      <w:r>
        <w:t>)</w:t>
      </w:r>
    </w:p>
    <w:p w14:paraId="733CC9DF" w14:textId="77777777" w:rsidR="004B0E9E" w:rsidRDefault="00722BC0" w:rsidP="004B0E9E">
      <w:pPr>
        <w:jc w:val="both"/>
      </w:pPr>
      <w:r>
        <w:t>F-bound test is carried out under the following null and alternative hypothese</w:t>
      </w:r>
      <w:r w:rsidRPr="000A7264">
        <w:t>s</w:t>
      </w:r>
      <w:r>
        <w:t>;</w:t>
      </w:r>
    </w:p>
    <w:p w14:paraId="69ED3BEA" w14:textId="77777777" w:rsidR="004B0E9E" w:rsidRDefault="00722BC0" w:rsidP="004B0E9E">
      <w:pPr>
        <w:jc w:val="both"/>
      </w:pPr>
      <w:r w:rsidRPr="000A7264">
        <w:rPr>
          <w:b/>
          <w:bCs/>
        </w:rPr>
        <w:t>H</w:t>
      </w:r>
      <w:r w:rsidRPr="000A7264">
        <w:rPr>
          <w:b/>
          <w:bCs/>
          <w:vertAlign w:val="subscript"/>
        </w:rPr>
        <w:t>o</w:t>
      </w:r>
      <w:r w:rsidRPr="000A7264">
        <w:t>: No cointegration exists between the variables.</w:t>
      </w:r>
    </w:p>
    <w:p w14:paraId="05E8D551" w14:textId="77777777" w:rsidR="004B0E9E" w:rsidRDefault="00722BC0" w:rsidP="004B0E9E">
      <w:pPr>
        <w:jc w:val="both"/>
      </w:pPr>
      <w:r w:rsidRPr="000A7264">
        <w:rPr>
          <w:b/>
          <w:bCs/>
        </w:rPr>
        <w:t>H</w:t>
      </w:r>
      <w:r w:rsidRPr="000A7264">
        <w:rPr>
          <w:b/>
          <w:bCs/>
          <w:vertAlign w:val="subscript"/>
        </w:rPr>
        <w:t>1</w:t>
      </w:r>
      <w:r w:rsidRPr="000A7264">
        <w:t>: Cointegration exists between the variables.</w:t>
      </w:r>
    </w:p>
    <w:p w14:paraId="1787E4E7" w14:textId="77777777" w:rsidR="004B0E9E" w:rsidRDefault="004B0E9E" w:rsidP="004B0E9E">
      <w:pPr>
        <w:jc w:val="both"/>
      </w:pPr>
    </w:p>
    <w:p w14:paraId="48C01D2C" w14:textId="11C08477" w:rsidR="00C40294" w:rsidRDefault="00722BC0" w:rsidP="00632478">
      <w:pPr>
        <w:jc w:val="both"/>
      </w:pPr>
      <w:r>
        <w:t>The decision</w:t>
      </w:r>
      <w:r w:rsidR="00702825">
        <w:t>-</w:t>
      </w:r>
      <w:r>
        <w:t>making r</w:t>
      </w:r>
      <w:r w:rsidRPr="000A7264">
        <w:t>ule</w:t>
      </w:r>
      <w:r w:rsidR="00702825">
        <w:t xml:space="preserve"> is to reject</w:t>
      </w:r>
      <w:r>
        <w:t xml:space="preserve"> H</w:t>
      </w:r>
      <w:r w:rsidRPr="00F76776">
        <w:rPr>
          <w:vertAlign w:val="subscript"/>
        </w:rPr>
        <w:t>0</w:t>
      </w:r>
      <w:r>
        <w:t xml:space="preserve"> if </w:t>
      </w:r>
      <w:r w:rsidRPr="000A7264">
        <w:t>the calculated F-statistic is greater th</w:t>
      </w:r>
      <w:r>
        <w:t xml:space="preserve">an the 5% critical upper bound </w:t>
      </w:r>
      <w:r w:rsidRPr="002B366E">
        <w:rPr>
          <w:i/>
        </w:rPr>
        <w:t>I</w:t>
      </w:r>
      <w:r>
        <w:t>(</w:t>
      </w:r>
      <w:r w:rsidRPr="000A7264">
        <w:t>1)</w:t>
      </w:r>
      <w:r>
        <w:t xml:space="preserve"> and lower bound</w:t>
      </w:r>
      <w:r w:rsidRPr="000A7264">
        <w:t xml:space="preserve"> </w:t>
      </w:r>
      <w:r w:rsidRPr="002B366E">
        <w:rPr>
          <w:i/>
        </w:rPr>
        <w:t>I</w:t>
      </w:r>
      <w:r w:rsidRPr="000A7264">
        <w:t xml:space="preserve"> (0)</w:t>
      </w:r>
      <w:r>
        <w:t xml:space="preserve"> and conclude that there is a co-integrating relationship in the model. Accept H</w:t>
      </w:r>
      <w:r w:rsidRPr="002B366E">
        <w:rPr>
          <w:vertAlign w:val="subscript"/>
        </w:rPr>
        <w:t>0</w:t>
      </w:r>
      <w:r>
        <w:t xml:space="preserve"> if the F-statistic is below the </w:t>
      </w:r>
      <w:r w:rsidR="0038148B">
        <w:t xml:space="preserve">upper and </w:t>
      </w:r>
      <w:r>
        <w:t xml:space="preserve">lower bound and conclude </w:t>
      </w:r>
      <w:r w:rsidR="0038148B">
        <w:t xml:space="preserve">that </w:t>
      </w:r>
      <w:r>
        <w:t xml:space="preserve">there is no co-integrating relationship in the model. Moreso, declare the result inclusive if the F-statistic value falls between </w:t>
      </w:r>
      <w:r w:rsidRPr="006F6C98">
        <w:rPr>
          <w:i/>
        </w:rPr>
        <w:t>I</w:t>
      </w:r>
      <w:r>
        <w:t xml:space="preserve"> (0) and </w:t>
      </w:r>
      <w:r w:rsidRPr="006F6C98">
        <w:rPr>
          <w:i/>
        </w:rPr>
        <w:t>I</w:t>
      </w:r>
      <w:r>
        <w:t xml:space="preserve"> (1) at 5%.  </w:t>
      </w:r>
      <w:r w:rsidRPr="000A7264">
        <w:t xml:space="preserve"> </w:t>
      </w:r>
    </w:p>
    <w:p w14:paraId="2019D73B" w14:textId="77777777" w:rsidR="00632478" w:rsidRPr="00C91C0F" w:rsidRDefault="00632478" w:rsidP="00632478">
      <w:pPr>
        <w:spacing w:line="360" w:lineRule="auto"/>
        <w:contextualSpacing/>
        <w:jc w:val="both"/>
        <w:rPr>
          <w:sz w:val="10"/>
        </w:rPr>
      </w:pPr>
    </w:p>
    <w:p w14:paraId="448ED9D2" w14:textId="4A86C415" w:rsidR="004B0E9E" w:rsidRPr="004B0E9E" w:rsidRDefault="00722BC0" w:rsidP="00561EC3">
      <w:pPr>
        <w:spacing w:line="360" w:lineRule="auto"/>
        <w:jc w:val="both"/>
        <w:rPr>
          <w:rFonts w:eastAsia="Aptos"/>
          <w:lang w:val="en-GB"/>
        </w:rPr>
      </w:pPr>
      <w:r>
        <w:rPr>
          <w:rFonts w:eastAsia="Aptos"/>
          <w:b/>
          <w:lang w:val="en-GB"/>
        </w:rPr>
        <w:t>Post-Estimation Tests</w:t>
      </w:r>
      <w:r w:rsidR="008F7069">
        <w:rPr>
          <w:rFonts w:eastAsia="Aptos"/>
          <w:b/>
          <w:lang w:val="en-GB"/>
        </w:rPr>
        <w:t xml:space="preserve"> and Method of Hypotheses testing </w:t>
      </w:r>
    </w:p>
    <w:p w14:paraId="3219877C" w14:textId="2301A916" w:rsidR="008C3F4B" w:rsidRPr="004B0E9E" w:rsidRDefault="008F7069" w:rsidP="004B0E9E">
      <w:pPr>
        <w:jc w:val="both"/>
      </w:pPr>
      <w:r>
        <w:rPr>
          <w:lang w:val="en-GB"/>
        </w:rPr>
        <w:t xml:space="preserve">Relevant post-estimation or diagnostic tests crucial to the classical or OLS assumptions such as serial correlation, heteroscedasticity, normality, and stability were estimated to ensure that the OLS assumptions are not violated in this study. </w:t>
      </w:r>
      <w:r w:rsidR="00722BC0">
        <w:rPr>
          <w:rFonts w:eastAsia="Aptos"/>
          <w:lang w:val="en-GB"/>
        </w:rPr>
        <w:t xml:space="preserve">The </w:t>
      </w:r>
      <w:r w:rsidR="005117A4">
        <w:rPr>
          <w:rFonts w:eastAsia="Aptos"/>
          <w:lang w:val="en-GB"/>
        </w:rPr>
        <w:t xml:space="preserve">hypotheses for this study under </w:t>
      </w:r>
      <w:r w:rsidR="00722BC0">
        <w:rPr>
          <w:rFonts w:eastAsia="Aptos"/>
          <w:lang w:val="en-GB"/>
        </w:rPr>
        <w:t>H</w:t>
      </w:r>
      <w:r w:rsidR="00722BC0" w:rsidRPr="005117A4">
        <w:rPr>
          <w:rFonts w:eastAsia="Aptos"/>
          <w:vertAlign w:val="subscript"/>
          <w:lang w:val="en-GB"/>
        </w:rPr>
        <w:t>0</w:t>
      </w:r>
      <w:r w:rsidR="00722BC0">
        <w:rPr>
          <w:rFonts w:eastAsia="Aptos"/>
          <w:lang w:val="en-GB"/>
        </w:rPr>
        <w:t>: β* = 0 (Explanatory variables are not statistically significant in affecting R</w:t>
      </w:r>
      <w:r w:rsidR="005117A4">
        <w:rPr>
          <w:rFonts w:eastAsia="Aptos"/>
          <w:lang w:val="en-GB"/>
        </w:rPr>
        <w:t>OA</w:t>
      </w:r>
      <w:r w:rsidR="00722BC0">
        <w:rPr>
          <w:rFonts w:eastAsia="Aptos"/>
          <w:lang w:val="en-GB"/>
        </w:rPr>
        <w:t>)</w:t>
      </w:r>
      <w:r w:rsidR="005117A4">
        <w:rPr>
          <w:rFonts w:eastAsia="Aptos"/>
          <w:lang w:val="en-GB"/>
        </w:rPr>
        <w:t xml:space="preserve"> is rejected when the p-value at </w:t>
      </w:r>
      <w:r>
        <w:rPr>
          <w:rFonts w:eastAsia="Aptos"/>
          <w:lang w:val="en-GB"/>
        </w:rPr>
        <w:t xml:space="preserve">the </w:t>
      </w:r>
      <w:r w:rsidR="005117A4">
        <w:rPr>
          <w:rFonts w:eastAsia="Aptos"/>
          <w:lang w:val="en-GB"/>
        </w:rPr>
        <w:t>5% threshold is less than 0.05. Do not reject H</w:t>
      </w:r>
      <w:r w:rsidR="005117A4" w:rsidRPr="005117A4">
        <w:rPr>
          <w:rFonts w:eastAsia="Aptos"/>
          <w:vertAlign w:val="subscript"/>
          <w:lang w:val="en-GB"/>
        </w:rPr>
        <w:t>0</w:t>
      </w:r>
      <w:r w:rsidR="005117A4">
        <w:rPr>
          <w:rFonts w:eastAsia="Aptos"/>
          <w:lang w:val="en-GB"/>
        </w:rPr>
        <w:t xml:space="preserve"> if the p-value is </w:t>
      </w:r>
      <w:r w:rsidR="00632478">
        <w:rPr>
          <w:rFonts w:eastAsia="Aptos"/>
          <w:lang w:val="en-GB"/>
        </w:rPr>
        <w:t>greater</w:t>
      </w:r>
      <w:r w:rsidR="005117A4">
        <w:rPr>
          <w:rFonts w:eastAsia="Aptos"/>
          <w:lang w:val="en-GB"/>
        </w:rPr>
        <w:t xml:space="preserve"> than 0.05 and conclude that there is no significant impact of the explanatory variable on the outcome variable.</w:t>
      </w:r>
      <w:r>
        <w:rPr>
          <w:rFonts w:eastAsia="Aptos"/>
          <w:lang w:val="en-GB"/>
        </w:rPr>
        <w:t xml:space="preserve"> </w:t>
      </w:r>
      <w:r w:rsidR="007B676E">
        <w:rPr>
          <w:rFonts w:eastAsia="Aptos"/>
          <w:lang w:val="en-GB"/>
        </w:rPr>
        <w:t xml:space="preserve">Note that this test is applicable to the specific research variables as the condition differs under post-estimation tests. </w:t>
      </w:r>
    </w:p>
    <w:p w14:paraId="284B9D07" w14:textId="77777777" w:rsidR="00432612" w:rsidRDefault="00432612" w:rsidP="002F410C">
      <w:pPr>
        <w:jc w:val="both"/>
        <w:rPr>
          <w:b/>
          <w:bCs/>
        </w:rPr>
      </w:pPr>
    </w:p>
    <w:p w14:paraId="2DC40D3F" w14:textId="1658262E" w:rsidR="00B11BBB" w:rsidRDefault="008C3F4B" w:rsidP="00B11BBB">
      <w:pPr>
        <w:jc w:val="both"/>
        <w:rPr>
          <w:b/>
          <w:bCs/>
        </w:rPr>
      </w:pPr>
      <w:r w:rsidRPr="00591D4A">
        <w:rPr>
          <w:b/>
          <w:bCs/>
        </w:rPr>
        <w:t>R</w:t>
      </w:r>
      <w:r w:rsidR="00432612">
        <w:rPr>
          <w:b/>
          <w:bCs/>
        </w:rPr>
        <w:t>ESULTS AND DISCUSSION OF FINDINGS</w:t>
      </w:r>
      <w:r w:rsidRPr="00591D4A">
        <w:rPr>
          <w:b/>
          <w:bCs/>
        </w:rPr>
        <w:t xml:space="preserve"> </w:t>
      </w:r>
    </w:p>
    <w:p w14:paraId="573E2309" w14:textId="77777777" w:rsidR="003A5D57" w:rsidRPr="00C91C0F" w:rsidRDefault="003A5D57" w:rsidP="003A5D57">
      <w:pPr>
        <w:spacing w:line="360" w:lineRule="auto"/>
        <w:contextualSpacing/>
        <w:jc w:val="both"/>
        <w:rPr>
          <w:sz w:val="10"/>
        </w:rPr>
      </w:pPr>
    </w:p>
    <w:p w14:paraId="0C4CF5CF" w14:textId="3BD19FAB" w:rsidR="00B11BBB" w:rsidRDefault="00B11BBB" w:rsidP="00B11BBB">
      <w:pPr>
        <w:jc w:val="both"/>
        <w:rPr>
          <w:bCs/>
        </w:rPr>
      </w:pPr>
      <w:r>
        <w:rPr>
          <w:b/>
          <w:bCs/>
        </w:rPr>
        <w:t>Table 1.</w:t>
      </w:r>
      <w:r w:rsidR="00F00078">
        <w:rPr>
          <w:b/>
          <w:bCs/>
        </w:rPr>
        <w:t>1</w:t>
      </w:r>
      <w:r w:rsidRPr="000E7AC3">
        <w:rPr>
          <w:b/>
          <w:bCs/>
        </w:rPr>
        <w:t>:</w:t>
      </w:r>
      <w:r w:rsidRPr="000E7AC3">
        <w:rPr>
          <w:bCs/>
        </w:rPr>
        <w:t xml:space="preserve"> ADF unit root test</w:t>
      </w:r>
      <w:r>
        <w:rPr>
          <w:bCs/>
        </w:rPr>
        <w:t xml:space="preserve"> Result</w:t>
      </w:r>
    </w:p>
    <w:tbl>
      <w:tblPr>
        <w:tblStyle w:val="TableGrid"/>
        <w:tblW w:w="10507" w:type="dxa"/>
        <w:tblInd w:w="-162" w:type="dxa"/>
        <w:tblLook w:val="04A0" w:firstRow="1" w:lastRow="0" w:firstColumn="1" w:lastColumn="0" w:noHBand="0" w:noVBand="1"/>
      </w:tblPr>
      <w:tblGrid>
        <w:gridCol w:w="979"/>
        <w:gridCol w:w="1145"/>
        <w:gridCol w:w="1035"/>
        <w:gridCol w:w="1066"/>
        <w:gridCol w:w="1060"/>
        <w:gridCol w:w="877"/>
        <w:gridCol w:w="182"/>
        <w:gridCol w:w="1249"/>
        <w:gridCol w:w="1684"/>
        <w:gridCol w:w="40"/>
        <w:gridCol w:w="22"/>
        <w:gridCol w:w="1115"/>
        <w:gridCol w:w="35"/>
        <w:gridCol w:w="18"/>
      </w:tblGrid>
      <w:tr w:rsidR="00B11BBB" w:rsidRPr="00E26731" w14:paraId="56F5DF38" w14:textId="77777777" w:rsidTr="00427787">
        <w:trPr>
          <w:gridAfter w:val="2"/>
          <w:wAfter w:w="55" w:type="dxa"/>
        </w:trPr>
        <w:tc>
          <w:tcPr>
            <w:tcW w:w="984" w:type="dxa"/>
            <w:tcBorders>
              <w:left w:val="nil"/>
              <w:right w:val="nil"/>
            </w:tcBorders>
          </w:tcPr>
          <w:p w14:paraId="7F7EB4A7" w14:textId="77777777" w:rsidR="00B11BBB" w:rsidRPr="00E26731" w:rsidRDefault="00B11BBB" w:rsidP="00427787">
            <w:pPr>
              <w:rPr>
                <w:bCs/>
                <w:sz w:val="18"/>
                <w:szCs w:val="18"/>
              </w:rPr>
            </w:pPr>
            <w:r w:rsidRPr="00E26731">
              <w:rPr>
                <w:bCs/>
                <w:sz w:val="18"/>
                <w:szCs w:val="18"/>
              </w:rPr>
              <w:t>ADF test</w:t>
            </w:r>
          </w:p>
        </w:tc>
        <w:tc>
          <w:tcPr>
            <w:tcW w:w="1153" w:type="dxa"/>
            <w:tcBorders>
              <w:left w:val="nil"/>
              <w:right w:val="nil"/>
            </w:tcBorders>
          </w:tcPr>
          <w:p w14:paraId="3AE55C2F" w14:textId="77777777" w:rsidR="00B11BBB" w:rsidRPr="00E26731" w:rsidRDefault="00B11BBB" w:rsidP="00427787">
            <w:pPr>
              <w:rPr>
                <w:bCs/>
                <w:sz w:val="18"/>
                <w:szCs w:val="18"/>
              </w:rPr>
            </w:pPr>
            <w:r w:rsidRPr="00E26731">
              <w:rPr>
                <w:bCs/>
                <w:sz w:val="18"/>
                <w:szCs w:val="18"/>
              </w:rPr>
              <w:t xml:space="preserve"> I(0)</w:t>
            </w:r>
          </w:p>
        </w:tc>
        <w:tc>
          <w:tcPr>
            <w:tcW w:w="1038" w:type="dxa"/>
            <w:tcBorders>
              <w:left w:val="nil"/>
              <w:right w:val="nil"/>
            </w:tcBorders>
          </w:tcPr>
          <w:p w14:paraId="0C0E581C" w14:textId="77777777" w:rsidR="00B11BBB" w:rsidRPr="00E26731" w:rsidRDefault="00B11BBB" w:rsidP="00427787">
            <w:pPr>
              <w:rPr>
                <w:bCs/>
                <w:sz w:val="18"/>
                <w:szCs w:val="18"/>
              </w:rPr>
            </w:pPr>
          </w:p>
        </w:tc>
        <w:tc>
          <w:tcPr>
            <w:tcW w:w="989" w:type="dxa"/>
            <w:tcBorders>
              <w:left w:val="nil"/>
              <w:right w:val="nil"/>
            </w:tcBorders>
          </w:tcPr>
          <w:p w14:paraId="1D56E644" w14:textId="77777777" w:rsidR="00B11BBB" w:rsidRPr="00E26731" w:rsidRDefault="00B11BBB" w:rsidP="00427787">
            <w:pPr>
              <w:rPr>
                <w:bCs/>
                <w:sz w:val="18"/>
                <w:szCs w:val="18"/>
              </w:rPr>
            </w:pPr>
          </w:p>
        </w:tc>
        <w:tc>
          <w:tcPr>
            <w:tcW w:w="1064" w:type="dxa"/>
            <w:tcBorders>
              <w:left w:val="nil"/>
              <w:right w:val="nil"/>
            </w:tcBorders>
          </w:tcPr>
          <w:p w14:paraId="29CC8C1B" w14:textId="77777777" w:rsidR="00B11BBB" w:rsidRPr="00E26731" w:rsidRDefault="00B11BBB" w:rsidP="00427787">
            <w:pPr>
              <w:rPr>
                <w:bCs/>
                <w:sz w:val="18"/>
                <w:szCs w:val="18"/>
              </w:rPr>
            </w:pPr>
            <w:r w:rsidRPr="00E26731">
              <w:rPr>
                <w:bCs/>
                <w:sz w:val="18"/>
                <w:szCs w:val="18"/>
              </w:rPr>
              <w:t>ADF test</w:t>
            </w:r>
          </w:p>
        </w:tc>
        <w:tc>
          <w:tcPr>
            <w:tcW w:w="877" w:type="dxa"/>
            <w:tcBorders>
              <w:left w:val="nil"/>
              <w:right w:val="nil"/>
            </w:tcBorders>
          </w:tcPr>
          <w:p w14:paraId="2727B3A3" w14:textId="77777777" w:rsidR="00B11BBB" w:rsidRPr="00E26731" w:rsidRDefault="00B11BBB" w:rsidP="00427787">
            <w:pPr>
              <w:rPr>
                <w:bCs/>
                <w:sz w:val="18"/>
                <w:szCs w:val="18"/>
              </w:rPr>
            </w:pPr>
          </w:p>
        </w:tc>
        <w:tc>
          <w:tcPr>
            <w:tcW w:w="1444" w:type="dxa"/>
            <w:gridSpan w:val="2"/>
            <w:tcBorders>
              <w:left w:val="nil"/>
              <w:right w:val="nil"/>
            </w:tcBorders>
          </w:tcPr>
          <w:p w14:paraId="39234729" w14:textId="77777777" w:rsidR="00B11BBB" w:rsidRPr="00E26731" w:rsidRDefault="00B11BBB" w:rsidP="00427787">
            <w:pPr>
              <w:rPr>
                <w:bCs/>
                <w:sz w:val="18"/>
                <w:szCs w:val="18"/>
              </w:rPr>
            </w:pPr>
            <w:r w:rsidRPr="00E26731">
              <w:rPr>
                <w:bCs/>
                <w:sz w:val="18"/>
                <w:szCs w:val="18"/>
              </w:rPr>
              <w:t>I(1)</w:t>
            </w:r>
          </w:p>
        </w:tc>
        <w:tc>
          <w:tcPr>
            <w:tcW w:w="1718" w:type="dxa"/>
            <w:tcBorders>
              <w:left w:val="nil"/>
              <w:right w:val="nil"/>
            </w:tcBorders>
          </w:tcPr>
          <w:p w14:paraId="196DCCA9" w14:textId="77777777" w:rsidR="00B11BBB" w:rsidRPr="00E26731" w:rsidRDefault="00B11BBB" w:rsidP="00427787">
            <w:pPr>
              <w:rPr>
                <w:bCs/>
                <w:sz w:val="18"/>
                <w:szCs w:val="18"/>
              </w:rPr>
            </w:pPr>
          </w:p>
        </w:tc>
        <w:tc>
          <w:tcPr>
            <w:tcW w:w="1185" w:type="dxa"/>
            <w:gridSpan w:val="3"/>
            <w:tcBorders>
              <w:left w:val="nil"/>
              <w:right w:val="nil"/>
            </w:tcBorders>
          </w:tcPr>
          <w:p w14:paraId="24511DED" w14:textId="77777777" w:rsidR="00B11BBB" w:rsidRPr="00E26731" w:rsidRDefault="00B11BBB" w:rsidP="00427787">
            <w:pPr>
              <w:rPr>
                <w:bCs/>
                <w:sz w:val="18"/>
                <w:szCs w:val="18"/>
              </w:rPr>
            </w:pPr>
            <w:r w:rsidRPr="00E26731">
              <w:rPr>
                <w:bCs/>
                <w:sz w:val="18"/>
                <w:szCs w:val="18"/>
              </w:rPr>
              <w:t>Remark</w:t>
            </w:r>
          </w:p>
        </w:tc>
      </w:tr>
      <w:tr w:rsidR="00B11BBB" w:rsidRPr="00E26731" w14:paraId="5A8C03A4" w14:textId="77777777" w:rsidTr="00427787">
        <w:trPr>
          <w:gridAfter w:val="1"/>
          <w:wAfter w:w="19" w:type="dxa"/>
        </w:trPr>
        <w:tc>
          <w:tcPr>
            <w:tcW w:w="984" w:type="dxa"/>
            <w:tcBorders>
              <w:left w:val="nil"/>
              <w:bottom w:val="nil"/>
              <w:right w:val="nil"/>
            </w:tcBorders>
          </w:tcPr>
          <w:p w14:paraId="3181442E" w14:textId="77777777" w:rsidR="00B11BBB" w:rsidRPr="00E26731" w:rsidRDefault="00B11BBB" w:rsidP="00427787">
            <w:pPr>
              <w:rPr>
                <w:bCs/>
                <w:sz w:val="18"/>
                <w:szCs w:val="18"/>
              </w:rPr>
            </w:pPr>
            <w:r w:rsidRPr="00E26731">
              <w:rPr>
                <w:bCs/>
                <w:sz w:val="18"/>
                <w:szCs w:val="18"/>
              </w:rPr>
              <w:t>Variables</w:t>
            </w:r>
          </w:p>
        </w:tc>
        <w:tc>
          <w:tcPr>
            <w:tcW w:w="1153" w:type="dxa"/>
            <w:tcBorders>
              <w:left w:val="nil"/>
              <w:bottom w:val="nil"/>
              <w:right w:val="nil"/>
            </w:tcBorders>
          </w:tcPr>
          <w:p w14:paraId="47217493" w14:textId="77777777" w:rsidR="00B11BBB" w:rsidRPr="00E26731" w:rsidRDefault="00B11BBB" w:rsidP="00427787">
            <w:pPr>
              <w:rPr>
                <w:bCs/>
                <w:sz w:val="18"/>
                <w:szCs w:val="18"/>
              </w:rPr>
            </w:pPr>
            <w:r w:rsidRPr="00E26731">
              <w:rPr>
                <w:bCs/>
                <w:sz w:val="18"/>
                <w:szCs w:val="18"/>
              </w:rPr>
              <w:t>ADF t-test</w:t>
            </w:r>
          </w:p>
        </w:tc>
        <w:tc>
          <w:tcPr>
            <w:tcW w:w="1038" w:type="dxa"/>
            <w:tcBorders>
              <w:left w:val="nil"/>
              <w:bottom w:val="nil"/>
              <w:right w:val="nil"/>
            </w:tcBorders>
          </w:tcPr>
          <w:p w14:paraId="6981F967" w14:textId="77777777" w:rsidR="00B11BBB" w:rsidRPr="00E26731" w:rsidRDefault="00B11BBB" w:rsidP="00427787">
            <w:pPr>
              <w:rPr>
                <w:bCs/>
                <w:sz w:val="18"/>
                <w:szCs w:val="18"/>
              </w:rPr>
            </w:pPr>
            <w:r w:rsidRPr="00E26731">
              <w:rPr>
                <w:bCs/>
                <w:sz w:val="18"/>
                <w:szCs w:val="18"/>
              </w:rPr>
              <w:t>5%</w:t>
            </w:r>
          </w:p>
        </w:tc>
        <w:tc>
          <w:tcPr>
            <w:tcW w:w="989" w:type="dxa"/>
            <w:tcBorders>
              <w:left w:val="nil"/>
              <w:bottom w:val="nil"/>
              <w:right w:val="nil"/>
            </w:tcBorders>
          </w:tcPr>
          <w:p w14:paraId="3A49C1A1" w14:textId="77777777" w:rsidR="00B11BBB" w:rsidRPr="00E26731" w:rsidRDefault="00B11BBB" w:rsidP="00427787">
            <w:pPr>
              <w:rPr>
                <w:bCs/>
                <w:sz w:val="18"/>
                <w:szCs w:val="18"/>
              </w:rPr>
            </w:pPr>
            <w:r w:rsidRPr="00E26731">
              <w:rPr>
                <w:bCs/>
                <w:sz w:val="18"/>
                <w:szCs w:val="18"/>
              </w:rPr>
              <w:t>p-value</w:t>
            </w:r>
          </w:p>
        </w:tc>
        <w:tc>
          <w:tcPr>
            <w:tcW w:w="1064" w:type="dxa"/>
            <w:tcBorders>
              <w:left w:val="nil"/>
              <w:bottom w:val="nil"/>
              <w:right w:val="nil"/>
            </w:tcBorders>
          </w:tcPr>
          <w:p w14:paraId="3A9615D4" w14:textId="77777777" w:rsidR="00B11BBB" w:rsidRPr="00E26731" w:rsidRDefault="00B11BBB" w:rsidP="00427787">
            <w:pPr>
              <w:rPr>
                <w:bCs/>
                <w:sz w:val="18"/>
                <w:szCs w:val="18"/>
              </w:rPr>
            </w:pPr>
            <w:r w:rsidRPr="00E26731">
              <w:rPr>
                <w:bCs/>
                <w:sz w:val="18"/>
                <w:szCs w:val="18"/>
              </w:rPr>
              <w:t>ADF t-test</w:t>
            </w:r>
          </w:p>
        </w:tc>
        <w:tc>
          <w:tcPr>
            <w:tcW w:w="1063" w:type="dxa"/>
            <w:gridSpan w:val="2"/>
            <w:tcBorders>
              <w:left w:val="nil"/>
              <w:bottom w:val="nil"/>
              <w:right w:val="nil"/>
            </w:tcBorders>
          </w:tcPr>
          <w:p w14:paraId="2AD045C7" w14:textId="77777777" w:rsidR="00B11BBB" w:rsidRPr="00E26731" w:rsidRDefault="00B11BBB" w:rsidP="00427787">
            <w:pPr>
              <w:rPr>
                <w:bCs/>
                <w:sz w:val="18"/>
                <w:szCs w:val="18"/>
              </w:rPr>
            </w:pPr>
            <w:r w:rsidRPr="00E26731">
              <w:rPr>
                <w:bCs/>
                <w:sz w:val="18"/>
                <w:szCs w:val="18"/>
              </w:rPr>
              <w:t>5%</w:t>
            </w:r>
          </w:p>
        </w:tc>
        <w:tc>
          <w:tcPr>
            <w:tcW w:w="1258" w:type="dxa"/>
            <w:tcBorders>
              <w:left w:val="nil"/>
              <w:bottom w:val="nil"/>
              <w:right w:val="nil"/>
            </w:tcBorders>
          </w:tcPr>
          <w:p w14:paraId="13119C04" w14:textId="77777777" w:rsidR="00B11BBB" w:rsidRPr="00E26731" w:rsidRDefault="00B11BBB" w:rsidP="00427787">
            <w:pPr>
              <w:rPr>
                <w:bCs/>
                <w:sz w:val="18"/>
                <w:szCs w:val="18"/>
              </w:rPr>
            </w:pPr>
            <w:r w:rsidRPr="00E26731">
              <w:rPr>
                <w:bCs/>
                <w:sz w:val="18"/>
                <w:szCs w:val="18"/>
              </w:rPr>
              <w:t>p-value</w:t>
            </w:r>
          </w:p>
        </w:tc>
        <w:tc>
          <w:tcPr>
            <w:tcW w:w="1758" w:type="dxa"/>
            <w:gridSpan w:val="2"/>
            <w:tcBorders>
              <w:left w:val="nil"/>
              <w:bottom w:val="nil"/>
              <w:right w:val="nil"/>
            </w:tcBorders>
          </w:tcPr>
          <w:p w14:paraId="259B0C30" w14:textId="77777777" w:rsidR="00B11BBB" w:rsidRPr="00E26731" w:rsidRDefault="00B11BBB" w:rsidP="00427787">
            <w:pPr>
              <w:rPr>
                <w:bCs/>
                <w:sz w:val="18"/>
                <w:szCs w:val="18"/>
              </w:rPr>
            </w:pPr>
            <w:r w:rsidRPr="00E26731">
              <w:rPr>
                <w:bCs/>
                <w:sz w:val="18"/>
                <w:szCs w:val="18"/>
              </w:rPr>
              <w:t>Order Integration</w:t>
            </w:r>
          </w:p>
        </w:tc>
        <w:tc>
          <w:tcPr>
            <w:tcW w:w="1181" w:type="dxa"/>
            <w:gridSpan w:val="3"/>
            <w:tcBorders>
              <w:left w:val="nil"/>
              <w:bottom w:val="nil"/>
              <w:right w:val="nil"/>
            </w:tcBorders>
          </w:tcPr>
          <w:p w14:paraId="482F52E5" w14:textId="77777777" w:rsidR="00B11BBB" w:rsidRPr="00E26731" w:rsidRDefault="00B11BBB" w:rsidP="00427787">
            <w:pPr>
              <w:rPr>
                <w:bCs/>
                <w:sz w:val="18"/>
                <w:szCs w:val="18"/>
              </w:rPr>
            </w:pPr>
            <w:r w:rsidRPr="00E26731">
              <w:rPr>
                <w:bCs/>
                <w:sz w:val="18"/>
                <w:szCs w:val="18"/>
              </w:rPr>
              <w:t>Stationary</w:t>
            </w:r>
          </w:p>
        </w:tc>
      </w:tr>
      <w:tr w:rsidR="00D04801" w:rsidRPr="00E26731" w14:paraId="6A83EF0E" w14:textId="77777777" w:rsidTr="003E7DA7">
        <w:tc>
          <w:tcPr>
            <w:tcW w:w="984" w:type="dxa"/>
            <w:tcBorders>
              <w:top w:val="nil"/>
              <w:left w:val="nil"/>
              <w:bottom w:val="nil"/>
              <w:right w:val="nil"/>
            </w:tcBorders>
          </w:tcPr>
          <w:p w14:paraId="48748C5C" w14:textId="0CDF03CD" w:rsidR="00D04801" w:rsidRPr="00E26731" w:rsidRDefault="00D04801" w:rsidP="00D04801">
            <w:pPr>
              <w:rPr>
                <w:bCs/>
                <w:sz w:val="18"/>
                <w:szCs w:val="18"/>
              </w:rPr>
            </w:pPr>
            <w:r>
              <w:rPr>
                <w:bCs/>
                <w:sz w:val="18"/>
                <w:szCs w:val="18"/>
              </w:rPr>
              <w:t>ROA</w:t>
            </w:r>
          </w:p>
        </w:tc>
        <w:tc>
          <w:tcPr>
            <w:tcW w:w="1153" w:type="dxa"/>
            <w:tcBorders>
              <w:top w:val="nil"/>
              <w:left w:val="nil"/>
              <w:bottom w:val="nil"/>
              <w:right w:val="nil"/>
            </w:tcBorders>
            <w:vAlign w:val="bottom"/>
          </w:tcPr>
          <w:p w14:paraId="3A3980D6" w14:textId="3374FEB5" w:rsidR="00D04801" w:rsidRPr="00E26731" w:rsidRDefault="00D04801" w:rsidP="00D04801">
            <w:pPr>
              <w:rPr>
                <w:bCs/>
                <w:sz w:val="18"/>
                <w:szCs w:val="18"/>
              </w:rPr>
            </w:pPr>
            <w:r w:rsidRPr="00D04801">
              <w:t>-3.904519</w:t>
            </w:r>
          </w:p>
        </w:tc>
        <w:tc>
          <w:tcPr>
            <w:tcW w:w="1038" w:type="dxa"/>
            <w:tcBorders>
              <w:top w:val="nil"/>
              <w:left w:val="nil"/>
              <w:bottom w:val="nil"/>
              <w:right w:val="nil"/>
            </w:tcBorders>
          </w:tcPr>
          <w:p w14:paraId="4B105C4C" w14:textId="3183872E" w:rsidR="00D04801" w:rsidRPr="00E26731" w:rsidRDefault="00D04801" w:rsidP="00D04801">
            <w:pPr>
              <w:rPr>
                <w:bCs/>
                <w:sz w:val="18"/>
                <w:szCs w:val="18"/>
              </w:rPr>
            </w:pPr>
            <w:r w:rsidRPr="00D04801">
              <w:t>-3.828975</w:t>
            </w:r>
          </w:p>
        </w:tc>
        <w:tc>
          <w:tcPr>
            <w:tcW w:w="989" w:type="dxa"/>
            <w:tcBorders>
              <w:top w:val="nil"/>
              <w:left w:val="nil"/>
              <w:bottom w:val="nil"/>
              <w:right w:val="nil"/>
            </w:tcBorders>
          </w:tcPr>
          <w:p w14:paraId="4DB19F2F" w14:textId="531E3B47" w:rsidR="00D04801" w:rsidRPr="00E26731" w:rsidRDefault="00D04801" w:rsidP="00D04801">
            <w:pPr>
              <w:rPr>
                <w:bCs/>
                <w:sz w:val="18"/>
                <w:szCs w:val="18"/>
              </w:rPr>
            </w:pPr>
            <w:r w:rsidRPr="00D04801">
              <w:t>0.0447</w:t>
            </w:r>
            <w:r>
              <w:t>***</w:t>
            </w:r>
          </w:p>
        </w:tc>
        <w:tc>
          <w:tcPr>
            <w:tcW w:w="1064" w:type="dxa"/>
            <w:tcBorders>
              <w:top w:val="nil"/>
              <w:left w:val="nil"/>
              <w:bottom w:val="nil"/>
              <w:right w:val="nil"/>
            </w:tcBorders>
          </w:tcPr>
          <w:p w14:paraId="3234A42B" w14:textId="58B62E66" w:rsidR="00D04801" w:rsidRPr="00E26731" w:rsidRDefault="00D04801" w:rsidP="00D04801">
            <w:pPr>
              <w:rPr>
                <w:bCs/>
                <w:sz w:val="18"/>
                <w:szCs w:val="18"/>
              </w:rPr>
            </w:pPr>
          </w:p>
        </w:tc>
        <w:tc>
          <w:tcPr>
            <w:tcW w:w="1063" w:type="dxa"/>
            <w:gridSpan w:val="2"/>
            <w:tcBorders>
              <w:top w:val="nil"/>
              <w:left w:val="nil"/>
              <w:bottom w:val="nil"/>
              <w:right w:val="nil"/>
            </w:tcBorders>
          </w:tcPr>
          <w:p w14:paraId="288AD426" w14:textId="3CE56BEB" w:rsidR="00D04801" w:rsidRPr="00E26731" w:rsidRDefault="00D04801" w:rsidP="00D04801">
            <w:pPr>
              <w:rPr>
                <w:bCs/>
                <w:sz w:val="18"/>
                <w:szCs w:val="18"/>
              </w:rPr>
            </w:pPr>
          </w:p>
        </w:tc>
        <w:tc>
          <w:tcPr>
            <w:tcW w:w="1258" w:type="dxa"/>
            <w:tcBorders>
              <w:top w:val="nil"/>
              <w:left w:val="nil"/>
              <w:bottom w:val="nil"/>
              <w:right w:val="nil"/>
            </w:tcBorders>
          </w:tcPr>
          <w:p w14:paraId="70F97711" w14:textId="6F64BA67" w:rsidR="00D04801" w:rsidRPr="00E26731" w:rsidRDefault="00D04801" w:rsidP="00D04801">
            <w:pPr>
              <w:rPr>
                <w:bCs/>
                <w:sz w:val="18"/>
                <w:szCs w:val="18"/>
              </w:rPr>
            </w:pPr>
          </w:p>
        </w:tc>
        <w:tc>
          <w:tcPr>
            <w:tcW w:w="1780" w:type="dxa"/>
            <w:gridSpan w:val="3"/>
            <w:tcBorders>
              <w:top w:val="nil"/>
              <w:left w:val="nil"/>
              <w:bottom w:val="nil"/>
              <w:right w:val="nil"/>
            </w:tcBorders>
          </w:tcPr>
          <w:p w14:paraId="2D59A909" w14:textId="129781BA" w:rsidR="00D04801" w:rsidRPr="00E26731" w:rsidRDefault="00D04801" w:rsidP="00D04801">
            <w:pPr>
              <w:rPr>
                <w:bCs/>
                <w:sz w:val="18"/>
                <w:szCs w:val="18"/>
              </w:rPr>
            </w:pPr>
            <w:r w:rsidRPr="00E26731">
              <w:rPr>
                <w:bCs/>
                <w:sz w:val="18"/>
                <w:szCs w:val="18"/>
              </w:rPr>
              <w:t>I(</w:t>
            </w:r>
            <w:r>
              <w:rPr>
                <w:bCs/>
                <w:sz w:val="18"/>
                <w:szCs w:val="18"/>
              </w:rPr>
              <w:t>0</w:t>
            </w:r>
            <w:r w:rsidRPr="00E26731">
              <w:rPr>
                <w:bCs/>
                <w:sz w:val="18"/>
                <w:szCs w:val="18"/>
              </w:rPr>
              <w:t xml:space="preserve">) </w:t>
            </w:r>
          </w:p>
        </w:tc>
        <w:tc>
          <w:tcPr>
            <w:tcW w:w="1178" w:type="dxa"/>
            <w:gridSpan w:val="3"/>
            <w:tcBorders>
              <w:top w:val="nil"/>
              <w:left w:val="nil"/>
              <w:bottom w:val="nil"/>
              <w:right w:val="nil"/>
            </w:tcBorders>
          </w:tcPr>
          <w:p w14:paraId="63B67A6F" w14:textId="77777777" w:rsidR="00D04801" w:rsidRPr="00E26731" w:rsidRDefault="00D04801" w:rsidP="00D04801">
            <w:pPr>
              <w:rPr>
                <w:bCs/>
                <w:sz w:val="18"/>
                <w:szCs w:val="18"/>
              </w:rPr>
            </w:pPr>
            <w:r w:rsidRPr="00E26731">
              <w:rPr>
                <w:bCs/>
                <w:sz w:val="18"/>
                <w:szCs w:val="18"/>
              </w:rPr>
              <w:t>Stationary</w:t>
            </w:r>
          </w:p>
        </w:tc>
      </w:tr>
      <w:tr w:rsidR="00D04801" w:rsidRPr="00E26731" w14:paraId="622EDF92" w14:textId="77777777" w:rsidTr="00427787">
        <w:tc>
          <w:tcPr>
            <w:tcW w:w="984" w:type="dxa"/>
            <w:tcBorders>
              <w:top w:val="nil"/>
              <w:left w:val="nil"/>
              <w:bottom w:val="nil"/>
              <w:right w:val="nil"/>
            </w:tcBorders>
          </w:tcPr>
          <w:p w14:paraId="6276DA27" w14:textId="4C4BED20" w:rsidR="00D04801" w:rsidRPr="00E26731" w:rsidRDefault="00D04801" w:rsidP="00D04801">
            <w:pPr>
              <w:rPr>
                <w:bCs/>
                <w:sz w:val="18"/>
                <w:szCs w:val="18"/>
              </w:rPr>
            </w:pPr>
            <w:r>
              <w:rPr>
                <w:bCs/>
                <w:sz w:val="18"/>
                <w:szCs w:val="18"/>
              </w:rPr>
              <w:t>ATM</w:t>
            </w:r>
          </w:p>
        </w:tc>
        <w:tc>
          <w:tcPr>
            <w:tcW w:w="1153" w:type="dxa"/>
            <w:tcBorders>
              <w:top w:val="nil"/>
              <w:left w:val="nil"/>
              <w:bottom w:val="nil"/>
              <w:right w:val="nil"/>
            </w:tcBorders>
          </w:tcPr>
          <w:p w14:paraId="049C03DB" w14:textId="49B04F89" w:rsidR="00D04801" w:rsidRPr="00E26731" w:rsidRDefault="006E0253" w:rsidP="00D04801">
            <w:pPr>
              <w:rPr>
                <w:bCs/>
                <w:sz w:val="18"/>
                <w:szCs w:val="18"/>
              </w:rPr>
            </w:pPr>
            <w:r w:rsidRPr="006E0253">
              <w:t>-4.549548</w:t>
            </w:r>
          </w:p>
        </w:tc>
        <w:tc>
          <w:tcPr>
            <w:tcW w:w="1038" w:type="dxa"/>
            <w:tcBorders>
              <w:top w:val="nil"/>
              <w:left w:val="nil"/>
              <w:bottom w:val="nil"/>
              <w:right w:val="nil"/>
            </w:tcBorders>
          </w:tcPr>
          <w:p w14:paraId="704C9B6F" w14:textId="5B13CDE5" w:rsidR="00D04801" w:rsidRPr="00E26731" w:rsidRDefault="006E0253" w:rsidP="00D04801">
            <w:pPr>
              <w:rPr>
                <w:bCs/>
                <w:sz w:val="18"/>
                <w:szCs w:val="18"/>
              </w:rPr>
            </w:pPr>
            <w:r w:rsidRPr="006E0253">
              <w:t>-3.933364</w:t>
            </w:r>
          </w:p>
        </w:tc>
        <w:tc>
          <w:tcPr>
            <w:tcW w:w="989" w:type="dxa"/>
            <w:tcBorders>
              <w:top w:val="nil"/>
              <w:left w:val="nil"/>
              <w:bottom w:val="nil"/>
              <w:right w:val="nil"/>
            </w:tcBorders>
          </w:tcPr>
          <w:p w14:paraId="45F3D7FA" w14:textId="50723254" w:rsidR="00D04801" w:rsidRPr="00E26731" w:rsidRDefault="006E0253" w:rsidP="00D04801">
            <w:pPr>
              <w:rPr>
                <w:bCs/>
                <w:sz w:val="18"/>
                <w:szCs w:val="18"/>
              </w:rPr>
            </w:pPr>
            <w:r w:rsidRPr="006E0253">
              <w:t>0.0216</w:t>
            </w:r>
            <w:r>
              <w:t>***</w:t>
            </w:r>
          </w:p>
        </w:tc>
        <w:tc>
          <w:tcPr>
            <w:tcW w:w="1064" w:type="dxa"/>
            <w:tcBorders>
              <w:top w:val="nil"/>
              <w:left w:val="nil"/>
              <w:bottom w:val="nil"/>
              <w:right w:val="nil"/>
            </w:tcBorders>
          </w:tcPr>
          <w:p w14:paraId="36B165F7" w14:textId="2241B7B3" w:rsidR="00D04801" w:rsidRPr="00E26731" w:rsidRDefault="00D04801" w:rsidP="00D04801">
            <w:pPr>
              <w:rPr>
                <w:bCs/>
                <w:sz w:val="18"/>
                <w:szCs w:val="18"/>
              </w:rPr>
            </w:pPr>
          </w:p>
        </w:tc>
        <w:tc>
          <w:tcPr>
            <w:tcW w:w="1063" w:type="dxa"/>
            <w:gridSpan w:val="2"/>
            <w:tcBorders>
              <w:top w:val="nil"/>
              <w:left w:val="nil"/>
              <w:bottom w:val="nil"/>
              <w:right w:val="nil"/>
            </w:tcBorders>
          </w:tcPr>
          <w:p w14:paraId="4EA18DE5" w14:textId="44ADF5F4" w:rsidR="00D04801" w:rsidRPr="00E26731" w:rsidRDefault="00D04801" w:rsidP="00D04801">
            <w:pPr>
              <w:rPr>
                <w:bCs/>
                <w:sz w:val="18"/>
                <w:szCs w:val="18"/>
              </w:rPr>
            </w:pPr>
          </w:p>
        </w:tc>
        <w:tc>
          <w:tcPr>
            <w:tcW w:w="1258" w:type="dxa"/>
            <w:tcBorders>
              <w:top w:val="nil"/>
              <w:left w:val="nil"/>
              <w:bottom w:val="nil"/>
              <w:right w:val="nil"/>
            </w:tcBorders>
          </w:tcPr>
          <w:p w14:paraId="26CD69E0" w14:textId="18D34FE1" w:rsidR="00D04801" w:rsidRPr="00E26731" w:rsidRDefault="00D04801" w:rsidP="00D04801">
            <w:pPr>
              <w:rPr>
                <w:bCs/>
                <w:sz w:val="18"/>
                <w:szCs w:val="18"/>
              </w:rPr>
            </w:pPr>
          </w:p>
        </w:tc>
        <w:tc>
          <w:tcPr>
            <w:tcW w:w="1780" w:type="dxa"/>
            <w:gridSpan w:val="3"/>
            <w:tcBorders>
              <w:top w:val="nil"/>
              <w:left w:val="nil"/>
              <w:bottom w:val="nil"/>
              <w:right w:val="nil"/>
            </w:tcBorders>
          </w:tcPr>
          <w:p w14:paraId="31638E7E" w14:textId="4E66063C" w:rsidR="00D04801" w:rsidRPr="00E26731" w:rsidRDefault="00D04801" w:rsidP="00D04801">
            <w:pPr>
              <w:rPr>
                <w:bCs/>
                <w:sz w:val="18"/>
                <w:szCs w:val="18"/>
              </w:rPr>
            </w:pPr>
            <w:r w:rsidRPr="00E26731">
              <w:rPr>
                <w:bCs/>
                <w:sz w:val="18"/>
                <w:szCs w:val="18"/>
              </w:rPr>
              <w:t>I(</w:t>
            </w:r>
            <w:r w:rsidR="006E0253">
              <w:rPr>
                <w:bCs/>
                <w:sz w:val="18"/>
                <w:szCs w:val="18"/>
              </w:rPr>
              <w:t>0</w:t>
            </w:r>
            <w:r w:rsidRPr="00E26731">
              <w:rPr>
                <w:bCs/>
                <w:sz w:val="18"/>
                <w:szCs w:val="18"/>
              </w:rPr>
              <w:t>)</w:t>
            </w:r>
          </w:p>
        </w:tc>
        <w:tc>
          <w:tcPr>
            <w:tcW w:w="1178" w:type="dxa"/>
            <w:gridSpan w:val="3"/>
            <w:tcBorders>
              <w:top w:val="nil"/>
              <w:left w:val="nil"/>
              <w:bottom w:val="nil"/>
              <w:right w:val="nil"/>
            </w:tcBorders>
          </w:tcPr>
          <w:p w14:paraId="535E42A0" w14:textId="77777777" w:rsidR="00D04801" w:rsidRPr="00E26731" w:rsidRDefault="00D04801" w:rsidP="00D04801">
            <w:pPr>
              <w:rPr>
                <w:bCs/>
                <w:sz w:val="18"/>
                <w:szCs w:val="18"/>
              </w:rPr>
            </w:pPr>
            <w:r w:rsidRPr="00E26731">
              <w:rPr>
                <w:bCs/>
                <w:sz w:val="18"/>
                <w:szCs w:val="18"/>
              </w:rPr>
              <w:t>Stationary</w:t>
            </w:r>
          </w:p>
        </w:tc>
      </w:tr>
      <w:tr w:rsidR="00D04801" w:rsidRPr="00E26731" w14:paraId="6721EE96" w14:textId="77777777" w:rsidTr="00427787">
        <w:tc>
          <w:tcPr>
            <w:tcW w:w="984" w:type="dxa"/>
            <w:tcBorders>
              <w:top w:val="nil"/>
              <w:left w:val="nil"/>
              <w:bottom w:val="nil"/>
              <w:right w:val="nil"/>
            </w:tcBorders>
          </w:tcPr>
          <w:p w14:paraId="3B43D003" w14:textId="5CE1C3F7" w:rsidR="00D04801" w:rsidRPr="00E26731" w:rsidRDefault="00D04801" w:rsidP="00D04801">
            <w:pPr>
              <w:rPr>
                <w:bCs/>
                <w:sz w:val="18"/>
                <w:szCs w:val="18"/>
              </w:rPr>
            </w:pPr>
            <w:r>
              <w:rPr>
                <w:bCs/>
                <w:sz w:val="18"/>
                <w:szCs w:val="18"/>
              </w:rPr>
              <w:t>POS</w:t>
            </w:r>
          </w:p>
        </w:tc>
        <w:tc>
          <w:tcPr>
            <w:tcW w:w="1153" w:type="dxa"/>
            <w:tcBorders>
              <w:top w:val="nil"/>
              <w:left w:val="nil"/>
              <w:bottom w:val="nil"/>
              <w:right w:val="nil"/>
            </w:tcBorders>
          </w:tcPr>
          <w:p w14:paraId="338FD31D" w14:textId="09225E3C" w:rsidR="00D04801" w:rsidRPr="00E26731" w:rsidRDefault="00AD02F4" w:rsidP="00D04801">
            <w:pPr>
              <w:rPr>
                <w:bCs/>
                <w:sz w:val="18"/>
                <w:szCs w:val="18"/>
              </w:rPr>
            </w:pPr>
            <w:r w:rsidRPr="00AD02F4">
              <w:t>-2.857965</w:t>
            </w:r>
          </w:p>
        </w:tc>
        <w:tc>
          <w:tcPr>
            <w:tcW w:w="1038" w:type="dxa"/>
            <w:tcBorders>
              <w:top w:val="nil"/>
              <w:left w:val="nil"/>
              <w:bottom w:val="nil"/>
              <w:right w:val="nil"/>
            </w:tcBorders>
          </w:tcPr>
          <w:p w14:paraId="2FA2D913" w14:textId="073FC10A" w:rsidR="00D04801" w:rsidRPr="00E26731" w:rsidRDefault="00AD02F4" w:rsidP="00D04801">
            <w:pPr>
              <w:rPr>
                <w:bCs/>
                <w:sz w:val="18"/>
                <w:szCs w:val="18"/>
              </w:rPr>
            </w:pPr>
            <w:r w:rsidRPr="00AD02F4">
              <w:t>-3.828975</w:t>
            </w:r>
          </w:p>
        </w:tc>
        <w:tc>
          <w:tcPr>
            <w:tcW w:w="989" w:type="dxa"/>
            <w:tcBorders>
              <w:top w:val="nil"/>
              <w:left w:val="nil"/>
              <w:bottom w:val="nil"/>
              <w:right w:val="nil"/>
            </w:tcBorders>
          </w:tcPr>
          <w:p w14:paraId="156E8A11" w14:textId="59646A05" w:rsidR="00D04801" w:rsidRPr="00E26731" w:rsidRDefault="00AD02F4" w:rsidP="00D04801">
            <w:pPr>
              <w:rPr>
                <w:bCs/>
                <w:sz w:val="18"/>
                <w:szCs w:val="18"/>
              </w:rPr>
            </w:pPr>
            <w:r w:rsidRPr="00AD02F4">
              <w:t>0.2054</w:t>
            </w:r>
          </w:p>
        </w:tc>
        <w:tc>
          <w:tcPr>
            <w:tcW w:w="1064" w:type="dxa"/>
            <w:tcBorders>
              <w:top w:val="nil"/>
              <w:left w:val="nil"/>
              <w:bottom w:val="nil"/>
              <w:right w:val="nil"/>
            </w:tcBorders>
          </w:tcPr>
          <w:p w14:paraId="4CB371B0" w14:textId="3BDBCE84" w:rsidR="00D04801" w:rsidRPr="00E26731" w:rsidRDefault="001645FD" w:rsidP="00D04801">
            <w:pPr>
              <w:rPr>
                <w:bCs/>
                <w:sz w:val="18"/>
                <w:szCs w:val="18"/>
              </w:rPr>
            </w:pPr>
            <w:r w:rsidRPr="001645FD">
              <w:t>-7.008706</w:t>
            </w:r>
          </w:p>
        </w:tc>
        <w:tc>
          <w:tcPr>
            <w:tcW w:w="1063" w:type="dxa"/>
            <w:gridSpan w:val="2"/>
            <w:tcBorders>
              <w:top w:val="nil"/>
              <w:left w:val="nil"/>
              <w:bottom w:val="nil"/>
              <w:right w:val="nil"/>
            </w:tcBorders>
          </w:tcPr>
          <w:p w14:paraId="1B1D39AB" w14:textId="33741778" w:rsidR="00D04801" w:rsidRPr="00E26731" w:rsidRDefault="001645FD" w:rsidP="00D04801">
            <w:pPr>
              <w:rPr>
                <w:bCs/>
                <w:sz w:val="18"/>
                <w:szCs w:val="18"/>
              </w:rPr>
            </w:pPr>
            <w:r w:rsidRPr="001645FD">
              <w:t>-3.933364</w:t>
            </w:r>
          </w:p>
        </w:tc>
        <w:tc>
          <w:tcPr>
            <w:tcW w:w="1258" w:type="dxa"/>
            <w:tcBorders>
              <w:top w:val="nil"/>
              <w:left w:val="nil"/>
              <w:bottom w:val="nil"/>
              <w:right w:val="nil"/>
            </w:tcBorders>
          </w:tcPr>
          <w:p w14:paraId="4B3A0899" w14:textId="5FC878E1" w:rsidR="00D04801" w:rsidRPr="00E26731" w:rsidRDefault="001645FD" w:rsidP="00D04801">
            <w:pPr>
              <w:rPr>
                <w:bCs/>
                <w:sz w:val="18"/>
                <w:szCs w:val="18"/>
              </w:rPr>
            </w:pPr>
            <w:r w:rsidRPr="001645FD">
              <w:t>0.0010</w:t>
            </w:r>
            <w:r>
              <w:t>***</w:t>
            </w:r>
          </w:p>
        </w:tc>
        <w:tc>
          <w:tcPr>
            <w:tcW w:w="1780" w:type="dxa"/>
            <w:gridSpan w:val="3"/>
            <w:tcBorders>
              <w:top w:val="nil"/>
              <w:left w:val="nil"/>
              <w:bottom w:val="nil"/>
              <w:right w:val="nil"/>
            </w:tcBorders>
          </w:tcPr>
          <w:p w14:paraId="0C68A742" w14:textId="4E09F8BF" w:rsidR="00D04801" w:rsidRPr="00E26731" w:rsidRDefault="00D04801" w:rsidP="00D04801">
            <w:pPr>
              <w:rPr>
                <w:bCs/>
                <w:sz w:val="18"/>
                <w:szCs w:val="18"/>
              </w:rPr>
            </w:pPr>
            <w:r w:rsidRPr="00E26731">
              <w:rPr>
                <w:bCs/>
                <w:sz w:val="18"/>
                <w:szCs w:val="18"/>
              </w:rPr>
              <w:t>I(</w:t>
            </w:r>
            <w:r w:rsidR="001645FD">
              <w:rPr>
                <w:bCs/>
                <w:sz w:val="18"/>
                <w:szCs w:val="18"/>
              </w:rPr>
              <w:t>1</w:t>
            </w:r>
            <w:r w:rsidRPr="00E26731">
              <w:rPr>
                <w:bCs/>
                <w:sz w:val="18"/>
                <w:szCs w:val="18"/>
              </w:rPr>
              <w:t>)</w:t>
            </w:r>
          </w:p>
        </w:tc>
        <w:tc>
          <w:tcPr>
            <w:tcW w:w="1178" w:type="dxa"/>
            <w:gridSpan w:val="3"/>
            <w:tcBorders>
              <w:top w:val="nil"/>
              <w:left w:val="nil"/>
              <w:bottom w:val="nil"/>
              <w:right w:val="nil"/>
            </w:tcBorders>
          </w:tcPr>
          <w:p w14:paraId="25E54201" w14:textId="77777777" w:rsidR="00D04801" w:rsidRPr="00E26731" w:rsidRDefault="00D04801" w:rsidP="00D04801">
            <w:pPr>
              <w:rPr>
                <w:bCs/>
                <w:sz w:val="18"/>
                <w:szCs w:val="18"/>
              </w:rPr>
            </w:pPr>
            <w:r w:rsidRPr="00E26731">
              <w:rPr>
                <w:bCs/>
                <w:sz w:val="18"/>
                <w:szCs w:val="18"/>
              </w:rPr>
              <w:t>Stationary</w:t>
            </w:r>
          </w:p>
        </w:tc>
      </w:tr>
      <w:tr w:rsidR="00D04801" w:rsidRPr="00E26731" w14:paraId="4E06BFB4" w14:textId="77777777" w:rsidTr="00427787">
        <w:tc>
          <w:tcPr>
            <w:tcW w:w="984" w:type="dxa"/>
            <w:tcBorders>
              <w:top w:val="nil"/>
              <w:left w:val="nil"/>
              <w:bottom w:val="single" w:sz="4" w:space="0" w:color="auto"/>
              <w:right w:val="nil"/>
            </w:tcBorders>
          </w:tcPr>
          <w:p w14:paraId="43567CA3" w14:textId="6D79CC0B" w:rsidR="00D04801" w:rsidRPr="00E26731" w:rsidRDefault="00D04801" w:rsidP="00D04801">
            <w:pPr>
              <w:rPr>
                <w:bCs/>
                <w:sz w:val="18"/>
                <w:szCs w:val="18"/>
              </w:rPr>
            </w:pPr>
            <w:r>
              <w:rPr>
                <w:bCs/>
                <w:sz w:val="18"/>
                <w:szCs w:val="18"/>
              </w:rPr>
              <w:t>MB</w:t>
            </w:r>
          </w:p>
        </w:tc>
        <w:tc>
          <w:tcPr>
            <w:tcW w:w="1153" w:type="dxa"/>
            <w:tcBorders>
              <w:top w:val="nil"/>
              <w:left w:val="nil"/>
              <w:bottom w:val="single" w:sz="4" w:space="0" w:color="auto"/>
              <w:right w:val="nil"/>
            </w:tcBorders>
          </w:tcPr>
          <w:p w14:paraId="67F84531" w14:textId="03B7A836" w:rsidR="00D04801" w:rsidRPr="00E26731" w:rsidRDefault="001645FD" w:rsidP="00D04801">
            <w:pPr>
              <w:rPr>
                <w:sz w:val="18"/>
                <w:szCs w:val="18"/>
              </w:rPr>
            </w:pPr>
            <w:r w:rsidRPr="001645FD">
              <w:t>-3.457007</w:t>
            </w:r>
          </w:p>
        </w:tc>
        <w:tc>
          <w:tcPr>
            <w:tcW w:w="1038" w:type="dxa"/>
            <w:tcBorders>
              <w:top w:val="nil"/>
              <w:left w:val="nil"/>
              <w:bottom w:val="single" w:sz="4" w:space="0" w:color="auto"/>
              <w:right w:val="nil"/>
            </w:tcBorders>
          </w:tcPr>
          <w:p w14:paraId="3A8349AF" w14:textId="7BB0AEAD" w:rsidR="00D04801" w:rsidRPr="00E26731" w:rsidRDefault="001645FD" w:rsidP="00D04801">
            <w:pPr>
              <w:rPr>
                <w:sz w:val="18"/>
                <w:szCs w:val="18"/>
              </w:rPr>
            </w:pPr>
            <w:r w:rsidRPr="001645FD">
              <w:t>-3.828975</w:t>
            </w:r>
          </w:p>
        </w:tc>
        <w:tc>
          <w:tcPr>
            <w:tcW w:w="989" w:type="dxa"/>
            <w:tcBorders>
              <w:top w:val="nil"/>
              <w:left w:val="nil"/>
              <w:bottom w:val="single" w:sz="4" w:space="0" w:color="auto"/>
              <w:right w:val="nil"/>
            </w:tcBorders>
          </w:tcPr>
          <w:p w14:paraId="59AE9318" w14:textId="7BD6435E" w:rsidR="00D04801" w:rsidRPr="00E26731" w:rsidRDefault="001645FD" w:rsidP="00D04801">
            <w:pPr>
              <w:rPr>
                <w:rFonts w:ascii="Arial" w:hAnsi="Arial" w:cs="Arial"/>
                <w:color w:val="000000"/>
                <w:sz w:val="18"/>
                <w:szCs w:val="18"/>
              </w:rPr>
            </w:pPr>
            <w:r w:rsidRPr="001645FD">
              <w:t>0.0873</w:t>
            </w:r>
          </w:p>
        </w:tc>
        <w:tc>
          <w:tcPr>
            <w:tcW w:w="1064" w:type="dxa"/>
            <w:tcBorders>
              <w:top w:val="nil"/>
              <w:left w:val="nil"/>
              <w:bottom w:val="single" w:sz="4" w:space="0" w:color="auto"/>
              <w:right w:val="nil"/>
            </w:tcBorders>
          </w:tcPr>
          <w:p w14:paraId="194DD55D" w14:textId="76EE9B02" w:rsidR="00D04801" w:rsidRPr="00E26731" w:rsidRDefault="001645FD" w:rsidP="00D04801">
            <w:pPr>
              <w:rPr>
                <w:color w:val="000000"/>
                <w:sz w:val="18"/>
                <w:szCs w:val="18"/>
              </w:rPr>
            </w:pPr>
            <w:r w:rsidRPr="001645FD">
              <w:t>-5.233385</w:t>
            </w:r>
          </w:p>
        </w:tc>
        <w:tc>
          <w:tcPr>
            <w:tcW w:w="1063" w:type="dxa"/>
            <w:gridSpan w:val="2"/>
            <w:tcBorders>
              <w:top w:val="nil"/>
              <w:left w:val="nil"/>
              <w:bottom w:val="single" w:sz="4" w:space="0" w:color="auto"/>
              <w:right w:val="nil"/>
            </w:tcBorders>
          </w:tcPr>
          <w:p w14:paraId="59FF1BDD" w14:textId="5FEDDA94" w:rsidR="00D04801" w:rsidRPr="00E26731" w:rsidRDefault="001645FD" w:rsidP="00D04801">
            <w:pPr>
              <w:rPr>
                <w:color w:val="000000"/>
                <w:sz w:val="18"/>
                <w:szCs w:val="18"/>
              </w:rPr>
            </w:pPr>
            <w:r w:rsidRPr="001645FD">
              <w:t>-3.875302</w:t>
            </w:r>
          </w:p>
        </w:tc>
        <w:tc>
          <w:tcPr>
            <w:tcW w:w="1258" w:type="dxa"/>
            <w:tcBorders>
              <w:top w:val="nil"/>
              <w:left w:val="nil"/>
              <w:bottom w:val="single" w:sz="4" w:space="0" w:color="auto"/>
              <w:right w:val="nil"/>
            </w:tcBorders>
          </w:tcPr>
          <w:p w14:paraId="2ADCC747" w14:textId="0BC6BC8C" w:rsidR="00D04801" w:rsidRPr="00E26731" w:rsidRDefault="001645FD" w:rsidP="00D04801">
            <w:pPr>
              <w:rPr>
                <w:bCs/>
                <w:sz w:val="18"/>
                <w:szCs w:val="18"/>
              </w:rPr>
            </w:pPr>
            <w:r w:rsidRPr="001645FD">
              <w:t>0.0072</w:t>
            </w:r>
            <w:r w:rsidR="00D04801">
              <w:rPr>
                <w:bCs/>
                <w:sz w:val="18"/>
                <w:szCs w:val="18"/>
              </w:rPr>
              <w:t>***</w:t>
            </w:r>
          </w:p>
        </w:tc>
        <w:tc>
          <w:tcPr>
            <w:tcW w:w="1780" w:type="dxa"/>
            <w:gridSpan w:val="3"/>
            <w:tcBorders>
              <w:top w:val="nil"/>
              <w:left w:val="nil"/>
              <w:bottom w:val="single" w:sz="4" w:space="0" w:color="auto"/>
              <w:right w:val="nil"/>
            </w:tcBorders>
          </w:tcPr>
          <w:p w14:paraId="72D5A809" w14:textId="77777777" w:rsidR="00D04801" w:rsidRPr="00E26731" w:rsidRDefault="00D04801" w:rsidP="00D04801">
            <w:pPr>
              <w:rPr>
                <w:bCs/>
                <w:sz w:val="18"/>
                <w:szCs w:val="18"/>
              </w:rPr>
            </w:pPr>
            <w:r>
              <w:rPr>
                <w:bCs/>
                <w:sz w:val="18"/>
                <w:szCs w:val="18"/>
              </w:rPr>
              <w:t>I(1)</w:t>
            </w:r>
          </w:p>
        </w:tc>
        <w:tc>
          <w:tcPr>
            <w:tcW w:w="1178" w:type="dxa"/>
            <w:gridSpan w:val="3"/>
            <w:tcBorders>
              <w:top w:val="nil"/>
              <w:left w:val="nil"/>
              <w:bottom w:val="single" w:sz="4" w:space="0" w:color="auto"/>
              <w:right w:val="nil"/>
            </w:tcBorders>
          </w:tcPr>
          <w:p w14:paraId="099C58C9" w14:textId="77777777" w:rsidR="00D04801" w:rsidRPr="00E26731" w:rsidRDefault="00D04801" w:rsidP="00D04801">
            <w:pPr>
              <w:rPr>
                <w:bCs/>
                <w:sz w:val="18"/>
                <w:szCs w:val="18"/>
              </w:rPr>
            </w:pPr>
            <w:r>
              <w:rPr>
                <w:bCs/>
                <w:sz w:val="18"/>
                <w:szCs w:val="18"/>
              </w:rPr>
              <w:t>Stationary</w:t>
            </w:r>
          </w:p>
        </w:tc>
      </w:tr>
    </w:tbl>
    <w:p w14:paraId="20D5E025" w14:textId="5A1800D9" w:rsidR="005C7F01" w:rsidRDefault="00B11BBB" w:rsidP="00054B84">
      <w:pPr>
        <w:spacing w:line="480" w:lineRule="auto"/>
        <w:jc w:val="both"/>
      </w:pPr>
      <w:r w:rsidRPr="00EA25F8">
        <w:rPr>
          <w:b/>
          <w:color w:val="000000" w:themeColor="text1"/>
        </w:rPr>
        <w:t xml:space="preserve">Source: </w:t>
      </w:r>
      <w:r w:rsidRPr="00B11BBB">
        <w:rPr>
          <w:bCs/>
          <w:color w:val="000000" w:themeColor="text1"/>
        </w:rPr>
        <w:t>Author’s computation, 2025 using E-views 12 Version</w:t>
      </w:r>
    </w:p>
    <w:p w14:paraId="3A3F40C0" w14:textId="6C8F69B1" w:rsidR="00E773F4" w:rsidRPr="00E773F4" w:rsidRDefault="00E773F4" w:rsidP="004B0E9E">
      <w:pPr>
        <w:jc w:val="both"/>
      </w:pPr>
      <w:r w:rsidRPr="00E45D01">
        <w:t xml:space="preserve">The ADF results indicate mixed order of integration across the variables. ROA and ATM have ADF t-statistic (-3.904519 and -4.549548) that exceed their respective 5% critical values (-3.828975 and -3.933364), with p-values (0.0447 and 0.0216) below 0.05. Hence, H₀ (unit root) is rejected, confirming that ROA and ATM are stationary at level, </w:t>
      </w:r>
      <w:r w:rsidRPr="00054B84">
        <w:rPr>
          <w:i/>
          <w:iCs/>
        </w:rPr>
        <w:t>I</w:t>
      </w:r>
      <w:r w:rsidRPr="00E45D01">
        <w:t>(0).</w:t>
      </w:r>
      <w:r w:rsidR="00054B84">
        <w:t xml:space="preserve"> </w:t>
      </w:r>
      <w:r w:rsidRPr="00E45D01">
        <w:t>In contrast, POS and MB have ADF t-statistic (-2.857965 and -3.457007) that are lower than their 5% critical values (-3.828975 and -3.828975), with p-values (0.2054 and 0.0873) exceeding 0.05. Thus, H₀ is not rejected, indicating the presence of unit roots at level (non-stationarity).</w:t>
      </w:r>
      <w:r>
        <w:t xml:space="preserve"> </w:t>
      </w:r>
      <w:r w:rsidRPr="00E45D01">
        <w:t>However, after first differenc</w:t>
      </w:r>
      <w:r w:rsidR="00EF1412">
        <w:t>e</w:t>
      </w:r>
      <w:r w:rsidRPr="00E45D01">
        <w:t>, POS and MB bec</w:t>
      </w:r>
      <w:r w:rsidR="00EF1412">
        <w:t>a</w:t>
      </w:r>
      <w:r w:rsidRPr="00E45D01">
        <w:t>me stationary</w:t>
      </w:r>
      <w:r w:rsidR="00EF1412">
        <w:t xml:space="preserve"> as</w:t>
      </w:r>
      <w:r w:rsidRPr="00E45D01">
        <w:t xml:space="preserve"> their ADF t-statistic (-7.008706 and -5.233385) exceed the 5% critical values (-3.933364 and -3.875302), leading to rejection of H₀ and confirming stationarity at </w:t>
      </w:r>
      <w:r w:rsidRPr="00054B84">
        <w:rPr>
          <w:i/>
          <w:iCs/>
        </w:rPr>
        <w:t>I</w:t>
      </w:r>
      <w:r w:rsidRPr="00E45D01">
        <w:t>(1).</w:t>
      </w:r>
      <w:r>
        <w:t xml:space="preserve"> </w:t>
      </w:r>
      <w:r w:rsidRPr="00E45D01">
        <w:t xml:space="preserve">Overall, the dataset exhibits mixed </w:t>
      </w:r>
      <w:r w:rsidR="00EF1412">
        <w:t xml:space="preserve">order of </w:t>
      </w:r>
      <w:r w:rsidRPr="00E45D01">
        <w:t xml:space="preserve">integration, </w:t>
      </w:r>
      <w:r w:rsidRPr="00054B84">
        <w:rPr>
          <w:i/>
          <w:iCs/>
        </w:rPr>
        <w:t>I</w:t>
      </w:r>
      <w:r w:rsidRPr="00E45D01">
        <w:t xml:space="preserve">(0) and </w:t>
      </w:r>
      <w:r w:rsidRPr="00054B84">
        <w:rPr>
          <w:i/>
          <w:iCs/>
        </w:rPr>
        <w:t>I</w:t>
      </w:r>
      <w:r w:rsidRPr="00E45D01">
        <w:t>(1), which justifies the application of the ARDL modeling approach.</w:t>
      </w:r>
    </w:p>
    <w:p w14:paraId="2D43C87A" w14:textId="77777777" w:rsidR="004B0E9E" w:rsidRDefault="004B0E9E" w:rsidP="006C6491">
      <w:pPr>
        <w:jc w:val="both"/>
        <w:rPr>
          <w:b/>
          <w:bCs/>
        </w:rPr>
      </w:pPr>
    </w:p>
    <w:p w14:paraId="17389819" w14:textId="77777777" w:rsidR="00432612" w:rsidRDefault="00432612" w:rsidP="006C6491">
      <w:pPr>
        <w:jc w:val="both"/>
        <w:rPr>
          <w:b/>
          <w:bCs/>
        </w:rPr>
      </w:pPr>
    </w:p>
    <w:p w14:paraId="4D9AB704" w14:textId="77777777" w:rsidR="00432612" w:rsidRDefault="00432612" w:rsidP="006C6491">
      <w:pPr>
        <w:jc w:val="both"/>
        <w:rPr>
          <w:b/>
          <w:bCs/>
        </w:rPr>
      </w:pPr>
    </w:p>
    <w:p w14:paraId="1FA9F906" w14:textId="77777777" w:rsidR="00432612" w:rsidRDefault="00432612" w:rsidP="006C6491">
      <w:pPr>
        <w:jc w:val="both"/>
        <w:rPr>
          <w:b/>
          <w:bCs/>
        </w:rPr>
      </w:pPr>
    </w:p>
    <w:p w14:paraId="45C9B36D" w14:textId="77777777" w:rsidR="003A5D57" w:rsidRDefault="003A5D57" w:rsidP="006C6491">
      <w:pPr>
        <w:jc w:val="both"/>
        <w:rPr>
          <w:b/>
          <w:bCs/>
        </w:rPr>
      </w:pPr>
    </w:p>
    <w:p w14:paraId="4A19AA10" w14:textId="77777777" w:rsidR="00EF1412" w:rsidRDefault="00EF1412" w:rsidP="006C6491">
      <w:pPr>
        <w:jc w:val="both"/>
        <w:rPr>
          <w:b/>
          <w:bCs/>
        </w:rPr>
      </w:pPr>
    </w:p>
    <w:p w14:paraId="3FB85A22" w14:textId="5912473D" w:rsidR="006C6491" w:rsidRPr="006C6491" w:rsidRDefault="006C6491" w:rsidP="006C6491">
      <w:pPr>
        <w:jc w:val="both"/>
      </w:pPr>
      <w:r w:rsidRPr="00303803">
        <w:rPr>
          <w:b/>
          <w:bCs/>
        </w:rPr>
        <w:t xml:space="preserve">Table 1. </w:t>
      </w:r>
      <w:r>
        <w:rPr>
          <w:b/>
          <w:bCs/>
        </w:rPr>
        <w:t>2</w:t>
      </w:r>
      <w:r w:rsidRPr="00303803">
        <w:rPr>
          <w:b/>
          <w:bCs/>
        </w:rPr>
        <w:t>: F-Bound Result</w:t>
      </w:r>
    </w:p>
    <w:tbl>
      <w:tblPr>
        <w:tblW w:w="0" w:type="auto"/>
        <w:tblInd w:w="3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227"/>
        <w:gridCol w:w="1103"/>
        <w:gridCol w:w="1207"/>
        <w:gridCol w:w="1208"/>
        <w:gridCol w:w="997"/>
      </w:tblGrid>
      <w:tr w:rsidR="006C6491" w:rsidRPr="006C6491" w14:paraId="4992A385" w14:textId="77777777" w:rsidTr="003E4DDD">
        <w:trPr>
          <w:trHeight w:val="225"/>
        </w:trPr>
        <w:tc>
          <w:tcPr>
            <w:tcW w:w="2227" w:type="dxa"/>
            <w:vAlign w:val="bottom"/>
          </w:tcPr>
          <w:p w14:paraId="1E66B101" w14:textId="77777777" w:rsidR="006C6491" w:rsidRPr="006C6491" w:rsidRDefault="006C6491" w:rsidP="003E4DDD">
            <w:pPr>
              <w:jc w:val="both"/>
              <w:rPr>
                <w:sz w:val="20"/>
                <w:szCs w:val="20"/>
              </w:rPr>
            </w:pPr>
            <w:r w:rsidRPr="006C6491">
              <w:rPr>
                <w:sz w:val="20"/>
                <w:szCs w:val="20"/>
              </w:rPr>
              <w:t>Test Statistic</w:t>
            </w:r>
          </w:p>
        </w:tc>
        <w:tc>
          <w:tcPr>
            <w:tcW w:w="1103" w:type="dxa"/>
            <w:vAlign w:val="bottom"/>
          </w:tcPr>
          <w:p w14:paraId="64A1475B" w14:textId="77777777" w:rsidR="006C6491" w:rsidRPr="006C6491" w:rsidRDefault="006C6491" w:rsidP="003E4DDD">
            <w:pPr>
              <w:jc w:val="both"/>
              <w:rPr>
                <w:sz w:val="20"/>
                <w:szCs w:val="20"/>
              </w:rPr>
            </w:pPr>
            <w:r w:rsidRPr="006C6491">
              <w:rPr>
                <w:sz w:val="20"/>
                <w:szCs w:val="20"/>
              </w:rPr>
              <w:t>Value</w:t>
            </w:r>
          </w:p>
        </w:tc>
        <w:tc>
          <w:tcPr>
            <w:tcW w:w="1207" w:type="dxa"/>
            <w:vAlign w:val="bottom"/>
          </w:tcPr>
          <w:p w14:paraId="1A3B5FA7" w14:textId="77777777" w:rsidR="006C6491" w:rsidRPr="006C6491" w:rsidRDefault="006C6491" w:rsidP="003E4DDD">
            <w:pPr>
              <w:jc w:val="both"/>
              <w:rPr>
                <w:sz w:val="20"/>
                <w:szCs w:val="20"/>
              </w:rPr>
            </w:pPr>
            <w:r w:rsidRPr="006C6491">
              <w:rPr>
                <w:sz w:val="20"/>
                <w:szCs w:val="20"/>
              </w:rPr>
              <w:t>Signif.</w:t>
            </w:r>
          </w:p>
        </w:tc>
        <w:tc>
          <w:tcPr>
            <w:tcW w:w="1208" w:type="dxa"/>
            <w:vAlign w:val="bottom"/>
          </w:tcPr>
          <w:p w14:paraId="72D14B3A" w14:textId="77777777" w:rsidR="006C6491" w:rsidRPr="006C6491" w:rsidRDefault="006C6491" w:rsidP="003E4DDD">
            <w:pPr>
              <w:jc w:val="both"/>
              <w:rPr>
                <w:sz w:val="20"/>
                <w:szCs w:val="20"/>
              </w:rPr>
            </w:pPr>
            <w:r w:rsidRPr="006C6491">
              <w:rPr>
                <w:sz w:val="20"/>
                <w:szCs w:val="20"/>
              </w:rPr>
              <w:t>I(0)</w:t>
            </w:r>
          </w:p>
        </w:tc>
        <w:tc>
          <w:tcPr>
            <w:tcW w:w="997" w:type="dxa"/>
            <w:vAlign w:val="bottom"/>
          </w:tcPr>
          <w:p w14:paraId="623FEDCC" w14:textId="77777777" w:rsidR="006C6491" w:rsidRPr="006C6491" w:rsidRDefault="006C6491" w:rsidP="003E4DDD">
            <w:pPr>
              <w:jc w:val="both"/>
              <w:rPr>
                <w:sz w:val="20"/>
                <w:szCs w:val="20"/>
              </w:rPr>
            </w:pPr>
            <w:r w:rsidRPr="006C6491">
              <w:rPr>
                <w:sz w:val="20"/>
                <w:szCs w:val="20"/>
              </w:rPr>
              <w:t>I(1)</w:t>
            </w:r>
          </w:p>
        </w:tc>
      </w:tr>
      <w:tr w:rsidR="006C6491" w:rsidRPr="006C6491" w14:paraId="467B92DD" w14:textId="77777777" w:rsidTr="003E4DDD">
        <w:trPr>
          <w:trHeight w:val="225"/>
        </w:trPr>
        <w:tc>
          <w:tcPr>
            <w:tcW w:w="2227" w:type="dxa"/>
            <w:vAlign w:val="bottom"/>
          </w:tcPr>
          <w:p w14:paraId="1997FB30" w14:textId="77777777" w:rsidR="006C6491" w:rsidRPr="006C6491" w:rsidRDefault="006C6491" w:rsidP="003E4DDD">
            <w:pPr>
              <w:jc w:val="both"/>
              <w:rPr>
                <w:sz w:val="20"/>
                <w:szCs w:val="20"/>
              </w:rPr>
            </w:pPr>
          </w:p>
        </w:tc>
        <w:tc>
          <w:tcPr>
            <w:tcW w:w="1103" w:type="dxa"/>
            <w:vAlign w:val="bottom"/>
          </w:tcPr>
          <w:p w14:paraId="768C1A0E" w14:textId="77777777" w:rsidR="006C6491" w:rsidRPr="006C6491" w:rsidRDefault="006C6491" w:rsidP="003E4DDD">
            <w:pPr>
              <w:jc w:val="both"/>
              <w:rPr>
                <w:sz w:val="20"/>
                <w:szCs w:val="20"/>
              </w:rPr>
            </w:pPr>
          </w:p>
        </w:tc>
        <w:tc>
          <w:tcPr>
            <w:tcW w:w="1207" w:type="dxa"/>
            <w:vAlign w:val="bottom"/>
          </w:tcPr>
          <w:p w14:paraId="77D07F12" w14:textId="77777777" w:rsidR="006C6491" w:rsidRPr="006C6491" w:rsidRDefault="006C6491" w:rsidP="003E4DDD">
            <w:pPr>
              <w:jc w:val="both"/>
              <w:rPr>
                <w:sz w:val="20"/>
                <w:szCs w:val="20"/>
              </w:rPr>
            </w:pPr>
          </w:p>
        </w:tc>
        <w:tc>
          <w:tcPr>
            <w:tcW w:w="1208" w:type="dxa"/>
            <w:vAlign w:val="bottom"/>
          </w:tcPr>
          <w:p w14:paraId="14A7DCA3" w14:textId="77777777" w:rsidR="006C6491" w:rsidRPr="006C6491" w:rsidRDefault="006C6491" w:rsidP="003E4DDD">
            <w:pPr>
              <w:jc w:val="both"/>
              <w:rPr>
                <w:sz w:val="20"/>
                <w:szCs w:val="20"/>
              </w:rPr>
            </w:pPr>
            <w:r w:rsidRPr="006C6491">
              <w:rPr>
                <w:sz w:val="20"/>
                <w:szCs w:val="20"/>
              </w:rPr>
              <w:t>Asymptotic: n=1000</w:t>
            </w:r>
          </w:p>
        </w:tc>
        <w:tc>
          <w:tcPr>
            <w:tcW w:w="997" w:type="dxa"/>
            <w:vAlign w:val="bottom"/>
          </w:tcPr>
          <w:p w14:paraId="06C81FE0" w14:textId="77777777" w:rsidR="006C6491" w:rsidRPr="006C6491" w:rsidRDefault="006C6491" w:rsidP="003E4DDD">
            <w:pPr>
              <w:jc w:val="both"/>
              <w:rPr>
                <w:sz w:val="20"/>
                <w:szCs w:val="20"/>
              </w:rPr>
            </w:pPr>
          </w:p>
        </w:tc>
      </w:tr>
      <w:tr w:rsidR="006C6491" w:rsidRPr="006C6491" w14:paraId="6570C33D" w14:textId="77777777" w:rsidTr="003E4DDD">
        <w:trPr>
          <w:trHeight w:val="225"/>
        </w:trPr>
        <w:tc>
          <w:tcPr>
            <w:tcW w:w="2227" w:type="dxa"/>
            <w:vAlign w:val="bottom"/>
          </w:tcPr>
          <w:p w14:paraId="0DBE14DC" w14:textId="77777777" w:rsidR="006C6491" w:rsidRPr="006C6491" w:rsidRDefault="006C6491" w:rsidP="003E4DDD">
            <w:pPr>
              <w:jc w:val="both"/>
              <w:rPr>
                <w:sz w:val="20"/>
                <w:szCs w:val="20"/>
              </w:rPr>
            </w:pPr>
            <w:r w:rsidRPr="006C6491">
              <w:rPr>
                <w:sz w:val="20"/>
                <w:szCs w:val="20"/>
              </w:rPr>
              <w:t>F-statistic</w:t>
            </w:r>
          </w:p>
        </w:tc>
        <w:tc>
          <w:tcPr>
            <w:tcW w:w="1103" w:type="dxa"/>
            <w:vAlign w:val="bottom"/>
          </w:tcPr>
          <w:p w14:paraId="5032F6F7" w14:textId="77777777" w:rsidR="006C6491" w:rsidRPr="006C6491" w:rsidRDefault="006C6491" w:rsidP="003E4DDD">
            <w:pPr>
              <w:jc w:val="both"/>
              <w:rPr>
                <w:sz w:val="20"/>
                <w:szCs w:val="20"/>
              </w:rPr>
            </w:pPr>
            <w:r w:rsidRPr="006C6491">
              <w:rPr>
                <w:sz w:val="20"/>
                <w:szCs w:val="20"/>
              </w:rPr>
              <w:t> 8.866885</w:t>
            </w:r>
          </w:p>
        </w:tc>
        <w:tc>
          <w:tcPr>
            <w:tcW w:w="1207" w:type="dxa"/>
            <w:vAlign w:val="bottom"/>
          </w:tcPr>
          <w:p w14:paraId="4E3940AA" w14:textId="77777777" w:rsidR="006C6491" w:rsidRPr="006C6491" w:rsidRDefault="006C6491" w:rsidP="003E4DDD">
            <w:pPr>
              <w:jc w:val="both"/>
              <w:rPr>
                <w:sz w:val="20"/>
                <w:szCs w:val="20"/>
              </w:rPr>
            </w:pPr>
            <w:r w:rsidRPr="006C6491">
              <w:rPr>
                <w:sz w:val="20"/>
                <w:szCs w:val="20"/>
              </w:rPr>
              <w:t>10%  </w:t>
            </w:r>
          </w:p>
        </w:tc>
        <w:tc>
          <w:tcPr>
            <w:tcW w:w="1208" w:type="dxa"/>
            <w:vAlign w:val="bottom"/>
          </w:tcPr>
          <w:p w14:paraId="057298EC" w14:textId="77777777" w:rsidR="006C6491" w:rsidRPr="006C6491" w:rsidRDefault="006C6491" w:rsidP="003E4DDD">
            <w:pPr>
              <w:jc w:val="both"/>
              <w:rPr>
                <w:sz w:val="20"/>
                <w:szCs w:val="20"/>
              </w:rPr>
            </w:pPr>
            <w:r w:rsidRPr="006C6491">
              <w:rPr>
                <w:sz w:val="20"/>
                <w:szCs w:val="20"/>
              </w:rPr>
              <w:t>3.47</w:t>
            </w:r>
          </w:p>
        </w:tc>
        <w:tc>
          <w:tcPr>
            <w:tcW w:w="997" w:type="dxa"/>
            <w:vAlign w:val="bottom"/>
          </w:tcPr>
          <w:p w14:paraId="18613D13" w14:textId="77777777" w:rsidR="006C6491" w:rsidRPr="006C6491" w:rsidRDefault="006C6491" w:rsidP="003E4DDD">
            <w:pPr>
              <w:jc w:val="both"/>
              <w:rPr>
                <w:sz w:val="20"/>
                <w:szCs w:val="20"/>
              </w:rPr>
            </w:pPr>
            <w:r w:rsidRPr="006C6491">
              <w:rPr>
                <w:sz w:val="20"/>
                <w:szCs w:val="20"/>
              </w:rPr>
              <w:t>4.45</w:t>
            </w:r>
          </w:p>
        </w:tc>
      </w:tr>
      <w:tr w:rsidR="006C6491" w:rsidRPr="006C6491" w14:paraId="20976B4C" w14:textId="77777777" w:rsidTr="003E4DDD">
        <w:trPr>
          <w:trHeight w:val="225"/>
        </w:trPr>
        <w:tc>
          <w:tcPr>
            <w:tcW w:w="2227" w:type="dxa"/>
            <w:vAlign w:val="bottom"/>
          </w:tcPr>
          <w:p w14:paraId="31FEE3FC" w14:textId="6710512E" w:rsidR="006C6491" w:rsidRPr="006C6491" w:rsidRDefault="008251F7" w:rsidP="003E4DDD">
            <w:pPr>
              <w:jc w:val="both"/>
              <w:rPr>
                <w:sz w:val="20"/>
                <w:szCs w:val="20"/>
              </w:rPr>
            </w:pPr>
            <w:r w:rsidRPr="006C6491">
              <w:rPr>
                <w:sz w:val="20"/>
                <w:szCs w:val="20"/>
              </w:rPr>
              <w:t>K</w:t>
            </w:r>
          </w:p>
        </w:tc>
        <w:tc>
          <w:tcPr>
            <w:tcW w:w="1103" w:type="dxa"/>
            <w:vAlign w:val="bottom"/>
          </w:tcPr>
          <w:p w14:paraId="1A7D18CF" w14:textId="77777777" w:rsidR="006C6491" w:rsidRPr="006C6491" w:rsidRDefault="006C6491" w:rsidP="003E4DDD">
            <w:pPr>
              <w:jc w:val="both"/>
              <w:rPr>
                <w:sz w:val="20"/>
                <w:szCs w:val="20"/>
              </w:rPr>
            </w:pPr>
            <w:r w:rsidRPr="006C6491">
              <w:rPr>
                <w:sz w:val="20"/>
                <w:szCs w:val="20"/>
              </w:rPr>
              <w:t>3</w:t>
            </w:r>
          </w:p>
        </w:tc>
        <w:tc>
          <w:tcPr>
            <w:tcW w:w="1207" w:type="dxa"/>
            <w:vAlign w:val="bottom"/>
          </w:tcPr>
          <w:p w14:paraId="4C2D8402" w14:textId="77777777" w:rsidR="006C6491" w:rsidRPr="006C6491" w:rsidRDefault="006C6491" w:rsidP="003E4DDD">
            <w:pPr>
              <w:jc w:val="both"/>
              <w:rPr>
                <w:sz w:val="20"/>
                <w:szCs w:val="20"/>
              </w:rPr>
            </w:pPr>
            <w:r w:rsidRPr="006C6491">
              <w:rPr>
                <w:sz w:val="20"/>
                <w:szCs w:val="20"/>
              </w:rPr>
              <w:t>5%  </w:t>
            </w:r>
          </w:p>
        </w:tc>
        <w:tc>
          <w:tcPr>
            <w:tcW w:w="1208" w:type="dxa"/>
            <w:vAlign w:val="bottom"/>
          </w:tcPr>
          <w:p w14:paraId="092E0D28" w14:textId="77777777" w:rsidR="006C6491" w:rsidRPr="006C6491" w:rsidRDefault="006C6491" w:rsidP="003E4DDD">
            <w:pPr>
              <w:jc w:val="both"/>
              <w:rPr>
                <w:sz w:val="20"/>
                <w:szCs w:val="20"/>
              </w:rPr>
            </w:pPr>
            <w:r w:rsidRPr="006C6491">
              <w:rPr>
                <w:sz w:val="20"/>
                <w:szCs w:val="20"/>
              </w:rPr>
              <w:t>4.01</w:t>
            </w:r>
          </w:p>
        </w:tc>
        <w:tc>
          <w:tcPr>
            <w:tcW w:w="997" w:type="dxa"/>
            <w:vAlign w:val="bottom"/>
          </w:tcPr>
          <w:p w14:paraId="46BB757F" w14:textId="77777777" w:rsidR="006C6491" w:rsidRPr="006C6491" w:rsidRDefault="006C6491" w:rsidP="003E4DDD">
            <w:pPr>
              <w:jc w:val="both"/>
              <w:rPr>
                <w:sz w:val="20"/>
                <w:szCs w:val="20"/>
              </w:rPr>
            </w:pPr>
            <w:r w:rsidRPr="006C6491">
              <w:rPr>
                <w:sz w:val="20"/>
                <w:szCs w:val="20"/>
              </w:rPr>
              <w:t>5.07</w:t>
            </w:r>
          </w:p>
        </w:tc>
      </w:tr>
      <w:tr w:rsidR="006C6491" w:rsidRPr="006C6491" w14:paraId="5CEDE38B" w14:textId="77777777" w:rsidTr="003E4DDD">
        <w:trPr>
          <w:trHeight w:val="225"/>
        </w:trPr>
        <w:tc>
          <w:tcPr>
            <w:tcW w:w="2227" w:type="dxa"/>
            <w:vAlign w:val="bottom"/>
          </w:tcPr>
          <w:p w14:paraId="6BFBF422" w14:textId="77777777" w:rsidR="006C6491" w:rsidRPr="006C6491" w:rsidRDefault="006C6491" w:rsidP="003E4DDD">
            <w:pPr>
              <w:jc w:val="both"/>
              <w:rPr>
                <w:sz w:val="20"/>
                <w:szCs w:val="20"/>
              </w:rPr>
            </w:pPr>
          </w:p>
        </w:tc>
        <w:tc>
          <w:tcPr>
            <w:tcW w:w="1103" w:type="dxa"/>
            <w:vAlign w:val="bottom"/>
          </w:tcPr>
          <w:p w14:paraId="3BD1BF07" w14:textId="77777777" w:rsidR="006C6491" w:rsidRPr="006C6491" w:rsidRDefault="006C6491" w:rsidP="003E4DDD">
            <w:pPr>
              <w:jc w:val="both"/>
              <w:rPr>
                <w:sz w:val="20"/>
                <w:szCs w:val="20"/>
              </w:rPr>
            </w:pPr>
          </w:p>
        </w:tc>
        <w:tc>
          <w:tcPr>
            <w:tcW w:w="1207" w:type="dxa"/>
            <w:vAlign w:val="bottom"/>
          </w:tcPr>
          <w:p w14:paraId="789A40FD" w14:textId="77777777" w:rsidR="006C6491" w:rsidRPr="006C6491" w:rsidRDefault="006C6491" w:rsidP="003E4DDD">
            <w:pPr>
              <w:jc w:val="both"/>
              <w:rPr>
                <w:sz w:val="20"/>
                <w:szCs w:val="20"/>
              </w:rPr>
            </w:pPr>
            <w:r w:rsidRPr="006C6491">
              <w:rPr>
                <w:sz w:val="20"/>
                <w:szCs w:val="20"/>
              </w:rPr>
              <w:t>2.5%  </w:t>
            </w:r>
          </w:p>
        </w:tc>
        <w:tc>
          <w:tcPr>
            <w:tcW w:w="1208" w:type="dxa"/>
            <w:vAlign w:val="bottom"/>
          </w:tcPr>
          <w:p w14:paraId="50BC14C2" w14:textId="77777777" w:rsidR="006C6491" w:rsidRPr="006C6491" w:rsidRDefault="006C6491" w:rsidP="003E4DDD">
            <w:pPr>
              <w:jc w:val="both"/>
              <w:rPr>
                <w:sz w:val="20"/>
                <w:szCs w:val="20"/>
              </w:rPr>
            </w:pPr>
            <w:r w:rsidRPr="006C6491">
              <w:rPr>
                <w:sz w:val="20"/>
                <w:szCs w:val="20"/>
              </w:rPr>
              <w:t>4.52</w:t>
            </w:r>
          </w:p>
        </w:tc>
        <w:tc>
          <w:tcPr>
            <w:tcW w:w="997" w:type="dxa"/>
            <w:vAlign w:val="bottom"/>
          </w:tcPr>
          <w:p w14:paraId="5A753137" w14:textId="77777777" w:rsidR="006C6491" w:rsidRPr="006C6491" w:rsidRDefault="006C6491" w:rsidP="003E4DDD">
            <w:pPr>
              <w:jc w:val="both"/>
              <w:rPr>
                <w:sz w:val="20"/>
                <w:szCs w:val="20"/>
              </w:rPr>
            </w:pPr>
            <w:r w:rsidRPr="006C6491">
              <w:rPr>
                <w:sz w:val="20"/>
                <w:szCs w:val="20"/>
              </w:rPr>
              <w:t>5.62</w:t>
            </w:r>
          </w:p>
        </w:tc>
      </w:tr>
      <w:tr w:rsidR="006C6491" w:rsidRPr="006C6491" w14:paraId="03F8A82C" w14:textId="77777777" w:rsidTr="003E4DDD">
        <w:trPr>
          <w:trHeight w:val="225"/>
        </w:trPr>
        <w:tc>
          <w:tcPr>
            <w:tcW w:w="2227" w:type="dxa"/>
            <w:vAlign w:val="bottom"/>
          </w:tcPr>
          <w:p w14:paraId="2D3F4029" w14:textId="77777777" w:rsidR="006C6491" w:rsidRPr="006C6491" w:rsidRDefault="006C6491" w:rsidP="003E4DDD">
            <w:pPr>
              <w:jc w:val="both"/>
              <w:rPr>
                <w:sz w:val="20"/>
                <w:szCs w:val="20"/>
              </w:rPr>
            </w:pPr>
          </w:p>
        </w:tc>
        <w:tc>
          <w:tcPr>
            <w:tcW w:w="1103" w:type="dxa"/>
            <w:vAlign w:val="bottom"/>
          </w:tcPr>
          <w:p w14:paraId="6E8D379D" w14:textId="77777777" w:rsidR="006C6491" w:rsidRPr="006C6491" w:rsidRDefault="006C6491" w:rsidP="003E4DDD">
            <w:pPr>
              <w:jc w:val="both"/>
              <w:rPr>
                <w:sz w:val="20"/>
                <w:szCs w:val="20"/>
              </w:rPr>
            </w:pPr>
          </w:p>
        </w:tc>
        <w:tc>
          <w:tcPr>
            <w:tcW w:w="1207" w:type="dxa"/>
            <w:vAlign w:val="bottom"/>
          </w:tcPr>
          <w:p w14:paraId="3A9B7041" w14:textId="77777777" w:rsidR="006C6491" w:rsidRPr="006C6491" w:rsidRDefault="006C6491" w:rsidP="003E4DDD">
            <w:pPr>
              <w:jc w:val="both"/>
              <w:rPr>
                <w:sz w:val="20"/>
                <w:szCs w:val="20"/>
              </w:rPr>
            </w:pPr>
            <w:r w:rsidRPr="006C6491">
              <w:rPr>
                <w:sz w:val="20"/>
                <w:szCs w:val="20"/>
              </w:rPr>
              <w:t>1%  </w:t>
            </w:r>
          </w:p>
        </w:tc>
        <w:tc>
          <w:tcPr>
            <w:tcW w:w="1208" w:type="dxa"/>
            <w:vAlign w:val="bottom"/>
          </w:tcPr>
          <w:p w14:paraId="782E4EF1" w14:textId="77777777" w:rsidR="006C6491" w:rsidRPr="006C6491" w:rsidRDefault="006C6491" w:rsidP="003E4DDD">
            <w:pPr>
              <w:jc w:val="both"/>
              <w:rPr>
                <w:sz w:val="20"/>
                <w:szCs w:val="20"/>
              </w:rPr>
            </w:pPr>
            <w:r w:rsidRPr="006C6491">
              <w:rPr>
                <w:sz w:val="20"/>
                <w:szCs w:val="20"/>
              </w:rPr>
              <w:t>5.17</w:t>
            </w:r>
          </w:p>
        </w:tc>
        <w:tc>
          <w:tcPr>
            <w:tcW w:w="997" w:type="dxa"/>
            <w:vAlign w:val="bottom"/>
          </w:tcPr>
          <w:p w14:paraId="239771E2" w14:textId="77777777" w:rsidR="006C6491" w:rsidRPr="006C6491" w:rsidRDefault="006C6491" w:rsidP="003E4DDD">
            <w:pPr>
              <w:jc w:val="both"/>
              <w:rPr>
                <w:sz w:val="20"/>
                <w:szCs w:val="20"/>
              </w:rPr>
            </w:pPr>
            <w:r w:rsidRPr="006C6491">
              <w:rPr>
                <w:sz w:val="20"/>
                <w:szCs w:val="20"/>
              </w:rPr>
              <w:t>6.36</w:t>
            </w:r>
          </w:p>
        </w:tc>
      </w:tr>
    </w:tbl>
    <w:p w14:paraId="755854E1" w14:textId="77777777" w:rsidR="006C6491" w:rsidRDefault="006C6491" w:rsidP="006C6491">
      <w:pPr>
        <w:jc w:val="both"/>
      </w:pPr>
      <w:r w:rsidRPr="00DF4B0A">
        <w:rPr>
          <w:b/>
          <w:bCs/>
        </w:rPr>
        <w:t>Source</w:t>
      </w:r>
      <w:r>
        <w:t>: Author’s Work Using Eviews 12 (2026)</w:t>
      </w:r>
    </w:p>
    <w:p w14:paraId="5EFFD474" w14:textId="77777777" w:rsidR="006C6491" w:rsidRDefault="006C6491" w:rsidP="002F410C">
      <w:pPr>
        <w:jc w:val="both"/>
      </w:pPr>
    </w:p>
    <w:p w14:paraId="50BA7664" w14:textId="1C652BDF" w:rsidR="00E773F4" w:rsidRPr="00E45D01" w:rsidRDefault="00E773F4" w:rsidP="00E773F4">
      <w:pPr>
        <w:jc w:val="both"/>
      </w:pPr>
      <w:r w:rsidRPr="00E45D01">
        <w:t xml:space="preserve">The </w:t>
      </w:r>
      <w:r w:rsidR="003A5D57">
        <w:t>F-</w:t>
      </w:r>
      <w:r w:rsidRPr="00E45D01">
        <w:t xml:space="preserve">bound test result shows an F-statistic of 8.866885, which exceeds both the lower bound </w:t>
      </w:r>
      <w:r w:rsidRPr="00054B84">
        <w:rPr>
          <w:i/>
          <w:iCs/>
        </w:rPr>
        <w:t>I</w:t>
      </w:r>
      <w:r w:rsidRPr="00E45D01">
        <w:t xml:space="preserve">(0) = 4.01 and upper bound </w:t>
      </w:r>
      <w:r w:rsidRPr="00054B84">
        <w:rPr>
          <w:i/>
          <w:iCs/>
        </w:rPr>
        <w:t>I</w:t>
      </w:r>
      <w:r w:rsidRPr="00E45D01">
        <w:t>(1) = 5.07 at the 5% level. Since the F-statistic is greater than both critical bounds, H₀ (no cointegration) is rejected. This confirms the presence of a long-run (cointegrating) relationship among the variables. Consequently, ECM</w:t>
      </w:r>
      <w:r w:rsidR="003A5D57">
        <w:t xml:space="preserve"> i</w:t>
      </w:r>
      <w:r w:rsidRPr="00E45D01">
        <w:t>s required to capture the short-run dynamics and adjust for deviations from long-run equilibrium.</w:t>
      </w:r>
    </w:p>
    <w:p w14:paraId="057410F0" w14:textId="77777777" w:rsidR="00E773F4" w:rsidRDefault="00E773F4" w:rsidP="00BE6D49">
      <w:pPr>
        <w:jc w:val="both"/>
      </w:pPr>
    </w:p>
    <w:p w14:paraId="3BFBCE25" w14:textId="4E7A2A40" w:rsidR="000A7115" w:rsidRDefault="00624764" w:rsidP="009047F7">
      <w:pPr>
        <w:jc w:val="both"/>
      </w:pPr>
      <w:r>
        <w:t>T</w:t>
      </w:r>
      <w:r w:rsidRPr="00EA7067">
        <w:t>able 1.3 ECM Result</w:t>
      </w:r>
    </w:p>
    <w:tbl>
      <w:tblPr>
        <w:tblW w:w="0" w:type="auto"/>
        <w:tblInd w:w="3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227"/>
        <w:gridCol w:w="1103"/>
        <w:gridCol w:w="1207"/>
        <w:gridCol w:w="1208"/>
        <w:gridCol w:w="997"/>
      </w:tblGrid>
      <w:tr w:rsidR="000A7115" w:rsidRPr="000A7115" w14:paraId="429AB184" w14:textId="77777777" w:rsidTr="00AE06FB">
        <w:trPr>
          <w:trHeight w:val="225"/>
        </w:trPr>
        <w:tc>
          <w:tcPr>
            <w:tcW w:w="2227" w:type="dxa"/>
            <w:vAlign w:val="bottom"/>
          </w:tcPr>
          <w:p w14:paraId="063A4A40" w14:textId="77777777" w:rsidR="000A7115" w:rsidRPr="000A7115" w:rsidRDefault="000A7115" w:rsidP="000A7115">
            <w:pPr>
              <w:jc w:val="both"/>
              <w:rPr>
                <w:sz w:val="20"/>
                <w:szCs w:val="20"/>
              </w:rPr>
            </w:pPr>
            <w:r w:rsidRPr="000A7115">
              <w:rPr>
                <w:sz w:val="20"/>
                <w:szCs w:val="20"/>
              </w:rPr>
              <w:t>Variable</w:t>
            </w:r>
          </w:p>
        </w:tc>
        <w:tc>
          <w:tcPr>
            <w:tcW w:w="1103" w:type="dxa"/>
            <w:vAlign w:val="bottom"/>
          </w:tcPr>
          <w:p w14:paraId="053F3CC4" w14:textId="77777777" w:rsidR="000A7115" w:rsidRPr="000A7115" w:rsidRDefault="000A7115" w:rsidP="000A7115">
            <w:pPr>
              <w:jc w:val="both"/>
              <w:rPr>
                <w:sz w:val="20"/>
                <w:szCs w:val="20"/>
              </w:rPr>
            </w:pPr>
            <w:r w:rsidRPr="000A7115">
              <w:rPr>
                <w:sz w:val="20"/>
                <w:szCs w:val="20"/>
              </w:rPr>
              <w:t>Coefficient</w:t>
            </w:r>
          </w:p>
        </w:tc>
        <w:tc>
          <w:tcPr>
            <w:tcW w:w="1207" w:type="dxa"/>
            <w:vAlign w:val="bottom"/>
          </w:tcPr>
          <w:p w14:paraId="660AD190" w14:textId="77777777" w:rsidR="000A7115" w:rsidRPr="000A7115" w:rsidRDefault="000A7115" w:rsidP="000A7115">
            <w:pPr>
              <w:jc w:val="both"/>
              <w:rPr>
                <w:sz w:val="20"/>
                <w:szCs w:val="20"/>
              </w:rPr>
            </w:pPr>
            <w:r w:rsidRPr="000A7115">
              <w:rPr>
                <w:sz w:val="20"/>
                <w:szCs w:val="20"/>
              </w:rPr>
              <w:t>Std. Error</w:t>
            </w:r>
          </w:p>
        </w:tc>
        <w:tc>
          <w:tcPr>
            <w:tcW w:w="1208" w:type="dxa"/>
            <w:vAlign w:val="bottom"/>
          </w:tcPr>
          <w:p w14:paraId="48168184" w14:textId="77777777" w:rsidR="000A7115" w:rsidRPr="000A7115" w:rsidRDefault="000A7115" w:rsidP="000A7115">
            <w:pPr>
              <w:jc w:val="both"/>
              <w:rPr>
                <w:sz w:val="20"/>
                <w:szCs w:val="20"/>
              </w:rPr>
            </w:pPr>
            <w:r w:rsidRPr="000A7115">
              <w:rPr>
                <w:sz w:val="20"/>
                <w:szCs w:val="20"/>
              </w:rPr>
              <w:t>t-Statistic</w:t>
            </w:r>
          </w:p>
        </w:tc>
        <w:tc>
          <w:tcPr>
            <w:tcW w:w="997" w:type="dxa"/>
            <w:vAlign w:val="bottom"/>
          </w:tcPr>
          <w:p w14:paraId="227376A1" w14:textId="77777777" w:rsidR="000A7115" w:rsidRPr="000A7115" w:rsidRDefault="000A7115" w:rsidP="000A7115">
            <w:pPr>
              <w:jc w:val="both"/>
              <w:rPr>
                <w:sz w:val="20"/>
                <w:szCs w:val="20"/>
              </w:rPr>
            </w:pPr>
            <w:r w:rsidRPr="000A7115">
              <w:rPr>
                <w:sz w:val="20"/>
                <w:szCs w:val="20"/>
              </w:rPr>
              <w:t>Prob.   </w:t>
            </w:r>
          </w:p>
        </w:tc>
      </w:tr>
      <w:tr w:rsidR="000A7115" w:rsidRPr="000A7115" w14:paraId="6BAACCCD" w14:textId="77777777" w:rsidTr="00AE06FB">
        <w:trPr>
          <w:trHeight w:val="225"/>
        </w:trPr>
        <w:tc>
          <w:tcPr>
            <w:tcW w:w="2227" w:type="dxa"/>
            <w:vAlign w:val="bottom"/>
          </w:tcPr>
          <w:p w14:paraId="5A068015" w14:textId="77777777" w:rsidR="000A7115" w:rsidRPr="000A7115" w:rsidRDefault="000A7115" w:rsidP="000A7115">
            <w:pPr>
              <w:jc w:val="both"/>
              <w:rPr>
                <w:sz w:val="20"/>
                <w:szCs w:val="20"/>
              </w:rPr>
            </w:pPr>
            <w:r w:rsidRPr="000A7115">
              <w:rPr>
                <w:sz w:val="20"/>
                <w:szCs w:val="20"/>
              </w:rPr>
              <w:t>C</w:t>
            </w:r>
          </w:p>
        </w:tc>
        <w:tc>
          <w:tcPr>
            <w:tcW w:w="1103" w:type="dxa"/>
            <w:vAlign w:val="bottom"/>
          </w:tcPr>
          <w:p w14:paraId="466C8A42" w14:textId="77777777" w:rsidR="000A7115" w:rsidRPr="000A7115" w:rsidRDefault="000A7115" w:rsidP="000A7115">
            <w:pPr>
              <w:jc w:val="both"/>
              <w:rPr>
                <w:sz w:val="20"/>
                <w:szCs w:val="20"/>
              </w:rPr>
            </w:pPr>
            <w:r w:rsidRPr="000A7115">
              <w:rPr>
                <w:sz w:val="20"/>
                <w:szCs w:val="20"/>
              </w:rPr>
              <w:t>-187208.7</w:t>
            </w:r>
          </w:p>
        </w:tc>
        <w:tc>
          <w:tcPr>
            <w:tcW w:w="1207" w:type="dxa"/>
            <w:vAlign w:val="bottom"/>
          </w:tcPr>
          <w:p w14:paraId="4D00DDA4" w14:textId="77777777" w:rsidR="000A7115" w:rsidRPr="000A7115" w:rsidRDefault="000A7115" w:rsidP="000A7115">
            <w:pPr>
              <w:jc w:val="both"/>
              <w:rPr>
                <w:sz w:val="20"/>
                <w:szCs w:val="20"/>
              </w:rPr>
            </w:pPr>
            <w:r w:rsidRPr="000A7115">
              <w:rPr>
                <w:sz w:val="20"/>
                <w:szCs w:val="20"/>
              </w:rPr>
              <w:t>25286.87</w:t>
            </w:r>
          </w:p>
        </w:tc>
        <w:tc>
          <w:tcPr>
            <w:tcW w:w="1208" w:type="dxa"/>
            <w:vAlign w:val="bottom"/>
          </w:tcPr>
          <w:p w14:paraId="3543CA59" w14:textId="77777777" w:rsidR="000A7115" w:rsidRPr="000A7115" w:rsidRDefault="000A7115" w:rsidP="000A7115">
            <w:pPr>
              <w:jc w:val="both"/>
              <w:rPr>
                <w:sz w:val="20"/>
                <w:szCs w:val="20"/>
              </w:rPr>
            </w:pPr>
            <w:r w:rsidRPr="000A7115">
              <w:rPr>
                <w:sz w:val="20"/>
                <w:szCs w:val="20"/>
              </w:rPr>
              <w:t>-7.403394</w:t>
            </w:r>
          </w:p>
        </w:tc>
        <w:tc>
          <w:tcPr>
            <w:tcW w:w="997" w:type="dxa"/>
            <w:vAlign w:val="bottom"/>
          </w:tcPr>
          <w:p w14:paraId="04B69625" w14:textId="77777777" w:rsidR="000A7115" w:rsidRPr="000A7115" w:rsidRDefault="000A7115" w:rsidP="000A7115">
            <w:pPr>
              <w:jc w:val="both"/>
              <w:rPr>
                <w:sz w:val="20"/>
                <w:szCs w:val="20"/>
              </w:rPr>
            </w:pPr>
            <w:r w:rsidRPr="000A7115">
              <w:rPr>
                <w:sz w:val="20"/>
                <w:szCs w:val="20"/>
              </w:rPr>
              <w:t>0.0051</w:t>
            </w:r>
          </w:p>
        </w:tc>
      </w:tr>
      <w:tr w:rsidR="000A7115" w:rsidRPr="000A7115" w14:paraId="4D863AAD" w14:textId="77777777" w:rsidTr="00AE06FB">
        <w:trPr>
          <w:trHeight w:val="225"/>
        </w:trPr>
        <w:tc>
          <w:tcPr>
            <w:tcW w:w="2227" w:type="dxa"/>
            <w:vAlign w:val="bottom"/>
          </w:tcPr>
          <w:p w14:paraId="127FB9A1" w14:textId="77777777" w:rsidR="000A7115" w:rsidRPr="000A7115" w:rsidRDefault="000A7115" w:rsidP="000A7115">
            <w:pPr>
              <w:jc w:val="both"/>
              <w:rPr>
                <w:sz w:val="20"/>
                <w:szCs w:val="20"/>
              </w:rPr>
            </w:pPr>
            <w:r w:rsidRPr="000A7115">
              <w:rPr>
                <w:sz w:val="20"/>
                <w:szCs w:val="20"/>
              </w:rPr>
              <w:t>@TREND</w:t>
            </w:r>
          </w:p>
        </w:tc>
        <w:tc>
          <w:tcPr>
            <w:tcW w:w="1103" w:type="dxa"/>
            <w:vAlign w:val="bottom"/>
          </w:tcPr>
          <w:p w14:paraId="4901115B" w14:textId="77777777" w:rsidR="000A7115" w:rsidRPr="000A7115" w:rsidRDefault="000A7115" w:rsidP="000A7115">
            <w:pPr>
              <w:jc w:val="both"/>
              <w:rPr>
                <w:sz w:val="20"/>
                <w:szCs w:val="20"/>
              </w:rPr>
            </w:pPr>
            <w:r w:rsidRPr="000A7115">
              <w:rPr>
                <w:sz w:val="20"/>
                <w:szCs w:val="20"/>
              </w:rPr>
              <w:t>13208.95</w:t>
            </w:r>
          </w:p>
        </w:tc>
        <w:tc>
          <w:tcPr>
            <w:tcW w:w="1207" w:type="dxa"/>
            <w:vAlign w:val="bottom"/>
          </w:tcPr>
          <w:p w14:paraId="4903AEEB" w14:textId="77777777" w:rsidR="000A7115" w:rsidRPr="000A7115" w:rsidRDefault="000A7115" w:rsidP="000A7115">
            <w:pPr>
              <w:jc w:val="both"/>
              <w:rPr>
                <w:sz w:val="20"/>
                <w:szCs w:val="20"/>
              </w:rPr>
            </w:pPr>
            <w:r w:rsidRPr="000A7115">
              <w:rPr>
                <w:sz w:val="20"/>
                <w:szCs w:val="20"/>
              </w:rPr>
              <w:t>4720.225</w:t>
            </w:r>
          </w:p>
        </w:tc>
        <w:tc>
          <w:tcPr>
            <w:tcW w:w="1208" w:type="dxa"/>
            <w:vAlign w:val="bottom"/>
          </w:tcPr>
          <w:p w14:paraId="2D5A4590" w14:textId="77777777" w:rsidR="000A7115" w:rsidRPr="000A7115" w:rsidRDefault="000A7115" w:rsidP="000A7115">
            <w:pPr>
              <w:jc w:val="both"/>
              <w:rPr>
                <w:sz w:val="20"/>
                <w:szCs w:val="20"/>
              </w:rPr>
            </w:pPr>
            <w:r w:rsidRPr="000A7115">
              <w:rPr>
                <w:sz w:val="20"/>
                <w:szCs w:val="20"/>
              </w:rPr>
              <w:t>2.798373</w:t>
            </w:r>
          </w:p>
        </w:tc>
        <w:tc>
          <w:tcPr>
            <w:tcW w:w="997" w:type="dxa"/>
            <w:vAlign w:val="bottom"/>
          </w:tcPr>
          <w:p w14:paraId="7B2B7722" w14:textId="77777777" w:rsidR="000A7115" w:rsidRPr="000A7115" w:rsidRDefault="000A7115" w:rsidP="000A7115">
            <w:pPr>
              <w:jc w:val="both"/>
              <w:rPr>
                <w:sz w:val="20"/>
                <w:szCs w:val="20"/>
              </w:rPr>
            </w:pPr>
            <w:r w:rsidRPr="000A7115">
              <w:rPr>
                <w:sz w:val="20"/>
                <w:szCs w:val="20"/>
              </w:rPr>
              <w:t>0.0679</w:t>
            </w:r>
          </w:p>
        </w:tc>
      </w:tr>
      <w:tr w:rsidR="000A7115" w:rsidRPr="000A7115" w14:paraId="0A60EA81" w14:textId="77777777" w:rsidTr="00AE06FB">
        <w:trPr>
          <w:trHeight w:val="225"/>
        </w:trPr>
        <w:tc>
          <w:tcPr>
            <w:tcW w:w="2227" w:type="dxa"/>
            <w:vAlign w:val="bottom"/>
          </w:tcPr>
          <w:p w14:paraId="3185EB45" w14:textId="77777777" w:rsidR="000A7115" w:rsidRPr="000A7115" w:rsidRDefault="000A7115" w:rsidP="000A7115">
            <w:pPr>
              <w:jc w:val="both"/>
              <w:rPr>
                <w:sz w:val="20"/>
                <w:szCs w:val="20"/>
              </w:rPr>
            </w:pPr>
            <w:r w:rsidRPr="000A7115">
              <w:rPr>
                <w:sz w:val="20"/>
                <w:szCs w:val="20"/>
              </w:rPr>
              <w:t>D(ATM)</w:t>
            </w:r>
          </w:p>
        </w:tc>
        <w:tc>
          <w:tcPr>
            <w:tcW w:w="1103" w:type="dxa"/>
            <w:vAlign w:val="bottom"/>
          </w:tcPr>
          <w:p w14:paraId="799F8989" w14:textId="77777777" w:rsidR="000A7115" w:rsidRPr="000A7115" w:rsidRDefault="000A7115" w:rsidP="000A7115">
            <w:pPr>
              <w:jc w:val="both"/>
              <w:rPr>
                <w:sz w:val="20"/>
                <w:szCs w:val="20"/>
              </w:rPr>
            </w:pPr>
            <w:r w:rsidRPr="000A7115">
              <w:rPr>
                <w:sz w:val="20"/>
                <w:szCs w:val="20"/>
              </w:rPr>
              <w:t>87.88804</w:t>
            </w:r>
          </w:p>
        </w:tc>
        <w:tc>
          <w:tcPr>
            <w:tcW w:w="1207" w:type="dxa"/>
            <w:vAlign w:val="bottom"/>
          </w:tcPr>
          <w:p w14:paraId="786C33F1" w14:textId="77777777" w:rsidR="000A7115" w:rsidRPr="000A7115" w:rsidRDefault="000A7115" w:rsidP="000A7115">
            <w:pPr>
              <w:jc w:val="both"/>
              <w:rPr>
                <w:sz w:val="20"/>
                <w:szCs w:val="20"/>
              </w:rPr>
            </w:pPr>
            <w:r w:rsidRPr="000A7115">
              <w:rPr>
                <w:sz w:val="20"/>
                <w:szCs w:val="20"/>
              </w:rPr>
              <w:t>3.439729</w:t>
            </w:r>
          </w:p>
        </w:tc>
        <w:tc>
          <w:tcPr>
            <w:tcW w:w="1208" w:type="dxa"/>
            <w:vAlign w:val="bottom"/>
          </w:tcPr>
          <w:p w14:paraId="6A11A965" w14:textId="77777777" w:rsidR="000A7115" w:rsidRPr="000A7115" w:rsidRDefault="000A7115" w:rsidP="000A7115">
            <w:pPr>
              <w:jc w:val="both"/>
              <w:rPr>
                <w:sz w:val="20"/>
                <w:szCs w:val="20"/>
              </w:rPr>
            </w:pPr>
            <w:r w:rsidRPr="000A7115">
              <w:rPr>
                <w:sz w:val="20"/>
                <w:szCs w:val="20"/>
              </w:rPr>
              <w:t>25.55086</w:t>
            </w:r>
          </w:p>
        </w:tc>
        <w:tc>
          <w:tcPr>
            <w:tcW w:w="997" w:type="dxa"/>
            <w:vAlign w:val="bottom"/>
          </w:tcPr>
          <w:p w14:paraId="429C89D8" w14:textId="77777777" w:rsidR="000A7115" w:rsidRPr="000A7115" w:rsidRDefault="000A7115" w:rsidP="000A7115">
            <w:pPr>
              <w:jc w:val="both"/>
              <w:rPr>
                <w:sz w:val="20"/>
                <w:szCs w:val="20"/>
              </w:rPr>
            </w:pPr>
            <w:r w:rsidRPr="000A7115">
              <w:rPr>
                <w:sz w:val="20"/>
                <w:szCs w:val="20"/>
              </w:rPr>
              <w:t>0.0001</w:t>
            </w:r>
          </w:p>
        </w:tc>
      </w:tr>
      <w:tr w:rsidR="000A7115" w:rsidRPr="000A7115" w14:paraId="5F87CA60" w14:textId="77777777" w:rsidTr="00AE06FB">
        <w:trPr>
          <w:trHeight w:val="225"/>
        </w:trPr>
        <w:tc>
          <w:tcPr>
            <w:tcW w:w="2227" w:type="dxa"/>
            <w:vAlign w:val="bottom"/>
          </w:tcPr>
          <w:p w14:paraId="431111D5" w14:textId="77777777" w:rsidR="000A7115" w:rsidRPr="000A7115" w:rsidRDefault="000A7115" w:rsidP="000A7115">
            <w:pPr>
              <w:jc w:val="both"/>
              <w:rPr>
                <w:sz w:val="20"/>
                <w:szCs w:val="20"/>
              </w:rPr>
            </w:pPr>
            <w:r w:rsidRPr="000A7115">
              <w:rPr>
                <w:sz w:val="20"/>
                <w:szCs w:val="20"/>
              </w:rPr>
              <w:t>D(POS)</w:t>
            </w:r>
          </w:p>
        </w:tc>
        <w:tc>
          <w:tcPr>
            <w:tcW w:w="1103" w:type="dxa"/>
            <w:vAlign w:val="bottom"/>
          </w:tcPr>
          <w:p w14:paraId="00E5F059" w14:textId="77777777" w:rsidR="000A7115" w:rsidRPr="000A7115" w:rsidRDefault="000A7115" w:rsidP="000A7115">
            <w:pPr>
              <w:jc w:val="both"/>
              <w:rPr>
                <w:sz w:val="20"/>
                <w:szCs w:val="20"/>
              </w:rPr>
            </w:pPr>
            <w:r w:rsidRPr="000A7115">
              <w:rPr>
                <w:sz w:val="20"/>
                <w:szCs w:val="20"/>
              </w:rPr>
              <w:t>2529.190</w:t>
            </w:r>
          </w:p>
        </w:tc>
        <w:tc>
          <w:tcPr>
            <w:tcW w:w="1207" w:type="dxa"/>
            <w:vAlign w:val="bottom"/>
          </w:tcPr>
          <w:p w14:paraId="10424341" w14:textId="77777777" w:rsidR="000A7115" w:rsidRPr="000A7115" w:rsidRDefault="000A7115" w:rsidP="000A7115">
            <w:pPr>
              <w:jc w:val="both"/>
              <w:rPr>
                <w:sz w:val="20"/>
                <w:szCs w:val="20"/>
              </w:rPr>
            </w:pPr>
            <w:r w:rsidRPr="000A7115">
              <w:rPr>
                <w:sz w:val="20"/>
                <w:szCs w:val="20"/>
              </w:rPr>
              <w:t>1492.972</w:t>
            </w:r>
          </w:p>
        </w:tc>
        <w:tc>
          <w:tcPr>
            <w:tcW w:w="1208" w:type="dxa"/>
            <w:vAlign w:val="bottom"/>
          </w:tcPr>
          <w:p w14:paraId="591ABB93" w14:textId="77777777" w:rsidR="000A7115" w:rsidRPr="000A7115" w:rsidRDefault="000A7115" w:rsidP="000A7115">
            <w:pPr>
              <w:jc w:val="both"/>
              <w:rPr>
                <w:sz w:val="20"/>
                <w:szCs w:val="20"/>
              </w:rPr>
            </w:pPr>
            <w:r w:rsidRPr="000A7115">
              <w:rPr>
                <w:sz w:val="20"/>
                <w:szCs w:val="20"/>
              </w:rPr>
              <w:t>1.694064</w:t>
            </w:r>
          </w:p>
        </w:tc>
        <w:tc>
          <w:tcPr>
            <w:tcW w:w="997" w:type="dxa"/>
            <w:vAlign w:val="bottom"/>
          </w:tcPr>
          <w:p w14:paraId="719AED20" w14:textId="77777777" w:rsidR="000A7115" w:rsidRPr="000A7115" w:rsidRDefault="000A7115" w:rsidP="000A7115">
            <w:pPr>
              <w:jc w:val="both"/>
              <w:rPr>
                <w:sz w:val="20"/>
                <w:szCs w:val="20"/>
              </w:rPr>
            </w:pPr>
            <w:r w:rsidRPr="000A7115">
              <w:rPr>
                <w:sz w:val="20"/>
                <w:szCs w:val="20"/>
              </w:rPr>
              <w:t>0.1888</w:t>
            </w:r>
          </w:p>
        </w:tc>
      </w:tr>
      <w:tr w:rsidR="000A7115" w:rsidRPr="000A7115" w14:paraId="0A373A8A" w14:textId="77777777" w:rsidTr="00AE06FB">
        <w:trPr>
          <w:trHeight w:val="225"/>
        </w:trPr>
        <w:tc>
          <w:tcPr>
            <w:tcW w:w="2227" w:type="dxa"/>
            <w:vAlign w:val="bottom"/>
          </w:tcPr>
          <w:p w14:paraId="776BB87C" w14:textId="77777777" w:rsidR="000A7115" w:rsidRPr="000A7115" w:rsidRDefault="000A7115" w:rsidP="000A7115">
            <w:pPr>
              <w:jc w:val="both"/>
              <w:rPr>
                <w:sz w:val="20"/>
                <w:szCs w:val="20"/>
              </w:rPr>
            </w:pPr>
            <w:r w:rsidRPr="000A7115">
              <w:rPr>
                <w:sz w:val="20"/>
                <w:szCs w:val="20"/>
              </w:rPr>
              <w:t>D(MB)</w:t>
            </w:r>
          </w:p>
        </w:tc>
        <w:tc>
          <w:tcPr>
            <w:tcW w:w="1103" w:type="dxa"/>
            <w:vAlign w:val="bottom"/>
          </w:tcPr>
          <w:p w14:paraId="7A9177A9" w14:textId="77777777" w:rsidR="000A7115" w:rsidRPr="000A7115" w:rsidRDefault="000A7115" w:rsidP="000A7115">
            <w:pPr>
              <w:jc w:val="both"/>
              <w:rPr>
                <w:sz w:val="20"/>
                <w:szCs w:val="20"/>
              </w:rPr>
            </w:pPr>
            <w:r w:rsidRPr="000A7115">
              <w:rPr>
                <w:sz w:val="20"/>
                <w:szCs w:val="20"/>
              </w:rPr>
              <w:t>0.051779</w:t>
            </w:r>
          </w:p>
        </w:tc>
        <w:tc>
          <w:tcPr>
            <w:tcW w:w="1207" w:type="dxa"/>
            <w:vAlign w:val="bottom"/>
          </w:tcPr>
          <w:p w14:paraId="39A89019" w14:textId="77777777" w:rsidR="000A7115" w:rsidRPr="000A7115" w:rsidRDefault="000A7115" w:rsidP="000A7115">
            <w:pPr>
              <w:jc w:val="both"/>
              <w:rPr>
                <w:sz w:val="20"/>
                <w:szCs w:val="20"/>
              </w:rPr>
            </w:pPr>
            <w:r w:rsidRPr="000A7115">
              <w:rPr>
                <w:sz w:val="20"/>
                <w:szCs w:val="20"/>
              </w:rPr>
              <w:t>0.000230</w:t>
            </w:r>
          </w:p>
        </w:tc>
        <w:tc>
          <w:tcPr>
            <w:tcW w:w="1208" w:type="dxa"/>
            <w:vAlign w:val="bottom"/>
          </w:tcPr>
          <w:p w14:paraId="12ACD2BF" w14:textId="77777777" w:rsidR="000A7115" w:rsidRPr="000A7115" w:rsidRDefault="000A7115" w:rsidP="000A7115">
            <w:pPr>
              <w:jc w:val="both"/>
              <w:rPr>
                <w:sz w:val="20"/>
                <w:szCs w:val="20"/>
              </w:rPr>
            </w:pPr>
            <w:r w:rsidRPr="000A7115">
              <w:rPr>
                <w:sz w:val="20"/>
                <w:szCs w:val="20"/>
              </w:rPr>
              <w:t>224.9618</w:t>
            </w:r>
          </w:p>
        </w:tc>
        <w:tc>
          <w:tcPr>
            <w:tcW w:w="997" w:type="dxa"/>
            <w:vAlign w:val="bottom"/>
          </w:tcPr>
          <w:p w14:paraId="0B1D9DB1" w14:textId="77777777" w:rsidR="000A7115" w:rsidRPr="000A7115" w:rsidRDefault="000A7115" w:rsidP="000A7115">
            <w:pPr>
              <w:jc w:val="both"/>
              <w:rPr>
                <w:sz w:val="20"/>
                <w:szCs w:val="20"/>
              </w:rPr>
            </w:pPr>
            <w:r w:rsidRPr="000A7115">
              <w:rPr>
                <w:sz w:val="20"/>
                <w:szCs w:val="20"/>
              </w:rPr>
              <w:t>0.0000</w:t>
            </w:r>
          </w:p>
        </w:tc>
      </w:tr>
      <w:tr w:rsidR="000A7115" w:rsidRPr="000A7115" w14:paraId="507F8078" w14:textId="77777777" w:rsidTr="00AE06FB">
        <w:trPr>
          <w:trHeight w:val="225"/>
        </w:trPr>
        <w:tc>
          <w:tcPr>
            <w:tcW w:w="2227" w:type="dxa"/>
            <w:vAlign w:val="bottom"/>
          </w:tcPr>
          <w:p w14:paraId="03CD6C32" w14:textId="77777777" w:rsidR="000A7115" w:rsidRPr="000A7115" w:rsidRDefault="000A7115" w:rsidP="000A7115">
            <w:pPr>
              <w:jc w:val="both"/>
              <w:rPr>
                <w:sz w:val="20"/>
                <w:szCs w:val="20"/>
              </w:rPr>
            </w:pPr>
            <w:r w:rsidRPr="000A7115">
              <w:rPr>
                <w:sz w:val="20"/>
                <w:szCs w:val="20"/>
              </w:rPr>
              <w:t>CointEq(-1)*</w:t>
            </w:r>
          </w:p>
        </w:tc>
        <w:tc>
          <w:tcPr>
            <w:tcW w:w="1103" w:type="dxa"/>
            <w:vAlign w:val="bottom"/>
          </w:tcPr>
          <w:p w14:paraId="7ABC6625" w14:textId="24C0A182" w:rsidR="000A7115" w:rsidRPr="000A7115" w:rsidRDefault="00B06635" w:rsidP="000A7115">
            <w:pPr>
              <w:jc w:val="both"/>
              <w:rPr>
                <w:sz w:val="20"/>
                <w:szCs w:val="20"/>
              </w:rPr>
            </w:pPr>
            <w:r>
              <w:rPr>
                <w:sz w:val="20"/>
                <w:szCs w:val="20"/>
              </w:rPr>
              <w:t>-</w:t>
            </w:r>
            <w:r w:rsidR="000A7115" w:rsidRPr="000A7115">
              <w:rPr>
                <w:sz w:val="20"/>
                <w:szCs w:val="20"/>
              </w:rPr>
              <w:t>0.237067</w:t>
            </w:r>
          </w:p>
        </w:tc>
        <w:tc>
          <w:tcPr>
            <w:tcW w:w="1207" w:type="dxa"/>
            <w:vAlign w:val="bottom"/>
          </w:tcPr>
          <w:p w14:paraId="28A78B2F" w14:textId="77777777" w:rsidR="000A7115" w:rsidRPr="000A7115" w:rsidRDefault="000A7115" w:rsidP="000A7115">
            <w:pPr>
              <w:jc w:val="both"/>
              <w:rPr>
                <w:sz w:val="20"/>
                <w:szCs w:val="20"/>
              </w:rPr>
            </w:pPr>
            <w:r w:rsidRPr="000A7115">
              <w:rPr>
                <w:sz w:val="20"/>
                <w:szCs w:val="20"/>
              </w:rPr>
              <w:t>0.028148</w:t>
            </w:r>
          </w:p>
        </w:tc>
        <w:tc>
          <w:tcPr>
            <w:tcW w:w="1208" w:type="dxa"/>
            <w:vAlign w:val="bottom"/>
          </w:tcPr>
          <w:p w14:paraId="3E9359B9" w14:textId="77777777" w:rsidR="000A7115" w:rsidRPr="000A7115" w:rsidRDefault="000A7115" w:rsidP="000A7115">
            <w:pPr>
              <w:jc w:val="both"/>
              <w:rPr>
                <w:sz w:val="20"/>
                <w:szCs w:val="20"/>
              </w:rPr>
            </w:pPr>
            <w:r w:rsidRPr="000A7115">
              <w:rPr>
                <w:sz w:val="20"/>
                <w:szCs w:val="20"/>
              </w:rPr>
              <w:t>8.422296</w:t>
            </w:r>
          </w:p>
        </w:tc>
        <w:tc>
          <w:tcPr>
            <w:tcW w:w="997" w:type="dxa"/>
            <w:vAlign w:val="bottom"/>
          </w:tcPr>
          <w:p w14:paraId="35E5EB45" w14:textId="77777777" w:rsidR="000A7115" w:rsidRPr="000A7115" w:rsidRDefault="000A7115" w:rsidP="000A7115">
            <w:pPr>
              <w:jc w:val="both"/>
              <w:rPr>
                <w:sz w:val="20"/>
                <w:szCs w:val="20"/>
              </w:rPr>
            </w:pPr>
            <w:r w:rsidRPr="000A7115">
              <w:rPr>
                <w:sz w:val="20"/>
                <w:szCs w:val="20"/>
              </w:rPr>
              <w:t>0.0035</w:t>
            </w:r>
          </w:p>
        </w:tc>
      </w:tr>
      <w:tr w:rsidR="000A7115" w:rsidRPr="00391D51" w14:paraId="7C35D3EA" w14:textId="77777777" w:rsidTr="00AE06FB">
        <w:trPr>
          <w:trHeight w:val="225"/>
        </w:trPr>
        <w:tc>
          <w:tcPr>
            <w:tcW w:w="2227" w:type="dxa"/>
            <w:vAlign w:val="bottom"/>
          </w:tcPr>
          <w:p w14:paraId="6D22098D" w14:textId="77777777" w:rsidR="000A7115" w:rsidRPr="000A7115" w:rsidRDefault="000A7115" w:rsidP="000A7115">
            <w:pPr>
              <w:jc w:val="both"/>
              <w:rPr>
                <w:sz w:val="20"/>
                <w:szCs w:val="20"/>
              </w:rPr>
            </w:pPr>
            <w:r w:rsidRPr="000A7115">
              <w:rPr>
                <w:sz w:val="20"/>
                <w:szCs w:val="20"/>
              </w:rPr>
              <w:t>R-squared</w:t>
            </w:r>
          </w:p>
        </w:tc>
        <w:tc>
          <w:tcPr>
            <w:tcW w:w="1103" w:type="dxa"/>
            <w:vAlign w:val="bottom"/>
          </w:tcPr>
          <w:p w14:paraId="4DD56706" w14:textId="77777777" w:rsidR="000A7115" w:rsidRPr="000A7115" w:rsidRDefault="000A7115" w:rsidP="000A7115">
            <w:pPr>
              <w:jc w:val="both"/>
              <w:rPr>
                <w:sz w:val="20"/>
                <w:szCs w:val="20"/>
              </w:rPr>
            </w:pPr>
            <w:r w:rsidRPr="000A7115">
              <w:rPr>
                <w:sz w:val="20"/>
                <w:szCs w:val="20"/>
              </w:rPr>
              <w:t>0.999946</w:t>
            </w:r>
          </w:p>
        </w:tc>
        <w:tc>
          <w:tcPr>
            <w:tcW w:w="2415" w:type="dxa"/>
            <w:gridSpan w:val="2"/>
            <w:vAlign w:val="bottom"/>
          </w:tcPr>
          <w:p w14:paraId="0EDE3450" w14:textId="77777777" w:rsidR="000A7115" w:rsidRPr="000A7115" w:rsidRDefault="000A7115" w:rsidP="000A7115">
            <w:pPr>
              <w:jc w:val="both"/>
              <w:rPr>
                <w:sz w:val="20"/>
                <w:szCs w:val="20"/>
              </w:rPr>
            </w:pPr>
            <w:r w:rsidRPr="000A7115">
              <w:rPr>
                <w:sz w:val="20"/>
                <w:szCs w:val="20"/>
              </w:rPr>
              <w:t>    Mean dependent var</w:t>
            </w:r>
          </w:p>
        </w:tc>
        <w:tc>
          <w:tcPr>
            <w:tcW w:w="997" w:type="dxa"/>
            <w:vAlign w:val="bottom"/>
          </w:tcPr>
          <w:p w14:paraId="23DD4F3E" w14:textId="77777777" w:rsidR="000A7115" w:rsidRPr="000A7115" w:rsidRDefault="000A7115" w:rsidP="000A7115">
            <w:pPr>
              <w:jc w:val="both"/>
              <w:rPr>
                <w:sz w:val="20"/>
                <w:szCs w:val="20"/>
              </w:rPr>
            </w:pPr>
            <w:r w:rsidRPr="000A7115">
              <w:rPr>
                <w:sz w:val="20"/>
                <w:szCs w:val="20"/>
              </w:rPr>
              <w:t>157683.5</w:t>
            </w:r>
          </w:p>
        </w:tc>
      </w:tr>
      <w:tr w:rsidR="000A7115" w:rsidRPr="00391D51" w14:paraId="6DA71938" w14:textId="77777777" w:rsidTr="00AE06FB">
        <w:trPr>
          <w:trHeight w:val="225"/>
        </w:trPr>
        <w:tc>
          <w:tcPr>
            <w:tcW w:w="2227" w:type="dxa"/>
            <w:vAlign w:val="bottom"/>
          </w:tcPr>
          <w:p w14:paraId="380FA268" w14:textId="77777777" w:rsidR="000A7115" w:rsidRPr="000A7115" w:rsidRDefault="000A7115" w:rsidP="000A7115">
            <w:pPr>
              <w:jc w:val="both"/>
              <w:rPr>
                <w:sz w:val="20"/>
                <w:szCs w:val="20"/>
              </w:rPr>
            </w:pPr>
            <w:r w:rsidRPr="000A7115">
              <w:rPr>
                <w:sz w:val="20"/>
                <w:szCs w:val="20"/>
              </w:rPr>
              <w:t>Adjusted R-squared</w:t>
            </w:r>
          </w:p>
        </w:tc>
        <w:tc>
          <w:tcPr>
            <w:tcW w:w="1103" w:type="dxa"/>
            <w:vAlign w:val="bottom"/>
          </w:tcPr>
          <w:p w14:paraId="4AD646EC" w14:textId="77777777" w:rsidR="000A7115" w:rsidRPr="000A7115" w:rsidRDefault="000A7115" w:rsidP="000A7115">
            <w:pPr>
              <w:jc w:val="both"/>
              <w:rPr>
                <w:sz w:val="20"/>
                <w:szCs w:val="20"/>
              </w:rPr>
            </w:pPr>
            <w:r w:rsidRPr="000A7115">
              <w:rPr>
                <w:sz w:val="20"/>
                <w:szCs w:val="20"/>
              </w:rPr>
              <w:t>0.999901</w:t>
            </w:r>
          </w:p>
        </w:tc>
        <w:tc>
          <w:tcPr>
            <w:tcW w:w="2415" w:type="dxa"/>
            <w:gridSpan w:val="2"/>
            <w:vAlign w:val="bottom"/>
          </w:tcPr>
          <w:p w14:paraId="196BAF18" w14:textId="77777777" w:rsidR="000A7115" w:rsidRPr="000A7115" w:rsidRDefault="000A7115" w:rsidP="000A7115">
            <w:pPr>
              <w:jc w:val="both"/>
              <w:rPr>
                <w:sz w:val="20"/>
                <w:szCs w:val="20"/>
              </w:rPr>
            </w:pPr>
            <w:r w:rsidRPr="000A7115">
              <w:rPr>
                <w:sz w:val="20"/>
                <w:szCs w:val="20"/>
              </w:rPr>
              <w:t>    S.D. dependent var</w:t>
            </w:r>
          </w:p>
        </w:tc>
        <w:tc>
          <w:tcPr>
            <w:tcW w:w="997" w:type="dxa"/>
            <w:vAlign w:val="bottom"/>
          </w:tcPr>
          <w:p w14:paraId="61329C68" w14:textId="77777777" w:rsidR="000A7115" w:rsidRPr="000A7115" w:rsidRDefault="000A7115" w:rsidP="000A7115">
            <w:pPr>
              <w:jc w:val="both"/>
              <w:rPr>
                <w:sz w:val="20"/>
                <w:szCs w:val="20"/>
              </w:rPr>
            </w:pPr>
            <w:r w:rsidRPr="000A7115">
              <w:rPr>
                <w:sz w:val="20"/>
                <w:szCs w:val="20"/>
              </w:rPr>
              <w:t>4039750.</w:t>
            </w:r>
          </w:p>
        </w:tc>
      </w:tr>
      <w:tr w:rsidR="000A7115" w:rsidRPr="00391D51" w14:paraId="5FDA9491" w14:textId="77777777" w:rsidTr="00AE06FB">
        <w:trPr>
          <w:trHeight w:val="225"/>
        </w:trPr>
        <w:tc>
          <w:tcPr>
            <w:tcW w:w="2227" w:type="dxa"/>
            <w:vAlign w:val="bottom"/>
          </w:tcPr>
          <w:p w14:paraId="3E7F7893" w14:textId="77777777" w:rsidR="000A7115" w:rsidRPr="000A7115" w:rsidRDefault="000A7115" w:rsidP="000A7115">
            <w:pPr>
              <w:jc w:val="both"/>
              <w:rPr>
                <w:sz w:val="20"/>
                <w:szCs w:val="20"/>
              </w:rPr>
            </w:pPr>
            <w:r w:rsidRPr="000A7115">
              <w:rPr>
                <w:sz w:val="20"/>
                <w:szCs w:val="20"/>
              </w:rPr>
              <w:t>S.E. of regression</w:t>
            </w:r>
          </w:p>
        </w:tc>
        <w:tc>
          <w:tcPr>
            <w:tcW w:w="1103" w:type="dxa"/>
            <w:vAlign w:val="bottom"/>
          </w:tcPr>
          <w:p w14:paraId="3B41635D" w14:textId="77777777" w:rsidR="000A7115" w:rsidRPr="000A7115" w:rsidRDefault="000A7115" w:rsidP="000A7115">
            <w:pPr>
              <w:jc w:val="both"/>
              <w:rPr>
                <w:sz w:val="20"/>
                <w:szCs w:val="20"/>
              </w:rPr>
            </w:pPr>
            <w:r w:rsidRPr="000A7115">
              <w:rPr>
                <w:sz w:val="20"/>
                <w:szCs w:val="20"/>
              </w:rPr>
              <w:t>40173.89</w:t>
            </w:r>
          </w:p>
        </w:tc>
        <w:tc>
          <w:tcPr>
            <w:tcW w:w="2415" w:type="dxa"/>
            <w:gridSpan w:val="2"/>
            <w:vAlign w:val="bottom"/>
          </w:tcPr>
          <w:p w14:paraId="568DB6F5" w14:textId="77777777" w:rsidR="000A7115" w:rsidRPr="000A7115" w:rsidRDefault="000A7115" w:rsidP="000A7115">
            <w:pPr>
              <w:jc w:val="both"/>
              <w:rPr>
                <w:sz w:val="20"/>
                <w:szCs w:val="20"/>
              </w:rPr>
            </w:pPr>
            <w:r w:rsidRPr="000A7115">
              <w:rPr>
                <w:sz w:val="20"/>
                <w:szCs w:val="20"/>
              </w:rPr>
              <w:t>    Akaike info criterion</w:t>
            </w:r>
          </w:p>
        </w:tc>
        <w:tc>
          <w:tcPr>
            <w:tcW w:w="997" w:type="dxa"/>
            <w:vAlign w:val="bottom"/>
          </w:tcPr>
          <w:p w14:paraId="383B8E9B" w14:textId="77777777" w:rsidR="000A7115" w:rsidRPr="000A7115" w:rsidRDefault="000A7115" w:rsidP="000A7115">
            <w:pPr>
              <w:jc w:val="both"/>
              <w:rPr>
                <w:sz w:val="20"/>
                <w:szCs w:val="20"/>
              </w:rPr>
            </w:pPr>
            <w:r w:rsidRPr="000A7115">
              <w:rPr>
                <w:sz w:val="20"/>
                <w:szCs w:val="20"/>
              </w:rPr>
              <w:t>24.34668</w:t>
            </w:r>
          </w:p>
        </w:tc>
      </w:tr>
      <w:tr w:rsidR="000A7115" w:rsidRPr="00391D51" w14:paraId="68D25978" w14:textId="77777777" w:rsidTr="00AE06FB">
        <w:trPr>
          <w:trHeight w:val="225"/>
        </w:trPr>
        <w:tc>
          <w:tcPr>
            <w:tcW w:w="2227" w:type="dxa"/>
            <w:vAlign w:val="bottom"/>
          </w:tcPr>
          <w:p w14:paraId="5F826AB9" w14:textId="77777777" w:rsidR="000A7115" w:rsidRPr="000A7115" w:rsidRDefault="000A7115" w:rsidP="000A7115">
            <w:pPr>
              <w:jc w:val="both"/>
              <w:rPr>
                <w:sz w:val="20"/>
                <w:szCs w:val="20"/>
              </w:rPr>
            </w:pPr>
            <w:r w:rsidRPr="000A7115">
              <w:rPr>
                <w:sz w:val="20"/>
                <w:szCs w:val="20"/>
              </w:rPr>
              <w:t>Sum squared resid</w:t>
            </w:r>
          </w:p>
        </w:tc>
        <w:tc>
          <w:tcPr>
            <w:tcW w:w="1103" w:type="dxa"/>
            <w:vAlign w:val="bottom"/>
          </w:tcPr>
          <w:p w14:paraId="29451233" w14:textId="77777777" w:rsidR="000A7115" w:rsidRPr="000A7115" w:rsidRDefault="000A7115" w:rsidP="000A7115">
            <w:pPr>
              <w:jc w:val="both"/>
              <w:rPr>
                <w:sz w:val="20"/>
                <w:szCs w:val="20"/>
              </w:rPr>
            </w:pPr>
            <w:r w:rsidRPr="000A7115">
              <w:rPr>
                <w:sz w:val="20"/>
                <w:szCs w:val="20"/>
              </w:rPr>
              <w:t>9.68E+09</w:t>
            </w:r>
          </w:p>
        </w:tc>
        <w:tc>
          <w:tcPr>
            <w:tcW w:w="2415" w:type="dxa"/>
            <w:gridSpan w:val="2"/>
            <w:vAlign w:val="bottom"/>
          </w:tcPr>
          <w:p w14:paraId="59D803F2" w14:textId="77777777" w:rsidR="000A7115" w:rsidRPr="000A7115" w:rsidRDefault="000A7115" w:rsidP="000A7115">
            <w:pPr>
              <w:jc w:val="both"/>
              <w:rPr>
                <w:sz w:val="20"/>
                <w:szCs w:val="20"/>
              </w:rPr>
            </w:pPr>
            <w:r w:rsidRPr="000A7115">
              <w:rPr>
                <w:sz w:val="20"/>
                <w:szCs w:val="20"/>
              </w:rPr>
              <w:t>    Schwarz criterion</w:t>
            </w:r>
          </w:p>
        </w:tc>
        <w:tc>
          <w:tcPr>
            <w:tcW w:w="997" w:type="dxa"/>
            <w:vAlign w:val="bottom"/>
          </w:tcPr>
          <w:p w14:paraId="08881D22" w14:textId="77777777" w:rsidR="000A7115" w:rsidRPr="000A7115" w:rsidRDefault="000A7115" w:rsidP="000A7115">
            <w:pPr>
              <w:jc w:val="both"/>
              <w:rPr>
                <w:sz w:val="20"/>
                <w:szCs w:val="20"/>
              </w:rPr>
            </w:pPr>
            <w:r w:rsidRPr="000A7115">
              <w:rPr>
                <w:sz w:val="20"/>
                <w:szCs w:val="20"/>
              </w:rPr>
              <w:t>24.58913</w:t>
            </w:r>
          </w:p>
        </w:tc>
      </w:tr>
      <w:tr w:rsidR="000A7115" w:rsidRPr="00391D51" w14:paraId="1E741A87" w14:textId="77777777" w:rsidTr="00AE06FB">
        <w:trPr>
          <w:trHeight w:val="225"/>
        </w:trPr>
        <w:tc>
          <w:tcPr>
            <w:tcW w:w="2227" w:type="dxa"/>
            <w:vAlign w:val="bottom"/>
          </w:tcPr>
          <w:p w14:paraId="68BF52AB" w14:textId="77777777" w:rsidR="000A7115" w:rsidRPr="000A7115" w:rsidRDefault="000A7115" w:rsidP="000A7115">
            <w:pPr>
              <w:jc w:val="both"/>
              <w:rPr>
                <w:sz w:val="20"/>
                <w:szCs w:val="20"/>
              </w:rPr>
            </w:pPr>
            <w:r w:rsidRPr="000A7115">
              <w:rPr>
                <w:sz w:val="20"/>
                <w:szCs w:val="20"/>
              </w:rPr>
              <w:t>Log likelihood</w:t>
            </w:r>
          </w:p>
        </w:tc>
        <w:tc>
          <w:tcPr>
            <w:tcW w:w="1103" w:type="dxa"/>
            <w:vAlign w:val="bottom"/>
          </w:tcPr>
          <w:p w14:paraId="0ED3508D" w14:textId="77777777" w:rsidR="000A7115" w:rsidRPr="000A7115" w:rsidRDefault="000A7115" w:rsidP="000A7115">
            <w:pPr>
              <w:jc w:val="both"/>
              <w:rPr>
                <w:sz w:val="20"/>
                <w:szCs w:val="20"/>
              </w:rPr>
            </w:pPr>
            <w:r w:rsidRPr="000A7115">
              <w:rPr>
                <w:sz w:val="20"/>
                <w:szCs w:val="20"/>
              </w:rPr>
              <w:t>-140.0801</w:t>
            </w:r>
          </w:p>
        </w:tc>
        <w:tc>
          <w:tcPr>
            <w:tcW w:w="2415" w:type="dxa"/>
            <w:gridSpan w:val="2"/>
            <w:vAlign w:val="bottom"/>
          </w:tcPr>
          <w:p w14:paraId="5BC5F050" w14:textId="77777777" w:rsidR="000A7115" w:rsidRPr="000A7115" w:rsidRDefault="000A7115" w:rsidP="000A7115">
            <w:pPr>
              <w:jc w:val="both"/>
              <w:rPr>
                <w:sz w:val="20"/>
                <w:szCs w:val="20"/>
              </w:rPr>
            </w:pPr>
            <w:r w:rsidRPr="000A7115">
              <w:rPr>
                <w:sz w:val="20"/>
                <w:szCs w:val="20"/>
              </w:rPr>
              <w:t>    Hannan-Quinn criter.</w:t>
            </w:r>
          </w:p>
        </w:tc>
        <w:tc>
          <w:tcPr>
            <w:tcW w:w="997" w:type="dxa"/>
            <w:vAlign w:val="bottom"/>
          </w:tcPr>
          <w:p w14:paraId="633C6178" w14:textId="77777777" w:rsidR="000A7115" w:rsidRPr="000A7115" w:rsidRDefault="000A7115" w:rsidP="000A7115">
            <w:pPr>
              <w:jc w:val="both"/>
              <w:rPr>
                <w:sz w:val="20"/>
                <w:szCs w:val="20"/>
              </w:rPr>
            </w:pPr>
            <w:r w:rsidRPr="000A7115">
              <w:rPr>
                <w:sz w:val="20"/>
                <w:szCs w:val="20"/>
              </w:rPr>
              <w:t>24.25691</w:t>
            </w:r>
          </w:p>
        </w:tc>
      </w:tr>
      <w:tr w:rsidR="000A7115" w:rsidRPr="00391D51" w14:paraId="688F15C4" w14:textId="77777777" w:rsidTr="00AE06FB">
        <w:trPr>
          <w:trHeight w:val="225"/>
        </w:trPr>
        <w:tc>
          <w:tcPr>
            <w:tcW w:w="2227" w:type="dxa"/>
            <w:vAlign w:val="bottom"/>
          </w:tcPr>
          <w:p w14:paraId="672A7007" w14:textId="77777777" w:rsidR="000A7115" w:rsidRPr="000A7115" w:rsidRDefault="000A7115" w:rsidP="000A7115">
            <w:pPr>
              <w:jc w:val="both"/>
              <w:rPr>
                <w:sz w:val="20"/>
                <w:szCs w:val="20"/>
              </w:rPr>
            </w:pPr>
            <w:r w:rsidRPr="000A7115">
              <w:rPr>
                <w:sz w:val="20"/>
                <w:szCs w:val="20"/>
              </w:rPr>
              <w:t>F-statistic</w:t>
            </w:r>
          </w:p>
        </w:tc>
        <w:tc>
          <w:tcPr>
            <w:tcW w:w="1103" w:type="dxa"/>
            <w:vAlign w:val="bottom"/>
          </w:tcPr>
          <w:p w14:paraId="6218A537" w14:textId="77777777" w:rsidR="000A7115" w:rsidRPr="000A7115" w:rsidRDefault="000A7115" w:rsidP="000A7115">
            <w:pPr>
              <w:jc w:val="both"/>
              <w:rPr>
                <w:sz w:val="20"/>
                <w:szCs w:val="20"/>
              </w:rPr>
            </w:pPr>
            <w:r w:rsidRPr="000A7115">
              <w:rPr>
                <w:sz w:val="20"/>
                <w:szCs w:val="20"/>
              </w:rPr>
              <w:t>22244.38</w:t>
            </w:r>
          </w:p>
        </w:tc>
        <w:tc>
          <w:tcPr>
            <w:tcW w:w="2415" w:type="dxa"/>
            <w:gridSpan w:val="2"/>
            <w:vAlign w:val="bottom"/>
          </w:tcPr>
          <w:p w14:paraId="668725AA" w14:textId="77777777" w:rsidR="000A7115" w:rsidRPr="000A7115" w:rsidRDefault="000A7115" w:rsidP="000A7115">
            <w:pPr>
              <w:jc w:val="both"/>
              <w:rPr>
                <w:sz w:val="20"/>
                <w:szCs w:val="20"/>
              </w:rPr>
            </w:pPr>
            <w:r w:rsidRPr="000A7115">
              <w:rPr>
                <w:sz w:val="20"/>
                <w:szCs w:val="20"/>
              </w:rPr>
              <w:t>    Durbin-Watson stat</w:t>
            </w:r>
          </w:p>
        </w:tc>
        <w:tc>
          <w:tcPr>
            <w:tcW w:w="997" w:type="dxa"/>
            <w:vAlign w:val="bottom"/>
          </w:tcPr>
          <w:p w14:paraId="0DF0C3AA" w14:textId="77777777" w:rsidR="000A7115" w:rsidRPr="000A7115" w:rsidRDefault="000A7115" w:rsidP="000A7115">
            <w:pPr>
              <w:jc w:val="both"/>
              <w:rPr>
                <w:sz w:val="20"/>
                <w:szCs w:val="20"/>
              </w:rPr>
            </w:pPr>
            <w:r w:rsidRPr="000A7115">
              <w:rPr>
                <w:sz w:val="20"/>
                <w:szCs w:val="20"/>
              </w:rPr>
              <w:t>1.803069</w:t>
            </w:r>
          </w:p>
        </w:tc>
      </w:tr>
      <w:tr w:rsidR="000A7115" w:rsidRPr="000A7115" w14:paraId="1961B61F" w14:textId="77777777" w:rsidTr="00AE06FB">
        <w:trPr>
          <w:trHeight w:val="225"/>
        </w:trPr>
        <w:tc>
          <w:tcPr>
            <w:tcW w:w="2227" w:type="dxa"/>
            <w:vAlign w:val="bottom"/>
          </w:tcPr>
          <w:p w14:paraId="5442E535" w14:textId="77777777" w:rsidR="000A7115" w:rsidRPr="000A7115" w:rsidRDefault="000A7115" w:rsidP="000A7115">
            <w:pPr>
              <w:jc w:val="both"/>
              <w:rPr>
                <w:sz w:val="20"/>
                <w:szCs w:val="20"/>
              </w:rPr>
            </w:pPr>
            <w:r w:rsidRPr="000A7115">
              <w:rPr>
                <w:sz w:val="20"/>
                <w:szCs w:val="20"/>
              </w:rPr>
              <w:t>Prob(F-statistic)</w:t>
            </w:r>
          </w:p>
        </w:tc>
        <w:tc>
          <w:tcPr>
            <w:tcW w:w="1103" w:type="dxa"/>
            <w:vAlign w:val="bottom"/>
          </w:tcPr>
          <w:p w14:paraId="255FF666" w14:textId="77777777" w:rsidR="000A7115" w:rsidRPr="000A7115" w:rsidRDefault="000A7115" w:rsidP="000A7115">
            <w:pPr>
              <w:jc w:val="both"/>
              <w:rPr>
                <w:sz w:val="20"/>
                <w:szCs w:val="20"/>
              </w:rPr>
            </w:pPr>
            <w:r w:rsidRPr="000A7115">
              <w:rPr>
                <w:sz w:val="20"/>
                <w:szCs w:val="20"/>
              </w:rPr>
              <w:t>0.000000</w:t>
            </w:r>
          </w:p>
        </w:tc>
        <w:tc>
          <w:tcPr>
            <w:tcW w:w="1207" w:type="dxa"/>
            <w:vAlign w:val="bottom"/>
          </w:tcPr>
          <w:p w14:paraId="6D7C8038" w14:textId="77777777" w:rsidR="000A7115" w:rsidRPr="000A7115" w:rsidRDefault="000A7115" w:rsidP="000A7115">
            <w:pPr>
              <w:jc w:val="both"/>
              <w:rPr>
                <w:sz w:val="20"/>
                <w:szCs w:val="20"/>
              </w:rPr>
            </w:pPr>
          </w:p>
        </w:tc>
        <w:tc>
          <w:tcPr>
            <w:tcW w:w="1208" w:type="dxa"/>
            <w:vAlign w:val="bottom"/>
          </w:tcPr>
          <w:p w14:paraId="5C4FC407" w14:textId="77777777" w:rsidR="000A7115" w:rsidRPr="000A7115" w:rsidRDefault="000A7115" w:rsidP="000A7115">
            <w:pPr>
              <w:jc w:val="both"/>
              <w:rPr>
                <w:sz w:val="20"/>
                <w:szCs w:val="20"/>
              </w:rPr>
            </w:pPr>
          </w:p>
        </w:tc>
        <w:tc>
          <w:tcPr>
            <w:tcW w:w="997" w:type="dxa"/>
            <w:vAlign w:val="bottom"/>
          </w:tcPr>
          <w:p w14:paraId="7B2018BB" w14:textId="77777777" w:rsidR="000A7115" w:rsidRPr="000A7115" w:rsidRDefault="000A7115" w:rsidP="000A7115">
            <w:pPr>
              <w:jc w:val="both"/>
              <w:rPr>
                <w:sz w:val="20"/>
                <w:szCs w:val="20"/>
              </w:rPr>
            </w:pPr>
          </w:p>
        </w:tc>
      </w:tr>
    </w:tbl>
    <w:p w14:paraId="2E3B0528" w14:textId="77777777" w:rsidR="00624764" w:rsidRDefault="00624764" w:rsidP="00624764">
      <w:pPr>
        <w:jc w:val="both"/>
      </w:pPr>
      <w:r w:rsidRPr="004237C7">
        <w:rPr>
          <w:b/>
          <w:bCs/>
        </w:rPr>
        <w:t>Source</w:t>
      </w:r>
      <w:r>
        <w:t>: Author’s work using Eviews 12 (2026)</w:t>
      </w:r>
    </w:p>
    <w:p w14:paraId="0E1F064A" w14:textId="444FAB74" w:rsidR="00C928FD" w:rsidRDefault="00C928FD" w:rsidP="00BE6D49">
      <w:pPr>
        <w:jc w:val="both"/>
      </w:pPr>
    </w:p>
    <w:p w14:paraId="510EB2F6" w14:textId="45532884" w:rsidR="00E773F4" w:rsidRPr="009C46FB" w:rsidRDefault="00E773F4" w:rsidP="00E773F4">
      <w:pPr>
        <w:spacing w:after="160" w:line="278" w:lineRule="auto"/>
        <w:jc w:val="both"/>
      </w:pPr>
      <w:r w:rsidRPr="009C46FB">
        <w:t xml:space="preserve">The estimates in Table 1.3 show that ATM has a positive coefficient (β = 87.88804), indicating that increased ATM usage enhances the performance of commercial banks in Nigeria. The effect is statistically significant, as the p-value (0.0001) is less than 0.05. Thus, H₀ is rejected, confirming that ATM is a significant positive determinant of ROA, consistent with </w:t>
      </w:r>
      <w:r w:rsidR="003A5D57">
        <w:t>the</w:t>
      </w:r>
      <w:r w:rsidRPr="009C46FB">
        <w:t xml:space="preserve"> </w:t>
      </w:r>
      <w:r w:rsidR="003A5D57">
        <w:t xml:space="preserve">a </w:t>
      </w:r>
      <w:r w:rsidRPr="009C46FB">
        <w:t>priori expectation.</w:t>
      </w:r>
    </w:p>
    <w:p w14:paraId="3BF479B5" w14:textId="77777777" w:rsidR="00E773F4" w:rsidRPr="009C46FB" w:rsidRDefault="00E773F4" w:rsidP="00E773F4">
      <w:pPr>
        <w:spacing w:after="160" w:line="278" w:lineRule="auto"/>
        <w:jc w:val="both"/>
      </w:pPr>
      <w:r w:rsidRPr="009C46FB">
        <w:t xml:space="preserve">POS also exhibits a positive coefficient (β = 2529.190), suggesting that greater POS penetration improves bank performance. However, its p-value (0.1888) exceeds 0.05, implying statistical insignificance. Therefore, H₀ is not rejected, indicating that POS does not have a significant </w:t>
      </w:r>
      <w:r>
        <w:t>impact</w:t>
      </w:r>
      <w:r w:rsidRPr="009C46FB">
        <w:t xml:space="preserve"> on ROA within the study period.</w:t>
      </w:r>
    </w:p>
    <w:p w14:paraId="2CEDF5A3" w14:textId="4B4511C1" w:rsidR="00E773F4" w:rsidRPr="009C46FB" w:rsidRDefault="00E773F4" w:rsidP="00E773F4">
      <w:pPr>
        <w:spacing w:after="160" w:line="278" w:lineRule="auto"/>
        <w:jc w:val="both"/>
      </w:pPr>
      <w:r w:rsidRPr="009C46FB">
        <w:lastRenderedPageBreak/>
        <w:t xml:space="preserve">MB shows a positive and statistically significant </w:t>
      </w:r>
      <w:r w:rsidR="003A5D57">
        <w:t>impact on the</w:t>
      </w:r>
      <w:r w:rsidRPr="009C46FB">
        <w:t xml:space="preserve"> performance</w:t>
      </w:r>
      <w:r w:rsidR="003A5D57">
        <w:t xml:space="preserve"> of commercial banks</w:t>
      </w:r>
      <w:r w:rsidRPr="009C46FB">
        <w:t>, with a coefficient (β = 0.051779) and p-value (0.0035) below 0.05. This supports the rejection of H₀ and confirms MB as a significant positive predictor of ROA, aligning with theoretical expectations.</w:t>
      </w:r>
    </w:p>
    <w:p w14:paraId="3FF542BC" w14:textId="5BD4CCA1" w:rsidR="00E773F4" w:rsidRPr="009C46FB" w:rsidRDefault="00E773F4" w:rsidP="00E773F4">
      <w:pPr>
        <w:spacing w:after="160" w:line="278" w:lineRule="auto"/>
        <w:jc w:val="both"/>
      </w:pPr>
      <w:r w:rsidRPr="009C46FB">
        <w:t xml:space="preserve">The error correction term (ECM = -0.23) is negative and correctly signed, indicating convergence toward long-run equilibrium. </w:t>
      </w:r>
      <w:r w:rsidR="003A5D57">
        <w:t xml:space="preserve"> This implies that about</w:t>
      </w:r>
      <w:r w:rsidRPr="009C46FB">
        <w:t xml:space="preserve"> 23% of short-run disequilibrium is corrected each period, suggesting a relatively moderate speed of adjustment</w:t>
      </w:r>
      <w:r w:rsidR="003A5D57">
        <w:t xml:space="preserve"> in the model</w:t>
      </w:r>
      <w:r w:rsidRPr="009C46FB">
        <w:t>.</w:t>
      </w:r>
    </w:p>
    <w:p w14:paraId="4773AFA5" w14:textId="2C820259" w:rsidR="00054B84" w:rsidRPr="00D81235" w:rsidRDefault="00E773F4" w:rsidP="00D81235">
      <w:pPr>
        <w:spacing w:after="160" w:line="278" w:lineRule="auto"/>
        <w:jc w:val="both"/>
      </w:pPr>
      <w:r w:rsidRPr="009C46FB">
        <w:t>The adjusted R² value (0.9999) indicates that 99.99% of the variation in bank performance is explained by ATM, POS, and MB, demonstrating strong explanatory power. Furthermore, the F-statistic p-value (0.000000) confirms that the model is jointly significant. Overall, the results suggest a well-fitted model with ATM and MB as key drivers of bank performance, while POS remains statistically insignificant despite its positive coefficient.</w:t>
      </w:r>
      <w:r w:rsidR="00B06635">
        <w:t xml:space="preserve">  </w:t>
      </w:r>
      <w:r w:rsidR="00D7466D">
        <w:t xml:space="preserve"> </w:t>
      </w:r>
    </w:p>
    <w:p w14:paraId="1DC6B430" w14:textId="6F310AAE" w:rsidR="00A62726" w:rsidRDefault="00A62726" w:rsidP="00A62726">
      <w:pPr>
        <w:jc w:val="both"/>
        <w:rPr>
          <w:b/>
          <w:bCs/>
        </w:rPr>
      </w:pPr>
      <w:r w:rsidRPr="00A62726">
        <w:rPr>
          <w:b/>
          <w:bCs/>
        </w:rPr>
        <w:t>Table 1.</w:t>
      </w:r>
      <w:r w:rsidR="00F00078">
        <w:rPr>
          <w:b/>
          <w:bCs/>
        </w:rPr>
        <w:t>4</w:t>
      </w:r>
      <w:r w:rsidRPr="00A62726">
        <w:rPr>
          <w:b/>
          <w:bCs/>
        </w:rPr>
        <w:t xml:space="preserve">: </w:t>
      </w:r>
      <w:r w:rsidR="00205A1D" w:rsidRPr="00A62726">
        <w:rPr>
          <w:b/>
          <w:bCs/>
        </w:rPr>
        <w:t>Long Run Result</w:t>
      </w:r>
    </w:p>
    <w:tbl>
      <w:tblPr>
        <w:tblW w:w="0" w:type="auto"/>
        <w:tblInd w:w="3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227"/>
        <w:gridCol w:w="1103"/>
        <w:gridCol w:w="1207"/>
        <w:gridCol w:w="1208"/>
        <w:gridCol w:w="997"/>
      </w:tblGrid>
      <w:tr w:rsidR="000A7115" w:rsidRPr="000A7115" w14:paraId="2D2846E7" w14:textId="77777777" w:rsidTr="003E4DDD">
        <w:trPr>
          <w:trHeight w:val="225"/>
        </w:trPr>
        <w:tc>
          <w:tcPr>
            <w:tcW w:w="2227" w:type="dxa"/>
            <w:vAlign w:val="bottom"/>
          </w:tcPr>
          <w:p w14:paraId="6C3D2EFC" w14:textId="77777777" w:rsidR="000A7115" w:rsidRPr="000A7115" w:rsidRDefault="000A7115" w:rsidP="000A7115">
            <w:pPr>
              <w:spacing w:line="360" w:lineRule="auto"/>
              <w:rPr>
                <w:sz w:val="20"/>
                <w:szCs w:val="20"/>
              </w:rPr>
            </w:pPr>
            <w:r w:rsidRPr="000A7115">
              <w:rPr>
                <w:sz w:val="20"/>
                <w:szCs w:val="20"/>
              </w:rPr>
              <w:t>Variable</w:t>
            </w:r>
          </w:p>
        </w:tc>
        <w:tc>
          <w:tcPr>
            <w:tcW w:w="1103" w:type="dxa"/>
            <w:vAlign w:val="bottom"/>
          </w:tcPr>
          <w:p w14:paraId="02406D2A" w14:textId="77777777" w:rsidR="000A7115" w:rsidRPr="000A7115" w:rsidRDefault="000A7115" w:rsidP="000A7115">
            <w:pPr>
              <w:spacing w:line="360" w:lineRule="auto"/>
              <w:rPr>
                <w:sz w:val="20"/>
                <w:szCs w:val="20"/>
              </w:rPr>
            </w:pPr>
            <w:r w:rsidRPr="000A7115">
              <w:rPr>
                <w:sz w:val="20"/>
                <w:szCs w:val="20"/>
              </w:rPr>
              <w:t>Coefficient</w:t>
            </w:r>
          </w:p>
        </w:tc>
        <w:tc>
          <w:tcPr>
            <w:tcW w:w="1207" w:type="dxa"/>
            <w:vAlign w:val="bottom"/>
          </w:tcPr>
          <w:p w14:paraId="7CA8A238" w14:textId="77777777" w:rsidR="000A7115" w:rsidRPr="000A7115" w:rsidRDefault="000A7115" w:rsidP="000A7115">
            <w:pPr>
              <w:spacing w:line="360" w:lineRule="auto"/>
              <w:rPr>
                <w:sz w:val="20"/>
                <w:szCs w:val="20"/>
              </w:rPr>
            </w:pPr>
            <w:r w:rsidRPr="000A7115">
              <w:rPr>
                <w:sz w:val="20"/>
                <w:szCs w:val="20"/>
              </w:rPr>
              <w:t>Std. Error</w:t>
            </w:r>
          </w:p>
        </w:tc>
        <w:tc>
          <w:tcPr>
            <w:tcW w:w="1208" w:type="dxa"/>
            <w:vAlign w:val="bottom"/>
          </w:tcPr>
          <w:p w14:paraId="6C6446DD" w14:textId="77777777" w:rsidR="000A7115" w:rsidRPr="000A7115" w:rsidRDefault="000A7115" w:rsidP="000A7115">
            <w:pPr>
              <w:spacing w:line="360" w:lineRule="auto"/>
              <w:rPr>
                <w:sz w:val="20"/>
                <w:szCs w:val="20"/>
              </w:rPr>
            </w:pPr>
            <w:r w:rsidRPr="000A7115">
              <w:rPr>
                <w:sz w:val="20"/>
                <w:szCs w:val="20"/>
              </w:rPr>
              <w:t>t-Statistic</w:t>
            </w:r>
          </w:p>
        </w:tc>
        <w:tc>
          <w:tcPr>
            <w:tcW w:w="997" w:type="dxa"/>
            <w:vAlign w:val="bottom"/>
          </w:tcPr>
          <w:p w14:paraId="5DFF7B41" w14:textId="77777777" w:rsidR="000A7115" w:rsidRPr="000A7115" w:rsidRDefault="000A7115" w:rsidP="000A7115">
            <w:pPr>
              <w:spacing w:line="360" w:lineRule="auto"/>
              <w:rPr>
                <w:sz w:val="20"/>
                <w:szCs w:val="20"/>
              </w:rPr>
            </w:pPr>
            <w:r w:rsidRPr="000A7115">
              <w:rPr>
                <w:sz w:val="20"/>
                <w:szCs w:val="20"/>
              </w:rPr>
              <w:t>Prob.   </w:t>
            </w:r>
          </w:p>
        </w:tc>
      </w:tr>
      <w:tr w:rsidR="000A7115" w:rsidRPr="000A7115" w14:paraId="2C536498" w14:textId="77777777" w:rsidTr="003E4DDD">
        <w:trPr>
          <w:trHeight w:val="225"/>
        </w:trPr>
        <w:tc>
          <w:tcPr>
            <w:tcW w:w="2227" w:type="dxa"/>
            <w:vAlign w:val="bottom"/>
          </w:tcPr>
          <w:p w14:paraId="7D34E108" w14:textId="77777777" w:rsidR="000A7115" w:rsidRPr="000A7115" w:rsidRDefault="000A7115" w:rsidP="000A7115">
            <w:pPr>
              <w:spacing w:line="360" w:lineRule="auto"/>
              <w:rPr>
                <w:sz w:val="20"/>
                <w:szCs w:val="20"/>
              </w:rPr>
            </w:pPr>
            <w:r w:rsidRPr="000A7115">
              <w:rPr>
                <w:sz w:val="20"/>
                <w:szCs w:val="20"/>
              </w:rPr>
              <w:t>ATM</w:t>
            </w:r>
          </w:p>
        </w:tc>
        <w:tc>
          <w:tcPr>
            <w:tcW w:w="1103" w:type="dxa"/>
            <w:vAlign w:val="bottom"/>
          </w:tcPr>
          <w:p w14:paraId="70A9FD4B" w14:textId="77777777" w:rsidR="000A7115" w:rsidRPr="000A7115" w:rsidRDefault="000A7115" w:rsidP="000A7115">
            <w:pPr>
              <w:spacing w:line="360" w:lineRule="auto"/>
              <w:rPr>
                <w:sz w:val="20"/>
                <w:szCs w:val="20"/>
              </w:rPr>
            </w:pPr>
            <w:r w:rsidRPr="000A7115">
              <w:rPr>
                <w:sz w:val="20"/>
                <w:szCs w:val="20"/>
              </w:rPr>
              <w:t>-16.35074</w:t>
            </w:r>
          </w:p>
        </w:tc>
        <w:tc>
          <w:tcPr>
            <w:tcW w:w="1207" w:type="dxa"/>
            <w:vAlign w:val="bottom"/>
          </w:tcPr>
          <w:p w14:paraId="44671D28" w14:textId="77777777" w:rsidR="000A7115" w:rsidRPr="000A7115" w:rsidRDefault="000A7115" w:rsidP="000A7115">
            <w:pPr>
              <w:spacing w:line="360" w:lineRule="auto"/>
              <w:rPr>
                <w:sz w:val="20"/>
                <w:szCs w:val="20"/>
              </w:rPr>
            </w:pPr>
            <w:r w:rsidRPr="000A7115">
              <w:rPr>
                <w:sz w:val="20"/>
                <w:szCs w:val="20"/>
              </w:rPr>
              <w:t>51.95173</w:t>
            </w:r>
          </w:p>
        </w:tc>
        <w:tc>
          <w:tcPr>
            <w:tcW w:w="1208" w:type="dxa"/>
            <w:vAlign w:val="bottom"/>
          </w:tcPr>
          <w:p w14:paraId="42D66B90" w14:textId="77777777" w:rsidR="000A7115" w:rsidRPr="000A7115" w:rsidRDefault="000A7115" w:rsidP="000A7115">
            <w:pPr>
              <w:spacing w:line="360" w:lineRule="auto"/>
              <w:rPr>
                <w:sz w:val="20"/>
                <w:szCs w:val="20"/>
              </w:rPr>
            </w:pPr>
            <w:r w:rsidRPr="000A7115">
              <w:rPr>
                <w:sz w:val="20"/>
                <w:szCs w:val="20"/>
              </w:rPr>
              <w:t>-0.314730</w:t>
            </w:r>
          </w:p>
        </w:tc>
        <w:tc>
          <w:tcPr>
            <w:tcW w:w="997" w:type="dxa"/>
            <w:vAlign w:val="bottom"/>
          </w:tcPr>
          <w:p w14:paraId="36E93999" w14:textId="77777777" w:rsidR="000A7115" w:rsidRPr="000A7115" w:rsidRDefault="000A7115" w:rsidP="000A7115">
            <w:pPr>
              <w:spacing w:line="360" w:lineRule="auto"/>
              <w:rPr>
                <w:sz w:val="20"/>
                <w:szCs w:val="20"/>
              </w:rPr>
            </w:pPr>
            <w:r w:rsidRPr="000A7115">
              <w:rPr>
                <w:sz w:val="20"/>
                <w:szCs w:val="20"/>
              </w:rPr>
              <w:t>0.7736</w:t>
            </w:r>
          </w:p>
        </w:tc>
      </w:tr>
      <w:tr w:rsidR="000A7115" w:rsidRPr="000A7115" w14:paraId="256A1D8C" w14:textId="77777777" w:rsidTr="003E4DDD">
        <w:trPr>
          <w:trHeight w:val="225"/>
        </w:trPr>
        <w:tc>
          <w:tcPr>
            <w:tcW w:w="2227" w:type="dxa"/>
            <w:vAlign w:val="bottom"/>
          </w:tcPr>
          <w:p w14:paraId="1646F609" w14:textId="77777777" w:rsidR="000A7115" w:rsidRPr="000A7115" w:rsidRDefault="000A7115" w:rsidP="000A7115">
            <w:pPr>
              <w:spacing w:line="360" w:lineRule="auto"/>
              <w:rPr>
                <w:sz w:val="20"/>
                <w:szCs w:val="20"/>
              </w:rPr>
            </w:pPr>
            <w:r w:rsidRPr="000A7115">
              <w:rPr>
                <w:sz w:val="20"/>
                <w:szCs w:val="20"/>
              </w:rPr>
              <w:t>POS</w:t>
            </w:r>
          </w:p>
        </w:tc>
        <w:tc>
          <w:tcPr>
            <w:tcW w:w="1103" w:type="dxa"/>
            <w:vAlign w:val="bottom"/>
          </w:tcPr>
          <w:p w14:paraId="3B597071" w14:textId="77777777" w:rsidR="000A7115" w:rsidRPr="000A7115" w:rsidRDefault="000A7115" w:rsidP="000A7115">
            <w:pPr>
              <w:spacing w:line="360" w:lineRule="auto"/>
              <w:rPr>
                <w:sz w:val="20"/>
                <w:szCs w:val="20"/>
              </w:rPr>
            </w:pPr>
            <w:r w:rsidRPr="000A7115">
              <w:rPr>
                <w:sz w:val="20"/>
                <w:szCs w:val="20"/>
              </w:rPr>
              <w:t>-19683.98</w:t>
            </w:r>
          </w:p>
        </w:tc>
        <w:tc>
          <w:tcPr>
            <w:tcW w:w="1207" w:type="dxa"/>
            <w:vAlign w:val="bottom"/>
          </w:tcPr>
          <w:p w14:paraId="713B693A" w14:textId="77777777" w:rsidR="000A7115" w:rsidRPr="000A7115" w:rsidRDefault="000A7115" w:rsidP="000A7115">
            <w:pPr>
              <w:spacing w:line="360" w:lineRule="auto"/>
              <w:rPr>
                <w:sz w:val="20"/>
                <w:szCs w:val="20"/>
              </w:rPr>
            </w:pPr>
            <w:r w:rsidRPr="000A7115">
              <w:rPr>
                <w:sz w:val="20"/>
                <w:szCs w:val="20"/>
              </w:rPr>
              <w:t>29566.49</w:t>
            </w:r>
          </w:p>
        </w:tc>
        <w:tc>
          <w:tcPr>
            <w:tcW w:w="1208" w:type="dxa"/>
            <w:vAlign w:val="bottom"/>
          </w:tcPr>
          <w:p w14:paraId="0F40CF88" w14:textId="77777777" w:rsidR="000A7115" w:rsidRPr="000A7115" w:rsidRDefault="000A7115" w:rsidP="000A7115">
            <w:pPr>
              <w:spacing w:line="360" w:lineRule="auto"/>
              <w:rPr>
                <w:sz w:val="20"/>
                <w:szCs w:val="20"/>
              </w:rPr>
            </w:pPr>
            <w:r w:rsidRPr="000A7115">
              <w:rPr>
                <w:sz w:val="20"/>
                <w:szCs w:val="20"/>
              </w:rPr>
              <w:t>-0.665753</w:t>
            </w:r>
          </w:p>
        </w:tc>
        <w:tc>
          <w:tcPr>
            <w:tcW w:w="997" w:type="dxa"/>
            <w:vAlign w:val="bottom"/>
          </w:tcPr>
          <w:p w14:paraId="446658D1" w14:textId="77777777" w:rsidR="000A7115" w:rsidRPr="000A7115" w:rsidRDefault="000A7115" w:rsidP="000A7115">
            <w:pPr>
              <w:spacing w:line="360" w:lineRule="auto"/>
              <w:rPr>
                <w:sz w:val="20"/>
                <w:szCs w:val="20"/>
              </w:rPr>
            </w:pPr>
            <w:r w:rsidRPr="000A7115">
              <w:rPr>
                <w:sz w:val="20"/>
                <w:szCs w:val="20"/>
              </w:rPr>
              <w:t>0.5532</w:t>
            </w:r>
          </w:p>
        </w:tc>
      </w:tr>
      <w:tr w:rsidR="000A7115" w:rsidRPr="000A7115" w14:paraId="73F21A0B" w14:textId="77777777" w:rsidTr="003E4DDD">
        <w:trPr>
          <w:trHeight w:val="225"/>
        </w:trPr>
        <w:tc>
          <w:tcPr>
            <w:tcW w:w="2227" w:type="dxa"/>
            <w:vAlign w:val="bottom"/>
          </w:tcPr>
          <w:p w14:paraId="72FC529B" w14:textId="77777777" w:rsidR="000A7115" w:rsidRPr="000A7115" w:rsidRDefault="000A7115" w:rsidP="000A7115">
            <w:pPr>
              <w:spacing w:line="360" w:lineRule="auto"/>
              <w:rPr>
                <w:sz w:val="20"/>
                <w:szCs w:val="20"/>
              </w:rPr>
            </w:pPr>
            <w:r w:rsidRPr="000A7115">
              <w:rPr>
                <w:sz w:val="20"/>
                <w:szCs w:val="20"/>
              </w:rPr>
              <w:t>MB</w:t>
            </w:r>
          </w:p>
        </w:tc>
        <w:tc>
          <w:tcPr>
            <w:tcW w:w="1103" w:type="dxa"/>
            <w:vAlign w:val="bottom"/>
          </w:tcPr>
          <w:p w14:paraId="54FA00D7" w14:textId="77777777" w:rsidR="000A7115" w:rsidRPr="000A7115" w:rsidRDefault="000A7115" w:rsidP="000A7115">
            <w:pPr>
              <w:spacing w:line="360" w:lineRule="auto"/>
              <w:rPr>
                <w:sz w:val="20"/>
                <w:szCs w:val="20"/>
              </w:rPr>
            </w:pPr>
            <w:r w:rsidRPr="000A7115">
              <w:rPr>
                <w:sz w:val="20"/>
                <w:szCs w:val="20"/>
              </w:rPr>
              <w:t>0.042067</w:t>
            </w:r>
          </w:p>
        </w:tc>
        <w:tc>
          <w:tcPr>
            <w:tcW w:w="1207" w:type="dxa"/>
            <w:vAlign w:val="bottom"/>
          </w:tcPr>
          <w:p w14:paraId="15FF0DC0" w14:textId="77777777" w:rsidR="000A7115" w:rsidRPr="000A7115" w:rsidRDefault="000A7115" w:rsidP="000A7115">
            <w:pPr>
              <w:spacing w:line="360" w:lineRule="auto"/>
              <w:rPr>
                <w:sz w:val="20"/>
                <w:szCs w:val="20"/>
              </w:rPr>
            </w:pPr>
            <w:r w:rsidRPr="000A7115">
              <w:rPr>
                <w:sz w:val="20"/>
                <w:szCs w:val="20"/>
              </w:rPr>
              <w:t>0.004394</w:t>
            </w:r>
          </w:p>
        </w:tc>
        <w:tc>
          <w:tcPr>
            <w:tcW w:w="1208" w:type="dxa"/>
            <w:vAlign w:val="bottom"/>
          </w:tcPr>
          <w:p w14:paraId="74BF49D3" w14:textId="77777777" w:rsidR="000A7115" w:rsidRPr="000A7115" w:rsidRDefault="000A7115" w:rsidP="000A7115">
            <w:pPr>
              <w:spacing w:line="360" w:lineRule="auto"/>
              <w:rPr>
                <w:sz w:val="20"/>
                <w:szCs w:val="20"/>
              </w:rPr>
            </w:pPr>
            <w:r w:rsidRPr="000A7115">
              <w:rPr>
                <w:sz w:val="20"/>
                <w:szCs w:val="20"/>
              </w:rPr>
              <w:t>9.573390</w:t>
            </w:r>
          </w:p>
        </w:tc>
        <w:tc>
          <w:tcPr>
            <w:tcW w:w="997" w:type="dxa"/>
            <w:vAlign w:val="bottom"/>
          </w:tcPr>
          <w:p w14:paraId="69802401" w14:textId="77777777" w:rsidR="000A7115" w:rsidRPr="000A7115" w:rsidRDefault="000A7115" w:rsidP="000A7115">
            <w:pPr>
              <w:spacing w:line="360" w:lineRule="auto"/>
              <w:rPr>
                <w:sz w:val="20"/>
                <w:szCs w:val="20"/>
              </w:rPr>
            </w:pPr>
            <w:r w:rsidRPr="000A7115">
              <w:rPr>
                <w:sz w:val="20"/>
                <w:szCs w:val="20"/>
              </w:rPr>
              <w:t>0.0024</w:t>
            </w:r>
          </w:p>
        </w:tc>
      </w:tr>
    </w:tbl>
    <w:p w14:paraId="4808ED54" w14:textId="210D21FE" w:rsidR="00A62726" w:rsidRDefault="00A62726" w:rsidP="00A62726">
      <w:pPr>
        <w:jc w:val="both"/>
      </w:pPr>
      <w:r w:rsidRPr="004237C7">
        <w:rPr>
          <w:b/>
          <w:bCs/>
        </w:rPr>
        <w:t>Source</w:t>
      </w:r>
      <w:r>
        <w:t>: Author’s work using Eviews 12 (2026)</w:t>
      </w:r>
    </w:p>
    <w:p w14:paraId="300F144C" w14:textId="23FF6E09" w:rsidR="000A7115" w:rsidRDefault="000A7115" w:rsidP="00A62726"/>
    <w:p w14:paraId="332D373F" w14:textId="7C882E75" w:rsidR="00AE02C5" w:rsidRDefault="00E773F4" w:rsidP="00E773F4">
      <w:pPr>
        <w:jc w:val="both"/>
      </w:pPr>
      <w:r w:rsidRPr="00E773F4">
        <w:t>The long-run estimates in</w:t>
      </w:r>
      <w:r>
        <w:t xml:space="preserve"> Table 1.</w:t>
      </w:r>
      <w:r w:rsidR="00F00078">
        <w:t>4</w:t>
      </w:r>
      <w:r>
        <w:t xml:space="preserve"> in</w:t>
      </w:r>
      <w:r w:rsidRPr="00E773F4">
        <w:t xml:space="preserve">dicate that ATM (β = -16.35074, p = 0.7736) and POS (β = -19683.98, p = 0.5532) exert negative but statistically insignificant </w:t>
      </w:r>
      <w:r w:rsidR="00AE02C5">
        <w:t>impacts</w:t>
      </w:r>
      <w:r w:rsidRPr="00E773F4">
        <w:t xml:space="preserve"> on ROA. This suggests that, over time, the expansion of ATM and POS channels do not translate into sustained improvement in bank performance. The negative signs may reflect high maintenance costs, infrastructure expenses, and operational inefficiencies associated with these channels, which can offset their potential benefits in the long run.</w:t>
      </w:r>
      <w:r w:rsidR="00AE02C5">
        <w:t xml:space="preserve"> </w:t>
      </w:r>
      <w:r w:rsidRPr="00E773F4">
        <w:t>In contrast, Mobile Banking (MB) maintains a positive and statistically significant impact on ROA (β = 0.042067, p = 0.0024), indicating that digital banking innovations consistently enhance bank performance over time. This aligns with the expectation that mobile platforms improve efficiency, reduce transaction costs, and expand financial inclusion.</w:t>
      </w:r>
    </w:p>
    <w:p w14:paraId="74AC8669" w14:textId="77777777" w:rsidR="00D81235" w:rsidRPr="00C91C0F" w:rsidRDefault="00D81235" w:rsidP="00D81235">
      <w:pPr>
        <w:spacing w:line="360" w:lineRule="auto"/>
        <w:contextualSpacing/>
        <w:jc w:val="both"/>
        <w:rPr>
          <w:sz w:val="10"/>
        </w:rPr>
      </w:pPr>
    </w:p>
    <w:p w14:paraId="1C8D6EE2" w14:textId="28044963" w:rsidR="009047F7" w:rsidRDefault="00E773F4" w:rsidP="00D81235">
      <w:pPr>
        <w:jc w:val="both"/>
      </w:pPr>
      <w:r w:rsidRPr="00E773F4">
        <w:t>Relating this to the short-run ECM result, ATM and MB previously showed significant positive effects, while POS had a positive but insignificant impact. The divergence suggests that ATM’s short-run benefits are not sustained in the long run, likely due to rising operational costs. POS remains insignificant in both periods, indicating limited contribution. However, MB demonstrates consistency, retaining its positive and significant influence in both the short and long run, underscoring its strategic importance in Nigeria’s banking sector.</w:t>
      </w:r>
    </w:p>
    <w:p w14:paraId="37B74985" w14:textId="77777777" w:rsidR="00D81235" w:rsidRPr="00C91C0F" w:rsidRDefault="00D81235" w:rsidP="00D81235">
      <w:pPr>
        <w:spacing w:line="360" w:lineRule="auto"/>
        <w:contextualSpacing/>
        <w:jc w:val="both"/>
        <w:rPr>
          <w:sz w:val="10"/>
        </w:rPr>
      </w:pPr>
    </w:p>
    <w:p w14:paraId="55185CAA" w14:textId="68AD407B" w:rsidR="00F6049C" w:rsidRDefault="00E7101D" w:rsidP="002F410C">
      <w:pPr>
        <w:jc w:val="both"/>
        <w:rPr>
          <w:b/>
          <w:bCs/>
        </w:rPr>
      </w:pPr>
      <w:r w:rsidRPr="00F00078">
        <w:rPr>
          <w:b/>
          <w:bCs/>
        </w:rPr>
        <w:t>Post-Estimation Tests</w:t>
      </w:r>
    </w:p>
    <w:p w14:paraId="18CB81C2" w14:textId="77777777" w:rsidR="00D81235" w:rsidRPr="00C91C0F" w:rsidRDefault="00D81235" w:rsidP="00D81235">
      <w:pPr>
        <w:spacing w:line="360" w:lineRule="auto"/>
        <w:contextualSpacing/>
        <w:jc w:val="both"/>
        <w:rPr>
          <w:sz w:val="10"/>
        </w:rPr>
      </w:pPr>
    </w:p>
    <w:p w14:paraId="3CF86E77" w14:textId="3BE78ABE" w:rsidR="009B0037" w:rsidRDefault="00F6049C" w:rsidP="002F410C">
      <w:pPr>
        <w:jc w:val="both"/>
      </w:pPr>
      <w:r>
        <w:t>Table 1.</w:t>
      </w:r>
      <w:r w:rsidR="00F00078">
        <w:t>5</w:t>
      </w:r>
      <w:r>
        <w:t>: Autocorrelation Test Result</w:t>
      </w:r>
    </w:p>
    <w:tbl>
      <w:tblPr>
        <w:tblW w:w="0" w:type="auto"/>
        <w:tblInd w:w="3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017"/>
        <w:gridCol w:w="1103"/>
        <w:gridCol w:w="2415"/>
        <w:gridCol w:w="997"/>
      </w:tblGrid>
      <w:tr w:rsidR="009B0037" w:rsidRPr="00F6049C" w14:paraId="15573F6B" w14:textId="77777777" w:rsidTr="00F6049C">
        <w:trPr>
          <w:trHeight w:val="225"/>
        </w:trPr>
        <w:tc>
          <w:tcPr>
            <w:tcW w:w="2017" w:type="dxa"/>
            <w:vAlign w:val="bottom"/>
          </w:tcPr>
          <w:p w14:paraId="1C9F9FB6" w14:textId="77777777" w:rsidR="009B0037" w:rsidRPr="00F6049C" w:rsidRDefault="009B0037" w:rsidP="009B0037">
            <w:pPr>
              <w:jc w:val="both"/>
              <w:rPr>
                <w:sz w:val="20"/>
                <w:szCs w:val="20"/>
              </w:rPr>
            </w:pPr>
            <w:r w:rsidRPr="00F6049C">
              <w:rPr>
                <w:sz w:val="20"/>
                <w:szCs w:val="20"/>
              </w:rPr>
              <w:t>F-statistic</w:t>
            </w:r>
          </w:p>
        </w:tc>
        <w:tc>
          <w:tcPr>
            <w:tcW w:w="1103" w:type="dxa"/>
            <w:vAlign w:val="bottom"/>
          </w:tcPr>
          <w:p w14:paraId="32BED71E" w14:textId="2E095423" w:rsidR="009B0037" w:rsidRPr="00F6049C" w:rsidRDefault="006C6491" w:rsidP="009B0037">
            <w:pPr>
              <w:jc w:val="both"/>
              <w:rPr>
                <w:sz w:val="20"/>
                <w:szCs w:val="20"/>
              </w:rPr>
            </w:pPr>
            <w:r w:rsidRPr="00F6049C">
              <w:rPr>
                <w:sz w:val="20"/>
                <w:szCs w:val="20"/>
              </w:rPr>
              <w:t>1</w:t>
            </w:r>
            <w:r w:rsidR="009B0037" w:rsidRPr="00F6049C">
              <w:rPr>
                <w:sz w:val="20"/>
                <w:szCs w:val="20"/>
              </w:rPr>
              <w:t>.6</w:t>
            </w:r>
            <w:r w:rsidRPr="00F6049C">
              <w:rPr>
                <w:sz w:val="20"/>
                <w:szCs w:val="20"/>
              </w:rPr>
              <w:t>8</w:t>
            </w:r>
            <w:r w:rsidR="009B0037" w:rsidRPr="00F6049C">
              <w:rPr>
                <w:sz w:val="20"/>
                <w:szCs w:val="20"/>
              </w:rPr>
              <w:t>7</w:t>
            </w:r>
            <w:r w:rsidRPr="00F6049C">
              <w:rPr>
                <w:sz w:val="20"/>
                <w:szCs w:val="20"/>
              </w:rPr>
              <w:t>864</w:t>
            </w:r>
          </w:p>
        </w:tc>
        <w:tc>
          <w:tcPr>
            <w:tcW w:w="2415" w:type="dxa"/>
            <w:vAlign w:val="bottom"/>
          </w:tcPr>
          <w:p w14:paraId="5E4F771C" w14:textId="6403CC1D" w:rsidR="009B0037" w:rsidRPr="00F6049C" w:rsidRDefault="009B0037" w:rsidP="009B0037">
            <w:pPr>
              <w:jc w:val="both"/>
              <w:rPr>
                <w:sz w:val="20"/>
                <w:szCs w:val="20"/>
              </w:rPr>
            </w:pPr>
            <w:r w:rsidRPr="00F6049C">
              <w:rPr>
                <w:sz w:val="20"/>
                <w:szCs w:val="20"/>
              </w:rPr>
              <w:t>    Prob. F(2,</w:t>
            </w:r>
            <w:r w:rsidR="0097603C" w:rsidRPr="00F6049C">
              <w:rPr>
                <w:sz w:val="20"/>
                <w:szCs w:val="20"/>
              </w:rPr>
              <w:t>1</w:t>
            </w:r>
            <w:r w:rsidRPr="00F6049C">
              <w:rPr>
                <w:sz w:val="20"/>
                <w:szCs w:val="20"/>
              </w:rPr>
              <w:t>)</w:t>
            </w:r>
          </w:p>
        </w:tc>
        <w:tc>
          <w:tcPr>
            <w:tcW w:w="997" w:type="dxa"/>
            <w:vAlign w:val="bottom"/>
          </w:tcPr>
          <w:p w14:paraId="780C9258" w14:textId="3BCE41EB" w:rsidR="009B0037" w:rsidRPr="00F6049C" w:rsidRDefault="009B0037" w:rsidP="009B0037">
            <w:pPr>
              <w:jc w:val="both"/>
              <w:rPr>
                <w:sz w:val="20"/>
                <w:szCs w:val="20"/>
              </w:rPr>
            </w:pPr>
            <w:r w:rsidRPr="00F6049C">
              <w:rPr>
                <w:sz w:val="20"/>
                <w:szCs w:val="20"/>
              </w:rPr>
              <w:t>0.</w:t>
            </w:r>
            <w:r w:rsidR="0097603C" w:rsidRPr="00F6049C">
              <w:rPr>
                <w:sz w:val="20"/>
                <w:szCs w:val="20"/>
              </w:rPr>
              <w:t>4</w:t>
            </w:r>
            <w:r w:rsidRPr="00F6049C">
              <w:rPr>
                <w:sz w:val="20"/>
                <w:szCs w:val="20"/>
              </w:rPr>
              <w:t>7</w:t>
            </w:r>
            <w:r w:rsidR="0097603C" w:rsidRPr="00F6049C">
              <w:rPr>
                <w:sz w:val="20"/>
                <w:szCs w:val="20"/>
              </w:rPr>
              <w:t>81</w:t>
            </w:r>
          </w:p>
        </w:tc>
      </w:tr>
      <w:tr w:rsidR="009B0037" w:rsidRPr="00F6049C" w14:paraId="598A4456" w14:textId="77777777" w:rsidTr="00F6049C">
        <w:trPr>
          <w:trHeight w:val="225"/>
        </w:trPr>
        <w:tc>
          <w:tcPr>
            <w:tcW w:w="2017" w:type="dxa"/>
            <w:vAlign w:val="bottom"/>
          </w:tcPr>
          <w:p w14:paraId="4F28B2AD" w14:textId="77777777" w:rsidR="009B0037" w:rsidRPr="00F6049C" w:rsidRDefault="009B0037" w:rsidP="009B0037">
            <w:pPr>
              <w:jc w:val="both"/>
              <w:rPr>
                <w:sz w:val="20"/>
                <w:szCs w:val="20"/>
              </w:rPr>
            </w:pPr>
            <w:r w:rsidRPr="00F6049C">
              <w:rPr>
                <w:sz w:val="20"/>
                <w:szCs w:val="20"/>
              </w:rPr>
              <w:t>Obs*R-squared</w:t>
            </w:r>
          </w:p>
        </w:tc>
        <w:tc>
          <w:tcPr>
            <w:tcW w:w="1103" w:type="dxa"/>
            <w:vAlign w:val="bottom"/>
          </w:tcPr>
          <w:p w14:paraId="675B89A3" w14:textId="58E08F39" w:rsidR="009B0037" w:rsidRPr="00F6049C" w:rsidRDefault="0097603C" w:rsidP="009B0037">
            <w:pPr>
              <w:jc w:val="both"/>
              <w:rPr>
                <w:sz w:val="20"/>
                <w:szCs w:val="20"/>
              </w:rPr>
            </w:pPr>
            <w:r w:rsidRPr="00F6049C">
              <w:rPr>
                <w:sz w:val="20"/>
                <w:szCs w:val="20"/>
              </w:rPr>
              <w:t>9</w:t>
            </w:r>
            <w:r w:rsidR="009B0037" w:rsidRPr="00F6049C">
              <w:rPr>
                <w:sz w:val="20"/>
                <w:szCs w:val="20"/>
              </w:rPr>
              <w:t>.</w:t>
            </w:r>
            <w:r w:rsidRPr="00F6049C">
              <w:rPr>
                <w:sz w:val="20"/>
                <w:szCs w:val="20"/>
              </w:rPr>
              <w:t>25</w:t>
            </w:r>
            <w:r w:rsidR="009B0037" w:rsidRPr="00F6049C">
              <w:rPr>
                <w:sz w:val="20"/>
                <w:szCs w:val="20"/>
              </w:rPr>
              <w:t>75</w:t>
            </w:r>
            <w:r w:rsidR="006C6491" w:rsidRPr="00F6049C">
              <w:rPr>
                <w:sz w:val="20"/>
                <w:szCs w:val="20"/>
              </w:rPr>
              <w:t>99</w:t>
            </w:r>
          </w:p>
        </w:tc>
        <w:tc>
          <w:tcPr>
            <w:tcW w:w="2415" w:type="dxa"/>
            <w:vAlign w:val="bottom"/>
          </w:tcPr>
          <w:p w14:paraId="3DBC168B" w14:textId="77777777" w:rsidR="009B0037" w:rsidRPr="00F6049C" w:rsidRDefault="009B0037" w:rsidP="009B0037">
            <w:pPr>
              <w:jc w:val="both"/>
              <w:rPr>
                <w:sz w:val="20"/>
                <w:szCs w:val="20"/>
              </w:rPr>
            </w:pPr>
            <w:r w:rsidRPr="00F6049C">
              <w:rPr>
                <w:sz w:val="20"/>
                <w:szCs w:val="20"/>
              </w:rPr>
              <w:t>    Prob. Chi-Square(2)</w:t>
            </w:r>
          </w:p>
        </w:tc>
        <w:tc>
          <w:tcPr>
            <w:tcW w:w="997" w:type="dxa"/>
            <w:vAlign w:val="bottom"/>
          </w:tcPr>
          <w:p w14:paraId="3654428F" w14:textId="56FF4ACC" w:rsidR="009B0037" w:rsidRPr="00F6049C" w:rsidRDefault="009B0037" w:rsidP="009B0037">
            <w:pPr>
              <w:jc w:val="both"/>
              <w:rPr>
                <w:sz w:val="20"/>
                <w:szCs w:val="20"/>
              </w:rPr>
            </w:pPr>
            <w:r w:rsidRPr="00F6049C">
              <w:rPr>
                <w:sz w:val="20"/>
                <w:szCs w:val="20"/>
              </w:rPr>
              <w:t>0.0</w:t>
            </w:r>
            <w:r w:rsidR="0097603C" w:rsidRPr="00F6049C">
              <w:rPr>
                <w:sz w:val="20"/>
                <w:szCs w:val="20"/>
              </w:rPr>
              <w:t>6</w:t>
            </w:r>
            <w:r w:rsidRPr="00F6049C">
              <w:rPr>
                <w:sz w:val="20"/>
                <w:szCs w:val="20"/>
              </w:rPr>
              <w:t>30</w:t>
            </w:r>
          </w:p>
        </w:tc>
      </w:tr>
    </w:tbl>
    <w:p w14:paraId="1671A6FB" w14:textId="4C21A022" w:rsidR="009B0037" w:rsidRDefault="009B0037" w:rsidP="002F410C">
      <w:pPr>
        <w:jc w:val="both"/>
      </w:pPr>
      <w:r w:rsidRPr="004237C7">
        <w:rPr>
          <w:b/>
          <w:bCs/>
        </w:rPr>
        <w:lastRenderedPageBreak/>
        <w:t>Source</w:t>
      </w:r>
      <w:r>
        <w:t>: Author’s work using Eviews 12 (2026)</w:t>
      </w:r>
    </w:p>
    <w:p w14:paraId="14958EEF" w14:textId="77777777" w:rsidR="00D81235" w:rsidRPr="00C91C0F" w:rsidRDefault="00D81235" w:rsidP="00D81235">
      <w:pPr>
        <w:spacing w:line="360" w:lineRule="auto"/>
        <w:contextualSpacing/>
        <w:jc w:val="both"/>
        <w:rPr>
          <w:sz w:val="10"/>
        </w:rPr>
      </w:pPr>
    </w:p>
    <w:p w14:paraId="7AE93251" w14:textId="08604520" w:rsidR="00F00078" w:rsidRPr="00F00078" w:rsidRDefault="00F00078" w:rsidP="00F00078">
      <w:pPr>
        <w:jc w:val="both"/>
      </w:pPr>
      <w:r w:rsidRPr="00F00078">
        <w:t>The autocorrelation test result</w:t>
      </w:r>
      <w:r w:rsidR="00D81235">
        <w:t xml:space="preserve"> in Table 1.5</w:t>
      </w:r>
      <w:r w:rsidRPr="00F00078">
        <w:t xml:space="preserve"> show</w:t>
      </w:r>
      <w:r w:rsidR="00D81235">
        <w:t xml:space="preserve">s </w:t>
      </w:r>
      <w:r w:rsidRPr="00F00078">
        <w:t>Prob. F(2,1) = 0.4781 and Prob. Chi-Square(2) = 0.0630, both exceeding the 0.05 significance level. Therefore, H₀ (no serial correlation) is not rejected. This indicates the absence of autocorrelation in the model residuals. Hence, the estimates are reliable, and the model does not suffer from serial correlation problems.</w:t>
      </w:r>
    </w:p>
    <w:p w14:paraId="1CFB51F0" w14:textId="4592259D" w:rsidR="006C6491" w:rsidRDefault="006C6491" w:rsidP="002F410C">
      <w:pPr>
        <w:jc w:val="both"/>
      </w:pPr>
    </w:p>
    <w:p w14:paraId="6297BAC6" w14:textId="2EE3CC00" w:rsidR="0097603C" w:rsidRPr="0097603C" w:rsidRDefault="00F00078" w:rsidP="0097603C">
      <w:pPr>
        <w:jc w:val="both"/>
      </w:pPr>
      <w:r>
        <w:t xml:space="preserve">Table 1.6 </w:t>
      </w:r>
      <w:r w:rsidR="009B0037">
        <w:t>Heteroscedasticity Test Result</w:t>
      </w:r>
    </w:p>
    <w:tbl>
      <w:tblPr>
        <w:tblW w:w="0" w:type="auto"/>
        <w:tblInd w:w="3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017"/>
        <w:gridCol w:w="1103"/>
        <w:gridCol w:w="2415"/>
        <w:gridCol w:w="997"/>
      </w:tblGrid>
      <w:tr w:rsidR="0097603C" w:rsidRPr="00F6049C" w14:paraId="18F29C68" w14:textId="77777777" w:rsidTr="00F6049C">
        <w:trPr>
          <w:trHeight w:val="225"/>
        </w:trPr>
        <w:tc>
          <w:tcPr>
            <w:tcW w:w="2017" w:type="dxa"/>
            <w:vAlign w:val="bottom"/>
          </w:tcPr>
          <w:p w14:paraId="419626DC" w14:textId="77777777" w:rsidR="0097603C" w:rsidRPr="0097603C" w:rsidRDefault="0097603C" w:rsidP="0097603C">
            <w:pPr>
              <w:jc w:val="both"/>
              <w:rPr>
                <w:sz w:val="20"/>
                <w:szCs w:val="20"/>
              </w:rPr>
            </w:pPr>
            <w:r w:rsidRPr="0097603C">
              <w:rPr>
                <w:sz w:val="20"/>
                <w:szCs w:val="20"/>
              </w:rPr>
              <w:t>F-statistic</w:t>
            </w:r>
          </w:p>
        </w:tc>
        <w:tc>
          <w:tcPr>
            <w:tcW w:w="1103" w:type="dxa"/>
            <w:vAlign w:val="bottom"/>
          </w:tcPr>
          <w:p w14:paraId="385DAEAC" w14:textId="77777777" w:rsidR="0097603C" w:rsidRPr="0097603C" w:rsidRDefault="0097603C" w:rsidP="0097603C">
            <w:pPr>
              <w:jc w:val="both"/>
              <w:rPr>
                <w:sz w:val="20"/>
                <w:szCs w:val="20"/>
              </w:rPr>
            </w:pPr>
            <w:r w:rsidRPr="0097603C">
              <w:rPr>
                <w:sz w:val="20"/>
                <w:szCs w:val="20"/>
              </w:rPr>
              <w:t>0.541889</w:t>
            </w:r>
          </w:p>
        </w:tc>
        <w:tc>
          <w:tcPr>
            <w:tcW w:w="2415" w:type="dxa"/>
            <w:vAlign w:val="bottom"/>
          </w:tcPr>
          <w:p w14:paraId="7D02D3C6" w14:textId="77777777" w:rsidR="0097603C" w:rsidRPr="0097603C" w:rsidRDefault="0097603C" w:rsidP="0097603C">
            <w:pPr>
              <w:jc w:val="both"/>
              <w:rPr>
                <w:sz w:val="20"/>
                <w:szCs w:val="20"/>
              </w:rPr>
            </w:pPr>
            <w:r w:rsidRPr="0097603C">
              <w:rPr>
                <w:sz w:val="20"/>
                <w:szCs w:val="20"/>
              </w:rPr>
              <w:t>    Prob. F(8,3)</w:t>
            </w:r>
          </w:p>
        </w:tc>
        <w:tc>
          <w:tcPr>
            <w:tcW w:w="997" w:type="dxa"/>
            <w:vAlign w:val="bottom"/>
          </w:tcPr>
          <w:p w14:paraId="76DD0AC2" w14:textId="77777777" w:rsidR="0097603C" w:rsidRPr="0097603C" w:rsidRDefault="0097603C" w:rsidP="0097603C">
            <w:pPr>
              <w:jc w:val="both"/>
              <w:rPr>
                <w:sz w:val="20"/>
                <w:szCs w:val="20"/>
              </w:rPr>
            </w:pPr>
            <w:r w:rsidRPr="0097603C">
              <w:rPr>
                <w:sz w:val="20"/>
                <w:szCs w:val="20"/>
              </w:rPr>
              <w:t>0.7829</w:t>
            </w:r>
          </w:p>
        </w:tc>
      </w:tr>
      <w:tr w:rsidR="0097603C" w:rsidRPr="00F6049C" w14:paraId="56DD1E1A" w14:textId="77777777" w:rsidTr="00F6049C">
        <w:trPr>
          <w:trHeight w:val="225"/>
        </w:trPr>
        <w:tc>
          <w:tcPr>
            <w:tcW w:w="2017" w:type="dxa"/>
            <w:vAlign w:val="bottom"/>
          </w:tcPr>
          <w:p w14:paraId="2E66F2DC" w14:textId="77777777" w:rsidR="0097603C" w:rsidRPr="0097603C" w:rsidRDefault="0097603C" w:rsidP="0097603C">
            <w:pPr>
              <w:jc w:val="both"/>
              <w:rPr>
                <w:sz w:val="20"/>
                <w:szCs w:val="20"/>
              </w:rPr>
            </w:pPr>
            <w:r w:rsidRPr="0097603C">
              <w:rPr>
                <w:sz w:val="20"/>
                <w:szCs w:val="20"/>
              </w:rPr>
              <w:t>Obs*R-squared</w:t>
            </w:r>
          </w:p>
        </w:tc>
        <w:tc>
          <w:tcPr>
            <w:tcW w:w="1103" w:type="dxa"/>
            <w:vAlign w:val="bottom"/>
          </w:tcPr>
          <w:p w14:paraId="3E7FBACA" w14:textId="77777777" w:rsidR="0097603C" w:rsidRPr="0097603C" w:rsidRDefault="0097603C" w:rsidP="0097603C">
            <w:pPr>
              <w:jc w:val="both"/>
              <w:rPr>
                <w:sz w:val="20"/>
                <w:szCs w:val="20"/>
              </w:rPr>
            </w:pPr>
            <w:r w:rsidRPr="0097603C">
              <w:rPr>
                <w:sz w:val="20"/>
                <w:szCs w:val="20"/>
              </w:rPr>
              <w:t>7.092100</w:t>
            </w:r>
          </w:p>
        </w:tc>
        <w:tc>
          <w:tcPr>
            <w:tcW w:w="2415" w:type="dxa"/>
            <w:vAlign w:val="bottom"/>
          </w:tcPr>
          <w:p w14:paraId="452D9B31" w14:textId="77777777" w:rsidR="0097603C" w:rsidRPr="0097603C" w:rsidRDefault="0097603C" w:rsidP="0097603C">
            <w:pPr>
              <w:jc w:val="both"/>
              <w:rPr>
                <w:sz w:val="20"/>
                <w:szCs w:val="20"/>
              </w:rPr>
            </w:pPr>
            <w:r w:rsidRPr="0097603C">
              <w:rPr>
                <w:sz w:val="20"/>
                <w:szCs w:val="20"/>
              </w:rPr>
              <w:t>    Prob. Chi-Square(8)</w:t>
            </w:r>
          </w:p>
        </w:tc>
        <w:tc>
          <w:tcPr>
            <w:tcW w:w="997" w:type="dxa"/>
            <w:vAlign w:val="bottom"/>
          </w:tcPr>
          <w:p w14:paraId="14352BC7" w14:textId="77777777" w:rsidR="0097603C" w:rsidRPr="0097603C" w:rsidRDefault="0097603C" w:rsidP="0097603C">
            <w:pPr>
              <w:jc w:val="both"/>
              <w:rPr>
                <w:sz w:val="20"/>
                <w:szCs w:val="20"/>
              </w:rPr>
            </w:pPr>
            <w:r w:rsidRPr="0097603C">
              <w:rPr>
                <w:sz w:val="20"/>
                <w:szCs w:val="20"/>
              </w:rPr>
              <w:t>0.5267</w:t>
            </w:r>
          </w:p>
        </w:tc>
      </w:tr>
      <w:tr w:rsidR="0097603C" w:rsidRPr="00F6049C" w14:paraId="0E0F6B90" w14:textId="77777777" w:rsidTr="00F6049C">
        <w:trPr>
          <w:trHeight w:val="225"/>
        </w:trPr>
        <w:tc>
          <w:tcPr>
            <w:tcW w:w="2017" w:type="dxa"/>
            <w:vAlign w:val="bottom"/>
          </w:tcPr>
          <w:p w14:paraId="7BD8A23F" w14:textId="77777777" w:rsidR="0097603C" w:rsidRPr="0097603C" w:rsidRDefault="0097603C" w:rsidP="0097603C">
            <w:pPr>
              <w:jc w:val="both"/>
              <w:rPr>
                <w:sz w:val="20"/>
                <w:szCs w:val="20"/>
              </w:rPr>
            </w:pPr>
            <w:r w:rsidRPr="0097603C">
              <w:rPr>
                <w:sz w:val="20"/>
                <w:szCs w:val="20"/>
              </w:rPr>
              <w:t>Scaled explained SS</w:t>
            </w:r>
          </w:p>
        </w:tc>
        <w:tc>
          <w:tcPr>
            <w:tcW w:w="1103" w:type="dxa"/>
            <w:vAlign w:val="bottom"/>
          </w:tcPr>
          <w:p w14:paraId="40D54878" w14:textId="77777777" w:rsidR="0097603C" w:rsidRPr="0097603C" w:rsidRDefault="0097603C" w:rsidP="0097603C">
            <w:pPr>
              <w:jc w:val="both"/>
              <w:rPr>
                <w:sz w:val="20"/>
                <w:szCs w:val="20"/>
              </w:rPr>
            </w:pPr>
            <w:r w:rsidRPr="0097603C">
              <w:rPr>
                <w:sz w:val="20"/>
                <w:szCs w:val="20"/>
              </w:rPr>
              <w:t>0.549350</w:t>
            </w:r>
          </w:p>
        </w:tc>
        <w:tc>
          <w:tcPr>
            <w:tcW w:w="2415" w:type="dxa"/>
            <w:vAlign w:val="bottom"/>
          </w:tcPr>
          <w:p w14:paraId="5149E78E" w14:textId="77777777" w:rsidR="0097603C" w:rsidRPr="0097603C" w:rsidRDefault="0097603C" w:rsidP="0097603C">
            <w:pPr>
              <w:jc w:val="both"/>
              <w:rPr>
                <w:sz w:val="20"/>
                <w:szCs w:val="20"/>
              </w:rPr>
            </w:pPr>
            <w:r w:rsidRPr="0097603C">
              <w:rPr>
                <w:sz w:val="20"/>
                <w:szCs w:val="20"/>
              </w:rPr>
              <w:t>    Prob. Chi-Square(8)</w:t>
            </w:r>
          </w:p>
        </w:tc>
        <w:tc>
          <w:tcPr>
            <w:tcW w:w="997" w:type="dxa"/>
            <w:vAlign w:val="bottom"/>
          </w:tcPr>
          <w:p w14:paraId="4187B3F4" w14:textId="77777777" w:rsidR="0097603C" w:rsidRPr="0097603C" w:rsidRDefault="0097603C" w:rsidP="0097603C">
            <w:pPr>
              <w:jc w:val="both"/>
              <w:rPr>
                <w:sz w:val="20"/>
                <w:szCs w:val="20"/>
              </w:rPr>
            </w:pPr>
            <w:r w:rsidRPr="0097603C">
              <w:rPr>
                <w:sz w:val="20"/>
                <w:szCs w:val="20"/>
              </w:rPr>
              <w:t>0.9998</w:t>
            </w:r>
          </w:p>
        </w:tc>
      </w:tr>
    </w:tbl>
    <w:p w14:paraId="602CB7A1" w14:textId="5A610772" w:rsidR="009B0037" w:rsidRPr="0097603C" w:rsidRDefault="009B0037" w:rsidP="009B0037">
      <w:pPr>
        <w:jc w:val="both"/>
        <w:rPr>
          <w:b/>
          <w:bCs/>
        </w:rPr>
      </w:pPr>
      <w:r w:rsidRPr="004237C7">
        <w:rPr>
          <w:b/>
          <w:bCs/>
        </w:rPr>
        <w:t>Source</w:t>
      </w:r>
      <w:r>
        <w:t>: Author’s work using Eviews 12 (2026)</w:t>
      </w:r>
    </w:p>
    <w:p w14:paraId="50EFCBAC" w14:textId="15410C1C" w:rsidR="009B0037" w:rsidRDefault="009B0037" w:rsidP="002F410C">
      <w:pPr>
        <w:jc w:val="both"/>
      </w:pPr>
    </w:p>
    <w:p w14:paraId="3113A9C1" w14:textId="6298CF22" w:rsidR="00F00078" w:rsidRPr="00F00078" w:rsidRDefault="00F00078" w:rsidP="00F00078">
      <w:pPr>
        <w:jc w:val="both"/>
      </w:pPr>
      <w:r w:rsidRPr="00F00078">
        <w:t>The heteroscedasticity test result</w:t>
      </w:r>
      <w:r w:rsidR="00D81235">
        <w:t xml:space="preserve"> in Table 1.6</w:t>
      </w:r>
      <w:r w:rsidRPr="00F00078">
        <w:t xml:space="preserve"> show</w:t>
      </w:r>
      <w:r w:rsidR="00D81235">
        <w:t>s</w:t>
      </w:r>
      <w:r w:rsidRPr="00F00078">
        <w:t xml:space="preserve"> Prob. F(8,3) = 0.7829, Prob. Chi-Square(8) = 0.5267, and Prob. Chi-Square (Scaled explained SS) = 0.9998, all greater than 0.05. Therefore, H₀ (homoscedasticity) is not rejected. This indicates that the residuals have constant variance, implying absence of heteroscedasticity. Hence, the model is well specified and the estimated coefficients are reliable for inference.</w:t>
      </w:r>
    </w:p>
    <w:p w14:paraId="26718C5B" w14:textId="77777777" w:rsidR="00F00078" w:rsidRDefault="00F00078" w:rsidP="002F410C">
      <w:pPr>
        <w:jc w:val="both"/>
      </w:pPr>
    </w:p>
    <w:p w14:paraId="451D96A3" w14:textId="4C2D4930" w:rsidR="009B0037" w:rsidRPr="00224ED6" w:rsidRDefault="009B0037" w:rsidP="002F410C">
      <w:pPr>
        <w:jc w:val="both"/>
        <w:rPr>
          <w:b/>
          <w:bCs/>
        </w:rPr>
      </w:pPr>
      <w:r w:rsidRPr="00224ED6">
        <w:rPr>
          <w:b/>
          <w:bCs/>
        </w:rPr>
        <w:t>Normality Test Result</w:t>
      </w:r>
    </w:p>
    <w:p w14:paraId="69FBC1DA" w14:textId="5C3E0AEE" w:rsidR="009B0037" w:rsidRDefault="00F6049C" w:rsidP="002F410C">
      <w:pPr>
        <w:jc w:val="both"/>
      </w:pPr>
      <w:r>
        <w:object w:dxaOrig="7425" w:dyaOrig="4726" w14:anchorId="33CE19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15pt;height:3in" o:ole="">
            <v:imagedata r:id="rId8" o:title=""/>
          </v:shape>
          <o:OLEObject Type="Embed" ProgID="EViews.Workfile.2" ShapeID="_x0000_i1025" DrawAspect="Content" ObjectID="_1838484690" r:id="rId9"/>
        </w:object>
      </w:r>
    </w:p>
    <w:p w14:paraId="37EFD0B1" w14:textId="7DA12FEB" w:rsidR="00D81235" w:rsidRDefault="00D81235" w:rsidP="009B0037">
      <w:pPr>
        <w:jc w:val="both"/>
        <w:rPr>
          <w:b/>
          <w:bCs/>
        </w:rPr>
      </w:pPr>
      <w:r>
        <w:rPr>
          <w:b/>
          <w:bCs/>
        </w:rPr>
        <w:t xml:space="preserve">Figure 1.1: </w:t>
      </w:r>
      <w:r w:rsidRPr="00D81235">
        <w:t>Normality Test</w:t>
      </w:r>
    </w:p>
    <w:p w14:paraId="61AA191F" w14:textId="0625F709" w:rsidR="009B0037" w:rsidRDefault="00D81235" w:rsidP="009B0037">
      <w:pPr>
        <w:jc w:val="both"/>
      </w:pPr>
      <w:r>
        <w:rPr>
          <w:b/>
          <w:bCs/>
        </w:rPr>
        <w:t>S</w:t>
      </w:r>
      <w:r w:rsidR="009B0037" w:rsidRPr="004237C7">
        <w:rPr>
          <w:b/>
          <w:bCs/>
        </w:rPr>
        <w:t>ource</w:t>
      </w:r>
      <w:r w:rsidR="009B0037">
        <w:t>: Author’s work using Eviews 12 (2026)</w:t>
      </w:r>
    </w:p>
    <w:p w14:paraId="1203C0CC" w14:textId="041D70F3" w:rsidR="009B0037" w:rsidRDefault="009B0037" w:rsidP="002F410C">
      <w:pPr>
        <w:jc w:val="both"/>
      </w:pPr>
    </w:p>
    <w:p w14:paraId="306C0E34" w14:textId="66551F10" w:rsidR="00224ED6" w:rsidRPr="00224ED6" w:rsidRDefault="00224ED6" w:rsidP="00224ED6">
      <w:pPr>
        <w:jc w:val="both"/>
      </w:pPr>
      <w:r w:rsidRPr="00224ED6">
        <w:t>The normality test</w:t>
      </w:r>
      <w:r w:rsidR="00D81235">
        <w:t xml:space="preserve"> result in Figure 1.1 </w:t>
      </w:r>
      <w:r w:rsidRPr="00224ED6">
        <w:t>shows a Jarque-Bera statistic of 1.572773 with a corresponding probability of 0.455488, which is greater than the 0.05 significance level. Therefore, H₀ (that the residuals are normally distributed) is not rejected. This indicates that the residuals follow a normal distribution. Hence, the model satisfies the normality assumption, supporting the validity of standard statistical inference and reliability of the estimated results.</w:t>
      </w:r>
    </w:p>
    <w:p w14:paraId="40B5EDB6" w14:textId="77777777" w:rsidR="00F6049C" w:rsidRDefault="00F6049C" w:rsidP="002F410C">
      <w:pPr>
        <w:jc w:val="both"/>
      </w:pPr>
    </w:p>
    <w:p w14:paraId="089EE5DB" w14:textId="77777777" w:rsidR="00D81235" w:rsidRDefault="00D81235" w:rsidP="002F410C">
      <w:pPr>
        <w:jc w:val="both"/>
        <w:rPr>
          <w:b/>
          <w:bCs/>
        </w:rPr>
      </w:pPr>
    </w:p>
    <w:p w14:paraId="2B5C069D" w14:textId="77777777" w:rsidR="00D81235" w:rsidRDefault="00D81235" w:rsidP="002F410C">
      <w:pPr>
        <w:jc w:val="both"/>
        <w:rPr>
          <w:b/>
          <w:bCs/>
        </w:rPr>
      </w:pPr>
    </w:p>
    <w:p w14:paraId="53A4756D" w14:textId="77777777" w:rsidR="00D81235" w:rsidRDefault="00D81235" w:rsidP="002F410C">
      <w:pPr>
        <w:jc w:val="both"/>
        <w:rPr>
          <w:b/>
          <w:bCs/>
        </w:rPr>
      </w:pPr>
    </w:p>
    <w:p w14:paraId="2B15CBA7" w14:textId="77777777" w:rsidR="00D81235" w:rsidRDefault="00D81235" w:rsidP="002F410C">
      <w:pPr>
        <w:jc w:val="both"/>
        <w:rPr>
          <w:b/>
          <w:bCs/>
        </w:rPr>
      </w:pPr>
    </w:p>
    <w:p w14:paraId="777A0BC2" w14:textId="77777777" w:rsidR="00D81235" w:rsidRDefault="00D81235" w:rsidP="002F410C">
      <w:pPr>
        <w:jc w:val="both"/>
        <w:rPr>
          <w:b/>
          <w:bCs/>
        </w:rPr>
      </w:pPr>
    </w:p>
    <w:p w14:paraId="537DAF71" w14:textId="77777777" w:rsidR="00D81235" w:rsidRDefault="00D81235" w:rsidP="002F410C">
      <w:pPr>
        <w:jc w:val="both"/>
        <w:rPr>
          <w:b/>
          <w:bCs/>
        </w:rPr>
      </w:pPr>
    </w:p>
    <w:p w14:paraId="4D607FA8" w14:textId="77777777" w:rsidR="00D81235" w:rsidRDefault="00D81235" w:rsidP="002F410C">
      <w:pPr>
        <w:jc w:val="both"/>
        <w:rPr>
          <w:b/>
          <w:bCs/>
        </w:rPr>
      </w:pPr>
    </w:p>
    <w:p w14:paraId="5FB35BCA" w14:textId="77777777" w:rsidR="00D81235" w:rsidRDefault="00D81235" w:rsidP="002F410C">
      <w:pPr>
        <w:jc w:val="both"/>
        <w:rPr>
          <w:b/>
          <w:bCs/>
        </w:rPr>
      </w:pPr>
    </w:p>
    <w:p w14:paraId="564F105D" w14:textId="77777777" w:rsidR="00D81235" w:rsidRDefault="00D81235" w:rsidP="002F410C">
      <w:pPr>
        <w:jc w:val="both"/>
        <w:rPr>
          <w:b/>
          <w:bCs/>
        </w:rPr>
      </w:pPr>
    </w:p>
    <w:p w14:paraId="774D12C1" w14:textId="3233B5F3" w:rsidR="007445AC" w:rsidRPr="00224ED6" w:rsidRDefault="007445AC" w:rsidP="002F410C">
      <w:pPr>
        <w:jc w:val="both"/>
        <w:rPr>
          <w:b/>
          <w:bCs/>
        </w:rPr>
      </w:pPr>
      <w:r w:rsidRPr="00224ED6">
        <w:rPr>
          <w:b/>
          <w:bCs/>
        </w:rPr>
        <w:t>Stability Test Result</w:t>
      </w:r>
    </w:p>
    <w:p w14:paraId="2F1256AA" w14:textId="4F106048" w:rsidR="007445AC" w:rsidRDefault="00224ED6" w:rsidP="002F410C">
      <w:pPr>
        <w:jc w:val="both"/>
      </w:pPr>
      <w:r>
        <w:object w:dxaOrig="8641" w:dyaOrig="5341" w14:anchorId="10CD0F9E">
          <v:shape id="_x0000_i1026" type="#_x0000_t75" style="width:6in;height:208.65pt" o:ole="">
            <v:imagedata r:id="rId10" o:title=""/>
          </v:shape>
          <o:OLEObject Type="Embed" ProgID="EViews.Workfile.2" ShapeID="_x0000_i1026" DrawAspect="Content" ObjectID="_1838484691" r:id="rId11"/>
        </w:object>
      </w:r>
    </w:p>
    <w:p w14:paraId="1EC2A860" w14:textId="03D2EDF7" w:rsidR="00D81235" w:rsidRDefault="00D81235" w:rsidP="00EF2CFA">
      <w:pPr>
        <w:jc w:val="both"/>
        <w:rPr>
          <w:b/>
          <w:bCs/>
        </w:rPr>
      </w:pPr>
      <w:r>
        <w:rPr>
          <w:b/>
          <w:bCs/>
        </w:rPr>
        <w:t xml:space="preserve">Figure 1.2: </w:t>
      </w:r>
      <w:r w:rsidRPr="00D81235">
        <w:t>S</w:t>
      </w:r>
      <w:r>
        <w:t>tability Test Result</w:t>
      </w:r>
    </w:p>
    <w:p w14:paraId="67FD8C4D" w14:textId="2CC21BF4" w:rsidR="00EF2CFA" w:rsidRDefault="00D81235" w:rsidP="00EF2CFA">
      <w:pPr>
        <w:jc w:val="both"/>
      </w:pPr>
      <w:r>
        <w:rPr>
          <w:b/>
          <w:bCs/>
        </w:rPr>
        <w:t>S</w:t>
      </w:r>
      <w:r w:rsidR="00EF2CFA" w:rsidRPr="004237C7">
        <w:rPr>
          <w:b/>
          <w:bCs/>
        </w:rPr>
        <w:t>ource</w:t>
      </w:r>
      <w:r w:rsidR="00EF2CFA">
        <w:t>: Author’s work using Eviews 12 (2026)</w:t>
      </w:r>
    </w:p>
    <w:p w14:paraId="6766A60F" w14:textId="77777777" w:rsidR="00EF2CFA" w:rsidRDefault="00EF2CFA" w:rsidP="002F410C">
      <w:pPr>
        <w:jc w:val="both"/>
      </w:pPr>
    </w:p>
    <w:p w14:paraId="3C9E062D" w14:textId="3C2E197D" w:rsidR="00224ED6" w:rsidRPr="00224ED6" w:rsidRDefault="00224ED6" w:rsidP="00224ED6">
      <w:pPr>
        <w:jc w:val="both"/>
      </w:pPr>
      <w:r w:rsidRPr="00224ED6">
        <w:t>The CUSUM of Squares plot shows that the cumulative sum remains within the 5% significance bounds throughout the sample period (20</w:t>
      </w:r>
      <w:r w:rsidR="00E95E02">
        <w:t>1</w:t>
      </w:r>
      <w:r w:rsidRPr="00224ED6">
        <w:t>2–2024). Since the blue line does not cross the critical boundaries</w:t>
      </w:r>
      <w:r w:rsidR="00AE02C5">
        <w:t xml:space="preserve"> (red lines)</w:t>
      </w:r>
      <w:r w:rsidRPr="00224ED6">
        <w:t>, H₀ (that the model is stable) is not rejected. This indicates that the model is structurally stable over time, with no evidence of parameter instability or structural breaks, thereby confirming the reliability and consistency of the estimated coefficients.</w:t>
      </w:r>
    </w:p>
    <w:p w14:paraId="52E8C7BF" w14:textId="77777777" w:rsidR="00224ED6" w:rsidRDefault="00224ED6" w:rsidP="002F410C">
      <w:pPr>
        <w:jc w:val="both"/>
      </w:pPr>
    </w:p>
    <w:p w14:paraId="2A3760B4" w14:textId="69857643" w:rsidR="008C3F4B" w:rsidRPr="00DA28C1" w:rsidRDefault="004B5D2A" w:rsidP="002F410C">
      <w:pPr>
        <w:jc w:val="both"/>
        <w:rPr>
          <w:b/>
          <w:bCs/>
        </w:rPr>
      </w:pPr>
      <w:r>
        <w:rPr>
          <w:b/>
          <w:bCs/>
        </w:rPr>
        <w:t xml:space="preserve">Discussion and </w:t>
      </w:r>
      <w:r w:rsidR="00224ED6" w:rsidRPr="00DA28C1">
        <w:rPr>
          <w:b/>
          <w:bCs/>
        </w:rPr>
        <w:t>Policy Implications of</w:t>
      </w:r>
      <w:r>
        <w:rPr>
          <w:b/>
          <w:bCs/>
        </w:rPr>
        <w:t xml:space="preserve"> Results</w:t>
      </w:r>
      <w:r w:rsidR="00224ED6" w:rsidRPr="00DA28C1">
        <w:rPr>
          <w:b/>
          <w:bCs/>
        </w:rPr>
        <w:t xml:space="preserve"> </w:t>
      </w:r>
    </w:p>
    <w:p w14:paraId="52CA4B58" w14:textId="77777777" w:rsidR="00DA28C1" w:rsidRDefault="00DA28C1" w:rsidP="00DA28C1">
      <w:pPr>
        <w:jc w:val="both"/>
      </w:pPr>
    </w:p>
    <w:p w14:paraId="0A5E80F2" w14:textId="243C6A3F" w:rsidR="00B344AB" w:rsidRDefault="00DA28C1" w:rsidP="00DA28C1">
      <w:pPr>
        <w:jc w:val="both"/>
      </w:pPr>
      <w:r w:rsidRPr="00224ED6">
        <w:t>The</w:t>
      </w:r>
      <w:r w:rsidR="004B5D2A">
        <w:t xml:space="preserve"> result of ATM showed a significant positive impact (β = 88.88804, p = 0.0001) in the short run and an insignificant negative impact (β = -16.35074; p = 0.7736) in the long run on ROA. This suggests that while ATM impacts significantly on the performance of commercial banks in the short run, the rising cost of ATM</w:t>
      </w:r>
      <w:r w:rsidR="00E95E02">
        <w:t>s</w:t>
      </w:r>
      <w:r w:rsidR="004B5D2A">
        <w:t xml:space="preserve"> </w:t>
      </w:r>
      <w:r w:rsidR="00097E71">
        <w:t>with</w:t>
      </w:r>
      <w:r w:rsidR="004B5D2A">
        <w:t xml:space="preserve"> the penetration of alternative means such as POS will create a long run negative impact on the performance of commercial banks in Nigeria. </w:t>
      </w:r>
      <w:r w:rsidR="0073128C">
        <w:t xml:space="preserve">In the short run, the result aligns with theoretical expectation and remains statistically significant. </w:t>
      </w:r>
      <w:r w:rsidR="00B344AB">
        <w:t>Earlier result</w:t>
      </w:r>
      <w:r w:rsidR="0073128C">
        <w:t xml:space="preserve"> by Nwachukwu and Chukwuma (2026) showed a significant positive impact of ATM on the performance of commercial bank in Nigeria. Similarly, </w:t>
      </w:r>
      <w:r w:rsidR="00B344AB">
        <w:t>Jegede (2014) showed a short run positive impact of ATM on the performance of banks in Nigeria</w:t>
      </w:r>
      <w:r w:rsidR="0073128C">
        <w:t>, while the result of Osigbeemhe et al. (2023) contrast this result by showing a non-significant negative effect of ATM on ROA in Nigeria.</w:t>
      </w:r>
      <w:r w:rsidR="00916177">
        <w:t xml:space="preserve"> The long term negative impact has advised bank managers on the need for cost-effective means of withdrawal by focusing</w:t>
      </w:r>
      <w:r w:rsidR="007149F0">
        <w:t xml:space="preserve"> on</w:t>
      </w:r>
      <w:r w:rsidR="00916177">
        <w:t xml:space="preserve"> mobile bank</w:t>
      </w:r>
      <w:r w:rsidR="007149F0">
        <w:t>ing</w:t>
      </w:r>
      <w:r w:rsidR="00916177">
        <w:t xml:space="preserve"> and POS outlets </w:t>
      </w:r>
      <w:r w:rsidR="00916177">
        <w:lastRenderedPageBreak/>
        <w:t xml:space="preserve">concentrated mainly in rural areas to absorb the unbanked or underbanked </w:t>
      </w:r>
      <w:r w:rsidR="002B1CE7">
        <w:t xml:space="preserve">population in Nigeria, which in turn will drive profitability and ROA of commercial banks in the country. </w:t>
      </w:r>
    </w:p>
    <w:p w14:paraId="20BF6FCC" w14:textId="77777777" w:rsidR="002C35D0" w:rsidRDefault="002C35D0" w:rsidP="00431281">
      <w:pPr>
        <w:jc w:val="both"/>
      </w:pPr>
    </w:p>
    <w:p w14:paraId="2AD05146" w14:textId="7E96AF33" w:rsidR="00431281" w:rsidRPr="00431281" w:rsidRDefault="00431281" w:rsidP="00431281">
      <w:pPr>
        <w:jc w:val="both"/>
      </w:pPr>
      <w:r w:rsidRPr="00431281">
        <w:t>For POS transactions, the result reveal</w:t>
      </w:r>
      <w:r w:rsidR="007149F0">
        <w:t>ed</w:t>
      </w:r>
      <w:r w:rsidRPr="00431281">
        <w:t xml:space="preserve"> a non-significant positive impact (β = 2529.190; p = 0.1888) in the short run and a non-significant negative impact in the long run. This implies that although POS usage is positively associated with bank performance in the short term, its long-run effect diminishes as agency banking platforms increasingly dominate this space. The growing acceptance of POS services offered by agency banks such as Opay, MoniePoint, and PalmPay is likely to crowd out the traditional role of commercial banks. This trend can be attributed to the widespread availability of POS services through agent kiosks located within communities, in contrast to bank-operated POS terminals that are often limited to branch locations situated several kilometers away. Consequently, this finding </w:t>
      </w:r>
      <w:r w:rsidR="007149F0">
        <w:t xml:space="preserve">has advised </w:t>
      </w:r>
      <w:r w:rsidRPr="00431281">
        <w:t>commercial bank</w:t>
      </w:r>
      <w:r w:rsidR="007149F0">
        <w:t xml:space="preserve"> managers on the need</w:t>
      </w:r>
      <w:r w:rsidRPr="00431281">
        <w:t xml:space="preserve"> to expand their outreach through agent-based models or mini-branch structures in rural and underserved areas to mobilize idle funds and enhance financial inclusion.</w:t>
      </w:r>
      <w:r w:rsidR="00965BEA">
        <w:t xml:space="preserve"> The result aligns with the work of Okoro et al. (2024) which showed a non-significant positive impact of POS on the performance of commercial banks in Nigeria.</w:t>
      </w:r>
    </w:p>
    <w:p w14:paraId="3B044489" w14:textId="77777777" w:rsidR="002C35D0" w:rsidRDefault="002C35D0" w:rsidP="00431281">
      <w:pPr>
        <w:jc w:val="both"/>
      </w:pPr>
    </w:p>
    <w:p w14:paraId="14CAAFBE" w14:textId="70DCA4E6" w:rsidR="00431281" w:rsidRPr="00431281" w:rsidRDefault="00431281" w:rsidP="00431281">
      <w:pPr>
        <w:jc w:val="both"/>
      </w:pPr>
      <w:r w:rsidRPr="00431281">
        <w:t>In contrast, mobile banking (MB) demonstrates both short-run and long-run significant positive effects on the performance of commercial banks in Nigeria. This outcome may be attributed to the higher transaction volumes processed through bank-owned mobile applications, which typically offer broader functionality and higher transaction limits compared to those of agency banking platforms, often constrained by tiered account restrictions and relatively low daily transfer limits. The implication is that mobile banking remains a critical channel for sustaining and improving bank performance. Accordingly, bank managers are advised to strengthen digital security frameworks by integrating advanced authentication mechanisms, such as Google Authenticator, alongside traditional password systems to safeguard customer deposits. Continuous innovation and enhancement of mobile banking platforms will be essential for maintaining customer trust and improving the overall performance of commercial banks in Nigeria.</w:t>
      </w:r>
    </w:p>
    <w:p w14:paraId="077D6B2E" w14:textId="77777777" w:rsidR="007149F0" w:rsidRPr="00C91C0F" w:rsidRDefault="007149F0" w:rsidP="007149F0">
      <w:pPr>
        <w:spacing w:line="360" w:lineRule="auto"/>
        <w:contextualSpacing/>
        <w:jc w:val="both"/>
        <w:rPr>
          <w:sz w:val="10"/>
        </w:rPr>
      </w:pPr>
    </w:p>
    <w:p w14:paraId="36B5F39B" w14:textId="3B04CFE5" w:rsidR="0041010C" w:rsidRPr="00965BEA" w:rsidRDefault="00224ED6" w:rsidP="00DA28C1">
      <w:pPr>
        <w:jc w:val="both"/>
        <w:rPr>
          <w:b/>
          <w:bCs/>
        </w:rPr>
      </w:pPr>
      <w:r w:rsidRPr="00DA28C1">
        <w:rPr>
          <w:b/>
          <w:bCs/>
        </w:rPr>
        <w:t>Conclusion and Recommendations</w:t>
      </w:r>
    </w:p>
    <w:p w14:paraId="5BAEFC52" w14:textId="77777777" w:rsidR="007149F0" w:rsidRPr="00C91C0F" w:rsidRDefault="007149F0" w:rsidP="007149F0">
      <w:pPr>
        <w:spacing w:line="360" w:lineRule="auto"/>
        <w:contextualSpacing/>
        <w:jc w:val="both"/>
        <w:rPr>
          <w:sz w:val="10"/>
        </w:rPr>
      </w:pPr>
    </w:p>
    <w:p w14:paraId="1649FC05" w14:textId="77A3E129" w:rsidR="00431281" w:rsidRPr="00431281" w:rsidRDefault="00431281" w:rsidP="00431281">
      <w:pPr>
        <w:jc w:val="both"/>
      </w:pPr>
      <w:r w:rsidRPr="00431281">
        <w:t>This study examined the impact of FinTech on the performance of commercial banks in Nigeria over the period 2012 to 2025. The findings reveal that, in the short run, FinTech exerts a positive influence on bank performance, as ATM and M</w:t>
      </w:r>
      <w:r w:rsidR="00965BEA">
        <w:t xml:space="preserve">B </w:t>
      </w:r>
      <w:r w:rsidRPr="00431281">
        <w:t>demonstrate significant positive effects, while POS shows a positive but statistically insignificant impact. This implies a growing contribution of FinTech-driven channels to the operational efficiency and performance of commercial banks in Nigeria.</w:t>
      </w:r>
      <w:r w:rsidR="00965BEA">
        <w:t xml:space="preserve"> </w:t>
      </w:r>
      <w:r w:rsidRPr="00431281">
        <w:t>However, in the long run, the results indicate a declining impact of FinTech on the performance of commercial banks. This suggests that the increasing penetration of agency banking, particularly in underserved and previously unbanked areas often referred to as the “last mile,” may lead to a crowding-out effect on traditional banking institutions. The flexibility, accessibility, and user-friendly nature of FinTech solutions offered by agency banks have significantly enhanced their acceptance among the population.</w:t>
      </w:r>
      <w:r w:rsidR="00965BEA">
        <w:t xml:space="preserve"> </w:t>
      </w:r>
      <w:r w:rsidRPr="00431281">
        <w:t xml:space="preserve">In light of these findings, the study concludes that while FinTech significantly enhances the performance of commercial banks in the short run, its long-run effect diminishes considerably due to intensifying competition from agency banks. These institutions leverage more adaptable and inclusive FinTech strategies, which are increasingly preferred for delivering financial services across Nigeria’s evolving </w:t>
      </w:r>
      <w:r w:rsidRPr="00431281">
        <w:lastRenderedPageBreak/>
        <w:t>financial landscape.</w:t>
      </w:r>
      <w:r w:rsidR="00432612">
        <w:t xml:space="preserve"> </w:t>
      </w:r>
      <w:r w:rsidR="00E14627">
        <w:t>Against this backdrop, t</w:t>
      </w:r>
      <w:r w:rsidR="00432612">
        <w:t xml:space="preserve">he following policy recommendations are drawn </w:t>
      </w:r>
      <w:r w:rsidR="00E14627">
        <w:t>for this study</w:t>
      </w:r>
      <w:r w:rsidR="00432612">
        <w:t>.</w:t>
      </w:r>
    </w:p>
    <w:p w14:paraId="49D20060" w14:textId="01B1294F" w:rsidR="00E14627" w:rsidRDefault="00E14627" w:rsidP="00DA28C1">
      <w:pPr>
        <w:jc w:val="both"/>
      </w:pPr>
    </w:p>
    <w:p w14:paraId="5EAB92BA" w14:textId="77777777" w:rsidR="00C977DB" w:rsidRDefault="00C977DB" w:rsidP="00C977DB">
      <w:pPr>
        <w:numPr>
          <w:ilvl w:val="0"/>
          <w:numId w:val="21"/>
        </w:numPr>
        <w:jc w:val="both"/>
      </w:pPr>
      <w:r w:rsidRPr="00C977DB">
        <w:t>For commercial bank executives, the findings on ATM usage suggest the need to strategically rationalize ATM investments by reducing overreliance on costly physical infrastructure and reallocating resources toward more cost-efficient digital channels. While ATMs enhance short-run performance, their declining long-run relevance calls for a transition toward integrated digital ecosystems. Bank managers should adopt hybrid service models that combine ATM functionality with mobile and agent-based solutions to sustain operational efficiency, reduce maintenance costs, and enhance long-term return on assets in an increasingly competitive financial environment.</w:t>
      </w:r>
    </w:p>
    <w:p w14:paraId="0C74CC13" w14:textId="77777777" w:rsidR="00042167" w:rsidRPr="00C977DB" w:rsidRDefault="00042167" w:rsidP="00042167">
      <w:pPr>
        <w:ind w:left="360"/>
        <w:jc w:val="both"/>
      </w:pPr>
    </w:p>
    <w:p w14:paraId="7728C667" w14:textId="02935138" w:rsidR="00C977DB" w:rsidRDefault="00C977DB" w:rsidP="00C977DB">
      <w:pPr>
        <w:numPr>
          <w:ilvl w:val="0"/>
          <w:numId w:val="21"/>
        </w:numPr>
        <w:jc w:val="both"/>
      </w:pPr>
      <w:r w:rsidRPr="00C977DB">
        <w:t xml:space="preserve">For the Central Bank of Nigeria and financial regulators, the results on POS transactions highlight the urgency of strengthening the regulatory framework governing agency banking operations. The growing dominance of agent-based POS services necessitates policies that promote fair competition, interoperability, and consumer protection. Regulators should incentivize commercial banks to expand agent banking networks in underserved areas while ensuring standardization of transaction charges and service quality. This will enhance financial inclusion, prevent market concentration among </w:t>
      </w:r>
      <w:r w:rsidR="00E14627">
        <w:t>agency banks</w:t>
      </w:r>
      <w:r w:rsidRPr="00C977DB">
        <w:t>, and support the sustained performance of commercial banks within Nigeria’s evolving financial system.</w:t>
      </w:r>
    </w:p>
    <w:p w14:paraId="779F62F7" w14:textId="77777777" w:rsidR="00042167" w:rsidRPr="00C977DB" w:rsidRDefault="00042167" w:rsidP="00042167">
      <w:pPr>
        <w:jc w:val="both"/>
      </w:pPr>
    </w:p>
    <w:p w14:paraId="72505FA4" w14:textId="77777777" w:rsidR="00C977DB" w:rsidRPr="00C977DB" w:rsidRDefault="00C977DB" w:rsidP="00C977DB">
      <w:pPr>
        <w:numPr>
          <w:ilvl w:val="0"/>
          <w:numId w:val="21"/>
        </w:numPr>
        <w:jc w:val="both"/>
      </w:pPr>
      <w:r w:rsidRPr="00C977DB">
        <w:t>For technology and innovation units within commercial banks, the significant impact of mobile banking in both the short and long run underscores the need for sustained investment in secure and user-centric digital platforms. Banks should enhance mobile application functionality, scalability, and security by integrating advanced authentication systems such as multi-factor verification tools. Additionally, expanding transaction limits and improving user experience will strengthen customer trust and adoption. This strategic focus on mobile banking will enable banks to maintain competitiveness, increase transaction volumes, and drive long-term profitability in Nigeria’s digital financial landscape.</w:t>
      </w:r>
    </w:p>
    <w:p w14:paraId="3920F3C1" w14:textId="77777777" w:rsidR="00C977DB" w:rsidRDefault="00C977DB" w:rsidP="00DA28C1">
      <w:pPr>
        <w:jc w:val="both"/>
      </w:pPr>
    </w:p>
    <w:p w14:paraId="0C686098" w14:textId="77777777" w:rsidR="00224ED6" w:rsidRDefault="00224ED6" w:rsidP="002F410C">
      <w:pPr>
        <w:jc w:val="both"/>
      </w:pPr>
    </w:p>
    <w:p w14:paraId="108F1ABD" w14:textId="77777777" w:rsidR="00224ED6" w:rsidRDefault="00224ED6" w:rsidP="002F410C">
      <w:pPr>
        <w:jc w:val="both"/>
      </w:pPr>
    </w:p>
    <w:p w14:paraId="7BB5EDBA" w14:textId="77777777" w:rsidR="00464E96" w:rsidRDefault="00464E96" w:rsidP="002F410C">
      <w:pPr>
        <w:jc w:val="both"/>
      </w:pPr>
    </w:p>
    <w:p w14:paraId="4E43FD3B" w14:textId="77777777" w:rsidR="00464E96" w:rsidRDefault="00464E96" w:rsidP="002F410C">
      <w:pPr>
        <w:jc w:val="both"/>
      </w:pPr>
    </w:p>
    <w:p w14:paraId="14494B82" w14:textId="77777777" w:rsidR="00464E96" w:rsidRDefault="00464E96" w:rsidP="002F410C">
      <w:pPr>
        <w:jc w:val="both"/>
      </w:pPr>
    </w:p>
    <w:p w14:paraId="3BDF40D4" w14:textId="77777777" w:rsidR="00464E96" w:rsidRDefault="00464E96" w:rsidP="002F410C">
      <w:pPr>
        <w:jc w:val="both"/>
      </w:pPr>
    </w:p>
    <w:p w14:paraId="301DD530" w14:textId="77777777" w:rsidR="00464E96" w:rsidRDefault="00464E96" w:rsidP="002F410C">
      <w:pPr>
        <w:jc w:val="both"/>
      </w:pPr>
    </w:p>
    <w:p w14:paraId="1FE31D2E" w14:textId="77777777" w:rsidR="00464E96" w:rsidRDefault="00464E96" w:rsidP="002F410C">
      <w:pPr>
        <w:jc w:val="both"/>
      </w:pPr>
    </w:p>
    <w:p w14:paraId="3431EC74" w14:textId="77777777" w:rsidR="00464E96" w:rsidRDefault="00464E96" w:rsidP="002F410C">
      <w:pPr>
        <w:jc w:val="both"/>
      </w:pPr>
    </w:p>
    <w:p w14:paraId="5A6A005B" w14:textId="77777777" w:rsidR="00464E96" w:rsidRDefault="00464E96" w:rsidP="002F410C">
      <w:pPr>
        <w:jc w:val="both"/>
      </w:pPr>
    </w:p>
    <w:p w14:paraId="2558A839" w14:textId="77777777" w:rsidR="00464E96" w:rsidRDefault="00464E96" w:rsidP="002F410C">
      <w:pPr>
        <w:jc w:val="both"/>
      </w:pPr>
    </w:p>
    <w:p w14:paraId="3B1E62A8" w14:textId="77777777" w:rsidR="00464E96" w:rsidRDefault="00464E96" w:rsidP="002F410C">
      <w:pPr>
        <w:jc w:val="both"/>
      </w:pPr>
    </w:p>
    <w:p w14:paraId="124B7161" w14:textId="77777777" w:rsidR="00464E96" w:rsidRDefault="00464E96" w:rsidP="002F410C">
      <w:pPr>
        <w:jc w:val="both"/>
      </w:pPr>
    </w:p>
    <w:p w14:paraId="5EA07783" w14:textId="77777777" w:rsidR="00464E96" w:rsidRDefault="00464E96" w:rsidP="002F410C">
      <w:pPr>
        <w:jc w:val="both"/>
      </w:pPr>
    </w:p>
    <w:p w14:paraId="56DBD66C" w14:textId="77777777" w:rsidR="00464E96" w:rsidRDefault="00464E96" w:rsidP="002F410C">
      <w:pPr>
        <w:jc w:val="both"/>
      </w:pPr>
    </w:p>
    <w:p w14:paraId="6FAD1D00" w14:textId="77777777" w:rsidR="00464E96" w:rsidRDefault="00464E96" w:rsidP="002F410C">
      <w:pPr>
        <w:jc w:val="both"/>
      </w:pPr>
    </w:p>
    <w:p w14:paraId="7AB57D92" w14:textId="77777777" w:rsidR="00464E96" w:rsidRDefault="00464E96" w:rsidP="002F410C">
      <w:pPr>
        <w:jc w:val="both"/>
      </w:pPr>
    </w:p>
    <w:p w14:paraId="395547DC" w14:textId="77777777" w:rsidR="00464E96" w:rsidRDefault="00464E96" w:rsidP="002F410C">
      <w:pPr>
        <w:jc w:val="both"/>
      </w:pPr>
    </w:p>
    <w:p w14:paraId="39406181" w14:textId="77777777" w:rsidR="00464E96" w:rsidRDefault="00464E96" w:rsidP="002F410C">
      <w:pPr>
        <w:jc w:val="both"/>
      </w:pPr>
    </w:p>
    <w:p w14:paraId="1785022D" w14:textId="77777777" w:rsidR="00464E96" w:rsidRDefault="00464E96" w:rsidP="002F410C">
      <w:pPr>
        <w:jc w:val="both"/>
      </w:pPr>
    </w:p>
    <w:p w14:paraId="7E6EF25A" w14:textId="77777777" w:rsidR="00464E96" w:rsidRDefault="00464E96" w:rsidP="002F410C">
      <w:pPr>
        <w:jc w:val="both"/>
      </w:pPr>
    </w:p>
    <w:p w14:paraId="1D8F1C38" w14:textId="77777777" w:rsidR="00464E96" w:rsidRDefault="00464E96" w:rsidP="002F410C">
      <w:pPr>
        <w:jc w:val="both"/>
      </w:pPr>
    </w:p>
    <w:p w14:paraId="7CEAC32F" w14:textId="77777777" w:rsidR="00432612" w:rsidRDefault="00432612" w:rsidP="002F410C">
      <w:pPr>
        <w:jc w:val="both"/>
      </w:pPr>
    </w:p>
    <w:p w14:paraId="6D178379" w14:textId="635E5BA9" w:rsidR="00DA28C1" w:rsidRPr="00E4444B" w:rsidRDefault="002F410C" w:rsidP="0048381D">
      <w:pPr>
        <w:spacing w:after="120"/>
        <w:ind w:left="2880" w:firstLine="720"/>
        <w:jc w:val="both"/>
        <w:rPr>
          <w:b/>
          <w:bCs/>
        </w:rPr>
      </w:pPr>
      <w:r w:rsidRPr="00670071">
        <w:rPr>
          <w:b/>
          <w:bCs/>
        </w:rPr>
        <w:t xml:space="preserve">REFERENCES </w:t>
      </w:r>
    </w:p>
    <w:p w14:paraId="27B42C97" w14:textId="77777777" w:rsidR="00D86803" w:rsidRDefault="00D86803" w:rsidP="0048381D">
      <w:pPr>
        <w:spacing w:after="120"/>
        <w:ind w:left="720" w:hanging="720"/>
        <w:jc w:val="both"/>
      </w:pPr>
      <w:r w:rsidRPr="003C5E6B">
        <w:t>Ajibade, P (2018) Technology Acceptance Model Limitations and Criticisms: Exploring the Practical Applications and Use in Technology-related Studies, Mixed method, and Qualitative Researches. Library Philosophy and Practice (e journal). University of Nebraska-Lincoln. 1-14.</w:t>
      </w:r>
    </w:p>
    <w:p w14:paraId="461F5739" w14:textId="77777777" w:rsidR="00D86803" w:rsidRDefault="00D86803" w:rsidP="00E14627">
      <w:pPr>
        <w:ind w:left="720" w:hanging="720"/>
        <w:jc w:val="both"/>
      </w:pPr>
      <w:r>
        <w:t xml:space="preserve">Akanbi, F. (2022, October 6). ThisDay News Paper. Available Online.  </w:t>
      </w:r>
      <w:hyperlink r:id="rId12" w:history="1">
        <w:r w:rsidRPr="00397B30">
          <w:rPr>
            <w:rStyle w:val="Hyperlink"/>
          </w:rPr>
          <w:t>https://www.thisdaylive.com/2022/10/06/firstbank-a-triumphant-return-to-the-nigerian-banking-frontline/</w:t>
        </w:r>
      </w:hyperlink>
      <w:r>
        <w:t xml:space="preserve"> Retrieved 19.03.2021.</w:t>
      </w:r>
    </w:p>
    <w:p w14:paraId="3B6212A7" w14:textId="77777777" w:rsidR="00D86803" w:rsidRDefault="00D86803" w:rsidP="00E14627">
      <w:pPr>
        <w:ind w:left="720" w:hanging="720"/>
        <w:jc w:val="both"/>
      </w:pPr>
      <w:r>
        <w:t xml:space="preserve">Ali, W. (2026, March 11). Updated: Here are 31 Banks that have met CBN’s Capital Rule. BusinessDay. Available Online. </w:t>
      </w:r>
      <w:hyperlink r:id="rId13" w:history="1">
        <w:r w:rsidRPr="00397B30">
          <w:rPr>
            <w:rStyle w:val="Hyperlink"/>
          </w:rPr>
          <w:t>https://businessday.ng/banking/article/updated-here-are-31-banks-that-have-met-cbns-capital-rules/</w:t>
        </w:r>
      </w:hyperlink>
      <w:r>
        <w:t xml:space="preserve"> Retrieved 03.04.2026</w:t>
      </w:r>
    </w:p>
    <w:p w14:paraId="3C726E8E" w14:textId="77777777" w:rsidR="00D86803" w:rsidRDefault="00D86803" w:rsidP="00E14627">
      <w:pPr>
        <w:ind w:left="720" w:hanging="720"/>
        <w:jc w:val="both"/>
      </w:pPr>
      <w:r w:rsidRPr="00362D3D">
        <w:t>Amah, C</w:t>
      </w:r>
      <w:r>
        <w:t xml:space="preserve">. </w:t>
      </w:r>
      <w:r w:rsidRPr="00362D3D">
        <w:t>O</w:t>
      </w:r>
      <w:r>
        <w:t>.</w:t>
      </w:r>
      <w:r w:rsidRPr="00362D3D">
        <w:t xml:space="preserve"> &amp; Charles-Olimene</w:t>
      </w:r>
      <w:r>
        <w:t>,</w:t>
      </w:r>
      <w:r w:rsidRPr="00362D3D">
        <w:t xml:space="preserve"> M</w:t>
      </w:r>
      <w:r>
        <w:t>.</w:t>
      </w:r>
      <w:r w:rsidRPr="00362D3D">
        <w:t xml:space="preserve"> I</w:t>
      </w:r>
      <w:r>
        <w:t>.</w:t>
      </w:r>
      <w:r w:rsidRPr="00362D3D">
        <w:t xml:space="preserve"> (2025). The Impact of Financial Technology (Fintech) on Traditional Banking and Allied Financial Services in Portharcourt, Nigeria. </w:t>
      </w:r>
      <w:r w:rsidRPr="00F26FE9">
        <w:rPr>
          <w:i/>
          <w:iCs/>
        </w:rPr>
        <w:t>Journal of economics, finance and management studies</w:t>
      </w:r>
      <w:r>
        <w:rPr>
          <w:i/>
          <w:iCs/>
        </w:rPr>
        <w:t>. Volume</w:t>
      </w:r>
      <w:r w:rsidRPr="00F26FE9">
        <w:rPr>
          <w:i/>
          <w:iCs/>
        </w:rPr>
        <w:t xml:space="preserve"> 08</w:t>
      </w:r>
      <w:r>
        <w:t xml:space="preserve"> </w:t>
      </w:r>
      <w:r w:rsidRPr="00362D3D">
        <w:t>(12)</w:t>
      </w:r>
      <w:r>
        <w:t>:</w:t>
      </w:r>
      <w:r w:rsidRPr="00362D3D">
        <w:t xml:space="preserve"> 8147–8158. </w:t>
      </w:r>
      <w:hyperlink r:id="rId14" w:history="1">
        <w:r w:rsidRPr="00CB0816">
          <w:rPr>
            <w:rStyle w:val="Hyperlink"/>
          </w:rPr>
          <w:t>https://doi.org/10.5281/zenodo.18059007</w:t>
        </w:r>
      </w:hyperlink>
    </w:p>
    <w:p w14:paraId="5D60C18E" w14:textId="7DC78DD5" w:rsidR="00E14627" w:rsidRDefault="00E14627" w:rsidP="00E14627">
      <w:pPr>
        <w:ind w:left="720" w:hanging="720"/>
        <w:jc w:val="both"/>
      </w:pPr>
      <w:r w:rsidRPr="009E1DE8">
        <w:rPr>
          <w:lang w:val="de-DE"/>
        </w:rPr>
        <w:t xml:space="preserve">Anazia, C. N., &amp; Nwachukwu, C. C. (2025). </w:t>
      </w:r>
      <w:r w:rsidRPr="009E1DE8">
        <w:t xml:space="preserve">The Impact of Mobile and Payment Card Technology on Economic Growth and Development in Developing Countries, Using M-Pesa as A Case Study. </w:t>
      </w:r>
      <w:r w:rsidRPr="009E1DE8">
        <w:rPr>
          <w:i/>
          <w:iCs/>
        </w:rPr>
        <w:t>IIARD International Journal of Banking and Finance Research</w:t>
      </w:r>
      <w:r w:rsidRPr="009E1DE8">
        <w:t xml:space="preserve">. </w:t>
      </w:r>
      <w:r w:rsidRPr="00E14627">
        <w:rPr>
          <w:i/>
          <w:iCs/>
        </w:rPr>
        <w:t>Volume 11</w:t>
      </w:r>
      <w:r w:rsidRPr="009E1DE8">
        <w:t xml:space="preserve"> (4)</w:t>
      </w:r>
    </w:p>
    <w:p w14:paraId="0D0807EB" w14:textId="2D7E3269" w:rsidR="00D86803" w:rsidRDefault="00D86803" w:rsidP="00E14627">
      <w:pPr>
        <w:ind w:left="720" w:hanging="720"/>
        <w:jc w:val="both"/>
      </w:pPr>
      <w:r w:rsidRPr="00232DA9">
        <w:t>Davis, F. D. (1989). Perceived usefulness, perceived ease of use, and user acceptance of information technology.</w:t>
      </w:r>
      <w:r w:rsidRPr="00464E96">
        <w:rPr>
          <w:i/>
          <w:iCs/>
        </w:rPr>
        <w:t xml:space="preserve"> MIS Quarterly, 13</w:t>
      </w:r>
      <w:r>
        <w:t xml:space="preserve"> </w:t>
      </w:r>
      <w:r w:rsidRPr="00232DA9">
        <w:t>(3), 319-340.</w:t>
      </w:r>
    </w:p>
    <w:p w14:paraId="08247D0B" w14:textId="77777777" w:rsidR="00D86803" w:rsidRDefault="00D86803" w:rsidP="00E14627">
      <w:pPr>
        <w:ind w:left="720" w:hanging="720"/>
        <w:jc w:val="both"/>
      </w:pPr>
      <w:r w:rsidRPr="00D17012">
        <w:t>Mustapha, S. A. (2018). E-Payment technology effect on bank performance in emerging economies–evidence from Nigeria. </w:t>
      </w:r>
      <w:r w:rsidRPr="00D17012">
        <w:rPr>
          <w:i/>
          <w:iCs/>
        </w:rPr>
        <w:t>Journal of Open Innovation: Technology, Market, and Complexity</w:t>
      </w:r>
      <w:r w:rsidRPr="00D17012">
        <w:t>, </w:t>
      </w:r>
      <w:r w:rsidRPr="00D17012">
        <w:rPr>
          <w:i/>
          <w:iCs/>
        </w:rPr>
        <w:t>4</w:t>
      </w:r>
      <w:r w:rsidRPr="00D17012">
        <w:t>(4), 43.</w:t>
      </w:r>
    </w:p>
    <w:p w14:paraId="7ADDCB16" w14:textId="77777777" w:rsidR="00D86803" w:rsidRDefault="00D86803" w:rsidP="00E14627">
      <w:pPr>
        <w:ind w:left="720" w:hanging="720"/>
        <w:jc w:val="both"/>
      </w:pPr>
      <w:r w:rsidRPr="000E7ED7">
        <w:t>Muttai, S., Njoka, C., &amp; Muchira, B. (2023). Effect of financial technology on financial performance of commercial banks in Kenya. </w:t>
      </w:r>
      <w:r w:rsidRPr="000E7ED7">
        <w:rPr>
          <w:i/>
          <w:iCs/>
        </w:rPr>
        <w:t>Journal of Finance and Accounting</w:t>
      </w:r>
      <w:r w:rsidRPr="000E7ED7">
        <w:t>, </w:t>
      </w:r>
      <w:r w:rsidRPr="000E7ED7">
        <w:rPr>
          <w:i/>
          <w:iCs/>
        </w:rPr>
        <w:t>7</w:t>
      </w:r>
      <w:r w:rsidRPr="000E7ED7">
        <w:t>(3), 80-100.</w:t>
      </w:r>
    </w:p>
    <w:p w14:paraId="29C4FEC2" w14:textId="77777777" w:rsidR="00D86803" w:rsidRDefault="00D86803" w:rsidP="00E14627">
      <w:pPr>
        <w:ind w:left="720" w:hanging="720"/>
        <w:jc w:val="both"/>
      </w:pPr>
      <w:r w:rsidRPr="002F410C">
        <w:t>Okoro, C., Nnam, H., Wilson, E. J., &amp; Obizuo, C. (2024). Impact of financial technology on financial institutions’ performance. Evidence from Nigerian commercial banks. </w:t>
      </w:r>
      <w:r w:rsidRPr="002F410C">
        <w:rPr>
          <w:i/>
          <w:iCs/>
        </w:rPr>
        <w:t>Journal of Accounting and Financial Management</w:t>
      </w:r>
      <w:r w:rsidRPr="002F410C">
        <w:t>, </w:t>
      </w:r>
      <w:r w:rsidRPr="002F410C">
        <w:rPr>
          <w:i/>
          <w:iCs/>
        </w:rPr>
        <w:t>10</w:t>
      </w:r>
      <w:r w:rsidRPr="002F410C">
        <w:t>(3), 111-134.</w:t>
      </w:r>
    </w:p>
    <w:p w14:paraId="056E2462" w14:textId="77777777" w:rsidR="00D86803" w:rsidRPr="00B8319A" w:rsidRDefault="00D86803" w:rsidP="00E14627">
      <w:pPr>
        <w:ind w:left="720" w:hanging="720"/>
        <w:jc w:val="both"/>
      </w:pPr>
      <w:r w:rsidRPr="00C257C6">
        <w:lastRenderedPageBreak/>
        <w:t>Osagu, M. I. and Ehiedu, V.</w:t>
      </w:r>
      <w:r>
        <w:t xml:space="preserve"> C.</w:t>
      </w:r>
      <w:r w:rsidRPr="00C257C6">
        <w:t xml:space="preserve"> </w:t>
      </w:r>
      <w:r>
        <w:t xml:space="preserve">(2025). </w:t>
      </w:r>
      <w:r w:rsidRPr="00C257C6">
        <w:t xml:space="preserve">Impact </w:t>
      </w:r>
      <w:r>
        <w:t>o</w:t>
      </w:r>
      <w:r w:rsidRPr="00C257C6">
        <w:t xml:space="preserve">f Financial Technology Growth Risks </w:t>
      </w:r>
      <w:r>
        <w:t>o</w:t>
      </w:r>
      <w:r w:rsidRPr="00C257C6">
        <w:t xml:space="preserve">n </w:t>
      </w:r>
      <w:r>
        <w:t>t</w:t>
      </w:r>
      <w:r w:rsidRPr="00C257C6">
        <w:t xml:space="preserve">he Performance </w:t>
      </w:r>
      <w:r>
        <w:t>o</w:t>
      </w:r>
      <w:r w:rsidRPr="00C257C6">
        <w:t xml:space="preserve">f Banks </w:t>
      </w:r>
      <w:r>
        <w:t>i</w:t>
      </w:r>
      <w:r w:rsidRPr="00C257C6">
        <w:t>n Nigeria</w:t>
      </w:r>
      <w:r>
        <w:t xml:space="preserve">. </w:t>
      </w:r>
      <w:r w:rsidRPr="005C1EDC">
        <w:rPr>
          <w:i/>
          <w:iCs/>
        </w:rPr>
        <w:t>International Journal of Academic Management Science Research. Volume 9</w:t>
      </w:r>
      <w:r w:rsidRPr="005C1EDC">
        <w:t xml:space="preserve"> </w:t>
      </w:r>
      <w:r>
        <w:t>(</w:t>
      </w:r>
      <w:r w:rsidRPr="005C1EDC">
        <w:t>6</w:t>
      </w:r>
      <w:r>
        <w:t>)</w:t>
      </w:r>
    </w:p>
    <w:p w14:paraId="6D767726" w14:textId="77777777" w:rsidR="00D86803" w:rsidRPr="00561EC3" w:rsidRDefault="00D86803" w:rsidP="00E14627">
      <w:pPr>
        <w:ind w:left="720" w:hanging="720"/>
        <w:jc w:val="both"/>
      </w:pPr>
      <w:r w:rsidRPr="006E7B21">
        <w:t xml:space="preserve">Osigbemhe, S. O., Nwoha, C. E., &amp; Okwo, I. M. (2023). </w:t>
      </w:r>
      <w:r w:rsidRPr="00681649">
        <w:t>E</w:t>
      </w:r>
      <w:r>
        <w:t>ffect of Financial Technology (FINTECH) on Corporate Performance of Banks in Nigeria 2009 – 2021.</w:t>
      </w:r>
      <w:r w:rsidRPr="00681649">
        <w:t> </w:t>
      </w:r>
      <w:r w:rsidRPr="00681649">
        <w:rPr>
          <w:i/>
          <w:iCs/>
        </w:rPr>
        <w:t>British International Journal of Applied Economics, Finance and Accounting</w:t>
      </w:r>
      <w:r w:rsidRPr="00681649">
        <w:t>, </w:t>
      </w:r>
      <w:r w:rsidRPr="00681649">
        <w:rPr>
          <w:i/>
          <w:iCs/>
        </w:rPr>
        <w:t>7</w:t>
      </w:r>
      <w:r w:rsidRPr="00681649">
        <w:t>(4), 14-33.</w:t>
      </w:r>
    </w:p>
    <w:p w14:paraId="74C5EBCE" w14:textId="77777777" w:rsidR="00D86803" w:rsidRDefault="00D86803" w:rsidP="00E14627">
      <w:pPr>
        <w:ind w:left="720" w:hanging="720"/>
        <w:jc w:val="both"/>
      </w:pPr>
      <w:r w:rsidRPr="006E7B21">
        <w:t xml:space="preserve">Otonne, A., &amp; Ige, O. T. (2023). </w:t>
      </w:r>
      <w:r w:rsidRPr="00E20CB2">
        <w:t>Exploring the influence of financial technology on banking services in Nigeria. </w:t>
      </w:r>
      <w:r w:rsidRPr="00E20CB2">
        <w:rPr>
          <w:i/>
          <w:iCs/>
        </w:rPr>
        <w:t>International Journal of Financial, Accounting, and Management</w:t>
      </w:r>
      <w:r w:rsidRPr="00E20CB2">
        <w:t>, </w:t>
      </w:r>
      <w:r w:rsidRPr="00E20CB2">
        <w:rPr>
          <w:i/>
          <w:iCs/>
        </w:rPr>
        <w:t>5</w:t>
      </w:r>
      <w:r w:rsidRPr="00E20CB2">
        <w:t>(3), 323-341.</w:t>
      </w:r>
    </w:p>
    <w:p w14:paraId="67F4398A" w14:textId="77777777" w:rsidR="00D86803" w:rsidRDefault="00D86803" w:rsidP="00E14627">
      <w:pPr>
        <w:ind w:left="720" w:hanging="720"/>
        <w:jc w:val="both"/>
      </w:pPr>
      <w:r w:rsidRPr="006E7B21">
        <w:rPr>
          <w:lang w:val="de-DE"/>
        </w:rPr>
        <w:t xml:space="preserve">Otonne, A., Melikam, W., &amp; Ige, O. T. (2023). </w:t>
      </w:r>
      <w:r w:rsidRPr="00995532">
        <w:t>Adoption of financial technology and performance of deposit money banks in Nigeria. </w:t>
      </w:r>
      <w:r w:rsidRPr="00995532">
        <w:rPr>
          <w:i/>
          <w:iCs/>
        </w:rPr>
        <w:t>Futurity Economics&amp;Law</w:t>
      </w:r>
      <w:r w:rsidRPr="00995532">
        <w:t>, </w:t>
      </w:r>
      <w:r w:rsidRPr="00995532">
        <w:rPr>
          <w:i/>
          <w:iCs/>
        </w:rPr>
        <w:t>3</w:t>
      </w:r>
      <w:r w:rsidRPr="00995532">
        <w:t>(2), 118-137.</w:t>
      </w:r>
    </w:p>
    <w:p w14:paraId="3ECE7D7D" w14:textId="77777777" w:rsidR="00E14627" w:rsidRDefault="00D86803" w:rsidP="00E14627">
      <w:pPr>
        <w:ind w:left="720" w:hanging="720"/>
        <w:jc w:val="both"/>
      </w:pPr>
      <w:r w:rsidRPr="000603B7">
        <w:t>U</w:t>
      </w:r>
      <w:r>
        <w:t xml:space="preserve">nachukwu, I, C. &amp; </w:t>
      </w:r>
      <w:r w:rsidRPr="000603B7">
        <w:t>C</w:t>
      </w:r>
      <w:r>
        <w:t xml:space="preserve">hukwuma, N. C. (2026). </w:t>
      </w:r>
      <w:r w:rsidRPr="000603B7">
        <w:t>Effect of Financial Technology on the Financial Performance of Commercial Banks in Nigeria</w:t>
      </w:r>
      <w:r>
        <w:t xml:space="preserve">. </w:t>
      </w:r>
      <w:r w:rsidRPr="000603B7">
        <w:rPr>
          <w:i/>
          <w:iCs/>
        </w:rPr>
        <w:t>IIARD International Journal of Banking and Finance Research</w:t>
      </w:r>
      <w:r>
        <w:rPr>
          <w:i/>
          <w:iCs/>
        </w:rPr>
        <w:t>.</w:t>
      </w:r>
      <w:r w:rsidRPr="000603B7">
        <w:rPr>
          <w:i/>
          <w:iCs/>
        </w:rPr>
        <w:t xml:space="preserve"> Volume 12</w:t>
      </w:r>
      <w:r w:rsidRPr="000603B7">
        <w:t xml:space="preserve"> </w:t>
      </w:r>
      <w:r>
        <w:t>(</w:t>
      </w:r>
      <w:r w:rsidRPr="000603B7">
        <w:t>1</w:t>
      </w:r>
      <w:r>
        <w:t>)</w:t>
      </w:r>
    </w:p>
    <w:p w14:paraId="06DF8806" w14:textId="35EF5F73" w:rsidR="00E1655B" w:rsidRDefault="00E14627" w:rsidP="00E4444B">
      <w:pPr>
        <w:ind w:left="720" w:hanging="720"/>
        <w:jc w:val="both"/>
      </w:pPr>
      <w:r w:rsidRPr="009E1DE8">
        <w:t>Wachira, G., &amp; Njuguna, A. (2023). Enhancing growth and productivity through mobile money financial technology services: the case of m-pesa in kenya. </w:t>
      </w:r>
      <w:r w:rsidRPr="009E1DE8">
        <w:rPr>
          <w:i/>
          <w:iCs/>
        </w:rPr>
        <w:t>International Journal of Economics and Finance</w:t>
      </w:r>
      <w:r w:rsidRPr="009E1DE8">
        <w:t>, </w:t>
      </w:r>
      <w:r w:rsidRPr="009E1DE8">
        <w:rPr>
          <w:i/>
          <w:iCs/>
        </w:rPr>
        <w:t>15</w:t>
      </w:r>
      <w:r w:rsidRPr="009E1DE8">
        <w:t>(12), 1-91.</w:t>
      </w:r>
    </w:p>
    <w:sectPr w:rsidR="00E1655B">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15D8E1" w14:textId="77777777" w:rsidR="009C7704" w:rsidRDefault="009C7704" w:rsidP="00676173">
      <w:r>
        <w:separator/>
      </w:r>
    </w:p>
  </w:endnote>
  <w:endnote w:type="continuationSeparator" w:id="0">
    <w:p w14:paraId="1FA84AA6" w14:textId="77777777" w:rsidR="009C7704" w:rsidRDefault="009C7704" w:rsidP="00676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868114"/>
      <w:docPartObj>
        <w:docPartGallery w:val="Page Numbers (Bottom of Page)"/>
        <w:docPartUnique/>
      </w:docPartObj>
    </w:sdtPr>
    <w:sdtEndPr>
      <w:rPr>
        <w:noProof/>
      </w:rPr>
    </w:sdtEndPr>
    <w:sdtContent>
      <w:p w14:paraId="265311D8" w14:textId="27D56ECB" w:rsidR="00676173" w:rsidRDefault="00676173">
        <w:pPr>
          <w:pStyle w:val="Footer"/>
          <w:jc w:val="center"/>
        </w:pPr>
        <w:r>
          <w:fldChar w:fldCharType="begin"/>
        </w:r>
        <w:r>
          <w:instrText xml:space="preserve"> PAGE   \* MERGEFORMAT </w:instrText>
        </w:r>
        <w:r>
          <w:fldChar w:fldCharType="separate"/>
        </w:r>
        <w:r w:rsidR="005F65EE">
          <w:rPr>
            <w:noProof/>
          </w:rPr>
          <w:t>16</w:t>
        </w:r>
        <w:r>
          <w:rPr>
            <w:noProof/>
          </w:rPr>
          <w:fldChar w:fldCharType="end"/>
        </w:r>
      </w:p>
    </w:sdtContent>
  </w:sdt>
  <w:p w14:paraId="4FE2E029" w14:textId="77777777" w:rsidR="00676173" w:rsidRDefault="006761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136408" w14:textId="77777777" w:rsidR="009C7704" w:rsidRDefault="009C7704" w:rsidP="00676173">
      <w:r>
        <w:separator/>
      </w:r>
    </w:p>
  </w:footnote>
  <w:footnote w:type="continuationSeparator" w:id="0">
    <w:p w14:paraId="1DA3F8E5" w14:textId="77777777" w:rsidR="009C7704" w:rsidRDefault="009C7704" w:rsidP="006761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E0BC3"/>
    <w:multiLevelType w:val="multilevel"/>
    <w:tmpl w:val="CDEE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E2445B"/>
    <w:multiLevelType w:val="multilevel"/>
    <w:tmpl w:val="49EC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770B0A"/>
    <w:multiLevelType w:val="multilevel"/>
    <w:tmpl w:val="829E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125A7A"/>
    <w:multiLevelType w:val="multilevel"/>
    <w:tmpl w:val="ACAA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2103E6"/>
    <w:multiLevelType w:val="multilevel"/>
    <w:tmpl w:val="65DA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602376"/>
    <w:multiLevelType w:val="multilevel"/>
    <w:tmpl w:val="3808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80792D"/>
    <w:multiLevelType w:val="multilevel"/>
    <w:tmpl w:val="1AB2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8B461C"/>
    <w:multiLevelType w:val="multilevel"/>
    <w:tmpl w:val="B9BAB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243420"/>
    <w:multiLevelType w:val="multilevel"/>
    <w:tmpl w:val="FA82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BD52C8"/>
    <w:multiLevelType w:val="multilevel"/>
    <w:tmpl w:val="149A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024120"/>
    <w:multiLevelType w:val="multilevel"/>
    <w:tmpl w:val="56FC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5E4BD6"/>
    <w:multiLevelType w:val="multilevel"/>
    <w:tmpl w:val="1E30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1157A9"/>
    <w:multiLevelType w:val="multilevel"/>
    <w:tmpl w:val="78D8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D65573"/>
    <w:multiLevelType w:val="multilevel"/>
    <w:tmpl w:val="A406E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4FB7456"/>
    <w:multiLevelType w:val="multilevel"/>
    <w:tmpl w:val="CE16CE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E46545E"/>
    <w:multiLevelType w:val="multilevel"/>
    <w:tmpl w:val="CEF8A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5C0C48"/>
    <w:multiLevelType w:val="multilevel"/>
    <w:tmpl w:val="B59E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604A11"/>
    <w:multiLevelType w:val="multilevel"/>
    <w:tmpl w:val="8472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4D6063"/>
    <w:multiLevelType w:val="multilevel"/>
    <w:tmpl w:val="F65E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413C2C"/>
    <w:multiLevelType w:val="multilevel"/>
    <w:tmpl w:val="4146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9F2358"/>
    <w:multiLevelType w:val="multilevel"/>
    <w:tmpl w:val="7D9F235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6"/>
  </w:num>
  <w:num w:numId="3">
    <w:abstractNumId w:val="5"/>
  </w:num>
  <w:num w:numId="4">
    <w:abstractNumId w:val="7"/>
  </w:num>
  <w:num w:numId="5">
    <w:abstractNumId w:val="0"/>
  </w:num>
  <w:num w:numId="6">
    <w:abstractNumId w:val="15"/>
  </w:num>
  <w:num w:numId="7">
    <w:abstractNumId w:val="4"/>
  </w:num>
  <w:num w:numId="8">
    <w:abstractNumId w:val="16"/>
  </w:num>
  <w:num w:numId="9">
    <w:abstractNumId w:val="1"/>
  </w:num>
  <w:num w:numId="10">
    <w:abstractNumId w:val="11"/>
  </w:num>
  <w:num w:numId="11">
    <w:abstractNumId w:val="8"/>
  </w:num>
  <w:num w:numId="12">
    <w:abstractNumId w:val="10"/>
  </w:num>
  <w:num w:numId="13">
    <w:abstractNumId w:val="19"/>
  </w:num>
  <w:num w:numId="14">
    <w:abstractNumId w:val="3"/>
  </w:num>
  <w:num w:numId="15">
    <w:abstractNumId w:val="2"/>
  </w:num>
  <w:num w:numId="16">
    <w:abstractNumId w:val="18"/>
  </w:num>
  <w:num w:numId="17">
    <w:abstractNumId w:val="12"/>
  </w:num>
  <w:num w:numId="18">
    <w:abstractNumId w:val="17"/>
  </w:num>
  <w:num w:numId="19">
    <w:abstractNumId w:val="9"/>
  </w:num>
  <w:num w:numId="20">
    <w:abstractNumId w:val="2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10C"/>
    <w:rsid w:val="00010410"/>
    <w:rsid w:val="0002146F"/>
    <w:rsid w:val="00033DC2"/>
    <w:rsid w:val="00042167"/>
    <w:rsid w:val="0004771F"/>
    <w:rsid w:val="00054B84"/>
    <w:rsid w:val="00055679"/>
    <w:rsid w:val="000603B7"/>
    <w:rsid w:val="00067B9B"/>
    <w:rsid w:val="00076FBD"/>
    <w:rsid w:val="000825E1"/>
    <w:rsid w:val="00082E6D"/>
    <w:rsid w:val="00084ABC"/>
    <w:rsid w:val="00097E71"/>
    <w:rsid w:val="000A1EBF"/>
    <w:rsid w:val="000A7115"/>
    <w:rsid w:val="000B1AB2"/>
    <w:rsid w:val="000B2A8E"/>
    <w:rsid w:val="000B520F"/>
    <w:rsid w:val="000B6788"/>
    <w:rsid w:val="000C30ED"/>
    <w:rsid w:val="000E7ED7"/>
    <w:rsid w:val="000F5AE7"/>
    <w:rsid w:val="00107C66"/>
    <w:rsid w:val="00115C33"/>
    <w:rsid w:val="0012720D"/>
    <w:rsid w:val="00152B4A"/>
    <w:rsid w:val="001645FD"/>
    <w:rsid w:val="001700A1"/>
    <w:rsid w:val="001731E1"/>
    <w:rsid w:val="001775B1"/>
    <w:rsid w:val="0019783B"/>
    <w:rsid w:val="001A7EAF"/>
    <w:rsid w:val="001B08BA"/>
    <w:rsid w:val="001B21C8"/>
    <w:rsid w:val="001B2C93"/>
    <w:rsid w:val="001B51AA"/>
    <w:rsid w:val="001C2594"/>
    <w:rsid w:val="001E42E6"/>
    <w:rsid w:val="001E6E73"/>
    <w:rsid w:val="001F2026"/>
    <w:rsid w:val="00200121"/>
    <w:rsid w:val="00205A1D"/>
    <w:rsid w:val="00205E91"/>
    <w:rsid w:val="00224ED6"/>
    <w:rsid w:val="00232DA9"/>
    <w:rsid w:val="00243DDD"/>
    <w:rsid w:val="00262FBC"/>
    <w:rsid w:val="00272CB6"/>
    <w:rsid w:val="002879E6"/>
    <w:rsid w:val="002968DE"/>
    <w:rsid w:val="002B1CE7"/>
    <w:rsid w:val="002C35D0"/>
    <w:rsid w:val="002D5A28"/>
    <w:rsid w:val="002F410C"/>
    <w:rsid w:val="00303803"/>
    <w:rsid w:val="00304941"/>
    <w:rsid w:val="00304E91"/>
    <w:rsid w:val="003156ED"/>
    <w:rsid w:val="00317397"/>
    <w:rsid w:val="00341456"/>
    <w:rsid w:val="00342EF4"/>
    <w:rsid w:val="00351333"/>
    <w:rsid w:val="00362D3D"/>
    <w:rsid w:val="00381089"/>
    <w:rsid w:val="0038148B"/>
    <w:rsid w:val="00391D51"/>
    <w:rsid w:val="003A5D57"/>
    <w:rsid w:val="003C0F91"/>
    <w:rsid w:val="003C4E16"/>
    <w:rsid w:val="003C5E6B"/>
    <w:rsid w:val="003C71D3"/>
    <w:rsid w:val="003D6111"/>
    <w:rsid w:val="003E508C"/>
    <w:rsid w:val="00405262"/>
    <w:rsid w:val="0041010C"/>
    <w:rsid w:val="004237C7"/>
    <w:rsid w:val="00425939"/>
    <w:rsid w:val="00427B1B"/>
    <w:rsid w:val="00431281"/>
    <w:rsid w:val="00432612"/>
    <w:rsid w:val="00441FED"/>
    <w:rsid w:val="00454D9F"/>
    <w:rsid w:val="00464E96"/>
    <w:rsid w:val="00465641"/>
    <w:rsid w:val="00480CC2"/>
    <w:rsid w:val="0048381D"/>
    <w:rsid w:val="004845B7"/>
    <w:rsid w:val="00491149"/>
    <w:rsid w:val="004A6508"/>
    <w:rsid w:val="004A6B36"/>
    <w:rsid w:val="004B0E9E"/>
    <w:rsid w:val="004B2362"/>
    <w:rsid w:val="004B5D2A"/>
    <w:rsid w:val="004C48D0"/>
    <w:rsid w:val="004C4B7A"/>
    <w:rsid w:val="004D6B13"/>
    <w:rsid w:val="004E0ADE"/>
    <w:rsid w:val="004F00BC"/>
    <w:rsid w:val="004F02B5"/>
    <w:rsid w:val="005018A5"/>
    <w:rsid w:val="005117A4"/>
    <w:rsid w:val="00511D0A"/>
    <w:rsid w:val="00541B29"/>
    <w:rsid w:val="00554634"/>
    <w:rsid w:val="00561EC3"/>
    <w:rsid w:val="0057693A"/>
    <w:rsid w:val="00582C27"/>
    <w:rsid w:val="00585D9D"/>
    <w:rsid w:val="00591D4A"/>
    <w:rsid w:val="00591F41"/>
    <w:rsid w:val="00595527"/>
    <w:rsid w:val="005A0ABF"/>
    <w:rsid w:val="005C1EDC"/>
    <w:rsid w:val="005C7F01"/>
    <w:rsid w:val="005D50DD"/>
    <w:rsid w:val="005E76CF"/>
    <w:rsid w:val="005F6137"/>
    <w:rsid w:val="005F65EE"/>
    <w:rsid w:val="00624764"/>
    <w:rsid w:val="006249AB"/>
    <w:rsid w:val="00625522"/>
    <w:rsid w:val="006268B3"/>
    <w:rsid w:val="00632478"/>
    <w:rsid w:val="0065536F"/>
    <w:rsid w:val="00657306"/>
    <w:rsid w:val="00665EE5"/>
    <w:rsid w:val="00670071"/>
    <w:rsid w:val="00676173"/>
    <w:rsid w:val="00681649"/>
    <w:rsid w:val="006B316D"/>
    <w:rsid w:val="006C0444"/>
    <w:rsid w:val="006C6491"/>
    <w:rsid w:val="006D43DD"/>
    <w:rsid w:val="006D6D07"/>
    <w:rsid w:val="006E0253"/>
    <w:rsid w:val="006E27E3"/>
    <w:rsid w:val="006E5EBC"/>
    <w:rsid w:val="006E7B21"/>
    <w:rsid w:val="00702825"/>
    <w:rsid w:val="00707308"/>
    <w:rsid w:val="007149F0"/>
    <w:rsid w:val="00722BC0"/>
    <w:rsid w:val="0073128C"/>
    <w:rsid w:val="00731B26"/>
    <w:rsid w:val="00731BD9"/>
    <w:rsid w:val="007320E4"/>
    <w:rsid w:val="00740B16"/>
    <w:rsid w:val="007445AC"/>
    <w:rsid w:val="007474C5"/>
    <w:rsid w:val="00765F83"/>
    <w:rsid w:val="00785060"/>
    <w:rsid w:val="00796D6D"/>
    <w:rsid w:val="007A4D6E"/>
    <w:rsid w:val="007B676E"/>
    <w:rsid w:val="007D6090"/>
    <w:rsid w:val="007E0812"/>
    <w:rsid w:val="007E6FAA"/>
    <w:rsid w:val="007F5FFD"/>
    <w:rsid w:val="00800E2A"/>
    <w:rsid w:val="00825162"/>
    <w:rsid w:val="008251F7"/>
    <w:rsid w:val="008336EF"/>
    <w:rsid w:val="008401B9"/>
    <w:rsid w:val="008427CA"/>
    <w:rsid w:val="00844173"/>
    <w:rsid w:val="00862FDF"/>
    <w:rsid w:val="00887D43"/>
    <w:rsid w:val="00895D99"/>
    <w:rsid w:val="00896E44"/>
    <w:rsid w:val="008A2331"/>
    <w:rsid w:val="008A2A63"/>
    <w:rsid w:val="008B5FF1"/>
    <w:rsid w:val="008C3F4B"/>
    <w:rsid w:val="008D23E3"/>
    <w:rsid w:val="008E5EE2"/>
    <w:rsid w:val="008E7EF0"/>
    <w:rsid w:val="008F156B"/>
    <w:rsid w:val="008F7069"/>
    <w:rsid w:val="008F77F3"/>
    <w:rsid w:val="009047F7"/>
    <w:rsid w:val="00916177"/>
    <w:rsid w:val="00920A02"/>
    <w:rsid w:val="009239CB"/>
    <w:rsid w:val="00927EB9"/>
    <w:rsid w:val="009311B6"/>
    <w:rsid w:val="00961EAD"/>
    <w:rsid w:val="00965BEA"/>
    <w:rsid w:val="009740E0"/>
    <w:rsid w:val="0097603C"/>
    <w:rsid w:val="00995532"/>
    <w:rsid w:val="009A63D4"/>
    <w:rsid w:val="009B0037"/>
    <w:rsid w:val="009C7704"/>
    <w:rsid w:val="009D23EE"/>
    <w:rsid w:val="009D2FC7"/>
    <w:rsid w:val="009D5E8C"/>
    <w:rsid w:val="009D6534"/>
    <w:rsid w:val="009D6ACC"/>
    <w:rsid w:val="009E6A42"/>
    <w:rsid w:val="00A15776"/>
    <w:rsid w:val="00A3195C"/>
    <w:rsid w:val="00A37FC8"/>
    <w:rsid w:val="00A40192"/>
    <w:rsid w:val="00A5388B"/>
    <w:rsid w:val="00A62726"/>
    <w:rsid w:val="00A70AA7"/>
    <w:rsid w:val="00A84120"/>
    <w:rsid w:val="00AB0EB9"/>
    <w:rsid w:val="00AB519B"/>
    <w:rsid w:val="00AD02F4"/>
    <w:rsid w:val="00AE02C5"/>
    <w:rsid w:val="00AE06FB"/>
    <w:rsid w:val="00AE0AE2"/>
    <w:rsid w:val="00AE36C2"/>
    <w:rsid w:val="00AE4307"/>
    <w:rsid w:val="00B06635"/>
    <w:rsid w:val="00B11597"/>
    <w:rsid w:val="00B11BBB"/>
    <w:rsid w:val="00B17F22"/>
    <w:rsid w:val="00B344AB"/>
    <w:rsid w:val="00B400B8"/>
    <w:rsid w:val="00B42757"/>
    <w:rsid w:val="00B434EC"/>
    <w:rsid w:val="00B45360"/>
    <w:rsid w:val="00B517C9"/>
    <w:rsid w:val="00B525E1"/>
    <w:rsid w:val="00B6717C"/>
    <w:rsid w:val="00B70B75"/>
    <w:rsid w:val="00B75F14"/>
    <w:rsid w:val="00B8319A"/>
    <w:rsid w:val="00B8468C"/>
    <w:rsid w:val="00B90FF9"/>
    <w:rsid w:val="00B9282B"/>
    <w:rsid w:val="00BB589F"/>
    <w:rsid w:val="00BB6C42"/>
    <w:rsid w:val="00BC1FFD"/>
    <w:rsid w:val="00BC290D"/>
    <w:rsid w:val="00BE6D49"/>
    <w:rsid w:val="00BE7E42"/>
    <w:rsid w:val="00BF2C7E"/>
    <w:rsid w:val="00C038C9"/>
    <w:rsid w:val="00C2089E"/>
    <w:rsid w:val="00C257C6"/>
    <w:rsid w:val="00C40294"/>
    <w:rsid w:val="00C43174"/>
    <w:rsid w:val="00C47F2F"/>
    <w:rsid w:val="00C71F96"/>
    <w:rsid w:val="00C729C9"/>
    <w:rsid w:val="00C753BE"/>
    <w:rsid w:val="00C928FD"/>
    <w:rsid w:val="00C962A2"/>
    <w:rsid w:val="00C977DB"/>
    <w:rsid w:val="00CA292F"/>
    <w:rsid w:val="00CA4581"/>
    <w:rsid w:val="00CA5809"/>
    <w:rsid w:val="00CB4671"/>
    <w:rsid w:val="00CC0BEC"/>
    <w:rsid w:val="00CD3403"/>
    <w:rsid w:val="00CD38AF"/>
    <w:rsid w:val="00CE0090"/>
    <w:rsid w:val="00CE3C93"/>
    <w:rsid w:val="00CF484D"/>
    <w:rsid w:val="00D022C2"/>
    <w:rsid w:val="00D04801"/>
    <w:rsid w:val="00D10D65"/>
    <w:rsid w:val="00D114B9"/>
    <w:rsid w:val="00D17012"/>
    <w:rsid w:val="00D30FB1"/>
    <w:rsid w:val="00D43144"/>
    <w:rsid w:val="00D46516"/>
    <w:rsid w:val="00D50AFD"/>
    <w:rsid w:val="00D62B6C"/>
    <w:rsid w:val="00D7466D"/>
    <w:rsid w:val="00D76BB2"/>
    <w:rsid w:val="00D81235"/>
    <w:rsid w:val="00D86803"/>
    <w:rsid w:val="00D96A6F"/>
    <w:rsid w:val="00DA28C1"/>
    <w:rsid w:val="00DA7511"/>
    <w:rsid w:val="00DA7928"/>
    <w:rsid w:val="00DE0596"/>
    <w:rsid w:val="00E03C82"/>
    <w:rsid w:val="00E14627"/>
    <w:rsid w:val="00E1655B"/>
    <w:rsid w:val="00E20CB2"/>
    <w:rsid w:val="00E2697D"/>
    <w:rsid w:val="00E361D4"/>
    <w:rsid w:val="00E3669A"/>
    <w:rsid w:val="00E4444B"/>
    <w:rsid w:val="00E454AE"/>
    <w:rsid w:val="00E559EB"/>
    <w:rsid w:val="00E57DF6"/>
    <w:rsid w:val="00E63445"/>
    <w:rsid w:val="00E70727"/>
    <w:rsid w:val="00E7101D"/>
    <w:rsid w:val="00E76994"/>
    <w:rsid w:val="00E773F4"/>
    <w:rsid w:val="00E95E02"/>
    <w:rsid w:val="00E97316"/>
    <w:rsid w:val="00EB2B99"/>
    <w:rsid w:val="00ED0164"/>
    <w:rsid w:val="00ED1D00"/>
    <w:rsid w:val="00EE0606"/>
    <w:rsid w:val="00EE1D4A"/>
    <w:rsid w:val="00EF1412"/>
    <w:rsid w:val="00EF2CFA"/>
    <w:rsid w:val="00EF3BBB"/>
    <w:rsid w:val="00EF7D78"/>
    <w:rsid w:val="00F00078"/>
    <w:rsid w:val="00F00626"/>
    <w:rsid w:val="00F0109D"/>
    <w:rsid w:val="00F05471"/>
    <w:rsid w:val="00F102A6"/>
    <w:rsid w:val="00F25139"/>
    <w:rsid w:val="00F26FE9"/>
    <w:rsid w:val="00F46143"/>
    <w:rsid w:val="00F6049C"/>
    <w:rsid w:val="00F6603E"/>
    <w:rsid w:val="00F82167"/>
    <w:rsid w:val="00F93F86"/>
    <w:rsid w:val="00FC0F34"/>
    <w:rsid w:val="00FC4A5F"/>
    <w:rsid w:val="00FD7F3A"/>
    <w:rsid w:val="00FE5866"/>
    <w:rsid w:val="00FF44F4"/>
    <w:rsid w:val="00FF5588"/>
    <w:rsid w:val="00FF5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27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10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F410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F410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F410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F410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F410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F41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1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1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1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10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F410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F410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F410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F410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F4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10C"/>
    <w:rPr>
      <w:rFonts w:eastAsiaTheme="majorEastAsia" w:cstheme="majorBidi"/>
      <w:color w:val="272727" w:themeColor="text1" w:themeTint="D8"/>
    </w:rPr>
  </w:style>
  <w:style w:type="paragraph" w:styleId="Title">
    <w:name w:val="Title"/>
    <w:basedOn w:val="Normal"/>
    <w:next w:val="Normal"/>
    <w:link w:val="TitleChar"/>
    <w:uiPriority w:val="10"/>
    <w:qFormat/>
    <w:rsid w:val="002F41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10C"/>
    <w:pPr>
      <w:spacing w:before="160"/>
      <w:jc w:val="center"/>
    </w:pPr>
    <w:rPr>
      <w:i/>
      <w:iCs/>
      <w:color w:val="404040" w:themeColor="text1" w:themeTint="BF"/>
    </w:rPr>
  </w:style>
  <w:style w:type="character" w:customStyle="1" w:styleId="QuoteChar">
    <w:name w:val="Quote Char"/>
    <w:basedOn w:val="DefaultParagraphFont"/>
    <w:link w:val="Quote"/>
    <w:uiPriority w:val="29"/>
    <w:rsid w:val="002F410C"/>
    <w:rPr>
      <w:i/>
      <w:iCs/>
      <w:color w:val="404040" w:themeColor="text1" w:themeTint="BF"/>
    </w:rPr>
  </w:style>
  <w:style w:type="paragraph" w:styleId="ListParagraph">
    <w:name w:val="List Paragraph"/>
    <w:aliases w:val="References,Bullets"/>
    <w:basedOn w:val="Normal"/>
    <w:link w:val="ListParagraphChar"/>
    <w:uiPriority w:val="34"/>
    <w:qFormat/>
    <w:rsid w:val="002F410C"/>
    <w:pPr>
      <w:ind w:left="720"/>
      <w:contextualSpacing/>
    </w:pPr>
  </w:style>
  <w:style w:type="character" w:styleId="IntenseEmphasis">
    <w:name w:val="Intense Emphasis"/>
    <w:basedOn w:val="DefaultParagraphFont"/>
    <w:uiPriority w:val="21"/>
    <w:qFormat/>
    <w:rsid w:val="002F410C"/>
    <w:rPr>
      <w:i/>
      <w:iCs/>
      <w:color w:val="2E74B5" w:themeColor="accent1" w:themeShade="BF"/>
    </w:rPr>
  </w:style>
  <w:style w:type="paragraph" w:styleId="IntenseQuote">
    <w:name w:val="Intense Quote"/>
    <w:basedOn w:val="Normal"/>
    <w:next w:val="Normal"/>
    <w:link w:val="IntenseQuoteChar"/>
    <w:uiPriority w:val="30"/>
    <w:qFormat/>
    <w:rsid w:val="002F410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F410C"/>
    <w:rPr>
      <w:i/>
      <w:iCs/>
      <w:color w:val="2E74B5" w:themeColor="accent1" w:themeShade="BF"/>
    </w:rPr>
  </w:style>
  <w:style w:type="character" w:styleId="IntenseReference">
    <w:name w:val="Intense Reference"/>
    <w:basedOn w:val="DefaultParagraphFont"/>
    <w:uiPriority w:val="32"/>
    <w:qFormat/>
    <w:rsid w:val="002F410C"/>
    <w:rPr>
      <w:b/>
      <w:bCs/>
      <w:smallCaps/>
      <w:color w:val="2E74B5" w:themeColor="accent1" w:themeShade="BF"/>
      <w:spacing w:val="5"/>
    </w:rPr>
  </w:style>
  <w:style w:type="character" w:customStyle="1" w:styleId="ListParagraphChar">
    <w:name w:val="List Paragraph Char"/>
    <w:aliases w:val="References Char,Bullets Char"/>
    <w:basedOn w:val="DefaultParagraphFont"/>
    <w:link w:val="ListParagraph"/>
    <w:uiPriority w:val="34"/>
    <w:locked/>
    <w:rsid w:val="002F410C"/>
  </w:style>
  <w:style w:type="character" w:styleId="Hyperlink">
    <w:name w:val="Hyperlink"/>
    <w:basedOn w:val="DefaultParagraphFont"/>
    <w:uiPriority w:val="99"/>
    <w:unhideWhenUsed/>
    <w:rsid w:val="00362D3D"/>
    <w:rPr>
      <w:color w:val="0563C1" w:themeColor="hyperlink"/>
      <w:u w:val="single"/>
    </w:rPr>
  </w:style>
  <w:style w:type="character" w:customStyle="1" w:styleId="UnresolvedMention">
    <w:name w:val="Unresolved Mention"/>
    <w:basedOn w:val="DefaultParagraphFont"/>
    <w:uiPriority w:val="99"/>
    <w:semiHidden/>
    <w:unhideWhenUsed/>
    <w:rsid w:val="00362D3D"/>
    <w:rPr>
      <w:color w:val="605E5C"/>
      <w:shd w:val="clear" w:color="auto" w:fill="E1DFDD"/>
    </w:rPr>
  </w:style>
  <w:style w:type="character" w:styleId="FollowedHyperlink">
    <w:name w:val="FollowedHyperlink"/>
    <w:basedOn w:val="DefaultParagraphFont"/>
    <w:uiPriority w:val="99"/>
    <w:semiHidden/>
    <w:unhideWhenUsed/>
    <w:rsid w:val="00F26FE9"/>
    <w:rPr>
      <w:color w:val="954F72" w:themeColor="followedHyperlink"/>
      <w:u w:val="single"/>
    </w:rPr>
  </w:style>
  <w:style w:type="table" w:styleId="TableGrid">
    <w:name w:val="Table Grid"/>
    <w:basedOn w:val="TableNormal"/>
    <w:uiPriority w:val="59"/>
    <w:qFormat/>
    <w:rsid w:val="00B11BBB"/>
    <w:pPr>
      <w:spacing w:after="0" w:line="240" w:lineRule="auto"/>
    </w:pPr>
    <w:rPr>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76173"/>
    <w:pPr>
      <w:tabs>
        <w:tab w:val="center" w:pos="4680"/>
        <w:tab w:val="right" w:pos="9360"/>
      </w:tabs>
    </w:pPr>
  </w:style>
  <w:style w:type="character" w:customStyle="1" w:styleId="HeaderChar">
    <w:name w:val="Header Char"/>
    <w:basedOn w:val="DefaultParagraphFont"/>
    <w:link w:val="Header"/>
    <w:uiPriority w:val="99"/>
    <w:rsid w:val="0067617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76173"/>
    <w:pPr>
      <w:tabs>
        <w:tab w:val="center" w:pos="4680"/>
        <w:tab w:val="right" w:pos="9360"/>
      </w:tabs>
    </w:pPr>
  </w:style>
  <w:style w:type="character" w:customStyle="1" w:styleId="FooterChar">
    <w:name w:val="Footer Char"/>
    <w:basedOn w:val="DefaultParagraphFont"/>
    <w:link w:val="Footer"/>
    <w:uiPriority w:val="99"/>
    <w:rsid w:val="00676173"/>
    <w:rPr>
      <w:rFonts w:ascii="Times New Roman" w:eastAsia="Times New Roman" w:hAnsi="Times New Roman"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10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F410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F410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F410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F410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F410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F41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1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1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1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10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F410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F410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F410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F410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F4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10C"/>
    <w:rPr>
      <w:rFonts w:eastAsiaTheme="majorEastAsia" w:cstheme="majorBidi"/>
      <w:color w:val="272727" w:themeColor="text1" w:themeTint="D8"/>
    </w:rPr>
  </w:style>
  <w:style w:type="paragraph" w:styleId="Title">
    <w:name w:val="Title"/>
    <w:basedOn w:val="Normal"/>
    <w:next w:val="Normal"/>
    <w:link w:val="TitleChar"/>
    <w:uiPriority w:val="10"/>
    <w:qFormat/>
    <w:rsid w:val="002F41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10C"/>
    <w:pPr>
      <w:spacing w:before="160"/>
      <w:jc w:val="center"/>
    </w:pPr>
    <w:rPr>
      <w:i/>
      <w:iCs/>
      <w:color w:val="404040" w:themeColor="text1" w:themeTint="BF"/>
    </w:rPr>
  </w:style>
  <w:style w:type="character" w:customStyle="1" w:styleId="QuoteChar">
    <w:name w:val="Quote Char"/>
    <w:basedOn w:val="DefaultParagraphFont"/>
    <w:link w:val="Quote"/>
    <w:uiPriority w:val="29"/>
    <w:rsid w:val="002F410C"/>
    <w:rPr>
      <w:i/>
      <w:iCs/>
      <w:color w:val="404040" w:themeColor="text1" w:themeTint="BF"/>
    </w:rPr>
  </w:style>
  <w:style w:type="paragraph" w:styleId="ListParagraph">
    <w:name w:val="List Paragraph"/>
    <w:aliases w:val="References,Bullets"/>
    <w:basedOn w:val="Normal"/>
    <w:link w:val="ListParagraphChar"/>
    <w:uiPriority w:val="34"/>
    <w:qFormat/>
    <w:rsid w:val="002F410C"/>
    <w:pPr>
      <w:ind w:left="720"/>
      <w:contextualSpacing/>
    </w:pPr>
  </w:style>
  <w:style w:type="character" w:styleId="IntenseEmphasis">
    <w:name w:val="Intense Emphasis"/>
    <w:basedOn w:val="DefaultParagraphFont"/>
    <w:uiPriority w:val="21"/>
    <w:qFormat/>
    <w:rsid w:val="002F410C"/>
    <w:rPr>
      <w:i/>
      <w:iCs/>
      <w:color w:val="2E74B5" w:themeColor="accent1" w:themeShade="BF"/>
    </w:rPr>
  </w:style>
  <w:style w:type="paragraph" w:styleId="IntenseQuote">
    <w:name w:val="Intense Quote"/>
    <w:basedOn w:val="Normal"/>
    <w:next w:val="Normal"/>
    <w:link w:val="IntenseQuoteChar"/>
    <w:uiPriority w:val="30"/>
    <w:qFormat/>
    <w:rsid w:val="002F410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F410C"/>
    <w:rPr>
      <w:i/>
      <w:iCs/>
      <w:color w:val="2E74B5" w:themeColor="accent1" w:themeShade="BF"/>
    </w:rPr>
  </w:style>
  <w:style w:type="character" w:styleId="IntenseReference">
    <w:name w:val="Intense Reference"/>
    <w:basedOn w:val="DefaultParagraphFont"/>
    <w:uiPriority w:val="32"/>
    <w:qFormat/>
    <w:rsid w:val="002F410C"/>
    <w:rPr>
      <w:b/>
      <w:bCs/>
      <w:smallCaps/>
      <w:color w:val="2E74B5" w:themeColor="accent1" w:themeShade="BF"/>
      <w:spacing w:val="5"/>
    </w:rPr>
  </w:style>
  <w:style w:type="character" w:customStyle="1" w:styleId="ListParagraphChar">
    <w:name w:val="List Paragraph Char"/>
    <w:aliases w:val="References Char,Bullets Char"/>
    <w:basedOn w:val="DefaultParagraphFont"/>
    <w:link w:val="ListParagraph"/>
    <w:uiPriority w:val="34"/>
    <w:locked/>
    <w:rsid w:val="002F410C"/>
  </w:style>
  <w:style w:type="character" w:styleId="Hyperlink">
    <w:name w:val="Hyperlink"/>
    <w:basedOn w:val="DefaultParagraphFont"/>
    <w:uiPriority w:val="99"/>
    <w:unhideWhenUsed/>
    <w:rsid w:val="00362D3D"/>
    <w:rPr>
      <w:color w:val="0563C1" w:themeColor="hyperlink"/>
      <w:u w:val="single"/>
    </w:rPr>
  </w:style>
  <w:style w:type="character" w:customStyle="1" w:styleId="UnresolvedMention">
    <w:name w:val="Unresolved Mention"/>
    <w:basedOn w:val="DefaultParagraphFont"/>
    <w:uiPriority w:val="99"/>
    <w:semiHidden/>
    <w:unhideWhenUsed/>
    <w:rsid w:val="00362D3D"/>
    <w:rPr>
      <w:color w:val="605E5C"/>
      <w:shd w:val="clear" w:color="auto" w:fill="E1DFDD"/>
    </w:rPr>
  </w:style>
  <w:style w:type="character" w:styleId="FollowedHyperlink">
    <w:name w:val="FollowedHyperlink"/>
    <w:basedOn w:val="DefaultParagraphFont"/>
    <w:uiPriority w:val="99"/>
    <w:semiHidden/>
    <w:unhideWhenUsed/>
    <w:rsid w:val="00F26FE9"/>
    <w:rPr>
      <w:color w:val="954F72" w:themeColor="followedHyperlink"/>
      <w:u w:val="single"/>
    </w:rPr>
  </w:style>
  <w:style w:type="table" w:styleId="TableGrid">
    <w:name w:val="Table Grid"/>
    <w:basedOn w:val="TableNormal"/>
    <w:uiPriority w:val="59"/>
    <w:qFormat/>
    <w:rsid w:val="00B11BBB"/>
    <w:pPr>
      <w:spacing w:after="0" w:line="240" w:lineRule="auto"/>
    </w:pPr>
    <w:rPr>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76173"/>
    <w:pPr>
      <w:tabs>
        <w:tab w:val="center" w:pos="4680"/>
        <w:tab w:val="right" w:pos="9360"/>
      </w:tabs>
    </w:pPr>
  </w:style>
  <w:style w:type="character" w:customStyle="1" w:styleId="HeaderChar">
    <w:name w:val="Header Char"/>
    <w:basedOn w:val="DefaultParagraphFont"/>
    <w:link w:val="Header"/>
    <w:uiPriority w:val="99"/>
    <w:rsid w:val="0067617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76173"/>
    <w:pPr>
      <w:tabs>
        <w:tab w:val="center" w:pos="4680"/>
        <w:tab w:val="right" w:pos="9360"/>
      </w:tabs>
    </w:pPr>
  </w:style>
  <w:style w:type="character" w:customStyle="1" w:styleId="FooterChar">
    <w:name w:val="Footer Char"/>
    <w:basedOn w:val="DefaultParagraphFont"/>
    <w:link w:val="Footer"/>
    <w:uiPriority w:val="99"/>
    <w:rsid w:val="0067617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businessday.ng/banking/article/updated-here-are-31-banks-that-have-met-cbns-capital-rul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thisdaylive.com/2022/10/06/firstbank-a-triumphant-return-to-the-nigerian-banking-frontlin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doi.org/10.5281/zenodo.18059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6199</TotalTime>
  <Pages>18</Pages>
  <Words>7501</Words>
  <Characters>42760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ADAH AKPA</dc:creator>
  <cp:keywords/>
  <dc:description/>
  <cp:lastModifiedBy>qwert</cp:lastModifiedBy>
  <cp:revision>218</cp:revision>
  <dcterms:created xsi:type="dcterms:W3CDTF">2026-04-01T20:08:00Z</dcterms:created>
  <dcterms:modified xsi:type="dcterms:W3CDTF">2026-04-23T15:55:00Z</dcterms:modified>
</cp:coreProperties>
</file>