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E28" w:rsidRPr="00696E28" w:rsidRDefault="00696E28" w:rsidP="00696E28">
      <w:pPr>
        <w:spacing w:after="0"/>
        <w:jc w:val="center"/>
        <w:rPr>
          <w:rFonts w:ascii="Arial" w:hAnsi="Arial" w:cs="Arial"/>
          <w:sz w:val="24"/>
          <w:szCs w:val="24"/>
        </w:rPr>
      </w:pPr>
      <w:r w:rsidRPr="00696E28">
        <w:rPr>
          <w:rFonts w:ascii="Arial" w:hAnsi="Arial" w:cs="Arial"/>
          <w:sz w:val="24"/>
          <w:szCs w:val="24"/>
        </w:rPr>
        <w:t xml:space="preserve">PROFESSIONAL DEVELOPMENT OPPORTUNITIES AND ORGANIZATIONAL COMMITMENT </w:t>
      </w:r>
      <w:r w:rsidRPr="00696E28">
        <w:rPr>
          <w:rFonts w:ascii="Arial" w:hAnsi="Arial" w:cs="Arial"/>
          <w:sz w:val="24"/>
          <w:szCs w:val="24"/>
          <w:lang w:val="en-US"/>
        </w:rPr>
        <w:t xml:space="preserve">ON THE </w:t>
      </w:r>
      <w:r w:rsidRPr="00696E28">
        <w:rPr>
          <w:rFonts w:ascii="Arial" w:hAnsi="Arial" w:cs="Arial"/>
          <w:sz w:val="24"/>
          <w:szCs w:val="24"/>
        </w:rPr>
        <w:t xml:space="preserve">WORKLOAD DEMANDS OF </w:t>
      </w:r>
    </w:p>
    <w:p w:rsidR="00696E28" w:rsidRPr="00696E28" w:rsidRDefault="00696E28" w:rsidP="00696E28">
      <w:pPr>
        <w:spacing w:after="0"/>
        <w:jc w:val="center"/>
        <w:rPr>
          <w:rFonts w:ascii="Arial" w:hAnsi="Arial" w:cs="Arial"/>
          <w:sz w:val="24"/>
          <w:szCs w:val="24"/>
        </w:rPr>
      </w:pPr>
      <w:r w:rsidRPr="00696E28">
        <w:rPr>
          <w:rFonts w:ascii="Arial" w:hAnsi="Arial" w:cs="Arial"/>
          <w:sz w:val="24"/>
          <w:szCs w:val="24"/>
        </w:rPr>
        <w:t>PRIVATE SCHOOL TEACHERS</w:t>
      </w:r>
    </w:p>
    <w:p w:rsidR="00696E28" w:rsidRPr="00696E28" w:rsidRDefault="00696E28" w:rsidP="00696E28">
      <w:pPr>
        <w:spacing w:after="0"/>
        <w:rPr>
          <w:rFonts w:ascii="Arial" w:hAnsi="Arial" w:cs="Arial"/>
          <w:sz w:val="24"/>
          <w:szCs w:val="24"/>
        </w:rPr>
      </w:pPr>
    </w:p>
    <w:p w:rsidR="00696E28" w:rsidRPr="00696E28" w:rsidRDefault="00696E28" w:rsidP="00696E28">
      <w:pPr>
        <w:spacing w:after="0"/>
        <w:jc w:val="center"/>
        <w:rPr>
          <w:rFonts w:ascii="Arial" w:hAnsi="Arial" w:cs="Arial"/>
          <w:sz w:val="24"/>
          <w:szCs w:val="24"/>
        </w:rPr>
      </w:pPr>
    </w:p>
    <w:p w:rsidR="00696E28" w:rsidRPr="00696E28" w:rsidRDefault="00696E28" w:rsidP="00696E28">
      <w:pPr>
        <w:spacing w:after="0"/>
        <w:jc w:val="center"/>
        <w:rPr>
          <w:rFonts w:ascii="Arial" w:hAnsi="Arial" w:cs="Arial"/>
          <w:sz w:val="24"/>
          <w:szCs w:val="24"/>
        </w:rPr>
      </w:pPr>
      <w:bookmarkStart w:id="0" w:name="_GoBack"/>
      <w:bookmarkEnd w:id="0"/>
    </w:p>
    <w:p w:rsidR="00696E28" w:rsidRPr="00696E28" w:rsidRDefault="00696E28" w:rsidP="00696E28">
      <w:pPr>
        <w:spacing w:after="0"/>
        <w:jc w:val="center"/>
        <w:rPr>
          <w:rFonts w:ascii="Arial" w:hAnsi="Arial" w:cs="Arial"/>
          <w:sz w:val="24"/>
          <w:szCs w:val="24"/>
        </w:rPr>
      </w:pPr>
    </w:p>
    <w:p w:rsidR="00696E28" w:rsidRPr="00696E28" w:rsidRDefault="00696E28" w:rsidP="00696E28">
      <w:pPr>
        <w:spacing w:line="256" w:lineRule="auto"/>
        <w:jc w:val="center"/>
        <w:rPr>
          <w:rFonts w:ascii="Arial" w:hAnsi="Arial" w:cs="Arial"/>
          <w:sz w:val="24"/>
          <w:szCs w:val="24"/>
          <w:lang w:val="en-US"/>
        </w:rPr>
      </w:pPr>
      <w:r w:rsidRPr="00696E28">
        <w:rPr>
          <w:rFonts w:ascii="Arial" w:eastAsia="Aptos" w:hAnsi="Arial" w:cs="Arial"/>
          <w:sz w:val="24"/>
          <w:szCs w:val="24"/>
          <w:lang w:val="en-US" w:eastAsia="zh-CN" w:bidi="ar"/>
        </w:rPr>
        <w:t>ABSTRACT</w:t>
      </w:r>
    </w:p>
    <w:p w:rsidR="00696E28" w:rsidRPr="00696E28" w:rsidRDefault="00696E28" w:rsidP="00696E28">
      <w:pPr>
        <w:spacing w:line="240" w:lineRule="auto"/>
        <w:jc w:val="both"/>
        <w:rPr>
          <w:rFonts w:ascii="Arial" w:hAnsi="Arial" w:cs="Arial"/>
          <w:sz w:val="24"/>
          <w:szCs w:val="24"/>
        </w:rPr>
      </w:pPr>
      <w:r w:rsidRPr="00696E28">
        <w:rPr>
          <w:rFonts w:ascii="Arial" w:hAnsi="Arial" w:cs="Arial"/>
          <w:sz w:val="24"/>
          <w:szCs w:val="24"/>
        </w:rPr>
        <w:t>This study aimed to examine the relationship among professional development opportunities, organizational commitment, and workload demands of private school teachers in Bukidnon during the School Year 2025–2026. Specifically, it sought to determine the levels of professional development opportunities, organizational commitment, and workload demands, as well as to identify their significant relationships and predictive influences. Employing a descriptive-correlational quantitative research design, data were gathered from 300 private school teachers using adopted standardized survey questionnaires. The collected data were analyzed through descriptive statistics, Pearson product-moment correlation, and multiple regression analyses.</w:t>
      </w:r>
      <w:r w:rsidRPr="00696E28">
        <w:rPr>
          <w:rFonts w:ascii="Arial" w:hAnsi="Arial" w:cs="Arial"/>
          <w:sz w:val="24"/>
          <w:szCs w:val="24"/>
          <w:lang w:val="en-US"/>
        </w:rPr>
        <w:t xml:space="preserve"> </w:t>
      </w:r>
      <w:r w:rsidRPr="00696E28">
        <w:rPr>
          <w:rFonts w:ascii="Arial" w:hAnsi="Arial" w:cs="Arial"/>
          <w:sz w:val="24"/>
          <w:szCs w:val="24"/>
        </w:rPr>
        <w:t>Findings revealed that teachers perceived a high level of professional development opportunities across instructional, scientific, personal, and organizational domains, indicating favorable access to professional growth activities. In terms of organizational commitment, teachers demonstrated moderate levels of affective, continuance, and normative commitment, suggesting a reasonable sense of attachment and responsibility toward their institutions, albeit influenced by existing conditions. Meanwhile, teachers reported high workload demands in terms of time, quantitative, and qualitative aspects, signifying that although workloads are manageable, they remain consistently challenging.</w:t>
      </w:r>
      <w:r w:rsidRPr="00696E28">
        <w:rPr>
          <w:rFonts w:ascii="Arial" w:hAnsi="Arial" w:cs="Arial"/>
          <w:sz w:val="24"/>
          <w:szCs w:val="24"/>
          <w:lang w:val="en-US"/>
        </w:rPr>
        <w:t xml:space="preserve"> </w:t>
      </w:r>
      <w:r w:rsidRPr="00696E28">
        <w:rPr>
          <w:rFonts w:ascii="Arial" w:hAnsi="Arial" w:cs="Arial"/>
          <w:sz w:val="24"/>
          <w:szCs w:val="24"/>
        </w:rPr>
        <w:t>Correlation analysis showed a significant positive relationship between workload demands and both professional development opportunities and organizational commitment. This implies that increased engagement in professional growth and stronger organizational attachment are associated with heightened perceptions of workload demands. Furthermore, regression analysis revealed that normative commitment, affective commitment, and selected dimensions of professional development—particularly instructional, organizational, and personal development—significantly predict workload demands. These findings suggest that as teachers become more professionally involved and organizationally committed, their responsibilities and perceived workload likewise increase.</w:t>
      </w:r>
    </w:p>
    <w:p w:rsidR="00696E28" w:rsidRPr="00696E28" w:rsidRDefault="00696E28" w:rsidP="00696E28">
      <w:pPr>
        <w:spacing w:line="240" w:lineRule="auto"/>
        <w:jc w:val="both"/>
        <w:rPr>
          <w:rFonts w:ascii="Arial" w:hAnsi="Arial" w:cs="Arial"/>
          <w:sz w:val="24"/>
          <w:szCs w:val="24"/>
        </w:rPr>
      </w:pPr>
    </w:p>
    <w:p w:rsidR="00696E28" w:rsidRPr="00696E28" w:rsidRDefault="00696E28" w:rsidP="00696E28">
      <w:pPr>
        <w:spacing w:line="240" w:lineRule="auto"/>
        <w:jc w:val="both"/>
        <w:rPr>
          <w:rFonts w:ascii="Arial" w:hAnsi="Arial" w:cs="Arial"/>
          <w:sz w:val="24"/>
          <w:szCs w:val="24"/>
          <w:lang w:val="en-US"/>
        </w:rPr>
      </w:pPr>
      <w:r w:rsidRPr="00696E28">
        <w:rPr>
          <w:rFonts w:ascii="Arial" w:hAnsi="Arial" w:cs="Arial"/>
          <w:sz w:val="24"/>
          <w:szCs w:val="24"/>
          <w:lang w:val="en-US"/>
        </w:rPr>
        <w:t xml:space="preserve">Keywords: </w:t>
      </w:r>
      <w:r w:rsidRPr="00696E28">
        <w:rPr>
          <w:rFonts w:ascii="Arial" w:hAnsi="Arial" w:cs="Arial"/>
          <w:i/>
          <w:sz w:val="24"/>
          <w:szCs w:val="24"/>
          <w:lang w:val="en-US"/>
        </w:rPr>
        <w:t>normative commitment, instructional development, organizational development, personal development, affective commitment</w:t>
      </w:r>
      <w:r w:rsidRPr="00696E28">
        <w:rPr>
          <w:rFonts w:ascii="Arial" w:hAnsi="Arial" w:cs="Arial"/>
          <w:sz w:val="24"/>
          <w:szCs w:val="24"/>
          <w:lang w:val="en-US"/>
        </w:rPr>
        <w:t xml:space="preserve"> </w:t>
      </w:r>
    </w:p>
    <w:p w:rsidR="00696E28" w:rsidRPr="00696E28" w:rsidRDefault="00696E28" w:rsidP="00696E28">
      <w:pPr>
        <w:spacing w:after="0"/>
        <w:jc w:val="center"/>
        <w:rPr>
          <w:rFonts w:ascii="Arial" w:hAnsi="Arial" w:cs="Arial"/>
          <w:lang w:val="en-US"/>
        </w:rPr>
      </w:pPr>
    </w:p>
    <w:p w:rsidR="00696E28" w:rsidRPr="00696E28" w:rsidRDefault="00696E28" w:rsidP="00696E28">
      <w:pPr>
        <w:spacing w:after="0"/>
        <w:jc w:val="center"/>
        <w:rPr>
          <w:rFonts w:ascii="Arial" w:hAnsi="Arial" w:cs="Arial"/>
          <w:lang w:val="en-US"/>
        </w:rPr>
      </w:pPr>
    </w:p>
    <w:p w:rsidR="00696E28" w:rsidRPr="00696E28" w:rsidRDefault="00696E28" w:rsidP="00696E28">
      <w:pPr>
        <w:spacing w:after="0"/>
        <w:jc w:val="center"/>
        <w:rPr>
          <w:rFonts w:ascii="Arial" w:hAnsi="Arial" w:cs="Arial"/>
          <w:lang w:val="en-US"/>
        </w:rPr>
      </w:pPr>
    </w:p>
    <w:p w:rsidR="00696E28" w:rsidRDefault="00696E28" w:rsidP="00696E28">
      <w:pPr>
        <w:spacing w:after="0"/>
        <w:jc w:val="center"/>
        <w:rPr>
          <w:rFonts w:ascii="Arial" w:hAnsi="Arial" w:cs="Arial"/>
          <w:lang w:val="en-US"/>
        </w:rPr>
      </w:pPr>
    </w:p>
    <w:p w:rsidR="00696E28" w:rsidRPr="00696E28" w:rsidRDefault="00696E28" w:rsidP="00696E28">
      <w:pPr>
        <w:spacing w:after="0"/>
        <w:jc w:val="center"/>
        <w:rPr>
          <w:rFonts w:ascii="Arial" w:hAnsi="Arial" w:cs="Arial"/>
          <w:lang w:val="en-US"/>
        </w:rPr>
      </w:pPr>
    </w:p>
    <w:p w:rsidR="00696E28" w:rsidRPr="00696E28" w:rsidRDefault="00696E28" w:rsidP="00696E28">
      <w:pPr>
        <w:spacing w:after="0"/>
        <w:jc w:val="center"/>
        <w:rPr>
          <w:rFonts w:ascii="Arial" w:hAnsi="Arial" w:cs="Arial"/>
          <w:lang w:val="en-US"/>
        </w:rPr>
      </w:pPr>
    </w:p>
    <w:p w:rsidR="00696E28" w:rsidRPr="00696E28" w:rsidRDefault="00696E28" w:rsidP="00696E28">
      <w:pPr>
        <w:spacing w:before="100" w:beforeAutospacing="1" w:after="100" w:afterAutospacing="1" w:line="300" w:lineRule="atLeast"/>
        <w:jc w:val="both"/>
        <w:outlineLvl w:val="1"/>
        <w:rPr>
          <w:rFonts w:ascii="Arial" w:eastAsia="Times New Roman" w:hAnsi="Arial" w:cs="Arial"/>
          <w:b/>
          <w:bCs/>
          <w:kern w:val="0"/>
          <w:sz w:val="36"/>
          <w:szCs w:val="36"/>
          <w:lang w:eastAsia="en-PH"/>
          <w14:ligatures w14:val="none"/>
        </w:rPr>
      </w:pPr>
      <w:r w:rsidRPr="00696E28">
        <w:rPr>
          <w:rFonts w:ascii="Arial" w:eastAsia="Times New Roman" w:hAnsi="Arial" w:cs="Arial"/>
          <w:b/>
          <w:bCs/>
          <w:kern w:val="0"/>
          <w:sz w:val="36"/>
          <w:szCs w:val="36"/>
          <w:lang w:eastAsia="en-PH"/>
          <w14:ligatures w14:val="none"/>
        </w:rPr>
        <w:t>INTRODUCTION</w:t>
      </w:r>
    </w:p>
    <w:p w:rsidR="00696E28" w:rsidRPr="00696E28" w:rsidRDefault="00696E28" w:rsidP="00696E28">
      <w:pPr>
        <w:spacing w:before="100" w:beforeAutospacing="1" w:after="100" w:afterAutospacing="1" w:line="300" w:lineRule="atLeast"/>
        <w:jc w:val="both"/>
        <w:rPr>
          <w:rFonts w:ascii="Arial" w:eastAsia="Times New Roman" w:hAnsi="Arial" w:cs="Arial"/>
          <w:kern w:val="0"/>
          <w:sz w:val="21"/>
          <w:szCs w:val="21"/>
          <w:lang w:eastAsia="en-PH"/>
          <w14:ligatures w14:val="none"/>
        </w:rPr>
      </w:pPr>
      <w:r w:rsidRPr="00696E28">
        <w:rPr>
          <w:rFonts w:ascii="Arial" w:eastAsia="Times New Roman" w:hAnsi="Arial" w:cs="Arial"/>
          <w:kern w:val="0"/>
          <w:sz w:val="21"/>
          <w:szCs w:val="21"/>
          <w:lang w:eastAsia="en-PH"/>
          <w14:ligatures w14:val="none"/>
        </w:rPr>
        <w:lastRenderedPageBreak/>
        <w:t>Teachers play a crucial role in ensuring educational quality, and their effectiveness is strongly influenced by professional development opportunities, organizational commitment, and workload demands. In private schools, where institutional structures differ from public education systems, teachers often encounter distinct professional expectations and workload conditions. While professional development enhances instructional competence and adaptability, increasing organizational commitment may also expand teachers’ responsibilities, contributing to heavier workload demands.</w:t>
      </w:r>
    </w:p>
    <w:p w:rsidR="00696E28" w:rsidRPr="00696E28" w:rsidRDefault="00696E28" w:rsidP="00696E28">
      <w:pPr>
        <w:spacing w:before="100" w:beforeAutospacing="1" w:after="100" w:afterAutospacing="1" w:line="300" w:lineRule="atLeast"/>
        <w:jc w:val="both"/>
        <w:rPr>
          <w:rFonts w:ascii="Arial" w:eastAsia="Times New Roman" w:hAnsi="Arial" w:cs="Arial"/>
          <w:kern w:val="0"/>
          <w:sz w:val="21"/>
          <w:szCs w:val="21"/>
          <w:lang w:eastAsia="en-PH"/>
          <w14:ligatures w14:val="none"/>
        </w:rPr>
      </w:pPr>
      <w:r w:rsidRPr="00696E28">
        <w:rPr>
          <w:rFonts w:ascii="Arial" w:eastAsia="Times New Roman" w:hAnsi="Arial" w:cs="Arial"/>
          <w:kern w:val="0"/>
          <w:sz w:val="21"/>
          <w:szCs w:val="21"/>
          <w:lang w:eastAsia="en-PH"/>
          <w14:ligatures w14:val="none"/>
        </w:rPr>
        <w:t>In the Philippine context, most research on teacher development and workload has focused on public school teachers, leaving a research gap regarding private school educators, particularly in Bukidnon. Limited evidence exists on how professional development opportunities and organizational commitment interact with workload demands in private educational institutions operating under different organizational and policy environments.</w:t>
      </w:r>
    </w:p>
    <w:p w:rsidR="00696E28" w:rsidRPr="00696E28" w:rsidRDefault="00696E28" w:rsidP="00696E28">
      <w:pPr>
        <w:spacing w:before="100" w:beforeAutospacing="1" w:after="100" w:afterAutospacing="1" w:line="300" w:lineRule="atLeast"/>
        <w:jc w:val="both"/>
        <w:rPr>
          <w:rFonts w:ascii="Arial" w:eastAsia="Times New Roman" w:hAnsi="Arial" w:cs="Arial"/>
          <w:kern w:val="0"/>
          <w:sz w:val="21"/>
          <w:szCs w:val="21"/>
          <w:lang w:eastAsia="en-PH"/>
          <w14:ligatures w14:val="none"/>
        </w:rPr>
      </w:pPr>
      <w:r w:rsidRPr="00696E28">
        <w:rPr>
          <w:rFonts w:ascii="Arial" w:eastAsia="Times New Roman" w:hAnsi="Arial" w:cs="Arial"/>
          <w:kern w:val="0"/>
          <w:sz w:val="21"/>
          <w:szCs w:val="21"/>
          <w:lang w:eastAsia="en-PH"/>
          <w14:ligatures w14:val="none"/>
        </w:rPr>
        <w:t xml:space="preserve">Grounded in Human Capital Theory, Job Demands–Resources Theory, Organizational Commitment Theory, Role Theory, and Conservation of Resources Theory, this study examined the </w:t>
      </w:r>
      <w:r w:rsidRPr="00696E28">
        <w:rPr>
          <w:rFonts w:ascii="Arial" w:eastAsia="Times New Roman" w:hAnsi="Arial" w:cs="Arial"/>
          <w:bCs/>
          <w:kern w:val="0"/>
          <w:sz w:val="21"/>
          <w:szCs w:val="21"/>
          <w:lang w:eastAsia="en-PH"/>
          <w14:ligatures w14:val="none"/>
        </w:rPr>
        <w:t>relationship between professional development opportunities, organizational commitment, and workload demands</w:t>
      </w:r>
      <w:r w:rsidRPr="00696E28">
        <w:rPr>
          <w:rFonts w:ascii="Arial" w:eastAsia="Times New Roman" w:hAnsi="Arial" w:cs="Arial"/>
          <w:kern w:val="0"/>
          <w:sz w:val="21"/>
          <w:szCs w:val="21"/>
          <w:lang w:eastAsia="en-PH"/>
          <w14:ligatures w14:val="none"/>
        </w:rPr>
        <w:t xml:space="preserve"> of private school teachers in Bukidnon during School Year 2025–2026. Specifically, it sought to (1) determine the levels of professional development opportunities, organizational commitment, and workload demands; (2) examine the relationships among these variables; and (3) identify which variables significantly predict teachers’ workload demands.</w:t>
      </w:r>
    </w:p>
    <w:p w:rsidR="00696E28" w:rsidRPr="00696E28" w:rsidRDefault="00696E28" w:rsidP="00696E28">
      <w:pPr>
        <w:spacing w:before="100" w:beforeAutospacing="1" w:after="100" w:afterAutospacing="1" w:line="300" w:lineRule="atLeast"/>
        <w:jc w:val="both"/>
        <w:outlineLvl w:val="1"/>
        <w:rPr>
          <w:rFonts w:ascii="Arial" w:eastAsia="Times New Roman" w:hAnsi="Arial" w:cs="Arial"/>
          <w:b/>
          <w:bCs/>
          <w:kern w:val="0"/>
          <w:sz w:val="36"/>
          <w:szCs w:val="36"/>
          <w:lang w:eastAsia="en-PH"/>
          <w14:ligatures w14:val="none"/>
        </w:rPr>
      </w:pPr>
    </w:p>
    <w:p w:rsidR="00696E28" w:rsidRPr="00696E28" w:rsidRDefault="00696E28" w:rsidP="00696E28">
      <w:pPr>
        <w:spacing w:before="100" w:beforeAutospacing="1" w:after="100" w:afterAutospacing="1" w:line="300" w:lineRule="atLeast"/>
        <w:jc w:val="both"/>
        <w:outlineLvl w:val="1"/>
        <w:rPr>
          <w:rFonts w:ascii="Arial" w:eastAsia="Times New Roman" w:hAnsi="Arial" w:cs="Arial"/>
          <w:b/>
          <w:bCs/>
          <w:kern w:val="0"/>
          <w:sz w:val="36"/>
          <w:szCs w:val="36"/>
          <w:lang w:eastAsia="en-PH"/>
          <w14:ligatures w14:val="none"/>
        </w:rPr>
      </w:pPr>
      <w:r w:rsidRPr="00696E28">
        <w:rPr>
          <w:rFonts w:ascii="Arial" w:eastAsia="Times New Roman" w:hAnsi="Arial" w:cs="Arial"/>
          <w:b/>
          <w:bCs/>
          <w:kern w:val="0"/>
          <w:sz w:val="36"/>
          <w:szCs w:val="36"/>
          <w:lang w:eastAsia="en-PH"/>
          <w14:ligatures w14:val="none"/>
        </w:rPr>
        <w:t>METHODS</w:t>
      </w:r>
    </w:p>
    <w:p w:rsidR="00696E28" w:rsidRPr="00696E28" w:rsidRDefault="00696E28" w:rsidP="00696E28">
      <w:pPr>
        <w:spacing w:after="0" w:line="300" w:lineRule="atLeast"/>
        <w:jc w:val="both"/>
        <w:rPr>
          <w:rFonts w:ascii="Arial" w:eastAsia="Times New Roman" w:hAnsi="Arial" w:cs="Arial"/>
          <w:kern w:val="0"/>
          <w:sz w:val="21"/>
          <w:szCs w:val="21"/>
          <w:lang w:eastAsia="en-PH"/>
          <w14:ligatures w14:val="none"/>
        </w:rPr>
      </w:pPr>
      <w:r w:rsidRPr="00696E28">
        <w:rPr>
          <w:rFonts w:ascii="Arial" w:eastAsia="Times New Roman" w:hAnsi="Arial" w:cs="Arial"/>
          <w:kern w:val="0"/>
          <w:sz w:val="21"/>
          <w:szCs w:val="21"/>
          <w:lang w:eastAsia="en-PH"/>
          <w14:ligatures w14:val="none"/>
        </w:rPr>
        <w:t>This study employed a descriptive–correlational quantitative research design to examine the relationship among professional development opportunities, organizational commitment, and workload demands of private school teachers in Bukidnon during School Year 2025–2026. The respondents consisted of 300 private school teachers from selected private educational institutions in the province, chosen through random sampling to ensure adequate representation across participating schools. Data were collected using three adopted and standardized survey questionnaires measuring professional development opportunities (instructional, scientific field, personal, and organizational development), organizational commitment (affective, continuance, and normative commitment), and workload demands (time, quantitative, and qualitative). Prior to actual data collection, the instruments were pilot-tested and demonstrated excellent reliability, with Cronbach’s alpha coefficients of 0.908 for professional development opportunities, 0.959 for organizational commitment, and 0.940 for workload demands. A five-point Likert scale was used for all instruments. Formal permission to conduct the study was secured from school administrators, and participation was voluntary, with confidentiality of responses assured. The gathered data were analyzed using descriptive statistics to determine the levels of the variables, Pearson product–moment correlation to examine the relationships among them, and multiple regression analysis to identify which variables significantly predicted teachers’ workload demands.</w:t>
      </w:r>
    </w:p>
    <w:p w:rsidR="00696E28" w:rsidRPr="00696E28" w:rsidRDefault="00696E28" w:rsidP="00696E28">
      <w:pPr>
        <w:spacing w:before="100" w:beforeAutospacing="1" w:after="100" w:afterAutospacing="1" w:line="300" w:lineRule="atLeast"/>
        <w:jc w:val="both"/>
        <w:outlineLvl w:val="1"/>
        <w:rPr>
          <w:rFonts w:ascii="Arial" w:eastAsia="Times New Roman" w:hAnsi="Arial" w:cs="Arial"/>
          <w:b/>
          <w:bCs/>
          <w:kern w:val="0"/>
          <w:sz w:val="36"/>
          <w:szCs w:val="36"/>
          <w:lang w:eastAsia="en-PH"/>
          <w14:ligatures w14:val="none"/>
        </w:rPr>
      </w:pPr>
      <w:r w:rsidRPr="00696E28">
        <w:rPr>
          <w:rFonts w:ascii="Arial" w:hAnsi="Arial" w:cs="Arial"/>
          <w:noProof/>
          <w:sz w:val="24"/>
          <w:szCs w:val="24"/>
          <w:lang w:val="en-IN" w:eastAsia="en-IN"/>
        </w:rPr>
        <w:lastRenderedPageBreak/>
        <mc:AlternateContent>
          <mc:Choice Requires="wps">
            <w:drawing>
              <wp:anchor distT="0" distB="0" distL="114300" distR="114300" simplePos="0" relativeHeight="251660288" behindDoc="0" locked="0" layoutInCell="1" allowOverlap="1" wp14:anchorId="72DDDA81" wp14:editId="44148DF6">
                <wp:simplePos x="0" y="0"/>
                <wp:positionH relativeFrom="column">
                  <wp:posOffset>4839970</wp:posOffset>
                </wp:positionH>
                <wp:positionV relativeFrom="paragraph">
                  <wp:posOffset>-861695</wp:posOffset>
                </wp:positionV>
                <wp:extent cx="904875" cy="672465"/>
                <wp:effectExtent l="0" t="0" r="9525" b="13335"/>
                <wp:wrapNone/>
                <wp:docPr id="11" name="Rectangles 6"/>
                <wp:cNvGraphicFramePr/>
                <a:graphic xmlns:a="http://schemas.openxmlformats.org/drawingml/2006/main">
                  <a:graphicData uri="http://schemas.microsoft.com/office/word/2010/wordprocessingShape">
                    <wps:wsp>
                      <wps:cNvSpPr/>
                      <wps:spPr>
                        <a:xfrm>
                          <a:off x="6487160" y="420370"/>
                          <a:ext cx="904875" cy="67246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7A276C" id="Rectangles 6" o:spid="_x0000_s1026" style="position:absolute;margin-left:381.1pt;margin-top:-67.85pt;width:71.25pt;height:52.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" fillcolor="white [3212]" stroked="f" strokeweight="1pt"/>
            </w:pict>
          </mc:Fallback>
        </mc:AlternateContent>
      </w:r>
      <w:r w:rsidRPr="00696E28">
        <w:rPr>
          <w:rFonts w:ascii="Arial" w:hAnsi="Arial" w:cs="Arial"/>
          <w:noProof/>
          <w:sz w:val="24"/>
          <w:szCs w:val="24"/>
          <w:lang w:val="en-IN" w:eastAsia="en-IN"/>
        </w:rPr>
        <mc:AlternateContent>
          <mc:Choice Requires="wps">
            <w:drawing>
              <wp:anchor distT="0" distB="0" distL="114300" distR="114300" simplePos="0" relativeHeight="251661312" behindDoc="0" locked="0" layoutInCell="1" allowOverlap="1" wp14:anchorId="6396DD06" wp14:editId="2DAA1409">
                <wp:simplePos x="0" y="0"/>
                <wp:positionH relativeFrom="column">
                  <wp:posOffset>5043805</wp:posOffset>
                </wp:positionH>
                <wp:positionV relativeFrom="paragraph">
                  <wp:posOffset>-921385</wp:posOffset>
                </wp:positionV>
                <wp:extent cx="342900" cy="238125"/>
                <wp:effectExtent l="6350" t="6350" r="16510" b="14605"/>
                <wp:wrapNone/>
                <wp:docPr id="10" name="Rectangles 9"/>
                <wp:cNvGraphicFramePr/>
                <a:graphic xmlns:a="http://schemas.openxmlformats.org/drawingml/2006/main">
                  <a:graphicData uri="http://schemas.microsoft.com/office/word/2010/wordprocessingShape">
                    <wps:wsp>
                      <wps:cNvSpPr/>
                      <wps:spPr>
                        <a:xfrm>
                          <a:off x="0" y="0"/>
                          <a:ext cx="342900" cy="23812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6B4B61" id="Rectangles 9" o:spid="_x0000_s1026" style="position:absolute;margin-left:397.15pt;margin-top:-72.55pt;width:27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" fillcolor="white [3212]" strokecolor="white [3212]" strokeweight="1pt"/>
            </w:pict>
          </mc:Fallback>
        </mc:AlternateContent>
      </w:r>
      <w:r w:rsidRPr="00696E28">
        <w:rPr>
          <w:rFonts w:ascii="Arial" w:hAnsi="Arial" w:cs="Arial"/>
          <w:noProof/>
          <w:sz w:val="24"/>
          <w:szCs w:val="24"/>
          <w:lang w:val="en-IN" w:eastAsia="en-IN"/>
        </w:rPr>
        <mc:AlternateContent>
          <mc:Choice Requires="wps">
            <w:drawing>
              <wp:anchor distT="0" distB="0" distL="114300" distR="114300" simplePos="0" relativeHeight="251659264" behindDoc="0" locked="0" layoutInCell="1" allowOverlap="1" wp14:anchorId="70CF637A" wp14:editId="5F2820BA">
                <wp:simplePos x="0" y="0"/>
                <wp:positionH relativeFrom="column">
                  <wp:posOffset>5046345</wp:posOffset>
                </wp:positionH>
                <wp:positionV relativeFrom="paragraph">
                  <wp:posOffset>-518795</wp:posOffset>
                </wp:positionV>
                <wp:extent cx="283845" cy="267335"/>
                <wp:effectExtent l="0" t="0" r="5715" b="6985"/>
                <wp:wrapNone/>
                <wp:docPr id="12" name="Oval 12"/>
                <wp:cNvGraphicFramePr/>
                <a:graphic xmlns:a="http://schemas.openxmlformats.org/drawingml/2006/main">
                  <a:graphicData uri="http://schemas.microsoft.com/office/word/2010/wordprocessingShape">
                    <wps:wsp>
                      <wps:cNvSpPr/>
                      <wps:spPr>
                        <a:xfrm>
                          <a:off x="6417945" y="852805"/>
                          <a:ext cx="283845" cy="267335"/>
                        </a:xfrm>
                        <a:prstGeom prst="ellipse">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3059B4" id="Oval 12" o:spid="_x0000_s1026" style="position:absolute;margin-left:397.35pt;margin-top:-40.85pt;width:22.35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" fillcolor="white [3212]" stroked="f" strokeweight="1pt">
                <v:stroke joinstyle="miter"/>
              </v:oval>
            </w:pict>
          </mc:Fallback>
        </mc:AlternateContent>
      </w:r>
      <w:r>
        <w:rPr>
          <w:rFonts w:ascii="Arial" w:eastAsia="Times New Roman" w:hAnsi="Arial" w:cs="Arial"/>
          <w:b/>
          <w:bCs/>
          <w:kern w:val="0"/>
          <w:sz w:val="36"/>
          <w:szCs w:val="36"/>
          <w:lang w:eastAsia="en-PH"/>
          <w14:ligatures w14:val="none"/>
        </w:rPr>
        <w:t>RESULTS AND DISCUSSION</w:t>
      </w:r>
    </w:p>
    <w:p w:rsidR="00696E28" w:rsidRPr="00696E28" w:rsidRDefault="00696E28" w:rsidP="00696E28">
      <w:pPr>
        <w:spacing w:after="0" w:line="360" w:lineRule="auto"/>
        <w:ind w:firstLine="720"/>
        <w:jc w:val="both"/>
        <w:rPr>
          <w:rFonts w:ascii="Arial" w:eastAsia="Times New Roman" w:hAnsi="Arial" w:cs="Arial"/>
          <w:color w:val="000000"/>
          <w:sz w:val="24"/>
          <w:szCs w:val="24"/>
        </w:rPr>
      </w:pPr>
      <w:r w:rsidRPr="00696E28">
        <w:rPr>
          <w:rFonts w:ascii="Arial" w:eastAsia="Times New Roman" w:hAnsi="Arial" w:cs="Arial"/>
          <w:color w:val="000000"/>
          <w:sz w:val="24"/>
          <w:szCs w:val="24"/>
        </w:rPr>
        <w:t xml:space="preserve">This chapter contains the presentation, analysis, and interpretation of data gathered on </w:t>
      </w:r>
      <w:r w:rsidRPr="00696E28">
        <w:rPr>
          <w:rFonts w:ascii="Arial" w:hAnsi="Arial" w:cs="Arial"/>
          <w:sz w:val="24"/>
          <w:szCs w:val="24"/>
        </w:rPr>
        <w:t xml:space="preserve">the Teachers’ levels of </w:t>
      </w:r>
      <w:r w:rsidRPr="00696E28">
        <w:rPr>
          <w:rFonts w:ascii="Arial" w:eastAsia="Aptos" w:hAnsi="Arial" w:cs="Arial"/>
          <w:sz w:val="24"/>
          <w:szCs w:val="24"/>
          <w:lang w:val="en-US" w:eastAsia="zh-CN" w:bidi="ar"/>
        </w:rPr>
        <w:t xml:space="preserve">Professional Development Opportunities, Organizational Commitment, and Workload Demands. </w:t>
      </w:r>
      <w:r w:rsidRPr="00696E28">
        <w:rPr>
          <w:rFonts w:ascii="Arial" w:eastAsia="Times New Roman" w:hAnsi="Arial" w:cs="Arial"/>
          <w:color w:val="000000"/>
          <w:sz w:val="24"/>
          <w:szCs w:val="24"/>
        </w:rPr>
        <w:t>The order of presentation is based on the order of specific objectives of the study. </w:t>
      </w:r>
    </w:p>
    <w:p w:rsidR="00696E28" w:rsidRPr="00696E28" w:rsidRDefault="00696E28" w:rsidP="00696E28">
      <w:pPr>
        <w:spacing w:after="0" w:line="360" w:lineRule="auto"/>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 results in Table 2 show that teachers generally perceive a high level of professional development opportunities in terms of instructional development, as indicated by an overall mean of 4.02, a standard deviation of 0.53, and a descriptive rating of Agree, which is qualitatively interpreted as High Opportunity. The relatively low standard deviation suggests a high level of consistency in teachers’ perceptions. Among the indicators, the highest</w:t>
      </w:r>
      <w:r w:rsidRPr="00696E28">
        <w:rPr>
          <w:rFonts w:ascii="Cambria Math" w:hAnsi="Cambria Math" w:cs="Cambria Math"/>
          <w:sz w:val="24"/>
          <w:szCs w:val="24"/>
          <w:lang w:val="en-US"/>
        </w:rPr>
        <w:t>‑</w:t>
      </w:r>
      <w:r w:rsidRPr="00696E28">
        <w:rPr>
          <w:rFonts w:ascii="Arial" w:hAnsi="Arial" w:cs="Arial"/>
          <w:sz w:val="24"/>
          <w:szCs w:val="24"/>
          <w:lang w:val="en-US"/>
        </w:rPr>
        <w:t>rated items were the need for knowledge about designing and using instructional materials (M = 4.35, SD = 0.78, Agree), following innovations in information and communication technologies and applying them in lessons (M = 4.34, SD = 0.72, Agree), and the need for knowledge about using technology for teaching purposes (M = 4.33, SD = 0.86, Agree), all of which were interpreted as High Opportunity. On the other hand, the lowest rated indicator was the ability to teach gifted children or children with learning disabilities (M = 3.32, SD = 1.00, Neutral), which was qualitatively interpreted as Moderate Opportunity. The relatively higher standard deviation for this item indicates greater variability in teachers’ responses, suggesting differences in experience, training, or institutional support in handling diverse learners.</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 findings indicate that teachers generally demonstrate confidence in their instructional competencies, particularly in the use of varied teaching strategies, student motivation, and lesson preparation aligned with curriculum outcomes. The consistently high mean ratings, together with low to moderate standard deviation values, indicate a high level of agreement among teachers, reflecting stable instructional practices and generally uniform access to professional development, especially in instructional materials and technology integration.</w:t>
      </w:r>
    </w:p>
    <w:p w:rsidR="00696E28" w:rsidRDefault="00696E28" w:rsidP="00696E28">
      <w:pPr>
        <w:spacing w:after="0" w:line="240" w:lineRule="auto"/>
        <w:jc w:val="both"/>
        <w:rPr>
          <w:rFonts w:ascii="Arial" w:hAnsi="Arial" w:cs="Arial"/>
          <w:sz w:val="24"/>
          <w:szCs w:val="24"/>
          <w:lang w:val="en-US"/>
        </w:rPr>
      </w:pPr>
    </w:p>
    <w:p w:rsidR="00696E28" w:rsidRDefault="00696E28" w:rsidP="00696E28">
      <w:pPr>
        <w:spacing w:after="0" w:line="240" w:lineRule="auto"/>
        <w:jc w:val="both"/>
        <w:rPr>
          <w:rFonts w:ascii="Arial" w:hAnsi="Arial" w:cs="Arial"/>
          <w:sz w:val="24"/>
          <w:szCs w:val="24"/>
          <w:lang w:val="en-US"/>
        </w:rPr>
      </w:pPr>
    </w:p>
    <w:p w:rsidR="00696E28" w:rsidRDefault="00696E28" w:rsidP="00696E28">
      <w:pPr>
        <w:spacing w:after="0" w:line="240" w:lineRule="auto"/>
        <w:jc w:val="both"/>
        <w:rPr>
          <w:rFonts w:ascii="Arial" w:hAnsi="Arial" w:cs="Arial"/>
          <w:sz w:val="24"/>
          <w:szCs w:val="24"/>
          <w:lang w:val="en-US"/>
        </w:rPr>
      </w:pPr>
    </w:p>
    <w:p w:rsidR="00696E28" w:rsidRDefault="00696E28" w:rsidP="00696E28">
      <w:pPr>
        <w:spacing w:after="0" w:line="240" w:lineRule="auto"/>
        <w:jc w:val="both"/>
        <w:rPr>
          <w:rFonts w:ascii="Arial" w:hAnsi="Arial" w:cs="Arial"/>
          <w:sz w:val="24"/>
          <w:szCs w:val="24"/>
          <w:lang w:val="en-US"/>
        </w:rPr>
      </w:pPr>
    </w:p>
    <w:p w:rsidR="00696E28" w:rsidRDefault="00696E28" w:rsidP="00696E28">
      <w:pPr>
        <w:spacing w:after="0" w:line="240" w:lineRule="auto"/>
        <w:jc w:val="both"/>
        <w:rPr>
          <w:rFonts w:ascii="Arial" w:hAnsi="Arial" w:cs="Arial"/>
          <w:sz w:val="24"/>
          <w:szCs w:val="24"/>
          <w:lang w:val="en-US"/>
        </w:rPr>
      </w:pPr>
    </w:p>
    <w:p w:rsidR="00696E28" w:rsidRPr="00696E28" w:rsidRDefault="00696E28" w:rsidP="00696E28">
      <w:pPr>
        <w:spacing w:after="0" w:line="240" w:lineRule="auto"/>
        <w:jc w:val="both"/>
        <w:rPr>
          <w:rFonts w:ascii="Arial" w:eastAsia="Aptos" w:hAnsi="Arial" w:cs="Arial"/>
          <w:sz w:val="24"/>
          <w:szCs w:val="24"/>
        </w:rPr>
      </w:pPr>
      <w:r w:rsidRPr="00696E28">
        <w:rPr>
          <w:rFonts w:ascii="Arial" w:hAnsi="Arial" w:cs="Arial"/>
          <w:sz w:val="24"/>
          <w:szCs w:val="24"/>
          <w:lang w:val="en-US"/>
        </w:rPr>
        <w:lastRenderedPageBreak/>
        <w:t>Table 2. Mean scores of the teachers’ 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 xml:space="preserve">professional development opportunities in terms of </w:t>
      </w:r>
      <w:r w:rsidRPr="00696E28">
        <w:rPr>
          <w:rFonts w:ascii="Arial" w:hAnsi="Arial" w:cs="Arial"/>
          <w:kern w:val="0"/>
          <w:sz w:val="24"/>
          <w:szCs w:val="24"/>
          <w:lang w:val="en-US" w:eastAsia="zh-CN" w:bidi="ar"/>
        </w:rPr>
        <w:t xml:space="preserve">instructional development. </w:t>
      </w:r>
    </w:p>
    <w:tbl>
      <w:tblPr>
        <w:tblW w:w="8457" w:type="dxa"/>
        <w:tblInd w:w="-5"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302"/>
        <w:gridCol w:w="982"/>
        <w:gridCol w:w="1069"/>
        <w:gridCol w:w="1265"/>
        <w:gridCol w:w="1839"/>
      </w:tblGrid>
      <w:tr w:rsidR="00696E28" w:rsidRPr="00696E28" w:rsidTr="00696E28">
        <w:trPr>
          <w:trHeight w:val="446"/>
        </w:trPr>
        <w:tc>
          <w:tcPr>
            <w:tcW w:w="330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98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069"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Standard Deviation</w:t>
            </w:r>
          </w:p>
        </w:tc>
        <w:tc>
          <w:tcPr>
            <w:tcW w:w="1265"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 xml:space="preserve">Descriptive </w:t>
            </w:r>
          </w:p>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Rating</w:t>
            </w:r>
          </w:p>
        </w:tc>
        <w:tc>
          <w:tcPr>
            <w:tcW w:w="1839"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446"/>
        </w:trPr>
        <w:tc>
          <w:tcPr>
            <w:tcW w:w="3302"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need knowledge about designing and using instructional materials.</w:t>
            </w:r>
          </w:p>
        </w:tc>
        <w:tc>
          <w:tcPr>
            <w:tcW w:w="982"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4.35</w:t>
            </w:r>
          </w:p>
        </w:tc>
        <w:tc>
          <w:tcPr>
            <w:tcW w:w="1069" w:type="dxa"/>
            <w:tcBorders>
              <w:top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0.78</w:t>
            </w:r>
          </w:p>
        </w:tc>
        <w:tc>
          <w:tcPr>
            <w:tcW w:w="1265"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52"/>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follow the innovations in information and communication technologies and apply them in my lessons.</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4.34</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0.72</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34"/>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need knowledge about using technology for teaching purposes.</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4.33</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0.86</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869"/>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would like to learn different teaching methods to motivate students and to encourage them participate in classroom activities.</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4.26</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0.82</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34"/>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can easily use various teaching strategies in my lessons.</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4.12</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0.75</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52"/>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can always motivate my students and encourage them participate in the classroom activities.</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4.06</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0.76</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34"/>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can easily improve my students thinking abilities.</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3.97</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0.74</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238"/>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successful in teaching environment and classroom preparation activities.</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3.94</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0.74</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27"/>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have enough knowledge about assessment and evaluation.</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3.91</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0.79</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52"/>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do not have any problems in preparing lesson plans in accordance with learning outcomes in the curriculum.</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3.84</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0.85</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52"/>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do not have difficulty in preventing student interventions that negatively affect the lesson.</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3.79</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0.89</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34"/>
        </w:trPr>
        <w:tc>
          <w:tcPr>
            <w:tcW w:w="3302"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do not have difficulty in teaching gifted children or children with learning disability.</w:t>
            </w:r>
          </w:p>
        </w:tc>
        <w:tc>
          <w:tcPr>
            <w:tcW w:w="982"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3.32</w:t>
            </w:r>
          </w:p>
        </w:tc>
        <w:tc>
          <w:tcPr>
            <w:tcW w:w="1069" w:type="dxa"/>
            <w:tcBorders>
              <w:bottom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1.00</w:t>
            </w:r>
          </w:p>
        </w:tc>
        <w:tc>
          <w:tcPr>
            <w:tcW w:w="1265"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Neutral</w:t>
            </w:r>
          </w:p>
        </w:tc>
        <w:tc>
          <w:tcPr>
            <w:tcW w:w="1839"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Moderate Opportunity</w:t>
            </w:r>
          </w:p>
        </w:tc>
      </w:tr>
      <w:tr w:rsidR="00696E28" w:rsidRPr="00696E28" w:rsidTr="00696E28">
        <w:trPr>
          <w:trHeight w:val="406"/>
        </w:trPr>
        <w:tc>
          <w:tcPr>
            <w:tcW w:w="3302"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right"/>
              <w:rPr>
                <w:rFonts w:ascii="Arial" w:hAnsi="Arial" w:cs="Arial"/>
                <w:sz w:val="20"/>
                <w:szCs w:val="20"/>
              </w:rPr>
            </w:pPr>
            <w:r w:rsidRPr="00696E28">
              <w:rPr>
                <w:rFonts w:ascii="Arial" w:hAnsi="Arial" w:cs="Arial"/>
                <w:sz w:val="20"/>
                <w:szCs w:val="20"/>
              </w:rPr>
              <w:t>Overall Mean</w:t>
            </w:r>
          </w:p>
        </w:tc>
        <w:tc>
          <w:tcPr>
            <w:tcW w:w="98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4.02</w:t>
            </w:r>
          </w:p>
        </w:tc>
        <w:tc>
          <w:tcPr>
            <w:tcW w:w="1069" w:type="dxa"/>
            <w:tcBorders>
              <w:top w:val="single" w:sz="4" w:space="0" w:color="auto"/>
              <w:bottom w:val="single" w:sz="4" w:space="0" w:color="auto"/>
            </w:tcBorders>
            <w:shd w:val="clear" w:color="auto" w:fill="FFFFFF" w:themeFill="background1"/>
            <w:vAlign w:val="center"/>
          </w:tcPr>
          <w:p w:rsidR="00696E28" w:rsidRPr="00696E28" w:rsidRDefault="00696E28" w:rsidP="00696E28">
            <w:pPr>
              <w:jc w:val="center"/>
              <w:textAlignment w:val="center"/>
              <w:rPr>
                <w:rFonts w:ascii="Arial" w:hAnsi="Arial" w:cs="Arial"/>
                <w:sz w:val="20"/>
                <w:szCs w:val="20"/>
                <w:lang w:val="en-US"/>
              </w:rPr>
            </w:pPr>
            <w:r w:rsidRPr="00696E28">
              <w:rPr>
                <w:rFonts w:ascii="Arial" w:eastAsia="SimSun" w:hAnsi="Arial" w:cs="Arial"/>
                <w:color w:val="000000"/>
                <w:kern w:val="0"/>
                <w:sz w:val="20"/>
                <w:szCs w:val="20"/>
                <w:lang w:val="en-US" w:eastAsia="zh-CN" w:bidi="ar"/>
              </w:rPr>
              <w:t>0.53</w:t>
            </w:r>
          </w:p>
        </w:tc>
        <w:tc>
          <w:tcPr>
            <w:tcW w:w="126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W w:w="7360" w:type="dxa"/>
        <w:tblLook w:val="04A0" w:firstRow="1" w:lastRow="0" w:firstColumn="1" w:lastColumn="0" w:noHBand="0" w:noVBand="1"/>
      </w:tblPr>
      <w:tblGrid>
        <w:gridCol w:w="711"/>
        <w:gridCol w:w="913"/>
        <w:gridCol w:w="711"/>
        <w:gridCol w:w="1858"/>
        <w:gridCol w:w="711"/>
        <w:gridCol w:w="1745"/>
        <w:gridCol w:w="711"/>
      </w:tblGrid>
      <w:tr w:rsidR="00696E28" w:rsidRPr="00696E28" w:rsidTr="00696E28">
        <w:trPr>
          <w:gridAfter w:val="1"/>
          <w:wAfter w:w="711" w:type="dxa"/>
          <w:trHeight w:val="314"/>
        </w:trPr>
        <w:tc>
          <w:tcPr>
            <w:tcW w:w="1624" w:type="dxa"/>
            <w:gridSpan w:val="2"/>
          </w:tcPr>
          <w:p w:rsidR="00696E28" w:rsidRPr="00696E28" w:rsidRDefault="00696E28" w:rsidP="00696E28">
            <w:pPr>
              <w:pStyle w:val="BodyText"/>
              <w:rPr>
                <w:rFonts w:ascii="Arial" w:hAnsi="Arial" w:cs="Arial"/>
                <w:bCs/>
                <w:sz w:val="18"/>
                <w:szCs w:val="18"/>
                <w:u w:val="single"/>
              </w:rPr>
            </w:pPr>
            <w:r w:rsidRPr="00696E28">
              <w:rPr>
                <w:rFonts w:ascii="Arial" w:hAnsi="Arial" w:cs="Arial"/>
                <w:bCs/>
                <w:sz w:val="18"/>
                <w:szCs w:val="18"/>
                <w:u w:val="single"/>
              </w:rPr>
              <w:t>Range:</w:t>
            </w:r>
          </w:p>
        </w:tc>
        <w:tc>
          <w:tcPr>
            <w:tcW w:w="2569" w:type="dxa"/>
            <w:gridSpan w:val="2"/>
          </w:tcPr>
          <w:p w:rsidR="00696E28" w:rsidRPr="00696E28" w:rsidRDefault="00696E28" w:rsidP="00696E28">
            <w:pPr>
              <w:pStyle w:val="BodyText"/>
              <w:rPr>
                <w:rFonts w:ascii="Arial" w:hAnsi="Arial" w:cs="Arial"/>
                <w:bCs/>
                <w:sz w:val="18"/>
                <w:szCs w:val="18"/>
                <w:u w:val="single"/>
              </w:rPr>
            </w:pPr>
            <w:r w:rsidRPr="00696E28">
              <w:rPr>
                <w:rFonts w:ascii="Arial" w:hAnsi="Arial" w:cs="Arial"/>
                <w:bCs/>
                <w:sz w:val="18"/>
                <w:szCs w:val="18"/>
                <w:u w:val="single"/>
              </w:rPr>
              <w:t>Descriptive Rating</w:t>
            </w:r>
          </w:p>
        </w:tc>
        <w:tc>
          <w:tcPr>
            <w:tcW w:w="2456" w:type="dxa"/>
            <w:gridSpan w:val="2"/>
          </w:tcPr>
          <w:p w:rsidR="00696E28" w:rsidRPr="00696E28" w:rsidRDefault="00696E28" w:rsidP="00696E28">
            <w:pPr>
              <w:pStyle w:val="BodyText"/>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gridAfter w:val="1"/>
          <w:wAfter w:w="711" w:type="dxa"/>
          <w:trHeight w:val="256"/>
        </w:trPr>
        <w:tc>
          <w:tcPr>
            <w:tcW w:w="1624"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4:51-5:00</w:t>
            </w:r>
          </w:p>
        </w:tc>
        <w:tc>
          <w:tcPr>
            <w:tcW w:w="2569"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Strongly Agree (SA)</w:t>
            </w:r>
          </w:p>
        </w:tc>
        <w:tc>
          <w:tcPr>
            <w:tcW w:w="2456" w:type="dxa"/>
            <w:gridSpan w:val="2"/>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Very High Opportunity</w:t>
            </w:r>
          </w:p>
        </w:tc>
      </w:tr>
      <w:tr w:rsidR="00696E28" w:rsidRPr="00696E28" w:rsidTr="00696E28">
        <w:trPr>
          <w:gridAfter w:val="1"/>
          <w:wAfter w:w="711" w:type="dxa"/>
          <w:trHeight w:val="238"/>
        </w:trPr>
        <w:tc>
          <w:tcPr>
            <w:tcW w:w="1624"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3:51:4:50</w:t>
            </w:r>
          </w:p>
        </w:tc>
        <w:tc>
          <w:tcPr>
            <w:tcW w:w="2569"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Agree (A)</w:t>
            </w:r>
          </w:p>
        </w:tc>
        <w:tc>
          <w:tcPr>
            <w:tcW w:w="2456" w:type="dxa"/>
            <w:gridSpan w:val="2"/>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High Opportunity</w:t>
            </w:r>
          </w:p>
        </w:tc>
      </w:tr>
      <w:tr w:rsidR="00696E28" w:rsidRPr="00696E28" w:rsidTr="00696E28">
        <w:trPr>
          <w:gridAfter w:val="1"/>
          <w:wAfter w:w="711" w:type="dxa"/>
          <w:trHeight w:val="256"/>
        </w:trPr>
        <w:tc>
          <w:tcPr>
            <w:tcW w:w="1624"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2:51-3:50</w:t>
            </w:r>
          </w:p>
        </w:tc>
        <w:tc>
          <w:tcPr>
            <w:tcW w:w="2569"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Neutral (N)</w:t>
            </w:r>
          </w:p>
        </w:tc>
        <w:tc>
          <w:tcPr>
            <w:tcW w:w="2456" w:type="dxa"/>
            <w:gridSpan w:val="2"/>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Moderate Opportunity</w:t>
            </w:r>
          </w:p>
        </w:tc>
      </w:tr>
      <w:tr w:rsidR="00696E28" w:rsidRPr="00696E28" w:rsidTr="00696E28">
        <w:trPr>
          <w:gridAfter w:val="1"/>
          <w:wAfter w:w="711" w:type="dxa"/>
          <w:trHeight w:val="256"/>
        </w:trPr>
        <w:tc>
          <w:tcPr>
            <w:tcW w:w="1624"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1.51:2:50</w:t>
            </w:r>
          </w:p>
        </w:tc>
        <w:tc>
          <w:tcPr>
            <w:tcW w:w="2569"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Disagree (D)</w:t>
            </w:r>
          </w:p>
        </w:tc>
        <w:tc>
          <w:tcPr>
            <w:tcW w:w="2456" w:type="dxa"/>
            <w:gridSpan w:val="2"/>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Low Opportunity</w:t>
            </w:r>
          </w:p>
        </w:tc>
      </w:tr>
      <w:tr w:rsidR="00696E28" w:rsidRPr="00696E28" w:rsidTr="00696E28">
        <w:trPr>
          <w:gridAfter w:val="1"/>
          <w:wAfter w:w="711" w:type="dxa"/>
          <w:trHeight w:val="256"/>
        </w:trPr>
        <w:tc>
          <w:tcPr>
            <w:tcW w:w="1624"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1:00-1:50</w:t>
            </w:r>
          </w:p>
        </w:tc>
        <w:tc>
          <w:tcPr>
            <w:tcW w:w="2569"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Strongly Disagree (SD)</w:t>
            </w:r>
          </w:p>
        </w:tc>
        <w:tc>
          <w:tcPr>
            <w:tcW w:w="2456" w:type="dxa"/>
            <w:gridSpan w:val="2"/>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Very Low Opportunity</w:t>
            </w:r>
          </w:p>
        </w:tc>
      </w:tr>
      <w:tr w:rsidR="00696E28" w:rsidRPr="00696E28" w:rsidTr="00696E28">
        <w:trPr>
          <w:trHeight w:val="238"/>
        </w:trPr>
        <w:tc>
          <w:tcPr>
            <w:tcW w:w="711" w:type="dxa"/>
          </w:tcPr>
          <w:p w:rsidR="00696E28" w:rsidRPr="00696E28" w:rsidRDefault="00696E28" w:rsidP="00696E28">
            <w:pPr>
              <w:pStyle w:val="BodyText"/>
              <w:jc w:val="center"/>
              <w:rPr>
                <w:rFonts w:ascii="Arial" w:hAnsi="Arial" w:cs="Arial"/>
              </w:rPr>
            </w:pPr>
          </w:p>
        </w:tc>
        <w:tc>
          <w:tcPr>
            <w:tcW w:w="1624" w:type="dxa"/>
            <w:gridSpan w:val="2"/>
          </w:tcPr>
          <w:p w:rsidR="00696E28" w:rsidRPr="00696E28" w:rsidRDefault="00696E28" w:rsidP="00696E28">
            <w:pPr>
              <w:pStyle w:val="BodyText"/>
              <w:jc w:val="center"/>
              <w:rPr>
                <w:rFonts w:ascii="Arial" w:hAnsi="Arial" w:cs="Arial"/>
              </w:rPr>
            </w:pPr>
          </w:p>
        </w:tc>
        <w:tc>
          <w:tcPr>
            <w:tcW w:w="2569" w:type="dxa"/>
            <w:gridSpan w:val="2"/>
          </w:tcPr>
          <w:p w:rsidR="00696E28" w:rsidRPr="00696E28" w:rsidRDefault="00696E28" w:rsidP="00696E28">
            <w:pPr>
              <w:pStyle w:val="BodyText"/>
              <w:jc w:val="center"/>
              <w:rPr>
                <w:rFonts w:ascii="Arial" w:hAnsi="Arial" w:cs="Arial"/>
              </w:rPr>
            </w:pPr>
          </w:p>
        </w:tc>
        <w:tc>
          <w:tcPr>
            <w:tcW w:w="2456" w:type="dxa"/>
            <w:gridSpan w:val="2"/>
          </w:tcPr>
          <w:p w:rsidR="00696E28" w:rsidRPr="00696E28" w:rsidRDefault="00696E28" w:rsidP="00696E28">
            <w:pPr>
              <w:pStyle w:val="BodyText"/>
              <w:jc w:val="center"/>
              <w:rPr>
                <w:rFonts w:ascii="Arial" w:hAnsi="Arial" w:cs="Arial"/>
              </w:rPr>
            </w:pPr>
          </w:p>
        </w:tc>
      </w:tr>
    </w:tbl>
    <w:p w:rsidR="00696E28" w:rsidRDefault="00696E28" w:rsidP="00696E28">
      <w:pPr>
        <w:spacing w:after="0" w:line="360" w:lineRule="auto"/>
        <w:ind w:firstLine="720"/>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 xml:space="preserve"> In contrast, the indicator on teaching gifted learners or learners with learning disabilities exhibited the lowest mean and the highest standard deviation, suggesting greater variability in teachers’ preparedness and experience in inclusive education. This variation points to uneven exposure to specialized training and support across respondents.</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lastRenderedPageBreak/>
        <w:t>These results imply that although teachers are well-equipped to adopt technological and instructional innovations, inclusive education requires more targeted professional development support. The variability reflected in the standard deviation highlights the need for focused training on differentiated instruction, classroom management for diverse learners, and assessment strategies tailored to varied student needs. Strengthening these areas may help reduce disparities in instructional confidence and promote more equitable and inclusive teaching practices.</w:t>
      </w:r>
      <w:r w:rsidRPr="00696E28">
        <w:rPr>
          <w:rFonts w:ascii="Arial" w:hAnsi="Arial" w:cs="Arial"/>
          <w:sz w:val="24"/>
          <w:szCs w:val="24"/>
          <w:lang w:val="en-US"/>
        </w:rPr>
        <w:tab/>
      </w:r>
      <w:r w:rsidRPr="00696E28">
        <w:rPr>
          <w:rFonts w:ascii="Arial" w:hAnsi="Arial" w:cs="Arial"/>
          <w:sz w:val="24"/>
          <w:szCs w:val="24"/>
          <w:lang w:val="en-US"/>
        </w:rPr>
        <w:tab/>
      </w:r>
    </w:p>
    <w:p w:rsidR="00696E28" w:rsidRPr="00696E28" w:rsidRDefault="00696E28" w:rsidP="00696E28">
      <w:pPr>
        <w:spacing w:after="0" w:line="360" w:lineRule="auto"/>
        <w:ind w:firstLine="720"/>
        <w:jc w:val="both"/>
        <w:rPr>
          <w:rFonts w:ascii="Arial" w:eastAsia="Aptos" w:hAnsi="Arial" w:cs="Arial"/>
          <w:sz w:val="24"/>
          <w:szCs w:val="24"/>
          <w:lang w:val="en-US"/>
        </w:rPr>
      </w:pPr>
      <w:r w:rsidRPr="00696E28">
        <w:rPr>
          <w:rFonts w:ascii="Arial" w:hAnsi="Arial" w:cs="Arial"/>
          <w:sz w:val="24"/>
          <w:szCs w:val="24"/>
          <w:lang w:val="en-US"/>
        </w:rPr>
        <w:t>Teachers’ strong ratings on instructional material design and technologyintegration are consistent with Taga (2025), who found that institutional training improved confidence in technology</w:t>
      </w:r>
      <w:r w:rsidRPr="00696E28">
        <w:rPr>
          <w:rFonts w:ascii="Cambria Math" w:hAnsi="Cambria Math" w:cs="Cambria Math"/>
          <w:sz w:val="24"/>
          <w:szCs w:val="24"/>
          <w:lang w:val="en-US"/>
        </w:rPr>
        <w:t>‑</w:t>
      </w:r>
      <w:r w:rsidRPr="00696E28">
        <w:rPr>
          <w:rFonts w:ascii="Arial" w:hAnsi="Arial" w:cs="Arial"/>
          <w:sz w:val="24"/>
          <w:szCs w:val="24"/>
          <w:lang w:val="en-US"/>
        </w:rPr>
        <w:t>integrated instruction, and Alda et al. (2024), who showed that structured professional education programs enhanced lesson planning and classroom management. Likewise, Camral and Sumayo (2025) confirmed that regular CPD participation strengthened student</w:t>
      </w:r>
      <w:r w:rsidRPr="00696E28">
        <w:rPr>
          <w:rFonts w:ascii="Cambria Math" w:hAnsi="Cambria Math" w:cs="Cambria Math"/>
          <w:sz w:val="24"/>
          <w:szCs w:val="24"/>
          <w:lang w:val="en-US"/>
        </w:rPr>
        <w:t>‑</w:t>
      </w:r>
      <w:r w:rsidRPr="00696E28">
        <w:rPr>
          <w:rFonts w:ascii="Arial" w:hAnsi="Arial" w:cs="Arial"/>
          <w:sz w:val="24"/>
          <w:szCs w:val="24"/>
          <w:lang w:val="en-US"/>
        </w:rPr>
        <w:t xml:space="preserve">centered teaching strategies, supporting the high opportunity ratings in motivation and varied pedagogy. However, the moderate opportunity in teaching diverse learners reflects the limitations noted by Mitra (2025), who observed that Professional Learning Networks, while beneficial, remain constrained by institutional and technological barriers. </w:t>
      </w:r>
      <w:r w:rsidRPr="00696E28">
        <w:rPr>
          <w:rFonts w:ascii="Arial" w:eastAsia="Aptos" w:hAnsi="Arial" w:cs="Arial"/>
          <w:sz w:val="24"/>
          <w:szCs w:val="24"/>
          <w:lang w:val="en-US" w:eastAsia="zh-CN" w:bidi="ar"/>
        </w:rPr>
        <w:t>these studies affirm that professional development opportunities significantly boost instructional competencies but highlight the need for more inclusive and accessible training to address diverse learner needs.</w:t>
      </w:r>
    </w:p>
    <w:p w:rsidR="00696E28" w:rsidRPr="00696E28" w:rsidRDefault="00696E28" w:rsidP="00696E28">
      <w:pPr>
        <w:spacing w:after="0" w:line="360" w:lineRule="auto"/>
        <w:ind w:firstLine="720"/>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lang w:val="en-US"/>
        </w:rPr>
      </w:pPr>
      <w:bookmarkStart w:id="1" w:name="_Hlk226475879"/>
      <w:r w:rsidRPr="00696E28">
        <w:rPr>
          <w:rFonts w:ascii="Arial" w:hAnsi="Arial" w:cs="Arial"/>
          <w:sz w:val="24"/>
          <w:szCs w:val="24"/>
          <w:lang w:val="en-US"/>
        </w:rPr>
        <w:t xml:space="preserve">Table 3 shows that teachers perceive a high level of professional development opportunities in terms of scientific field development, with an overall mean of 3.83, a standard deviation of 0.58, and a descriptive rating of Agree, which is qualitatively interpreted as High Opportunity. The standard deviation indicates a moderate level of agreement among teachers, suggesting generally similar but not uniform experiences in scientific development opportunities. The highest-rated indicator was the need to learn research methods and statistical research techniques (M = 4.23, SD = 0.80, Agree), reflecting a strong and consistent interest in strengthening research competencies. Other indicators related to participation in national and international projects, attendance in seminars and conferences, and engagement in research activities also received high descriptive ratings, with mean values ranging from 3.76 to 4.05 and moderate standard deviation values, indicating reasonable </w:t>
      </w:r>
      <w:r w:rsidRPr="00696E28">
        <w:rPr>
          <w:rFonts w:ascii="Arial" w:hAnsi="Arial" w:cs="Arial"/>
          <w:sz w:val="24"/>
          <w:szCs w:val="24"/>
          <w:lang w:val="en-US"/>
        </w:rPr>
        <w:lastRenderedPageBreak/>
        <w:t>consistency in teachers’ perceptions. However, indicators related to collaboration, mentoring, and access to updated research resources obtained relatively lower mean scores (M = 3.57–3.76) and comparatively higher standard deviations, suggesting greater variability in teachers’ experiences. This pattern indicates that while teachers generally value and seek research-related professional development, access to institutional support mechanisms such as mentoring and research resources may differ across schools.</w:t>
      </w:r>
    </w:p>
    <w:p w:rsidR="00696E28" w:rsidRDefault="00696E28" w:rsidP="00696E28">
      <w:pPr>
        <w:spacing w:after="0" w:line="360" w:lineRule="auto"/>
        <w:jc w:val="both"/>
        <w:rPr>
          <w:rFonts w:ascii="Arial" w:hAnsi="Arial" w:cs="Arial"/>
          <w:sz w:val="24"/>
          <w:szCs w:val="24"/>
          <w:lang w:val="en-US"/>
        </w:rPr>
      </w:pPr>
      <w:r w:rsidRPr="00696E28">
        <w:rPr>
          <w:rFonts w:ascii="Arial" w:hAnsi="Arial" w:cs="Arial"/>
          <w:sz w:val="24"/>
          <w:szCs w:val="24"/>
          <w:lang w:val="en-US"/>
        </w:rPr>
        <w:t>The results indicate that teachers generally recognize the importance of scientific field development, particularly in strengthening their research knowledge and skills. The overall high mean, together with a moderate standard deviation, suggests that teachers’ perceptions are relatively consistent but not uniform. The highest-rated indicator, learning research methods and statistical techniques, exhibited both a high mean and a moderate SD, reflecting shared recognition of its importance across respondents. In contrast, indicators related to collaboration, mentoring, and access to updated research resources recorded lower means and comparatively higher standard deviations, indicating greater variation in teachers’ experiences. This variability suggests that while interest in research</w:t>
      </w:r>
      <w:r w:rsidRPr="00696E28">
        <w:rPr>
          <w:rFonts w:ascii="Cambria Math" w:hAnsi="Cambria Math" w:cs="Cambria Math"/>
          <w:sz w:val="24"/>
          <w:szCs w:val="24"/>
          <w:lang w:val="en-US"/>
        </w:rPr>
        <w:t>‑</w:t>
      </w:r>
      <w:r w:rsidRPr="00696E28">
        <w:rPr>
          <w:rFonts w:ascii="Arial" w:hAnsi="Arial" w:cs="Arial"/>
          <w:sz w:val="24"/>
          <w:szCs w:val="24"/>
          <w:lang w:val="en-US"/>
        </w:rPr>
        <w:t>related professional development is widespread, opportunities for sustained scientific engagement and institutional support differ across schools.</w:t>
      </w:r>
    </w:p>
    <w:p w:rsidR="00696E28" w:rsidRPr="00696E28" w:rsidRDefault="00696E28" w:rsidP="00696E28">
      <w:pPr>
        <w:spacing w:after="0" w:line="360" w:lineRule="auto"/>
        <w:jc w:val="both"/>
        <w:rPr>
          <w:rFonts w:ascii="Arial" w:hAnsi="Arial" w:cs="Arial"/>
          <w:sz w:val="24"/>
          <w:szCs w:val="24"/>
          <w:lang w:val="en-US"/>
        </w:rPr>
      </w:pPr>
    </w:p>
    <w:p w:rsidR="00696E28" w:rsidRPr="00696E28" w:rsidRDefault="00696E28" w:rsidP="00696E28">
      <w:pPr>
        <w:spacing w:after="0" w:line="360" w:lineRule="auto"/>
        <w:jc w:val="both"/>
        <w:rPr>
          <w:rFonts w:ascii="Arial" w:hAnsi="Arial" w:cs="Arial"/>
          <w:sz w:val="24"/>
          <w:szCs w:val="24"/>
          <w:lang w:val="en-US"/>
        </w:rPr>
      </w:pPr>
    </w:p>
    <w:p w:rsidR="00696E28" w:rsidRPr="00696E28" w:rsidRDefault="00696E28" w:rsidP="00696E28">
      <w:pPr>
        <w:spacing w:after="0" w:line="240" w:lineRule="auto"/>
        <w:jc w:val="both"/>
        <w:rPr>
          <w:rFonts w:ascii="Arial" w:eastAsia="Aptos" w:hAnsi="Arial" w:cs="Arial"/>
          <w:sz w:val="24"/>
          <w:szCs w:val="24"/>
        </w:rPr>
      </w:pPr>
      <w:r w:rsidRPr="00696E28">
        <w:rPr>
          <w:rFonts w:ascii="Arial" w:hAnsi="Arial" w:cs="Arial"/>
          <w:sz w:val="24"/>
          <w:szCs w:val="24"/>
          <w:lang w:val="en-US"/>
        </w:rPr>
        <w:t>Table 3. Mean scores of the teachers’ 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 xml:space="preserve">professional development opportunities in terms of </w:t>
      </w:r>
      <w:r w:rsidRPr="00696E28">
        <w:rPr>
          <w:rFonts w:ascii="Arial" w:hAnsi="Arial" w:cs="Arial"/>
          <w:kern w:val="0"/>
          <w:sz w:val="24"/>
          <w:szCs w:val="24"/>
          <w:lang w:val="en-US" w:eastAsia="zh-CN" w:bidi="ar"/>
        </w:rPr>
        <w:t xml:space="preserve">scientific field development. </w:t>
      </w:r>
    </w:p>
    <w:tbl>
      <w:tblPr>
        <w:tblW w:w="8439" w:type="dxa"/>
        <w:tblInd w:w="-5"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455"/>
        <w:gridCol w:w="872"/>
        <w:gridCol w:w="1080"/>
        <w:gridCol w:w="1233"/>
        <w:gridCol w:w="1799"/>
      </w:tblGrid>
      <w:tr w:rsidR="00696E28" w:rsidRPr="00696E28" w:rsidTr="00696E28">
        <w:trPr>
          <w:trHeight w:val="453"/>
        </w:trPr>
        <w:tc>
          <w:tcPr>
            <w:tcW w:w="345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87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080"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Standard Deviation</w:t>
            </w:r>
          </w:p>
        </w:tc>
        <w:tc>
          <w:tcPr>
            <w:tcW w:w="1233"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 xml:space="preserve">Descriptive </w:t>
            </w:r>
          </w:p>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Rating</w:t>
            </w:r>
          </w:p>
        </w:tc>
        <w:tc>
          <w:tcPr>
            <w:tcW w:w="1799"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676"/>
        </w:trPr>
        <w:tc>
          <w:tcPr>
            <w:tcW w:w="3455"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want to learn the research methods and statistical research techniques related to my field.</w:t>
            </w:r>
          </w:p>
        </w:tc>
        <w:tc>
          <w:tcPr>
            <w:tcW w:w="872"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4.23</w:t>
            </w:r>
          </w:p>
        </w:tc>
        <w:tc>
          <w:tcPr>
            <w:tcW w:w="1080" w:type="dxa"/>
            <w:tcBorders>
              <w:top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0.80</w:t>
            </w:r>
          </w:p>
        </w:tc>
        <w:tc>
          <w:tcPr>
            <w:tcW w:w="1233"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66"/>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 xml:space="preserve">I need knowledge on how to take part in national and international projects and activities related to my field. </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4.05</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66"/>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provided with opportunities to attend seminars, workshops, or conferences relevant to my field.</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3.91</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0.93</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66"/>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know how to take part in projects and activities related to my field or to benefit from research funds.</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3.83</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0.78</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53"/>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informed about recent trends, innovations, and advancements.</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3.82</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0.78</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66"/>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receive adequate guidance or mentoring from experts to develop my research skills in my field.</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3.76</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0.87</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66"/>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lastRenderedPageBreak/>
              <w:t>I am encouraged to publish research outputs (e.g., journals, conference papers) related to my field.</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3.76</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0.84</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66"/>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given opportunities to collaborate with other researchers or professionals within my field</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3.68</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0.92</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44"/>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have enough knowledge about scientific research methods.</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3.67</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66"/>
        </w:trPr>
        <w:tc>
          <w:tcPr>
            <w:tcW w:w="3455"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have access to updated research resources (e.g., journals, databases, research tools) related to my field.</w:t>
            </w:r>
          </w:p>
        </w:tc>
        <w:tc>
          <w:tcPr>
            <w:tcW w:w="872"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3.57</w:t>
            </w:r>
          </w:p>
        </w:tc>
        <w:tc>
          <w:tcPr>
            <w:tcW w:w="1080" w:type="dxa"/>
            <w:tcBorders>
              <w:bottom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0.92</w:t>
            </w:r>
          </w:p>
        </w:tc>
        <w:tc>
          <w:tcPr>
            <w:tcW w:w="1233"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38"/>
        </w:trPr>
        <w:tc>
          <w:tcPr>
            <w:tcW w:w="345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87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3.83</w:t>
            </w:r>
          </w:p>
        </w:tc>
        <w:tc>
          <w:tcPr>
            <w:tcW w:w="1080"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0.58</w:t>
            </w:r>
          </w:p>
        </w:tc>
        <w:tc>
          <w:tcPr>
            <w:tcW w:w="1233"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W w:w="7360" w:type="dxa"/>
        <w:tblLook w:val="04A0" w:firstRow="1" w:lastRow="0" w:firstColumn="1" w:lastColumn="0" w:noHBand="0" w:noVBand="1"/>
      </w:tblPr>
      <w:tblGrid>
        <w:gridCol w:w="1797"/>
        <w:gridCol w:w="2844"/>
        <w:gridCol w:w="2719"/>
      </w:tblGrid>
      <w:tr w:rsidR="00696E28" w:rsidRPr="00696E28" w:rsidTr="00696E28">
        <w:trPr>
          <w:trHeight w:val="314"/>
        </w:trPr>
        <w:tc>
          <w:tcPr>
            <w:tcW w:w="1624" w:type="dxa"/>
          </w:tcPr>
          <w:p w:rsidR="00696E28" w:rsidRPr="00696E28" w:rsidRDefault="00696E28" w:rsidP="00696E28">
            <w:pPr>
              <w:pStyle w:val="BodyText"/>
              <w:rPr>
                <w:rFonts w:ascii="Arial" w:hAnsi="Arial" w:cs="Arial"/>
                <w:bCs/>
                <w:sz w:val="18"/>
                <w:szCs w:val="18"/>
                <w:u w:val="single"/>
              </w:rPr>
            </w:pPr>
            <w:r w:rsidRPr="00696E28">
              <w:rPr>
                <w:rFonts w:ascii="Arial" w:hAnsi="Arial" w:cs="Arial"/>
                <w:bCs/>
                <w:sz w:val="18"/>
                <w:szCs w:val="18"/>
                <w:u w:val="single"/>
              </w:rPr>
              <w:t>Range:</w:t>
            </w:r>
          </w:p>
        </w:tc>
        <w:tc>
          <w:tcPr>
            <w:tcW w:w="2569" w:type="dxa"/>
          </w:tcPr>
          <w:p w:rsidR="00696E28" w:rsidRPr="00696E28" w:rsidRDefault="00696E28" w:rsidP="00696E28">
            <w:pPr>
              <w:pStyle w:val="BodyText"/>
              <w:rPr>
                <w:rFonts w:ascii="Arial" w:hAnsi="Arial" w:cs="Arial"/>
                <w:bCs/>
                <w:sz w:val="18"/>
                <w:szCs w:val="18"/>
                <w:u w:val="single"/>
              </w:rPr>
            </w:pPr>
            <w:r w:rsidRPr="00696E28">
              <w:rPr>
                <w:rFonts w:ascii="Arial" w:hAnsi="Arial" w:cs="Arial"/>
                <w:bCs/>
                <w:sz w:val="18"/>
                <w:szCs w:val="18"/>
                <w:u w:val="single"/>
              </w:rPr>
              <w:t>Descriptive Rating</w:t>
            </w:r>
          </w:p>
        </w:tc>
        <w:tc>
          <w:tcPr>
            <w:tcW w:w="2456" w:type="dxa"/>
          </w:tcPr>
          <w:p w:rsidR="00696E28" w:rsidRPr="00696E28" w:rsidRDefault="00696E28" w:rsidP="00696E28">
            <w:pPr>
              <w:pStyle w:val="BodyText"/>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56"/>
        </w:trPr>
        <w:tc>
          <w:tcPr>
            <w:tcW w:w="1624"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4:51-5:00</w:t>
            </w:r>
          </w:p>
        </w:tc>
        <w:tc>
          <w:tcPr>
            <w:tcW w:w="2569"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Strongly Agree (SA)</w:t>
            </w:r>
          </w:p>
        </w:tc>
        <w:tc>
          <w:tcPr>
            <w:tcW w:w="2456" w:type="dxa"/>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Very High Opportunity</w:t>
            </w:r>
          </w:p>
        </w:tc>
      </w:tr>
      <w:tr w:rsidR="00696E28" w:rsidRPr="00696E28" w:rsidTr="00696E28">
        <w:trPr>
          <w:trHeight w:val="238"/>
        </w:trPr>
        <w:tc>
          <w:tcPr>
            <w:tcW w:w="1624"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3:51:4:50</w:t>
            </w:r>
          </w:p>
        </w:tc>
        <w:tc>
          <w:tcPr>
            <w:tcW w:w="2569"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Agree (A)</w:t>
            </w:r>
          </w:p>
        </w:tc>
        <w:tc>
          <w:tcPr>
            <w:tcW w:w="2456" w:type="dxa"/>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High Opportunity</w:t>
            </w:r>
          </w:p>
        </w:tc>
      </w:tr>
      <w:tr w:rsidR="00696E28" w:rsidRPr="00696E28" w:rsidTr="00696E28">
        <w:trPr>
          <w:trHeight w:val="256"/>
        </w:trPr>
        <w:tc>
          <w:tcPr>
            <w:tcW w:w="1624"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2:51-3:50</w:t>
            </w:r>
          </w:p>
        </w:tc>
        <w:tc>
          <w:tcPr>
            <w:tcW w:w="2569"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Neutral (N)</w:t>
            </w:r>
          </w:p>
        </w:tc>
        <w:tc>
          <w:tcPr>
            <w:tcW w:w="2456" w:type="dxa"/>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Moderate Opportunity</w:t>
            </w:r>
          </w:p>
        </w:tc>
      </w:tr>
      <w:tr w:rsidR="00696E28" w:rsidRPr="00696E28" w:rsidTr="00696E28">
        <w:trPr>
          <w:trHeight w:val="256"/>
        </w:trPr>
        <w:tc>
          <w:tcPr>
            <w:tcW w:w="1624"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1.51:2:50</w:t>
            </w:r>
          </w:p>
        </w:tc>
        <w:tc>
          <w:tcPr>
            <w:tcW w:w="2569"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Disagree (D)</w:t>
            </w:r>
          </w:p>
        </w:tc>
        <w:tc>
          <w:tcPr>
            <w:tcW w:w="2456" w:type="dxa"/>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Low Opportunity</w:t>
            </w:r>
          </w:p>
        </w:tc>
      </w:tr>
      <w:tr w:rsidR="00696E28" w:rsidRPr="00696E28" w:rsidTr="00696E28">
        <w:trPr>
          <w:trHeight w:val="256"/>
        </w:trPr>
        <w:tc>
          <w:tcPr>
            <w:tcW w:w="1624"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1:00-1:50</w:t>
            </w:r>
          </w:p>
        </w:tc>
        <w:tc>
          <w:tcPr>
            <w:tcW w:w="2569"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Strongly Disagree (SD)</w:t>
            </w:r>
          </w:p>
        </w:tc>
        <w:tc>
          <w:tcPr>
            <w:tcW w:w="2456" w:type="dxa"/>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Very Low Opportunity</w:t>
            </w:r>
          </w:p>
        </w:tc>
      </w:tr>
      <w:bookmarkEnd w:id="1"/>
    </w:tbl>
    <w:p w:rsidR="00696E28" w:rsidRPr="00696E28" w:rsidRDefault="00696E28" w:rsidP="00696E28">
      <w:pPr>
        <w:spacing w:after="0" w:line="360" w:lineRule="auto"/>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These findings imply that institutions should move beyond providing general research exposure and focus on strengthening consistent support systems for scientific field development. The variability in responses highlights the need for structured mentoring programs, improved access to research resources, and institutional mechanisms that encourage collaboration and publication. Enhancing these supports can reduce disparities in research engagement, promote sustained scholarly involvement, and better equip teachers to contribute to evidence</w:t>
      </w:r>
      <w:r w:rsidRPr="00696E28">
        <w:rPr>
          <w:rFonts w:ascii="Cambria Math" w:hAnsi="Cambria Math" w:cs="Cambria Math"/>
          <w:sz w:val="24"/>
          <w:szCs w:val="24"/>
          <w:lang w:val="en-US"/>
        </w:rPr>
        <w:t>‑</w:t>
      </w:r>
      <w:r w:rsidRPr="00696E28">
        <w:rPr>
          <w:rFonts w:ascii="Arial" w:hAnsi="Arial" w:cs="Arial"/>
          <w:sz w:val="24"/>
          <w:szCs w:val="24"/>
          <w:lang w:val="en-US"/>
        </w:rPr>
        <w:t>based practice and educational innovation.</w:t>
      </w:r>
    </w:p>
    <w:p w:rsidR="00696E28" w:rsidRPr="00696E28" w:rsidRDefault="00696E28" w:rsidP="00696E28">
      <w:pPr>
        <w:spacing w:after="0" w:line="360" w:lineRule="auto"/>
        <w:ind w:firstLine="720"/>
        <w:jc w:val="both"/>
        <w:rPr>
          <w:rFonts w:ascii="Arial" w:eastAsia="Aptos" w:hAnsi="Arial" w:cs="Arial"/>
          <w:sz w:val="24"/>
          <w:szCs w:val="24"/>
          <w:lang w:val="en-US"/>
        </w:rPr>
      </w:pPr>
      <w:r w:rsidRPr="00696E28">
        <w:rPr>
          <w:rFonts w:ascii="Arial" w:hAnsi="Arial" w:cs="Arial"/>
          <w:sz w:val="24"/>
          <w:szCs w:val="24"/>
          <w:lang w:val="en-US"/>
        </w:rPr>
        <w:t xml:space="preserve">The findings align with Merino et al. (2025), who emphasized that structured professional learning in inquiry-based science strengthens pedagogical content knowledge and scientific reasoning. Similarly, Rehman et al. (2025) confirmed that STEM programs focusing on experimentation and technology significantly improve teachers’ science instruction. The importance of collaboration and international engagement resonates with Wang et al. (2025), who highlighted that global cooperation equips teachers for interdisciplinary teaching. However, the relatively lower ratings on mentoring and access to resources reflect the disparities noted by Constantino and Antonio (2025), who found that rural teachers often face fewer opportunities for scientific growth. </w:t>
      </w:r>
      <w:r w:rsidRPr="00696E28">
        <w:rPr>
          <w:rFonts w:ascii="Arial" w:eastAsia="Aptos" w:hAnsi="Arial" w:cs="Arial"/>
          <w:sz w:val="24"/>
          <w:szCs w:val="24"/>
          <w:lang w:val="en-US" w:eastAsia="zh-CN" w:bidi="ar"/>
        </w:rPr>
        <w:t>These studies affirm that professional development enhances teachers’ scientific competencies but underscore the need for equitable access and institutional support to fully realize its impact.</w:t>
      </w:r>
    </w:p>
    <w:p w:rsidR="00696E28" w:rsidRPr="00696E28" w:rsidRDefault="00696E28" w:rsidP="00696E28">
      <w:pPr>
        <w:spacing w:after="0" w:line="360" w:lineRule="auto"/>
        <w:ind w:firstLine="720"/>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lang w:val="en-US"/>
        </w:rPr>
      </w:pPr>
      <w:bookmarkStart w:id="2" w:name="_Hlk226477779"/>
      <w:r w:rsidRPr="00696E28">
        <w:rPr>
          <w:rFonts w:ascii="Arial" w:hAnsi="Arial" w:cs="Arial"/>
          <w:sz w:val="24"/>
          <w:szCs w:val="24"/>
          <w:lang w:val="en-US"/>
        </w:rPr>
        <w:t>Table 4 shows that teachers perceive a high level of professional development opportunities in terms of personal development, with an overall mean of 4.02, a standard deviation of 0.60, and a descriptive rating of Agree, which is qualitatively interpreted as High Opportunity. The highest-rated indicators include the need to enhance verbal and nonverbal communication skills (M = 4.23, SD = 0.84), improve stress management and coping skills (M = 4.18, SD = 0.82), and receive support for career planning and time management (M = 4.13), all of which were descriptively rated as Agree. Other indicators related to emotional regulation, self</w:t>
      </w:r>
      <w:r w:rsidRPr="00696E28">
        <w:rPr>
          <w:rFonts w:ascii="Cambria Math" w:hAnsi="Cambria Math" w:cs="Cambria Math"/>
          <w:sz w:val="24"/>
          <w:szCs w:val="24"/>
          <w:lang w:val="en-US"/>
        </w:rPr>
        <w:t>‑</w:t>
      </w:r>
      <w:r w:rsidRPr="00696E28">
        <w:rPr>
          <w:rFonts w:ascii="Arial" w:hAnsi="Arial" w:cs="Arial"/>
          <w:sz w:val="24"/>
          <w:szCs w:val="24"/>
          <w:lang w:val="en-US"/>
        </w:rPr>
        <w:t>confidence, and professional self</w:t>
      </w:r>
      <w:r w:rsidRPr="00696E28">
        <w:rPr>
          <w:rFonts w:ascii="Cambria Math" w:hAnsi="Cambria Math" w:cs="Cambria Math"/>
          <w:sz w:val="24"/>
          <w:szCs w:val="24"/>
          <w:lang w:val="en-US"/>
        </w:rPr>
        <w:t>‑</w:t>
      </w:r>
      <w:r w:rsidRPr="00696E28">
        <w:rPr>
          <w:rFonts w:ascii="Arial" w:hAnsi="Arial" w:cs="Arial"/>
          <w:sz w:val="24"/>
          <w:szCs w:val="24"/>
          <w:lang w:val="en-US"/>
        </w:rPr>
        <w:t>awareness also obtained high ratings, indicating teachers’ recognition of the importance of personal growth in their professional practice.</w:t>
      </w:r>
    </w:p>
    <w:p w:rsidR="00696E28" w:rsidRPr="00696E28" w:rsidRDefault="00696E28" w:rsidP="00696E28">
      <w:pPr>
        <w:spacing w:after="0" w:line="240" w:lineRule="auto"/>
        <w:jc w:val="both"/>
        <w:rPr>
          <w:rFonts w:ascii="Arial" w:hAnsi="Arial" w:cs="Arial"/>
          <w:sz w:val="24"/>
          <w:szCs w:val="24"/>
          <w:lang w:val="en-US"/>
        </w:rPr>
      </w:pPr>
    </w:p>
    <w:p w:rsidR="00696E28" w:rsidRPr="00696E28" w:rsidRDefault="00696E28" w:rsidP="00696E28">
      <w:pPr>
        <w:spacing w:after="0" w:line="240" w:lineRule="auto"/>
        <w:jc w:val="both"/>
        <w:rPr>
          <w:rFonts w:ascii="Arial" w:hAnsi="Arial" w:cs="Arial"/>
          <w:sz w:val="24"/>
          <w:szCs w:val="24"/>
          <w:lang w:val="en-US"/>
        </w:rPr>
      </w:pPr>
    </w:p>
    <w:p w:rsidR="00696E28" w:rsidRPr="00696E28" w:rsidRDefault="00696E28" w:rsidP="00696E28">
      <w:pPr>
        <w:spacing w:after="0" w:line="240" w:lineRule="auto"/>
        <w:jc w:val="both"/>
        <w:rPr>
          <w:rFonts w:ascii="Arial" w:eastAsia="Aptos" w:hAnsi="Arial" w:cs="Arial"/>
          <w:sz w:val="24"/>
          <w:szCs w:val="24"/>
        </w:rPr>
      </w:pPr>
      <w:r w:rsidRPr="00696E28">
        <w:rPr>
          <w:rFonts w:ascii="Arial" w:hAnsi="Arial" w:cs="Arial"/>
          <w:sz w:val="24"/>
          <w:szCs w:val="24"/>
          <w:lang w:val="en-US"/>
        </w:rPr>
        <w:t>Table 4. Mean scores of the teachers’ 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 xml:space="preserve">professional development opportunities in terms of </w:t>
      </w:r>
      <w:r w:rsidRPr="00696E28">
        <w:rPr>
          <w:rFonts w:ascii="Arial" w:hAnsi="Arial" w:cs="Arial"/>
          <w:kern w:val="0"/>
          <w:sz w:val="24"/>
          <w:szCs w:val="24"/>
          <w:lang w:val="en-US" w:eastAsia="zh-CN" w:bidi="ar"/>
        </w:rPr>
        <w:t xml:space="preserve">personal development. </w:t>
      </w:r>
    </w:p>
    <w:tbl>
      <w:tblPr>
        <w:tblW w:w="8477" w:type="dxa"/>
        <w:tblInd w:w="-5"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509"/>
        <w:gridCol w:w="884"/>
        <w:gridCol w:w="1058"/>
        <w:gridCol w:w="1254"/>
        <w:gridCol w:w="1772"/>
      </w:tblGrid>
      <w:tr w:rsidR="00696E28" w:rsidRPr="00696E28" w:rsidTr="00696E28">
        <w:trPr>
          <w:trHeight w:val="510"/>
        </w:trPr>
        <w:tc>
          <w:tcPr>
            <w:tcW w:w="350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88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rPr>
                <w:rFonts w:ascii="Arial" w:hAnsi="Arial" w:cs="Arial"/>
                <w:sz w:val="20"/>
                <w:szCs w:val="20"/>
              </w:rPr>
            </w:pPr>
            <w:r w:rsidRPr="00696E28">
              <w:rPr>
                <w:rFonts w:ascii="Arial" w:hAnsi="Arial" w:cs="Arial"/>
                <w:sz w:val="20"/>
                <w:szCs w:val="20"/>
              </w:rPr>
              <w:t>Mean</w:t>
            </w:r>
          </w:p>
        </w:tc>
        <w:tc>
          <w:tcPr>
            <w:tcW w:w="1058"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rPr>
                <w:rFonts w:ascii="Arial" w:hAnsi="Arial" w:cs="Arial"/>
                <w:sz w:val="20"/>
                <w:szCs w:val="20"/>
              </w:rPr>
            </w:pPr>
            <w:r w:rsidRPr="00696E28">
              <w:rPr>
                <w:rFonts w:ascii="Arial" w:hAnsi="Arial" w:cs="Arial"/>
                <w:sz w:val="20"/>
                <w:szCs w:val="20"/>
                <w:lang w:val="en-US"/>
              </w:rPr>
              <w:t>Standard Deviation</w:t>
            </w:r>
          </w:p>
        </w:tc>
        <w:tc>
          <w:tcPr>
            <w:tcW w:w="125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Descriptive</w:t>
            </w:r>
          </w:p>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Rating</w:t>
            </w:r>
          </w:p>
        </w:tc>
        <w:tc>
          <w:tcPr>
            <w:tcW w:w="177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695"/>
        </w:trPr>
        <w:tc>
          <w:tcPr>
            <w:tcW w:w="3509"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would like to take support or training about career planning and time management</w:t>
            </w:r>
          </w:p>
        </w:tc>
        <w:tc>
          <w:tcPr>
            <w:tcW w:w="884"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4.13</w:t>
            </w:r>
          </w:p>
        </w:tc>
        <w:tc>
          <w:tcPr>
            <w:tcW w:w="1058" w:type="dxa"/>
            <w:tcBorders>
              <w:top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1.88</w:t>
            </w:r>
          </w:p>
        </w:tc>
        <w:tc>
          <w:tcPr>
            <w:tcW w:w="1254"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5"/>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believe I need to enhance my verbal and nonverbal communication skills for professional purposes.</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4.23</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0.84</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5"/>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would like to receive training to improve my stress management and coping skills at work.</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4.18</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0.82</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95"/>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feel the need to improve my emotional regulation and anger management skills in professional settings.</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4.06</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0.82</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5"/>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need opportunities to develop my self-confidence and professional self-awareness.</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3.99</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0.86</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5"/>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competent in career planning and time management skills related to my profession.</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3.96</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0.83</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56"/>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have a strong sense of self-awareness and confidence in my professional role.</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3.96</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5"/>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demonstrate effective verbal and nonverbal communication skills in my professional interactions.</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3.91</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0.72</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5"/>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able to control my emotions and manage anger effectively in work-related situations</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3.91</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0.78</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56"/>
        </w:trPr>
        <w:tc>
          <w:tcPr>
            <w:tcW w:w="3509"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able to handle work-related stress in a healthy and productive manner.</w:t>
            </w:r>
          </w:p>
        </w:tc>
        <w:tc>
          <w:tcPr>
            <w:tcW w:w="884"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3.88</w:t>
            </w:r>
          </w:p>
        </w:tc>
        <w:tc>
          <w:tcPr>
            <w:tcW w:w="1058" w:type="dxa"/>
            <w:tcBorders>
              <w:bottom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0.80</w:t>
            </w:r>
          </w:p>
        </w:tc>
        <w:tc>
          <w:tcPr>
            <w:tcW w:w="1254"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34"/>
        </w:trPr>
        <w:tc>
          <w:tcPr>
            <w:tcW w:w="350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884"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4.02</w:t>
            </w:r>
          </w:p>
        </w:tc>
        <w:tc>
          <w:tcPr>
            <w:tcW w:w="1058"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center"/>
              <w:rPr>
                <w:rFonts w:ascii="Arial" w:hAnsi="Arial" w:cs="Arial"/>
                <w:sz w:val="20"/>
                <w:szCs w:val="20"/>
                <w:lang w:val="en-US"/>
              </w:rPr>
            </w:pPr>
            <w:r w:rsidRPr="00696E28">
              <w:rPr>
                <w:rFonts w:ascii="Arial" w:hAnsi="Arial" w:cs="Arial"/>
                <w:sz w:val="20"/>
                <w:szCs w:val="20"/>
                <w:lang w:val="en-US"/>
              </w:rPr>
              <w:t>0.60</w:t>
            </w:r>
          </w:p>
        </w:tc>
        <w:tc>
          <w:tcPr>
            <w:tcW w:w="125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bl>
    <w:p w:rsidR="00696E28" w:rsidRPr="00696E28" w:rsidRDefault="00696E28" w:rsidP="00696E28">
      <w:pPr>
        <w:spacing w:after="0" w:line="360" w:lineRule="auto"/>
        <w:jc w:val="both"/>
        <w:rPr>
          <w:rFonts w:ascii="Arial" w:hAnsi="Arial" w:cs="Arial"/>
          <w:sz w:val="18"/>
          <w:szCs w:val="24"/>
          <w:lang w:val="en-US"/>
        </w:rPr>
      </w:pPr>
      <w:r w:rsidRPr="00696E28">
        <w:rPr>
          <w:rFonts w:ascii="Arial" w:hAnsi="Arial" w:cs="Arial"/>
          <w:sz w:val="18"/>
          <w:szCs w:val="24"/>
          <w:lang w:val="en-US"/>
        </w:rPr>
        <w:lastRenderedPageBreak/>
        <w:t>Legend:</w:t>
      </w:r>
    </w:p>
    <w:tbl>
      <w:tblPr>
        <w:tblW w:w="7446" w:type="dxa"/>
        <w:tblLook w:val="04A0" w:firstRow="1" w:lastRow="0" w:firstColumn="1" w:lastColumn="0" w:noHBand="0" w:noVBand="1"/>
      </w:tblPr>
      <w:tblGrid>
        <w:gridCol w:w="1819"/>
        <w:gridCol w:w="2877"/>
        <w:gridCol w:w="2750"/>
      </w:tblGrid>
      <w:tr w:rsidR="00696E28" w:rsidRPr="00696E28" w:rsidTr="00696E28">
        <w:trPr>
          <w:trHeight w:val="318"/>
        </w:trPr>
        <w:tc>
          <w:tcPr>
            <w:tcW w:w="1819"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szCs w:val="18"/>
                <w:u w:val="single"/>
              </w:rPr>
              <w:t>Range</w:t>
            </w:r>
            <w:r w:rsidRPr="00696E28">
              <w:rPr>
                <w:rFonts w:ascii="Arial" w:hAnsi="Arial" w:cs="Arial"/>
                <w:bCs/>
                <w:sz w:val="18"/>
                <w:u w:val="single"/>
              </w:rPr>
              <w:t>:</w:t>
            </w:r>
          </w:p>
        </w:tc>
        <w:tc>
          <w:tcPr>
            <w:tcW w:w="2877"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Descriptive Rating</w:t>
            </w:r>
          </w:p>
        </w:tc>
        <w:tc>
          <w:tcPr>
            <w:tcW w:w="2750"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Qualitative Interpretation</w:t>
            </w:r>
          </w:p>
        </w:tc>
      </w:tr>
      <w:tr w:rsidR="00696E28" w:rsidRPr="00696E28" w:rsidTr="00696E28">
        <w:trPr>
          <w:trHeight w:val="258"/>
        </w:trPr>
        <w:tc>
          <w:tcPr>
            <w:tcW w:w="18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4:51-5:00</w:t>
            </w:r>
          </w:p>
        </w:tc>
        <w:tc>
          <w:tcPr>
            <w:tcW w:w="2877" w:type="dxa"/>
          </w:tcPr>
          <w:p w:rsidR="00696E28" w:rsidRPr="00696E28" w:rsidRDefault="00696E28" w:rsidP="00696E28">
            <w:pPr>
              <w:pStyle w:val="BodyText"/>
              <w:jc w:val="both"/>
              <w:rPr>
                <w:rFonts w:ascii="Arial" w:hAnsi="Arial" w:cs="Arial"/>
                <w:sz w:val="18"/>
              </w:rPr>
            </w:pPr>
            <w:r w:rsidRPr="00696E28">
              <w:rPr>
                <w:rFonts w:ascii="Arial" w:hAnsi="Arial" w:cs="Arial"/>
                <w:sz w:val="18"/>
              </w:rPr>
              <w:t>Strongly Agree (SA)</w:t>
            </w:r>
          </w:p>
        </w:tc>
        <w:tc>
          <w:tcPr>
            <w:tcW w:w="2750"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Very High Opportunity</w:t>
            </w:r>
          </w:p>
        </w:tc>
      </w:tr>
      <w:tr w:rsidR="00696E28" w:rsidRPr="00696E28" w:rsidTr="00696E28">
        <w:trPr>
          <w:trHeight w:val="241"/>
        </w:trPr>
        <w:tc>
          <w:tcPr>
            <w:tcW w:w="18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3:51:4:50</w:t>
            </w:r>
          </w:p>
        </w:tc>
        <w:tc>
          <w:tcPr>
            <w:tcW w:w="2877" w:type="dxa"/>
          </w:tcPr>
          <w:p w:rsidR="00696E28" w:rsidRPr="00696E28" w:rsidRDefault="00696E28" w:rsidP="00696E28">
            <w:pPr>
              <w:pStyle w:val="BodyText"/>
              <w:jc w:val="both"/>
              <w:rPr>
                <w:rFonts w:ascii="Arial" w:hAnsi="Arial" w:cs="Arial"/>
                <w:sz w:val="18"/>
              </w:rPr>
            </w:pPr>
            <w:r w:rsidRPr="00696E28">
              <w:rPr>
                <w:rFonts w:ascii="Arial" w:hAnsi="Arial" w:cs="Arial"/>
                <w:sz w:val="18"/>
              </w:rPr>
              <w:t>Agree (A)</w:t>
            </w:r>
          </w:p>
        </w:tc>
        <w:tc>
          <w:tcPr>
            <w:tcW w:w="2750"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High Opportunity</w:t>
            </w:r>
          </w:p>
        </w:tc>
      </w:tr>
      <w:tr w:rsidR="00696E28" w:rsidRPr="00696E28" w:rsidTr="00696E28">
        <w:trPr>
          <w:trHeight w:val="258"/>
        </w:trPr>
        <w:tc>
          <w:tcPr>
            <w:tcW w:w="18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2:51-3:50</w:t>
            </w:r>
          </w:p>
        </w:tc>
        <w:tc>
          <w:tcPr>
            <w:tcW w:w="2877" w:type="dxa"/>
          </w:tcPr>
          <w:p w:rsidR="00696E28" w:rsidRPr="00696E28" w:rsidRDefault="00696E28" w:rsidP="00696E28">
            <w:pPr>
              <w:pStyle w:val="BodyText"/>
              <w:jc w:val="both"/>
              <w:rPr>
                <w:rFonts w:ascii="Arial" w:hAnsi="Arial" w:cs="Arial"/>
                <w:sz w:val="18"/>
              </w:rPr>
            </w:pPr>
            <w:r w:rsidRPr="00696E28">
              <w:rPr>
                <w:rFonts w:ascii="Arial" w:hAnsi="Arial" w:cs="Arial"/>
                <w:sz w:val="18"/>
              </w:rPr>
              <w:t>Neutral (N)</w:t>
            </w:r>
          </w:p>
        </w:tc>
        <w:tc>
          <w:tcPr>
            <w:tcW w:w="2750"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Moderate Opportunity</w:t>
            </w:r>
          </w:p>
        </w:tc>
      </w:tr>
      <w:tr w:rsidR="00696E28" w:rsidRPr="00696E28" w:rsidTr="00696E28">
        <w:trPr>
          <w:trHeight w:val="258"/>
        </w:trPr>
        <w:tc>
          <w:tcPr>
            <w:tcW w:w="18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1.51:2:50</w:t>
            </w:r>
          </w:p>
        </w:tc>
        <w:tc>
          <w:tcPr>
            <w:tcW w:w="2877" w:type="dxa"/>
          </w:tcPr>
          <w:p w:rsidR="00696E28" w:rsidRPr="00696E28" w:rsidRDefault="00696E28" w:rsidP="00696E28">
            <w:pPr>
              <w:pStyle w:val="BodyText"/>
              <w:jc w:val="both"/>
              <w:rPr>
                <w:rFonts w:ascii="Arial" w:hAnsi="Arial" w:cs="Arial"/>
                <w:sz w:val="18"/>
              </w:rPr>
            </w:pPr>
            <w:r w:rsidRPr="00696E28">
              <w:rPr>
                <w:rFonts w:ascii="Arial" w:hAnsi="Arial" w:cs="Arial"/>
                <w:sz w:val="18"/>
              </w:rPr>
              <w:t>Disagree (D)</w:t>
            </w:r>
          </w:p>
        </w:tc>
        <w:tc>
          <w:tcPr>
            <w:tcW w:w="2750"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Low Opportunity</w:t>
            </w:r>
          </w:p>
        </w:tc>
      </w:tr>
      <w:tr w:rsidR="00696E28" w:rsidRPr="00696E28" w:rsidTr="00696E28">
        <w:trPr>
          <w:trHeight w:val="258"/>
        </w:trPr>
        <w:tc>
          <w:tcPr>
            <w:tcW w:w="18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1:00-1:50</w:t>
            </w:r>
          </w:p>
        </w:tc>
        <w:tc>
          <w:tcPr>
            <w:tcW w:w="2877" w:type="dxa"/>
          </w:tcPr>
          <w:p w:rsidR="00696E28" w:rsidRPr="00696E28" w:rsidRDefault="00696E28" w:rsidP="00696E28">
            <w:pPr>
              <w:pStyle w:val="BodyText"/>
              <w:jc w:val="both"/>
              <w:rPr>
                <w:rFonts w:ascii="Arial" w:hAnsi="Arial" w:cs="Arial"/>
                <w:sz w:val="18"/>
              </w:rPr>
            </w:pPr>
            <w:r w:rsidRPr="00696E28">
              <w:rPr>
                <w:rFonts w:ascii="Arial" w:hAnsi="Arial" w:cs="Arial"/>
                <w:sz w:val="18"/>
              </w:rPr>
              <w:t>Strongly Disagree (SD)</w:t>
            </w:r>
          </w:p>
        </w:tc>
        <w:tc>
          <w:tcPr>
            <w:tcW w:w="2750"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Very Low Opportunity</w:t>
            </w:r>
          </w:p>
        </w:tc>
      </w:tr>
      <w:bookmarkEnd w:id="2"/>
    </w:tbl>
    <w:p w:rsidR="00696E28" w:rsidRPr="00696E28" w:rsidRDefault="00696E28" w:rsidP="00696E28">
      <w:pPr>
        <w:spacing w:line="240" w:lineRule="auto"/>
        <w:ind w:firstLine="720"/>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 overall moderate standard deviation suggests a reasonable level of agreement among teachers regarding personal development opportunities, indicating generally shared experiences across respondents. However, variation in standard deviation values across indicators points to differences in perceived competence and training needs. Notably, the item related to career planning and time management displayed the highest variability, suggesting that while some teachers feel confident in these areas, others perceive a stronger need for support. In contrast, consistently lower SD values for communication skills, stress management, and emotional regulation indicate more uniform recognition of these as essential competencies for sustaining professional effectiveness. This pattern suggests that personal development demands are widely acknowledged, though teachers experience differing levels of readiness in specific domains.</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These findings imply that professional development programs should place sustained emphasis on personal development components alongside instructional and organizational training. The observed variability highlights the need for flexible and differentiated interventions, particularly in career planning and time management, to address diverse teacher needs. Strengthening programs focused on communication skills, stress management, and emotional regulation may help enhance teachers’ resilience, confidence, and overall well</w:t>
      </w:r>
      <w:r w:rsidRPr="00696E28">
        <w:rPr>
          <w:rFonts w:ascii="Cambria Math" w:hAnsi="Cambria Math" w:cs="Cambria Math"/>
          <w:sz w:val="24"/>
          <w:szCs w:val="24"/>
          <w:lang w:val="en-US"/>
        </w:rPr>
        <w:t>‑</w:t>
      </w:r>
      <w:r w:rsidRPr="00696E28">
        <w:rPr>
          <w:rFonts w:ascii="Arial" w:hAnsi="Arial" w:cs="Arial"/>
          <w:sz w:val="24"/>
          <w:szCs w:val="24"/>
          <w:lang w:val="en-US"/>
        </w:rPr>
        <w:t>being, thereby supporting more consistent professional performance and long</w:t>
      </w:r>
      <w:r w:rsidRPr="00696E28">
        <w:rPr>
          <w:rFonts w:ascii="Cambria Math" w:hAnsi="Cambria Math" w:cs="Cambria Math"/>
          <w:sz w:val="24"/>
          <w:szCs w:val="24"/>
          <w:lang w:val="en-US"/>
        </w:rPr>
        <w:t>‑</w:t>
      </w:r>
      <w:r w:rsidRPr="00696E28">
        <w:rPr>
          <w:rFonts w:ascii="Arial" w:hAnsi="Arial" w:cs="Arial"/>
          <w:sz w:val="24"/>
          <w:szCs w:val="24"/>
          <w:lang w:val="en-US"/>
        </w:rPr>
        <w:t>term engagement.</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 xml:space="preserve">The findings align with Rivera et al. (2025), who reported that consistent access to professional growth programs strengthens teachers’ confidence, motivation, and sense of purpose. Similarly, Guiraldo-Tutania and Castro (2025) highlighted that reflective practices and mentorship contribute to teachers’ personal evolution and emotional satisfaction. The emphasis on stress management and coping skills resonates with Ulla (2018), who found that research-oriented development activities enhanced teachers’ resilience and self-belief. Moreover, Beach et al. (2022) demonstrated that self-initiated online learning improved </w:t>
      </w:r>
      <w:r w:rsidRPr="00696E28">
        <w:rPr>
          <w:rFonts w:ascii="Arial" w:hAnsi="Arial" w:cs="Arial"/>
          <w:sz w:val="24"/>
          <w:szCs w:val="24"/>
          <w:lang w:val="en-US"/>
        </w:rPr>
        <w:lastRenderedPageBreak/>
        <w:t>teachers’ adaptability and endurance, while Fernandes et al. (2023) confirmed that continual pedagogical training fosters confidence, communication, and reflective thinking. These studies affirm that personal development is integral to professional growth, underscoring the need for programs that nurture both technical competence and emotional well-being.</w:t>
      </w:r>
    </w:p>
    <w:p w:rsidR="00696E28" w:rsidRDefault="00696E28" w:rsidP="00696E28">
      <w:pPr>
        <w:spacing w:line="360" w:lineRule="auto"/>
        <w:ind w:hanging="720"/>
        <w:jc w:val="both"/>
        <w:rPr>
          <w:rFonts w:ascii="Arial" w:hAnsi="Arial" w:cs="Arial"/>
          <w:sz w:val="24"/>
          <w:szCs w:val="24"/>
          <w:lang w:val="en-US"/>
        </w:rPr>
      </w:pPr>
      <w:r w:rsidRPr="00696E28">
        <w:rPr>
          <w:rFonts w:ascii="Arial" w:hAnsi="Arial" w:cs="Arial"/>
          <w:sz w:val="24"/>
          <w:szCs w:val="24"/>
          <w:lang w:val="en-US"/>
        </w:rPr>
        <w:tab/>
      </w:r>
      <w:r w:rsidRPr="00696E28">
        <w:rPr>
          <w:rFonts w:ascii="Arial" w:hAnsi="Arial" w:cs="Arial"/>
          <w:sz w:val="24"/>
          <w:szCs w:val="24"/>
          <w:lang w:val="en-US"/>
        </w:rPr>
        <w:tab/>
      </w:r>
    </w:p>
    <w:p w:rsidR="00696E28" w:rsidRPr="00696E28" w:rsidRDefault="00696E28" w:rsidP="00696E28">
      <w:pPr>
        <w:spacing w:line="360" w:lineRule="auto"/>
        <w:jc w:val="both"/>
        <w:rPr>
          <w:rFonts w:ascii="Arial" w:hAnsi="Arial" w:cs="Arial"/>
          <w:sz w:val="24"/>
          <w:szCs w:val="24"/>
          <w:lang w:val="en-US"/>
        </w:rPr>
      </w:pPr>
      <w:r w:rsidRPr="00696E28">
        <w:rPr>
          <w:rFonts w:ascii="Arial" w:hAnsi="Arial" w:cs="Arial"/>
          <w:sz w:val="24"/>
          <w:szCs w:val="24"/>
          <w:lang w:val="en-US"/>
        </w:rPr>
        <w:t xml:space="preserve">Table 5 shows that teachers perceive a high level of professional development opportunities in terms of organizational development, with an overall mean of 3.98, a standard deviation of 0.63, and a descriptive rating of Agree, which is qualitatively interpreted as High Opportunity. </w:t>
      </w:r>
    </w:p>
    <w:p w:rsidR="00696E28" w:rsidRPr="00696E28" w:rsidRDefault="00696E28" w:rsidP="00696E28">
      <w:pPr>
        <w:spacing w:after="0" w:line="240" w:lineRule="auto"/>
        <w:jc w:val="both"/>
        <w:rPr>
          <w:rFonts w:ascii="Arial" w:eastAsia="Aptos" w:hAnsi="Arial" w:cs="Arial"/>
          <w:sz w:val="24"/>
          <w:szCs w:val="24"/>
        </w:rPr>
      </w:pPr>
      <w:bookmarkStart w:id="3" w:name="_Hlk226478815"/>
      <w:r w:rsidRPr="00696E28">
        <w:rPr>
          <w:rFonts w:ascii="Arial" w:hAnsi="Arial" w:cs="Arial"/>
          <w:sz w:val="24"/>
          <w:szCs w:val="24"/>
          <w:lang w:val="en-US"/>
        </w:rPr>
        <w:t>Table 5. Mean scores of the teachers’ 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 xml:space="preserve">professional development opportunities in terms of </w:t>
      </w:r>
      <w:r w:rsidRPr="00696E28">
        <w:rPr>
          <w:rFonts w:ascii="Arial" w:hAnsi="Arial" w:cs="Arial"/>
          <w:kern w:val="0"/>
          <w:sz w:val="24"/>
          <w:szCs w:val="24"/>
          <w:lang w:val="en-US" w:eastAsia="zh-CN" w:bidi="ar"/>
        </w:rPr>
        <w:t xml:space="preserve">organizational development. </w:t>
      </w:r>
    </w:p>
    <w:tbl>
      <w:tblPr>
        <w:tblW w:w="8597" w:type="dxa"/>
        <w:tblInd w:w="-5"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629"/>
        <w:gridCol w:w="862"/>
        <w:gridCol w:w="1123"/>
        <w:gridCol w:w="1222"/>
        <w:gridCol w:w="1761"/>
      </w:tblGrid>
      <w:tr w:rsidR="00696E28" w:rsidRPr="00696E28" w:rsidTr="00696E28">
        <w:trPr>
          <w:trHeight w:val="468"/>
        </w:trPr>
        <w:tc>
          <w:tcPr>
            <w:tcW w:w="362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86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123"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rPr>
                <w:rFonts w:ascii="Arial" w:hAnsi="Arial" w:cs="Arial"/>
                <w:sz w:val="20"/>
                <w:szCs w:val="20"/>
              </w:rPr>
            </w:pPr>
            <w:r w:rsidRPr="00696E28">
              <w:rPr>
                <w:rFonts w:ascii="Arial" w:hAnsi="Arial" w:cs="Arial"/>
                <w:sz w:val="20"/>
                <w:szCs w:val="20"/>
                <w:lang w:val="en-US"/>
              </w:rPr>
              <w:t>Standard Deviation</w:t>
            </w:r>
          </w:p>
        </w:tc>
        <w:tc>
          <w:tcPr>
            <w:tcW w:w="122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Descriptive</w:t>
            </w:r>
          </w:p>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Rating</w:t>
            </w:r>
          </w:p>
        </w:tc>
        <w:tc>
          <w:tcPr>
            <w:tcW w:w="1761"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697"/>
        </w:trPr>
        <w:tc>
          <w:tcPr>
            <w:tcW w:w="3629"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need further orientation or training regarding the organizational structure and operational processes of the school.</w:t>
            </w:r>
          </w:p>
        </w:tc>
        <w:tc>
          <w:tcPr>
            <w:tcW w:w="862"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4.08</w:t>
            </w:r>
          </w:p>
        </w:tc>
        <w:tc>
          <w:tcPr>
            <w:tcW w:w="1123" w:type="dxa"/>
            <w:tcBorders>
              <w:top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22"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702"/>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feel the need to improve my teamwork skills to effectively meet the school’s organizational goals.</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4.06</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7"/>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need opportunities to improve my decision-making and problem-solving skills within the organization.</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4.04</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0.84</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7"/>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would like to receive training on school policies, rules, and administrative procedures.</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4.03</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0.85</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7"/>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consider myself effective in working collaboratively with teams within the institution.</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4.00</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0.79</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7"/>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need professional development opportunities related to leadership and organizational roles in the school.</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3.98</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0.85</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702"/>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have sufficient understanding of the school’s organizational structure, culture, and work processes.</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3.97</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0.63</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702"/>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familiar with and able to comply with the school’s policies and administrative procedures.</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3.93</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0.74</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7"/>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capable of taking leadership responsibilities when required in the organization.</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3.84</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0.83</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7"/>
        </w:trPr>
        <w:tc>
          <w:tcPr>
            <w:tcW w:w="3629"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able to make sound decisions and contribute to problem-solving in organizational matters.</w:t>
            </w:r>
          </w:p>
        </w:tc>
        <w:tc>
          <w:tcPr>
            <w:tcW w:w="862"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3.83</w:t>
            </w:r>
          </w:p>
        </w:tc>
        <w:tc>
          <w:tcPr>
            <w:tcW w:w="1123" w:type="dxa"/>
            <w:tcBorders>
              <w:bottom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0.86</w:t>
            </w:r>
          </w:p>
        </w:tc>
        <w:tc>
          <w:tcPr>
            <w:tcW w:w="1222"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20"/>
        </w:trPr>
        <w:tc>
          <w:tcPr>
            <w:tcW w:w="362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862"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3.98</w:t>
            </w:r>
          </w:p>
        </w:tc>
        <w:tc>
          <w:tcPr>
            <w:tcW w:w="1123"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0.63</w:t>
            </w:r>
          </w:p>
        </w:tc>
        <w:tc>
          <w:tcPr>
            <w:tcW w:w="122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rPr>
              <w:t xml:space="preserve">Agree </w:t>
            </w:r>
          </w:p>
        </w:tc>
        <w:tc>
          <w:tcPr>
            <w:tcW w:w="1761"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W w:w="7495" w:type="dxa"/>
        <w:tblLook w:val="04A0" w:firstRow="1" w:lastRow="0" w:firstColumn="1" w:lastColumn="0" w:noHBand="0" w:noVBand="1"/>
      </w:tblPr>
      <w:tblGrid>
        <w:gridCol w:w="1831"/>
        <w:gridCol w:w="2896"/>
        <w:gridCol w:w="2768"/>
      </w:tblGrid>
      <w:tr w:rsidR="00696E28" w:rsidRPr="00696E28" w:rsidTr="00696E28">
        <w:trPr>
          <w:trHeight w:val="318"/>
        </w:trPr>
        <w:tc>
          <w:tcPr>
            <w:tcW w:w="1831"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Range:</w:t>
            </w:r>
          </w:p>
        </w:tc>
        <w:tc>
          <w:tcPr>
            <w:tcW w:w="2896"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2768"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58"/>
        </w:trPr>
        <w:tc>
          <w:tcPr>
            <w:tcW w:w="183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lastRenderedPageBreak/>
              <w:t>4:51-5:00</w:t>
            </w:r>
          </w:p>
        </w:tc>
        <w:tc>
          <w:tcPr>
            <w:tcW w:w="289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2768"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High Opportunity</w:t>
            </w:r>
          </w:p>
        </w:tc>
      </w:tr>
      <w:tr w:rsidR="00696E28" w:rsidRPr="00696E28" w:rsidTr="00696E28">
        <w:trPr>
          <w:trHeight w:val="241"/>
        </w:trPr>
        <w:tc>
          <w:tcPr>
            <w:tcW w:w="183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289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2768"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High Opportunity</w:t>
            </w:r>
          </w:p>
        </w:tc>
      </w:tr>
      <w:tr w:rsidR="00696E28" w:rsidRPr="00696E28" w:rsidTr="00696E28">
        <w:trPr>
          <w:trHeight w:val="258"/>
        </w:trPr>
        <w:tc>
          <w:tcPr>
            <w:tcW w:w="183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2:51-3:50</w:t>
            </w:r>
          </w:p>
        </w:tc>
        <w:tc>
          <w:tcPr>
            <w:tcW w:w="289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2768"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Moderate Opportunity</w:t>
            </w:r>
          </w:p>
        </w:tc>
      </w:tr>
      <w:tr w:rsidR="00696E28" w:rsidRPr="00696E28" w:rsidTr="00696E28">
        <w:trPr>
          <w:trHeight w:val="258"/>
        </w:trPr>
        <w:tc>
          <w:tcPr>
            <w:tcW w:w="183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289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2768"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Low Opportunity</w:t>
            </w:r>
          </w:p>
        </w:tc>
      </w:tr>
      <w:tr w:rsidR="00696E28" w:rsidRPr="00696E28" w:rsidTr="00696E28">
        <w:trPr>
          <w:trHeight w:val="258"/>
        </w:trPr>
        <w:tc>
          <w:tcPr>
            <w:tcW w:w="183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289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2768"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Low Opportunity</w:t>
            </w:r>
          </w:p>
        </w:tc>
      </w:tr>
      <w:bookmarkEnd w:id="3"/>
    </w:tbl>
    <w:p w:rsidR="00696E28" w:rsidRPr="00696E28" w:rsidRDefault="00696E28" w:rsidP="00696E28">
      <w:pPr>
        <w:spacing w:line="360" w:lineRule="auto"/>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 highest</w:t>
      </w:r>
      <w:r w:rsidRPr="00696E28">
        <w:rPr>
          <w:rFonts w:ascii="Cambria Math" w:hAnsi="Cambria Math" w:cs="Cambria Math"/>
          <w:sz w:val="24"/>
          <w:szCs w:val="24"/>
          <w:lang w:val="en-US"/>
        </w:rPr>
        <w:t>‑</w:t>
      </w:r>
      <w:r w:rsidRPr="00696E28">
        <w:rPr>
          <w:rFonts w:ascii="Arial" w:hAnsi="Arial" w:cs="Arial"/>
          <w:sz w:val="24"/>
          <w:szCs w:val="24"/>
          <w:lang w:val="en-US"/>
        </w:rPr>
        <w:t>rated indicators include the need for further orientation or training regarding the school’s organizational structure and operational processes (M = 4.08, SD = 0.81, Agree), improving teamwork skills (M = 4.06, SD = 0.81, Agree), and enhancing decision</w:t>
      </w:r>
      <w:r w:rsidRPr="00696E28">
        <w:rPr>
          <w:rFonts w:ascii="Cambria Math" w:hAnsi="Cambria Math" w:cs="Cambria Math"/>
          <w:sz w:val="24"/>
          <w:szCs w:val="24"/>
          <w:lang w:val="en-US"/>
        </w:rPr>
        <w:t>‑</w:t>
      </w:r>
      <w:r w:rsidRPr="00696E28">
        <w:rPr>
          <w:rFonts w:ascii="Arial" w:hAnsi="Arial" w:cs="Arial"/>
          <w:sz w:val="24"/>
          <w:szCs w:val="24"/>
          <w:lang w:val="en-US"/>
        </w:rPr>
        <w:t>making and problem</w:t>
      </w:r>
      <w:r w:rsidRPr="00696E28">
        <w:rPr>
          <w:rFonts w:ascii="Cambria Math" w:hAnsi="Cambria Math" w:cs="Cambria Math"/>
          <w:sz w:val="24"/>
          <w:szCs w:val="24"/>
          <w:lang w:val="en-US"/>
        </w:rPr>
        <w:t>‑</w:t>
      </w:r>
      <w:r w:rsidRPr="00696E28">
        <w:rPr>
          <w:rFonts w:ascii="Arial" w:hAnsi="Arial" w:cs="Arial"/>
          <w:sz w:val="24"/>
          <w:szCs w:val="24"/>
          <w:lang w:val="en-US"/>
        </w:rPr>
        <w:t>solving skills within the organization (M = 4.04, SD = 0.84, Agree). Other indicators related to compliance with school policies, collaborative work, and leadership roles were likewise rated as Agree, indicating teachers’ recognition of the importance of organizational competence and participation.</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 moderate standard deviation suggests a reasonable level of consistency in teachers’ perceptions of organizational development opportunities, while still indicating some variation across respondents. Indicators related to understanding organizational structures and teamwork displayed relatively lower SD values, reflecting more uniform experiences in these areas. In contrast, items associated with leadership responsibilities and organizational decision-making exhibited slightly higher standard deviations, suggesting differences in teachers’ exposure to leadership roles and involvement in institutional governance. This pattern indicates that while teachers generally feel capable of working within organizational systems, opportunities for deeper leadership engagement are not equally experienced.</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These findings imply that professional development initiatives should not only reinforce teachers’ understanding of school structures and collaborative practices but also expand opportunities for leadership development and shared decision-making. Addressing the observed variability in leadership</w:t>
      </w:r>
      <w:r w:rsidRPr="00696E28">
        <w:rPr>
          <w:rFonts w:ascii="Cambria Math" w:hAnsi="Cambria Math" w:cs="Cambria Math"/>
          <w:sz w:val="24"/>
          <w:szCs w:val="24"/>
          <w:lang w:val="en-US"/>
        </w:rPr>
        <w:t>‑</w:t>
      </w:r>
      <w:r w:rsidRPr="00696E28">
        <w:rPr>
          <w:rFonts w:ascii="Arial" w:hAnsi="Arial" w:cs="Arial"/>
          <w:sz w:val="24"/>
          <w:szCs w:val="24"/>
          <w:lang w:val="en-US"/>
        </w:rPr>
        <w:t>related experiences may help empower more teachers to take active organizational roles, strengthen institutional participation, and support more inclusive and effective school governance.</w:t>
      </w:r>
    </w:p>
    <w:p w:rsidR="00696E28" w:rsidRP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t xml:space="preserve">The findings are consistent with </w:t>
      </w:r>
      <w:r w:rsidRPr="00696E28">
        <w:rPr>
          <w:rStyle w:val="Strong"/>
          <w:rFonts w:ascii="Arial" w:hAnsi="Arial" w:cs="Arial"/>
          <w:b w:val="0"/>
          <w:sz w:val="24"/>
          <w:szCs w:val="24"/>
        </w:rPr>
        <w:t>Belay et al. (2021)</w:t>
      </w:r>
      <w:r w:rsidRPr="00696E28">
        <w:rPr>
          <w:rFonts w:ascii="Arial" w:hAnsi="Arial" w:cs="Arial"/>
          <w:b/>
          <w:sz w:val="24"/>
          <w:szCs w:val="24"/>
        </w:rPr>
        <w:t>,</w:t>
      </w:r>
      <w:r w:rsidRPr="00696E28">
        <w:rPr>
          <w:rFonts w:ascii="Arial" w:hAnsi="Arial" w:cs="Arial"/>
          <w:sz w:val="24"/>
          <w:szCs w:val="24"/>
        </w:rPr>
        <w:t xml:space="preserve"> who emphasized that effective school management and secure environments significantly influence teachers’ participation in professional development, thereby enhancing organizational growth. Similarly, </w:t>
      </w:r>
      <w:r w:rsidRPr="00696E28">
        <w:rPr>
          <w:rStyle w:val="Strong"/>
          <w:rFonts w:ascii="Arial" w:hAnsi="Arial" w:cs="Arial"/>
          <w:b w:val="0"/>
          <w:sz w:val="24"/>
          <w:szCs w:val="24"/>
        </w:rPr>
        <w:t>Melesse and Belay (2022)</w:t>
      </w:r>
      <w:r w:rsidRPr="00696E28">
        <w:rPr>
          <w:rFonts w:ascii="Arial" w:hAnsi="Arial" w:cs="Arial"/>
          <w:sz w:val="24"/>
          <w:szCs w:val="24"/>
        </w:rPr>
        <w:t xml:space="preserve"> demonstrated that involvement in professional development directly relates to job satisfaction, </w:t>
      </w:r>
      <w:r w:rsidRPr="00696E28">
        <w:rPr>
          <w:rFonts w:ascii="Arial" w:hAnsi="Arial" w:cs="Arial"/>
          <w:sz w:val="24"/>
          <w:szCs w:val="24"/>
        </w:rPr>
        <w:lastRenderedPageBreak/>
        <w:t xml:space="preserve">reinforcing the importance of organizational culture in sustaining teacher engagement. The emphasis on teamwork and collaboration resonates with </w:t>
      </w:r>
      <w:r w:rsidRPr="00696E28">
        <w:rPr>
          <w:rStyle w:val="Strong"/>
          <w:rFonts w:ascii="Arial" w:hAnsi="Arial" w:cs="Arial"/>
          <w:b w:val="0"/>
          <w:sz w:val="24"/>
          <w:szCs w:val="24"/>
        </w:rPr>
        <w:t>Tong and Razniak (2016)</w:t>
      </w:r>
      <w:r w:rsidRPr="00696E28">
        <w:rPr>
          <w:rFonts w:ascii="Arial" w:hAnsi="Arial" w:cs="Arial"/>
          <w:sz w:val="24"/>
          <w:szCs w:val="24"/>
        </w:rPr>
        <w:t xml:space="preserve">, who argued that systematic collaboration and shared leadership are essential for building professional capital. Moreover, </w:t>
      </w:r>
      <w:r w:rsidRPr="00696E28">
        <w:rPr>
          <w:rStyle w:val="Strong"/>
          <w:rFonts w:ascii="Arial" w:hAnsi="Arial" w:cs="Arial"/>
          <w:b w:val="0"/>
          <w:sz w:val="24"/>
          <w:szCs w:val="24"/>
        </w:rPr>
        <w:t>Zerrad and Schechter (2025)</w:t>
      </w:r>
      <w:r w:rsidRPr="00696E28">
        <w:rPr>
          <w:rFonts w:ascii="Arial" w:hAnsi="Arial" w:cs="Arial"/>
          <w:sz w:val="24"/>
          <w:szCs w:val="24"/>
        </w:rPr>
        <w:t xml:space="preserve"> highlighted that organizational capacity and leadership vision are prerequisites for substantial professional growth, reflecting the teachers’ expressed need for leadership training. These studies affirm that organizational development opportunities strengthen institutional performance and teacher satisfaction, underscoring the need for programs that balance technical competence with collaborative and leadership skills.</w:t>
      </w:r>
    </w:p>
    <w:p w:rsidR="00696E28" w:rsidRPr="00696E28" w:rsidRDefault="00696E28" w:rsidP="00696E28">
      <w:pPr>
        <w:spacing w:after="0" w:line="360" w:lineRule="auto"/>
        <w:ind w:firstLine="720"/>
        <w:jc w:val="both"/>
        <w:rPr>
          <w:rFonts w:ascii="Arial" w:hAnsi="Arial" w:cs="Arial"/>
          <w:sz w:val="24"/>
          <w:szCs w:val="24"/>
        </w:rPr>
      </w:pPr>
      <w:bookmarkStart w:id="4" w:name="_Hlk226479313"/>
    </w:p>
    <w:p w:rsidR="00696E28" w:rsidRP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t>Table 6 presents the summary of teachers’ professional development opportunities across four domains: Instructional Development, Scientific Field Development, Personal Development, and Organizational Development. The results show that all domains were rated at a high level of opportunity, with means ranging from 3.83 to 4.02. Instructional Development and Personal Development both obtained the highest mean scores (M = 4.02), followed by Organizational Development (M = 3.98) and Scientific Field Development (M = 3.83). The overall mean of 3.96, with a standard deviation of 0.45 and a descriptive rating of Agree, indicates that teachers generally perceive professional development opportunities as highly available across all domains.</w:t>
      </w:r>
    </w:p>
    <w:p w:rsid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t>The low overall standard deviation</w:t>
      </w:r>
      <w:r w:rsidRPr="00696E28">
        <w:rPr>
          <w:rFonts w:ascii="Arial" w:hAnsi="Arial" w:cs="Arial"/>
          <w:sz w:val="24"/>
          <w:szCs w:val="24"/>
          <w:lang w:val="en-US"/>
        </w:rPr>
        <w:t xml:space="preserve"> </w:t>
      </w:r>
      <w:r w:rsidRPr="00696E28">
        <w:rPr>
          <w:rFonts w:ascii="Arial" w:hAnsi="Arial" w:cs="Arial"/>
          <w:sz w:val="24"/>
          <w:szCs w:val="24"/>
        </w:rPr>
        <w:t>reflects a high level of consistency in teachers’ perceptions of professional development opportunities across the four domains. This suggests that access to professional growth activities is relatively uniform, regardless of the type of development area. Slight variations in standard deviation values among domains indicate minor differences in experiences, particularly in Scientific Field Development, which exhibited the lowest mean and a slightly higher SD compared to the other domains. This pattern suggests that while professional development opportunities are widely recognized, research</w:t>
      </w:r>
      <w:r w:rsidRPr="00696E28">
        <w:rPr>
          <w:rFonts w:ascii="Cambria Math" w:hAnsi="Cambria Math" w:cs="Cambria Math"/>
          <w:sz w:val="24"/>
          <w:szCs w:val="24"/>
        </w:rPr>
        <w:t>‑</w:t>
      </w:r>
      <w:r w:rsidRPr="00696E28">
        <w:rPr>
          <w:rFonts w:ascii="Arial" w:hAnsi="Arial" w:cs="Arial"/>
          <w:sz w:val="24"/>
          <w:szCs w:val="24"/>
        </w:rPr>
        <w:t>related opportunities may not be as consistently experienced as instructional and personal development initiatives.</w:t>
      </w:r>
    </w:p>
    <w:p w:rsidR="00696E28" w:rsidRDefault="00696E28" w:rsidP="00696E28">
      <w:pPr>
        <w:spacing w:after="0" w:line="360" w:lineRule="auto"/>
        <w:ind w:firstLine="720"/>
        <w:jc w:val="both"/>
        <w:rPr>
          <w:rFonts w:ascii="Arial" w:hAnsi="Arial" w:cs="Arial"/>
          <w:sz w:val="24"/>
          <w:szCs w:val="24"/>
        </w:rPr>
      </w:pPr>
    </w:p>
    <w:p w:rsidR="00696E28" w:rsidRDefault="00696E28" w:rsidP="00696E28">
      <w:pPr>
        <w:spacing w:after="0" w:line="360" w:lineRule="auto"/>
        <w:ind w:firstLine="720"/>
        <w:jc w:val="both"/>
        <w:rPr>
          <w:rFonts w:ascii="Arial" w:hAnsi="Arial" w:cs="Arial"/>
          <w:sz w:val="24"/>
          <w:szCs w:val="24"/>
        </w:rPr>
      </w:pPr>
    </w:p>
    <w:p w:rsidR="00696E28" w:rsidRDefault="00696E28" w:rsidP="00696E28">
      <w:pPr>
        <w:spacing w:after="0" w:line="360" w:lineRule="auto"/>
        <w:ind w:firstLine="720"/>
        <w:jc w:val="both"/>
        <w:rPr>
          <w:rFonts w:ascii="Arial" w:hAnsi="Arial" w:cs="Arial"/>
          <w:sz w:val="24"/>
          <w:szCs w:val="24"/>
        </w:rPr>
      </w:pPr>
    </w:p>
    <w:p w:rsidR="00696E28" w:rsidRPr="00696E28" w:rsidRDefault="00696E28" w:rsidP="00696E28">
      <w:pPr>
        <w:spacing w:after="0" w:line="360" w:lineRule="auto"/>
        <w:ind w:firstLine="720"/>
        <w:jc w:val="both"/>
        <w:rPr>
          <w:rFonts w:ascii="Arial" w:hAnsi="Arial" w:cs="Arial"/>
          <w:sz w:val="24"/>
          <w:szCs w:val="24"/>
        </w:rPr>
      </w:pPr>
    </w:p>
    <w:p w:rsidR="00696E28" w:rsidRPr="00696E28" w:rsidRDefault="00696E28" w:rsidP="00696E28">
      <w:pPr>
        <w:spacing w:after="0" w:line="240" w:lineRule="auto"/>
        <w:jc w:val="both"/>
        <w:rPr>
          <w:rFonts w:ascii="Arial" w:eastAsia="Aptos" w:hAnsi="Arial" w:cs="Arial"/>
          <w:sz w:val="24"/>
          <w:szCs w:val="24"/>
        </w:rPr>
      </w:pPr>
      <w:r w:rsidRPr="00696E28">
        <w:rPr>
          <w:rFonts w:ascii="Arial" w:hAnsi="Arial" w:cs="Arial"/>
          <w:sz w:val="24"/>
          <w:szCs w:val="24"/>
          <w:lang w:val="en-US"/>
        </w:rPr>
        <w:t>Table 6. Summary of the mean scores of the teachers’ 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professional development opportunities.</w:t>
      </w:r>
    </w:p>
    <w:tbl>
      <w:tblPr>
        <w:tblW w:w="8418" w:type="dxa"/>
        <w:tblInd w:w="-5"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2767"/>
        <w:gridCol w:w="979"/>
        <w:gridCol w:w="1382"/>
        <w:gridCol w:w="1319"/>
        <w:gridCol w:w="1971"/>
      </w:tblGrid>
      <w:tr w:rsidR="00696E28" w:rsidRPr="00696E28" w:rsidTr="00696E28">
        <w:trPr>
          <w:trHeight w:val="554"/>
        </w:trPr>
        <w:tc>
          <w:tcPr>
            <w:tcW w:w="2767"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eastAsia="Aptos" w:hAnsi="Arial" w:cs="Arial"/>
                <w:sz w:val="20"/>
                <w:szCs w:val="20"/>
                <w:lang w:val="en-US" w:eastAsia="zh-CN" w:bidi="ar"/>
              </w:rPr>
              <w:t>Professional Development Opportunities</w:t>
            </w:r>
          </w:p>
        </w:tc>
        <w:tc>
          <w:tcPr>
            <w:tcW w:w="97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38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Standard Deviation</w:t>
            </w:r>
          </w:p>
        </w:tc>
        <w:tc>
          <w:tcPr>
            <w:tcW w:w="131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Descriptive Rating</w:t>
            </w:r>
          </w:p>
        </w:tc>
        <w:tc>
          <w:tcPr>
            <w:tcW w:w="1971"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441"/>
        </w:trPr>
        <w:tc>
          <w:tcPr>
            <w:tcW w:w="2767" w:type="dxa"/>
            <w:tcBorders>
              <w:top w:val="single" w:sz="4" w:space="0" w:color="auto"/>
            </w:tcBorders>
            <w:shd w:val="clear" w:color="auto" w:fill="FFFFFF" w:themeFill="background1"/>
          </w:tcPr>
          <w:p w:rsidR="00696E28" w:rsidRPr="00696E28" w:rsidRDefault="00696E28" w:rsidP="00696E28">
            <w:pPr>
              <w:spacing w:line="240" w:lineRule="auto"/>
              <w:jc w:val="both"/>
              <w:textAlignment w:val="center"/>
              <w:rPr>
                <w:rFonts w:ascii="Arial" w:eastAsia="Aptos" w:hAnsi="Arial" w:cs="Arial"/>
                <w:sz w:val="20"/>
                <w:szCs w:val="20"/>
              </w:rPr>
            </w:pPr>
            <w:r w:rsidRPr="00696E28">
              <w:rPr>
                <w:rFonts w:ascii="Arial" w:eastAsia="SimSun" w:hAnsi="Arial" w:cs="Arial"/>
                <w:color w:val="000000"/>
                <w:kern w:val="0"/>
                <w:sz w:val="20"/>
                <w:szCs w:val="20"/>
                <w:lang w:val="en-US" w:eastAsia="zh-CN" w:bidi="ar"/>
              </w:rPr>
              <w:t>Instructional Development</w:t>
            </w:r>
          </w:p>
        </w:tc>
        <w:tc>
          <w:tcPr>
            <w:tcW w:w="979" w:type="dxa"/>
            <w:tcBorders>
              <w:top w:val="single" w:sz="4" w:space="0" w:color="auto"/>
            </w:tcBorders>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4.02</w:t>
            </w:r>
          </w:p>
        </w:tc>
        <w:tc>
          <w:tcPr>
            <w:tcW w:w="1382" w:type="dxa"/>
            <w:tcBorders>
              <w:top w:val="single" w:sz="4" w:space="0" w:color="auto"/>
            </w:tcBorders>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lang w:val="en-US"/>
              </w:rPr>
            </w:pPr>
            <w:r w:rsidRPr="00696E28">
              <w:rPr>
                <w:rFonts w:ascii="Arial" w:eastAsia="Aptos" w:hAnsi="Arial" w:cs="Arial"/>
                <w:color w:val="000000"/>
                <w:sz w:val="20"/>
                <w:szCs w:val="20"/>
                <w:lang w:val="en-US" w:eastAsia="zh-CN" w:bidi="ar"/>
              </w:rPr>
              <w:t>0.53</w:t>
            </w:r>
          </w:p>
        </w:tc>
        <w:tc>
          <w:tcPr>
            <w:tcW w:w="1319"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971"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395"/>
        </w:trPr>
        <w:tc>
          <w:tcPr>
            <w:tcW w:w="2767" w:type="dxa"/>
            <w:shd w:val="clear" w:color="auto" w:fill="FFFFFF" w:themeFill="background1"/>
          </w:tcPr>
          <w:p w:rsidR="00696E28" w:rsidRPr="00696E28" w:rsidRDefault="00696E28" w:rsidP="00696E28">
            <w:pPr>
              <w:spacing w:line="240" w:lineRule="auto"/>
              <w:jc w:val="both"/>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Personal Development</w:t>
            </w:r>
          </w:p>
        </w:tc>
        <w:tc>
          <w:tcPr>
            <w:tcW w:w="979" w:type="dxa"/>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4.02</w:t>
            </w:r>
          </w:p>
        </w:tc>
        <w:tc>
          <w:tcPr>
            <w:tcW w:w="1382" w:type="dxa"/>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lang w:val="en-US"/>
              </w:rPr>
            </w:pPr>
            <w:r w:rsidRPr="00696E28">
              <w:rPr>
                <w:rFonts w:ascii="Arial" w:eastAsia="Aptos" w:hAnsi="Arial" w:cs="Arial"/>
                <w:color w:val="000000"/>
                <w:sz w:val="20"/>
                <w:szCs w:val="20"/>
                <w:lang w:val="en-US" w:eastAsia="zh-CN" w:bidi="ar"/>
              </w:rPr>
              <w:t>0.6</w:t>
            </w:r>
          </w:p>
        </w:tc>
        <w:tc>
          <w:tcPr>
            <w:tcW w:w="1319"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97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395"/>
        </w:trPr>
        <w:tc>
          <w:tcPr>
            <w:tcW w:w="2767" w:type="dxa"/>
            <w:shd w:val="clear" w:color="auto" w:fill="FFFFFF" w:themeFill="background1"/>
          </w:tcPr>
          <w:p w:rsidR="00696E28" w:rsidRPr="00696E28" w:rsidRDefault="00696E28" w:rsidP="00696E28">
            <w:pPr>
              <w:spacing w:line="240" w:lineRule="auto"/>
              <w:jc w:val="both"/>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Organizational Development</w:t>
            </w:r>
          </w:p>
        </w:tc>
        <w:tc>
          <w:tcPr>
            <w:tcW w:w="979" w:type="dxa"/>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3.98</w:t>
            </w:r>
          </w:p>
        </w:tc>
        <w:tc>
          <w:tcPr>
            <w:tcW w:w="1382" w:type="dxa"/>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lang w:val="en-US"/>
              </w:rPr>
            </w:pPr>
            <w:r w:rsidRPr="00696E28">
              <w:rPr>
                <w:rFonts w:ascii="Arial" w:eastAsia="Aptos" w:hAnsi="Arial" w:cs="Arial"/>
                <w:color w:val="000000"/>
                <w:sz w:val="20"/>
                <w:szCs w:val="20"/>
                <w:lang w:val="en-US" w:eastAsia="zh-CN" w:bidi="ar"/>
              </w:rPr>
              <w:t>0.63</w:t>
            </w:r>
          </w:p>
        </w:tc>
        <w:tc>
          <w:tcPr>
            <w:tcW w:w="1319"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97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395"/>
        </w:trPr>
        <w:tc>
          <w:tcPr>
            <w:tcW w:w="2767" w:type="dxa"/>
            <w:tcBorders>
              <w:bottom w:val="single" w:sz="4" w:space="0" w:color="auto"/>
            </w:tcBorders>
            <w:shd w:val="clear" w:color="auto" w:fill="FFFFFF" w:themeFill="background1"/>
          </w:tcPr>
          <w:p w:rsidR="00696E28" w:rsidRPr="00696E28" w:rsidRDefault="00696E28" w:rsidP="00696E28">
            <w:pPr>
              <w:spacing w:line="240" w:lineRule="auto"/>
              <w:jc w:val="both"/>
              <w:textAlignment w:val="center"/>
              <w:rPr>
                <w:rFonts w:ascii="Arial" w:hAnsi="Arial" w:cs="Arial"/>
                <w:kern w:val="0"/>
                <w:sz w:val="20"/>
                <w:szCs w:val="20"/>
                <w:lang w:val="en-US" w:eastAsia="zh-CN" w:bidi="ar"/>
              </w:rPr>
            </w:pPr>
            <w:r w:rsidRPr="00696E28">
              <w:rPr>
                <w:rFonts w:ascii="Arial" w:eastAsia="SimSun" w:hAnsi="Arial" w:cs="Arial"/>
                <w:color w:val="000000"/>
                <w:kern w:val="0"/>
                <w:sz w:val="20"/>
                <w:szCs w:val="20"/>
                <w:lang w:val="en-US" w:eastAsia="zh-CN" w:bidi="ar"/>
              </w:rPr>
              <w:t>Scientific Field Development</w:t>
            </w:r>
          </w:p>
        </w:tc>
        <w:tc>
          <w:tcPr>
            <w:tcW w:w="979" w:type="dxa"/>
            <w:tcBorders>
              <w:bottom w:val="single" w:sz="4" w:space="0" w:color="auto"/>
            </w:tcBorders>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3.83</w:t>
            </w:r>
          </w:p>
        </w:tc>
        <w:tc>
          <w:tcPr>
            <w:tcW w:w="1382" w:type="dxa"/>
            <w:tcBorders>
              <w:bottom w:val="single" w:sz="4" w:space="0" w:color="auto"/>
            </w:tcBorders>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lang w:val="en-US"/>
              </w:rPr>
            </w:pPr>
            <w:r w:rsidRPr="00696E28">
              <w:rPr>
                <w:rFonts w:ascii="Arial" w:eastAsia="Aptos" w:hAnsi="Arial" w:cs="Arial"/>
                <w:color w:val="000000"/>
                <w:sz w:val="20"/>
                <w:szCs w:val="20"/>
                <w:lang w:val="en-US" w:eastAsia="zh-CN" w:bidi="ar"/>
              </w:rPr>
              <w:t>0.58</w:t>
            </w:r>
          </w:p>
        </w:tc>
        <w:tc>
          <w:tcPr>
            <w:tcW w:w="1319"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971"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53"/>
        </w:trPr>
        <w:tc>
          <w:tcPr>
            <w:tcW w:w="2767"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eastAsia="Aptos" w:hAnsi="Arial" w:cs="Arial"/>
                <w:sz w:val="20"/>
                <w:szCs w:val="20"/>
              </w:rPr>
            </w:pPr>
            <w:r w:rsidRPr="00696E28">
              <w:rPr>
                <w:rFonts w:ascii="Arial" w:eastAsia="Aptos" w:hAnsi="Arial" w:cs="Arial"/>
                <w:sz w:val="20"/>
                <w:szCs w:val="20"/>
                <w:lang w:val="en-US" w:eastAsia="zh-CN" w:bidi="ar"/>
              </w:rPr>
              <w:t>Overall Mean</w:t>
            </w:r>
          </w:p>
        </w:tc>
        <w:tc>
          <w:tcPr>
            <w:tcW w:w="97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3.96</w:t>
            </w:r>
          </w:p>
        </w:tc>
        <w:tc>
          <w:tcPr>
            <w:tcW w:w="138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0.45</w:t>
            </w:r>
          </w:p>
        </w:tc>
        <w:tc>
          <w:tcPr>
            <w:tcW w:w="131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971"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W w:w="6878" w:type="dxa"/>
        <w:tblLook w:val="04A0" w:firstRow="1" w:lastRow="0" w:firstColumn="1" w:lastColumn="0" w:noHBand="0" w:noVBand="1"/>
      </w:tblPr>
      <w:tblGrid>
        <w:gridCol w:w="1680"/>
        <w:gridCol w:w="2658"/>
        <w:gridCol w:w="2540"/>
      </w:tblGrid>
      <w:tr w:rsidR="00696E28" w:rsidRPr="00696E28" w:rsidTr="00696E28">
        <w:trPr>
          <w:trHeight w:val="302"/>
        </w:trPr>
        <w:tc>
          <w:tcPr>
            <w:tcW w:w="1680"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Range:</w:t>
            </w:r>
          </w:p>
        </w:tc>
        <w:tc>
          <w:tcPr>
            <w:tcW w:w="2658"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2540"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46"/>
        </w:trPr>
        <w:tc>
          <w:tcPr>
            <w:tcW w:w="168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4:51-5:00</w:t>
            </w:r>
          </w:p>
        </w:tc>
        <w:tc>
          <w:tcPr>
            <w:tcW w:w="2658"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254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High Opportunity</w:t>
            </w:r>
          </w:p>
        </w:tc>
      </w:tr>
      <w:tr w:rsidR="00696E28" w:rsidRPr="00696E28" w:rsidTr="00696E28">
        <w:trPr>
          <w:trHeight w:val="229"/>
        </w:trPr>
        <w:tc>
          <w:tcPr>
            <w:tcW w:w="168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2658"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254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High Opportunity</w:t>
            </w:r>
          </w:p>
        </w:tc>
      </w:tr>
      <w:tr w:rsidR="00696E28" w:rsidRPr="00696E28" w:rsidTr="00696E28">
        <w:trPr>
          <w:trHeight w:val="246"/>
        </w:trPr>
        <w:tc>
          <w:tcPr>
            <w:tcW w:w="168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2:51-3:50</w:t>
            </w:r>
          </w:p>
        </w:tc>
        <w:tc>
          <w:tcPr>
            <w:tcW w:w="2658"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254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Moderate Opportunity</w:t>
            </w:r>
          </w:p>
        </w:tc>
      </w:tr>
      <w:tr w:rsidR="00696E28" w:rsidRPr="00696E28" w:rsidTr="00696E28">
        <w:trPr>
          <w:trHeight w:val="246"/>
        </w:trPr>
        <w:tc>
          <w:tcPr>
            <w:tcW w:w="168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2658"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254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Low Opportunity</w:t>
            </w:r>
          </w:p>
        </w:tc>
      </w:tr>
      <w:tr w:rsidR="00696E28" w:rsidRPr="00696E28" w:rsidTr="00696E28">
        <w:trPr>
          <w:trHeight w:val="246"/>
        </w:trPr>
        <w:tc>
          <w:tcPr>
            <w:tcW w:w="168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2658"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254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Low Opportunity</w:t>
            </w:r>
          </w:p>
        </w:tc>
      </w:tr>
      <w:bookmarkEnd w:id="4"/>
    </w:tbl>
    <w:p w:rsidR="00696E28" w:rsidRPr="00696E28" w:rsidRDefault="00696E28" w:rsidP="00696E28">
      <w:pPr>
        <w:spacing w:line="240" w:lineRule="auto"/>
        <w:ind w:left="720" w:hanging="720"/>
        <w:jc w:val="center"/>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t>These findings imply that schools have generally established effective professional development structures that address multiple dimensions of teachers’ growth. However, the comparatively lower rating and greater variability in Scientific Field Development indicate the need to strengthen research</w:t>
      </w:r>
      <w:r w:rsidRPr="00696E28">
        <w:rPr>
          <w:rFonts w:ascii="Arial" w:hAnsi="Arial" w:cs="Arial"/>
          <w:sz w:val="24"/>
          <w:szCs w:val="24"/>
          <w:lang w:val="en-US"/>
        </w:rPr>
        <w:t>-</w:t>
      </w:r>
      <w:r w:rsidRPr="00696E28">
        <w:rPr>
          <w:rFonts w:ascii="Arial" w:hAnsi="Arial" w:cs="Arial"/>
          <w:sz w:val="24"/>
          <w:szCs w:val="24"/>
        </w:rPr>
        <w:t>focused opportunities to ensure balanced professional growth. Enhancing access to mentoring, research resources, and scholarly collaboration can help maintain consistency across all domains and support holistic teacher development that benefits both instructional practice and institutional advancement.</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rPr>
        <w:t xml:space="preserve">The overall high opportunity ratings align with </w:t>
      </w:r>
      <w:r w:rsidRPr="00696E28">
        <w:rPr>
          <w:rStyle w:val="Strong"/>
          <w:rFonts w:ascii="Arial" w:hAnsi="Arial" w:cs="Arial"/>
          <w:b w:val="0"/>
          <w:sz w:val="24"/>
          <w:szCs w:val="24"/>
        </w:rPr>
        <w:t>Mallillin and Laurel (2022)</w:t>
      </w:r>
      <w:r w:rsidRPr="00696E28">
        <w:rPr>
          <w:rFonts w:ascii="Arial" w:hAnsi="Arial" w:cs="Arial"/>
          <w:b/>
          <w:sz w:val="24"/>
          <w:szCs w:val="24"/>
        </w:rPr>
        <w:t>,</w:t>
      </w:r>
      <w:r w:rsidRPr="00696E28">
        <w:rPr>
          <w:rFonts w:ascii="Arial" w:hAnsi="Arial" w:cs="Arial"/>
          <w:sz w:val="24"/>
          <w:szCs w:val="24"/>
        </w:rPr>
        <w:t xml:space="preserve"> who demonstrated that well-designed professional development programs positively influence instructional quality and student learning outcomes. At the same time, the relatively lower score in scientific field development reflects the disparities noted by </w:t>
      </w:r>
      <w:r w:rsidRPr="00696E28">
        <w:rPr>
          <w:rStyle w:val="Strong"/>
          <w:rFonts w:ascii="Arial" w:hAnsi="Arial" w:cs="Arial"/>
          <w:b w:val="0"/>
          <w:sz w:val="24"/>
          <w:szCs w:val="24"/>
        </w:rPr>
        <w:t>Constantino and Antonio (2025)</w:t>
      </w:r>
      <w:r w:rsidRPr="00696E28">
        <w:rPr>
          <w:rFonts w:ascii="Arial" w:hAnsi="Arial" w:cs="Arial"/>
          <w:b/>
          <w:sz w:val="24"/>
          <w:szCs w:val="24"/>
        </w:rPr>
        <w:t>,</w:t>
      </w:r>
      <w:r w:rsidRPr="00696E28">
        <w:rPr>
          <w:rFonts w:ascii="Arial" w:hAnsi="Arial" w:cs="Arial"/>
          <w:sz w:val="24"/>
          <w:szCs w:val="24"/>
        </w:rPr>
        <w:t xml:space="preserve"> who found that teachers in rural areas often face fewer opportunities for scientific growth. These studies affirm that while PDOs are effective in enhancing teacher competence, institutional support and equitable access remain essential for sustaining balanced professional growth.</w:t>
      </w:r>
    </w:p>
    <w:p w:rsidR="00696E28" w:rsidRPr="00696E28" w:rsidRDefault="00696E28" w:rsidP="00696E28">
      <w:pPr>
        <w:spacing w:after="0" w:line="360" w:lineRule="auto"/>
        <w:ind w:firstLine="720"/>
        <w:jc w:val="both"/>
        <w:rPr>
          <w:rFonts w:ascii="Arial" w:hAnsi="Arial" w:cs="Arial"/>
          <w:sz w:val="24"/>
        </w:rPr>
      </w:pPr>
      <w:bookmarkStart w:id="5" w:name="_Hlk226479622"/>
      <w:r w:rsidRPr="00696E28">
        <w:rPr>
          <w:rFonts w:ascii="Arial" w:hAnsi="Arial" w:cs="Arial"/>
          <w:sz w:val="24"/>
        </w:rPr>
        <w:t xml:space="preserve">Table 7 presents the teachers’ level of organizational commitment in terms of affective commitment. The results show an overall mean of 3.49, a standard deviation of 0.58, and a descriptive rating of Neutral, which is qualitatively interpreted </w:t>
      </w:r>
      <w:r w:rsidRPr="00696E28">
        <w:rPr>
          <w:rFonts w:ascii="Arial" w:hAnsi="Arial" w:cs="Arial"/>
          <w:sz w:val="24"/>
        </w:rPr>
        <w:lastRenderedPageBreak/>
        <w:t>as Moderate Commitment. Several indicators obtained high mean scores, including feeling proud to be part of the organization (M = 3.95, SD = 0.96), willingness to spend one’s career in the institution (M = 3.88, SD = 0.87), and feeling emotionally connected to the organization (M = 3.83, SD = 0.84), all rated as Agree. In contrast, indicators related to a sense of belonging and feeling “part of the family” yielded lower mean scores (M = 2.77–2.93) and were descriptively rated as Neutral, indicating moderate affective attachment overall.</w:t>
      </w:r>
    </w:p>
    <w:p w:rsidR="00696E28" w:rsidRPr="00696E28" w:rsidRDefault="00696E28" w:rsidP="00696E28">
      <w:pPr>
        <w:spacing w:after="0" w:line="240" w:lineRule="auto"/>
        <w:jc w:val="both"/>
        <w:rPr>
          <w:rFonts w:ascii="Arial" w:hAnsi="Arial" w:cs="Arial"/>
          <w:sz w:val="24"/>
          <w:szCs w:val="24"/>
          <w:lang w:val="en-US"/>
        </w:rPr>
      </w:pPr>
    </w:p>
    <w:p w:rsidR="00696E28" w:rsidRPr="00696E28" w:rsidRDefault="00696E28" w:rsidP="00696E28">
      <w:pPr>
        <w:spacing w:after="0" w:line="240" w:lineRule="auto"/>
        <w:jc w:val="both"/>
        <w:rPr>
          <w:rFonts w:ascii="Arial" w:eastAsia="Aptos" w:hAnsi="Arial" w:cs="Arial"/>
          <w:sz w:val="24"/>
          <w:szCs w:val="24"/>
        </w:rPr>
      </w:pPr>
      <w:r w:rsidRPr="00696E28">
        <w:rPr>
          <w:rFonts w:ascii="Arial" w:hAnsi="Arial" w:cs="Arial"/>
          <w:sz w:val="24"/>
          <w:szCs w:val="24"/>
          <w:lang w:val="en-US"/>
        </w:rPr>
        <w:t>Table 7. Mean scores of the teachers’ 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 xml:space="preserve">organizational commitment in terms of </w:t>
      </w:r>
      <w:r w:rsidRPr="00696E28">
        <w:rPr>
          <w:rFonts w:ascii="Arial" w:hAnsi="Arial" w:cs="Arial"/>
          <w:kern w:val="0"/>
          <w:sz w:val="24"/>
          <w:szCs w:val="24"/>
          <w:lang w:val="en-US" w:eastAsia="zh-CN" w:bidi="ar"/>
        </w:rPr>
        <w:t xml:space="preserve">affective commitment. </w:t>
      </w:r>
    </w:p>
    <w:tbl>
      <w:tblPr>
        <w:tblW w:w="8429" w:type="dxa"/>
        <w:shd w:val="clear" w:color="auto" w:fill="FFFFFF" w:themeFill="background1"/>
        <w:tblLayout w:type="fixed"/>
        <w:tblLook w:val="04A0" w:firstRow="1" w:lastRow="0" w:firstColumn="1" w:lastColumn="0" w:noHBand="0" w:noVBand="1"/>
      </w:tblPr>
      <w:tblGrid>
        <w:gridCol w:w="3764"/>
        <w:gridCol w:w="720"/>
        <w:gridCol w:w="1095"/>
        <w:gridCol w:w="1245"/>
        <w:gridCol w:w="1605"/>
      </w:tblGrid>
      <w:tr w:rsidR="00696E28" w:rsidRPr="00696E28" w:rsidTr="00696E28">
        <w:trPr>
          <w:trHeight w:val="462"/>
        </w:trPr>
        <w:tc>
          <w:tcPr>
            <w:tcW w:w="376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720"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09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Standard Deviation</w:t>
            </w:r>
          </w:p>
        </w:tc>
        <w:tc>
          <w:tcPr>
            <w:tcW w:w="124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Descriptive Rating</w:t>
            </w:r>
          </w:p>
        </w:tc>
        <w:tc>
          <w:tcPr>
            <w:tcW w:w="160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463"/>
        </w:trPr>
        <w:tc>
          <w:tcPr>
            <w:tcW w:w="3764"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would be very happy to spend the rest of my career with this organization.</w:t>
            </w:r>
          </w:p>
        </w:tc>
        <w:tc>
          <w:tcPr>
            <w:tcW w:w="720"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3.88</w:t>
            </w:r>
          </w:p>
        </w:tc>
        <w:tc>
          <w:tcPr>
            <w:tcW w:w="1095" w:type="dxa"/>
            <w:tcBorders>
              <w:top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0.87</w:t>
            </w:r>
          </w:p>
        </w:tc>
        <w:tc>
          <w:tcPr>
            <w:tcW w:w="1245"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605"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452"/>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feel proud to tell others that I am part of this organization.</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3.95</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0.96</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452"/>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feel emotionally connected to this organization.</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3.83</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0.84</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378"/>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enjoy discussing my organization with people outside the organization.</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3.79</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0.88</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452"/>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This organization has a great deal of personal meaning for me.</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3.75</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0.97</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452"/>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really feel as if this organization’s problems are my own.</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3.60</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0.95</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678"/>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think that I could easily become as emotionally attached to another organization as I am to this one.</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3.52</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0.89</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452"/>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do not feel a strong sense of belonging to this organization.</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2.93</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1.18</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Moderate Commitment</w:t>
            </w:r>
          </w:p>
        </w:tc>
      </w:tr>
      <w:tr w:rsidR="00696E28" w:rsidRPr="00696E28" w:rsidTr="00696E28">
        <w:trPr>
          <w:trHeight w:val="452"/>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do not feel emotionally attached to this organization.</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2.89</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1.19</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Moderate Commitment</w:t>
            </w:r>
          </w:p>
        </w:tc>
      </w:tr>
      <w:tr w:rsidR="00696E28" w:rsidRPr="00696E28" w:rsidTr="00696E28">
        <w:trPr>
          <w:trHeight w:val="452"/>
        </w:trPr>
        <w:tc>
          <w:tcPr>
            <w:tcW w:w="3764"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do not feel like “part of the family” in this organization.</w:t>
            </w:r>
          </w:p>
        </w:tc>
        <w:tc>
          <w:tcPr>
            <w:tcW w:w="720"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2.77</w:t>
            </w:r>
          </w:p>
        </w:tc>
        <w:tc>
          <w:tcPr>
            <w:tcW w:w="1095" w:type="dxa"/>
            <w:tcBorders>
              <w:bottom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1.18</w:t>
            </w:r>
          </w:p>
        </w:tc>
        <w:tc>
          <w:tcPr>
            <w:tcW w:w="1245"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605"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Moderate Commitment</w:t>
            </w:r>
          </w:p>
        </w:tc>
      </w:tr>
      <w:tr w:rsidR="00696E28" w:rsidRPr="00696E28" w:rsidTr="00696E28">
        <w:trPr>
          <w:trHeight w:val="471"/>
        </w:trPr>
        <w:tc>
          <w:tcPr>
            <w:tcW w:w="376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720"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3.49</w:t>
            </w:r>
          </w:p>
        </w:tc>
        <w:tc>
          <w:tcPr>
            <w:tcW w:w="109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textAlignment w:val="center"/>
              <w:rPr>
                <w:rFonts w:ascii="Arial" w:hAnsi="Arial" w:cs="Arial"/>
                <w:sz w:val="20"/>
                <w:szCs w:val="20"/>
                <w:lang w:val="en-US"/>
              </w:rPr>
            </w:pPr>
            <w:r w:rsidRPr="00696E28">
              <w:rPr>
                <w:rFonts w:ascii="Arial" w:eastAsia="SimSun" w:hAnsi="Arial" w:cs="Arial"/>
                <w:color w:val="000000"/>
                <w:kern w:val="0"/>
                <w:sz w:val="20"/>
                <w:szCs w:val="20"/>
                <w:lang w:val="en-US" w:eastAsia="zh-CN" w:bidi="ar"/>
              </w:rPr>
              <w:t>0.58</w:t>
            </w:r>
          </w:p>
        </w:tc>
        <w:tc>
          <w:tcPr>
            <w:tcW w:w="124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605"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Moderate Commitment</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W w:w="8072" w:type="dxa"/>
        <w:tblLook w:val="04A0" w:firstRow="1" w:lastRow="0" w:firstColumn="1" w:lastColumn="0" w:noHBand="0" w:noVBand="1"/>
      </w:tblPr>
      <w:tblGrid>
        <w:gridCol w:w="1972"/>
        <w:gridCol w:w="3119"/>
        <w:gridCol w:w="2981"/>
      </w:tblGrid>
      <w:tr w:rsidR="00696E28" w:rsidRPr="00696E28" w:rsidTr="00696E28">
        <w:trPr>
          <w:trHeight w:val="311"/>
        </w:trPr>
        <w:tc>
          <w:tcPr>
            <w:tcW w:w="1972"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Range:</w:t>
            </w:r>
          </w:p>
        </w:tc>
        <w:tc>
          <w:tcPr>
            <w:tcW w:w="3119"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2981"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4:51-5:00</w:t>
            </w:r>
          </w:p>
        </w:tc>
        <w:tc>
          <w:tcPr>
            <w:tcW w:w="31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2981"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Very High Commitment</w:t>
            </w:r>
          </w:p>
        </w:tc>
      </w:tr>
      <w:tr w:rsidR="00696E28" w:rsidRPr="00696E28" w:rsidTr="00696E28">
        <w:trPr>
          <w:trHeight w:val="236"/>
        </w:trPr>
        <w:tc>
          <w:tcPr>
            <w:tcW w:w="1972"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31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2981"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High Commitment</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2:51-3:50</w:t>
            </w:r>
          </w:p>
        </w:tc>
        <w:tc>
          <w:tcPr>
            <w:tcW w:w="31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2981"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Moderate Commitment</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31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2981"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Low Commitment</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31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2981"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Very Low Commitment</w:t>
            </w:r>
          </w:p>
        </w:tc>
      </w:tr>
      <w:bookmarkEnd w:id="5"/>
    </w:tbl>
    <w:p w:rsid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 xml:space="preserve">The moderate overall standard deviation suggests some variability in teachers’ emotional attachment to their organizations. Indicators with higher means and lower variability reflect shared feelings of pride and identification with the institution. However, higher standard deviation values in items related to belongingness and emotional attachment indicate diverging experiences among </w:t>
      </w:r>
      <w:r w:rsidRPr="00696E28">
        <w:rPr>
          <w:rFonts w:ascii="Arial" w:eastAsia="Times New Roman" w:hAnsi="Arial" w:cs="Arial"/>
          <w:kern w:val="0"/>
          <w:sz w:val="24"/>
          <w:szCs w:val="24"/>
          <w:lang w:eastAsia="en-PH"/>
          <w14:ligatures w14:val="none"/>
        </w:rPr>
        <w:lastRenderedPageBreak/>
        <w:t>teachers, suggesting that while some feel integrated into the organizational culture, others experience weaker emotional bonds. This variation highlights a distinction between surface</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level identification, such as pride in affiliation, and deeper affective attachment characterized by a strong sense of belonging and emotional connection.</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These findings imply that schools need to strengthen strategies that foster deeper emotional attachment and a stronger sense of belonging among teachers. While pride and identification are present, enhancing collegial relationships, recognition practices, and inclusive organizational climates may help reduce variability in affective commitment. Strengthening these elements can support more sustained emotional engagement, which is essential for long</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term teacher retention, motivation, and alignment with institutional goals.</w:t>
      </w:r>
    </w:p>
    <w:p w:rsid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t xml:space="preserve">The findings resonate with </w:t>
      </w:r>
      <w:r w:rsidRPr="00696E28">
        <w:rPr>
          <w:rStyle w:val="Strong"/>
          <w:rFonts w:ascii="Arial" w:hAnsi="Arial" w:cs="Arial"/>
          <w:b w:val="0"/>
          <w:sz w:val="24"/>
          <w:szCs w:val="24"/>
        </w:rPr>
        <w:t>Belay et al. (2021)</w:t>
      </w:r>
      <w:r w:rsidRPr="00696E28">
        <w:rPr>
          <w:rFonts w:ascii="Arial" w:hAnsi="Arial" w:cs="Arial"/>
          <w:b/>
          <w:sz w:val="24"/>
          <w:szCs w:val="24"/>
        </w:rPr>
        <w:t>,</w:t>
      </w:r>
      <w:r w:rsidRPr="00696E28">
        <w:rPr>
          <w:rFonts w:ascii="Arial" w:hAnsi="Arial" w:cs="Arial"/>
          <w:sz w:val="24"/>
          <w:szCs w:val="24"/>
        </w:rPr>
        <w:t xml:space="preserve"> who emphasized that effective school management and secure environments significantly influence teachers’ participation and commitment, reinforcing the importance of organizational culture. Similarly, </w:t>
      </w:r>
      <w:r w:rsidRPr="00696E28">
        <w:rPr>
          <w:rStyle w:val="Strong"/>
          <w:rFonts w:ascii="Arial" w:hAnsi="Arial" w:cs="Arial"/>
          <w:b w:val="0"/>
          <w:sz w:val="24"/>
          <w:szCs w:val="24"/>
        </w:rPr>
        <w:t>Melesse and Belay (2022)</w:t>
      </w:r>
      <w:r w:rsidRPr="00696E28">
        <w:rPr>
          <w:rFonts w:ascii="Arial" w:hAnsi="Arial" w:cs="Arial"/>
          <w:sz w:val="24"/>
          <w:szCs w:val="24"/>
        </w:rPr>
        <w:t xml:space="preserve"> showed that involvement in professional development enhances job satisfaction and organizational loyalty, suggesting that continuous engagement opportunities can strengthen affective bonds.</w:t>
      </w:r>
      <w:r w:rsidRPr="00696E28">
        <w:rPr>
          <w:rFonts w:ascii="Arial" w:hAnsi="Arial" w:cs="Arial"/>
          <w:sz w:val="24"/>
          <w:szCs w:val="24"/>
          <w:lang w:val="en-US"/>
        </w:rPr>
        <w:t xml:space="preserve"> T</w:t>
      </w:r>
      <w:r w:rsidRPr="00696E28">
        <w:rPr>
          <w:rFonts w:ascii="Arial" w:hAnsi="Arial" w:cs="Arial"/>
          <w:sz w:val="24"/>
          <w:szCs w:val="24"/>
        </w:rPr>
        <w:t>hese studies affirm that while teachers demonstrate pride and emotional connection, institutional support and inclusive practices are essential to deepen their sense of belonging and commitment.</w:t>
      </w:r>
    </w:p>
    <w:p w:rsidR="00696E28" w:rsidRPr="00696E28" w:rsidRDefault="00696E28" w:rsidP="00696E28">
      <w:pPr>
        <w:spacing w:after="0" w:line="360" w:lineRule="auto"/>
        <w:ind w:firstLine="720"/>
        <w:jc w:val="both"/>
        <w:rPr>
          <w:rFonts w:ascii="Arial" w:hAnsi="Arial" w:cs="Arial"/>
          <w:sz w:val="24"/>
          <w:szCs w:val="24"/>
        </w:rPr>
      </w:pPr>
    </w:p>
    <w:p w:rsidR="00696E28" w:rsidRPr="00696E28" w:rsidRDefault="00696E28" w:rsidP="00696E28">
      <w:pPr>
        <w:spacing w:after="0" w:line="360" w:lineRule="auto"/>
        <w:ind w:firstLine="720"/>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rPr>
      </w:pPr>
      <w:bookmarkStart w:id="6" w:name="_Hlk226479952"/>
      <w:r w:rsidRPr="00696E28">
        <w:rPr>
          <w:rFonts w:ascii="Arial" w:hAnsi="Arial" w:cs="Arial"/>
          <w:sz w:val="24"/>
        </w:rPr>
        <w:t>Table 8 presents the teachers’ level of organizational commitment in terms of continuance commitment. The results show an overall mean of 3.41, a standard deviation of 0.69, and a descriptive rating of Neutral, which is qualitatively interpreted as Moderate Commitment. The highest</w:t>
      </w:r>
      <w:r w:rsidRPr="00696E28">
        <w:rPr>
          <w:rFonts w:ascii="Cambria Math" w:hAnsi="Cambria Math" w:cs="Cambria Math"/>
          <w:sz w:val="24"/>
        </w:rPr>
        <w:t>‑</w:t>
      </w:r>
      <w:r w:rsidRPr="00696E28">
        <w:rPr>
          <w:rFonts w:ascii="Arial" w:hAnsi="Arial" w:cs="Arial"/>
          <w:sz w:val="24"/>
        </w:rPr>
        <w:t>rated indicators include the difficulty of leaving the organization even if one wanted to (M = 3.57, SD = 1.01) and staying with the organization as a matter of necessity as much as desire (M = 3.53, SD = 0.99), both descriptively rated as Agree and interpreted as High Commitment. The remaining indicators, which relate to lack of alternatives, potential loss of benefits, and personal or financial costs of leaving, obtained moderate mean scores (M = 3.15–3.50) and were rated as Neutral, indicating moderate continuance commitment.</w:t>
      </w:r>
    </w:p>
    <w:p w:rsidR="00696E28" w:rsidRPr="00696E28" w:rsidRDefault="00696E28" w:rsidP="00696E28">
      <w:pPr>
        <w:pStyle w:val="NormalWeb"/>
        <w:spacing w:after="0" w:line="360" w:lineRule="auto"/>
        <w:ind w:firstLine="720"/>
        <w:jc w:val="both"/>
        <w:rPr>
          <w:rFonts w:ascii="Arial" w:hAnsi="Arial" w:cs="Arial"/>
        </w:rPr>
      </w:pPr>
      <w:r w:rsidRPr="00696E28">
        <w:rPr>
          <w:rFonts w:ascii="Arial" w:hAnsi="Arial" w:cs="Arial"/>
        </w:rPr>
        <w:lastRenderedPageBreak/>
        <w:t>The moderately high standard deviation (SD = 0.69) indicates noticeable variability in teachers’ perceptions of continuance commitment. Higher SD values across most indicators suggest that teachers differ widely in how strongly practical considerations such as job security, benefits, and alternative opportunities influence their decision to stay. While some teachers perceive substantial costs associated with leaving their organization, others appear less constrained by these factors. This pattern suggests that continuance commitment is not uniformly experienced but is shaped by individual circumstances, employment conditions, and perceived career mobility.</w:t>
      </w:r>
    </w:p>
    <w:p w:rsidR="00696E28" w:rsidRPr="00696E28" w:rsidRDefault="00696E28" w:rsidP="00696E28">
      <w:pPr>
        <w:pStyle w:val="NormalWeb"/>
        <w:spacing w:after="0" w:line="360" w:lineRule="auto"/>
        <w:ind w:firstLine="720"/>
        <w:jc w:val="both"/>
        <w:rPr>
          <w:rFonts w:ascii="Arial" w:hAnsi="Arial" w:cs="Arial"/>
        </w:rPr>
      </w:pPr>
      <w:r w:rsidRPr="00696E28">
        <w:rPr>
          <w:rFonts w:ascii="Arial" w:hAnsi="Arial" w:cs="Arial"/>
        </w:rPr>
        <w:t>These findings imply that teachers’ retention is influenced more by practical and situational factors rather than strong emotional or moral attachment to the organization. The variability in continuance commitment underscores the need for institutions to move beyond reliance on necessity</w:t>
      </w:r>
      <w:r w:rsidRPr="00696E28">
        <w:rPr>
          <w:rFonts w:ascii="Cambria Math" w:hAnsi="Cambria Math" w:cs="Cambria Math"/>
        </w:rPr>
        <w:t>‑</w:t>
      </w:r>
      <w:r w:rsidRPr="00696E28">
        <w:rPr>
          <w:rFonts w:ascii="Arial" w:hAnsi="Arial" w:cs="Arial"/>
        </w:rPr>
        <w:t>based retention. Strengthening organizational support, professional growth opportunities, and workplace satisfaction may help reduce overdependence on practical constraints and foster more stable and sustainable forms of commitment.</w:t>
      </w:r>
    </w:p>
    <w:p w:rsidR="00696E28" w:rsidRPr="00696E28" w:rsidRDefault="00696E28" w:rsidP="00696E28">
      <w:pPr>
        <w:spacing w:line="360" w:lineRule="auto"/>
        <w:jc w:val="both"/>
        <w:rPr>
          <w:rFonts w:ascii="Arial" w:hAnsi="Arial" w:cs="Arial"/>
          <w:sz w:val="24"/>
        </w:rPr>
      </w:pPr>
    </w:p>
    <w:p w:rsidR="00696E28" w:rsidRPr="00696E28" w:rsidRDefault="00696E28" w:rsidP="00696E28">
      <w:pPr>
        <w:spacing w:after="0" w:line="240" w:lineRule="auto"/>
        <w:jc w:val="both"/>
        <w:rPr>
          <w:rFonts w:ascii="Arial" w:hAnsi="Arial" w:cs="Arial"/>
          <w:sz w:val="24"/>
          <w:szCs w:val="24"/>
          <w:lang w:val="en-US"/>
        </w:rPr>
      </w:pPr>
      <w:r w:rsidRPr="00696E28">
        <w:rPr>
          <w:rFonts w:ascii="Arial" w:hAnsi="Arial" w:cs="Arial"/>
          <w:sz w:val="24"/>
          <w:szCs w:val="24"/>
          <w:lang w:val="en-US"/>
        </w:rPr>
        <w:t>Table 8. Mean scores of the teachers’ level of</w:t>
      </w:r>
      <w:r w:rsidRPr="00696E28">
        <w:rPr>
          <w:rFonts w:ascii="Arial" w:hAnsi="Arial" w:cs="Arial"/>
          <w:sz w:val="24"/>
          <w:szCs w:val="24"/>
        </w:rPr>
        <w:t xml:space="preserve"> </w:t>
      </w:r>
      <w:r w:rsidRPr="00696E28">
        <w:rPr>
          <w:rFonts w:ascii="Arial" w:hAnsi="Arial" w:cs="Arial"/>
          <w:sz w:val="24"/>
          <w:szCs w:val="24"/>
          <w:lang w:val="en-US"/>
        </w:rPr>
        <w:t xml:space="preserve">organizational commitment in terms of continuance commitment. </w:t>
      </w:r>
    </w:p>
    <w:tbl>
      <w:tblPr>
        <w:tblW w:w="8517"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801"/>
        <w:gridCol w:w="774"/>
        <w:gridCol w:w="1164"/>
        <w:gridCol w:w="1234"/>
        <w:gridCol w:w="1544"/>
      </w:tblGrid>
      <w:tr w:rsidR="00696E28" w:rsidRPr="00696E28" w:rsidTr="00696E28">
        <w:trPr>
          <w:trHeight w:val="365"/>
        </w:trPr>
        <w:tc>
          <w:tcPr>
            <w:tcW w:w="3801"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77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16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Standard Deviation</w:t>
            </w:r>
          </w:p>
        </w:tc>
        <w:tc>
          <w:tcPr>
            <w:tcW w:w="123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Descriptive Rating</w:t>
            </w:r>
          </w:p>
        </w:tc>
        <w:tc>
          <w:tcPr>
            <w:tcW w:w="154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543"/>
        </w:trPr>
        <w:tc>
          <w:tcPr>
            <w:tcW w:w="3801"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It would be very difficult for me to leave my organization right now, even if I wanted to.</w:t>
            </w:r>
          </w:p>
        </w:tc>
        <w:tc>
          <w:tcPr>
            <w:tcW w:w="774"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3.57</w:t>
            </w:r>
          </w:p>
        </w:tc>
        <w:tc>
          <w:tcPr>
            <w:tcW w:w="1164" w:type="dxa"/>
            <w:tcBorders>
              <w:top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1.01</w:t>
            </w:r>
          </w:p>
        </w:tc>
        <w:tc>
          <w:tcPr>
            <w:tcW w:w="1234"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Agree</w:t>
            </w:r>
          </w:p>
        </w:tc>
        <w:tc>
          <w:tcPr>
            <w:tcW w:w="1544"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535"/>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At this point, staying with my organization is a matter of necessity as much as it is a matter of desire.</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3.53</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0.99</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Agree</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535"/>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One serious consequence of leaving this organization would be the lack of available job opportunities elsewhere.</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3.50</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1.05</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893"/>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One of the major reasons I continue to work for this organization is that leaving would require considerable personal sacrifice, as another organization may not provide the same overall benefits.</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3.49</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0.96</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35"/>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believe that the benefits I receive from this organization would be difficult to replace if I left.</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3.45</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1.03</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35"/>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 xml:space="preserve">Too much in my life would be disrupted if I decided to leave my organization at this time. </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3.40</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1.06</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35"/>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 xml:space="preserve">I stay with this organization largely because the costs associated with </w:t>
            </w:r>
            <w:r w:rsidRPr="00696E28">
              <w:rPr>
                <w:rFonts w:ascii="Arial" w:hAnsi="Arial" w:cs="Arial"/>
                <w:sz w:val="20"/>
                <w:szCs w:val="20"/>
              </w:rPr>
              <w:lastRenderedPageBreak/>
              <w:t>leaving are too high for me at present.</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lastRenderedPageBreak/>
              <w:t>3.39</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0.97</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35"/>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lastRenderedPageBreak/>
              <w:t>I feel that I have very few viable alternatives if I were to leave this organization.</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3.35</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1.00</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35"/>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not afraid of the possible negative consequences of quitting my job without having another one lined up.</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3.28</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1.15</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35"/>
        </w:trPr>
        <w:tc>
          <w:tcPr>
            <w:tcW w:w="3801"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Leaving my organization now would not involve significant personal or financial costs.</w:t>
            </w:r>
          </w:p>
        </w:tc>
        <w:tc>
          <w:tcPr>
            <w:tcW w:w="774"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3.15</w:t>
            </w:r>
          </w:p>
        </w:tc>
        <w:tc>
          <w:tcPr>
            <w:tcW w:w="1164" w:type="dxa"/>
            <w:tcBorders>
              <w:bottom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1.06</w:t>
            </w:r>
          </w:p>
        </w:tc>
        <w:tc>
          <w:tcPr>
            <w:tcW w:w="1234"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372"/>
        </w:trPr>
        <w:tc>
          <w:tcPr>
            <w:tcW w:w="3801"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77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3.41</w:t>
            </w:r>
          </w:p>
        </w:tc>
        <w:tc>
          <w:tcPr>
            <w:tcW w:w="116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0.69</w:t>
            </w:r>
          </w:p>
        </w:tc>
        <w:tc>
          <w:tcPr>
            <w:tcW w:w="123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Moderate Commitment</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W w:w="6479" w:type="dxa"/>
        <w:tblLook w:val="04A0" w:firstRow="1" w:lastRow="0" w:firstColumn="1" w:lastColumn="0" w:noHBand="0" w:noVBand="1"/>
      </w:tblPr>
      <w:tblGrid>
        <w:gridCol w:w="1583"/>
        <w:gridCol w:w="2504"/>
        <w:gridCol w:w="2392"/>
      </w:tblGrid>
      <w:tr w:rsidR="00696E28" w:rsidRPr="00696E28" w:rsidTr="00696E28">
        <w:trPr>
          <w:trHeight w:val="286"/>
        </w:trPr>
        <w:tc>
          <w:tcPr>
            <w:tcW w:w="1583"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Range:</w:t>
            </w:r>
          </w:p>
        </w:tc>
        <w:tc>
          <w:tcPr>
            <w:tcW w:w="2504"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2392"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33"/>
        </w:trPr>
        <w:tc>
          <w:tcPr>
            <w:tcW w:w="158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4:51-5:00</w:t>
            </w:r>
          </w:p>
        </w:tc>
        <w:tc>
          <w:tcPr>
            <w:tcW w:w="2504"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2392"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Very High Commitment</w:t>
            </w:r>
          </w:p>
        </w:tc>
      </w:tr>
      <w:tr w:rsidR="00696E28" w:rsidRPr="00696E28" w:rsidTr="00696E28">
        <w:trPr>
          <w:trHeight w:val="217"/>
        </w:trPr>
        <w:tc>
          <w:tcPr>
            <w:tcW w:w="158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2504"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2392"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High Commitment</w:t>
            </w:r>
          </w:p>
        </w:tc>
      </w:tr>
      <w:tr w:rsidR="00696E28" w:rsidRPr="00696E28" w:rsidTr="00696E28">
        <w:trPr>
          <w:trHeight w:val="233"/>
        </w:trPr>
        <w:tc>
          <w:tcPr>
            <w:tcW w:w="158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2:51-3:50</w:t>
            </w:r>
          </w:p>
        </w:tc>
        <w:tc>
          <w:tcPr>
            <w:tcW w:w="2504"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2392"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Moderate Commitment</w:t>
            </w:r>
          </w:p>
        </w:tc>
      </w:tr>
      <w:tr w:rsidR="00696E28" w:rsidRPr="00696E28" w:rsidTr="00696E28">
        <w:trPr>
          <w:trHeight w:val="233"/>
        </w:trPr>
        <w:tc>
          <w:tcPr>
            <w:tcW w:w="158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2504"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2392"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Low Commitment</w:t>
            </w:r>
          </w:p>
        </w:tc>
      </w:tr>
      <w:tr w:rsidR="00696E28" w:rsidRPr="00696E28" w:rsidTr="00696E28">
        <w:trPr>
          <w:trHeight w:val="233"/>
        </w:trPr>
        <w:tc>
          <w:tcPr>
            <w:tcW w:w="158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2504"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2392"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Very Low Commitment</w:t>
            </w:r>
          </w:p>
        </w:tc>
      </w:tr>
      <w:bookmarkEnd w:id="6"/>
    </w:tbl>
    <w:p w:rsidR="00696E28" w:rsidRPr="00696E28" w:rsidRDefault="00696E28" w:rsidP="00696E28">
      <w:pPr>
        <w:spacing w:line="240" w:lineRule="auto"/>
        <w:ind w:left="720" w:hanging="720"/>
        <w:jc w:val="both"/>
        <w:rPr>
          <w:rFonts w:ascii="Arial" w:hAnsi="Arial" w:cs="Arial"/>
          <w:sz w:val="24"/>
          <w:szCs w:val="24"/>
          <w:lang w:val="en-US"/>
        </w:rPr>
      </w:pPr>
    </w:p>
    <w:p w:rsidR="00696E28" w:rsidRPr="00696E28" w:rsidRDefault="00696E28" w:rsidP="00696E28">
      <w:pPr>
        <w:pStyle w:val="NormalWeb"/>
        <w:spacing w:after="0" w:line="360" w:lineRule="auto"/>
        <w:ind w:firstLine="720"/>
        <w:jc w:val="both"/>
        <w:rPr>
          <w:rFonts w:ascii="Arial" w:hAnsi="Arial" w:cs="Arial"/>
        </w:rPr>
      </w:pPr>
      <w:r w:rsidRPr="00696E28">
        <w:rPr>
          <w:rFonts w:ascii="Arial" w:hAnsi="Arial" w:cs="Arial"/>
        </w:rPr>
        <w:t xml:space="preserve">The findings resonate with </w:t>
      </w:r>
      <w:r w:rsidRPr="00696E28">
        <w:rPr>
          <w:rFonts w:ascii="Arial" w:hAnsi="Arial" w:cs="Arial"/>
          <w:bCs/>
        </w:rPr>
        <w:t>Ramada (2020)</w:t>
      </w:r>
      <w:r w:rsidRPr="00696E28">
        <w:rPr>
          <w:rFonts w:ascii="Arial" w:hAnsi="Arial" w:cs="Arial"/>
        </w:rPr>
        <w:t xml:space="preserve">, who argued that professional development integrated with recognition and performance evaluation enhances job satisfaction and productivity, reducing reliance on necessity-based commitment. Similarly, </w:t>
      </w:r>
      <w:r w:rsidRPr="00696E28">
        <w:rPr>
          <w:rFonts w:ascii="Arial" w:hAnsi="Arial" w:cs="Arial"/>
          <w:bCs/>
        </w:rPr>
        <w:t>Melesse and Belay (2022)</w:t>
      </w:r>
      <w:r w:rsidRPr="00696E28">
        <w:rPr>
          <w:rFonts w:ascii="Arial" w:hAnsi="Arial" w:cs="Arial"/>
        </w:rPr>
        <w:t xml:space="preserve"> showed that prolonged participation in professional development builds professional capital and job satisfaction, suggesting that institutional investment in growth opportunities can shift commitment from pragmatic necessity to genuine loyalty. These studies affirm that while continuance commitment reflects practical constraints, stronger organizational support can deepen teachers’ attachment and retention.</w:t>
      </w:r>
    </w:p>
    <w:p w:rsidR="00696E28" w:rsidRPr="00696E28" w:rsidRDefault="00696E28" w:rsidP="00696E28">
      <w:pPr>
        <w:pStyle w:val="NormalWeb"/>
        <w:spacing w:after="0" w:line="360" w:lineRule="auto"/>
        <w:ind w:firstLine="720"/>
        <w:jc w:val="both"/>
        <w:rPr>
          <w:rFonts w:ascii="Arial" w:hAnsi="Arial" w:cs="Arial"/>
          <w:lang w:val="en-US"/>
        </w:rPr>
      </w:pPr>
    </w:p>
    <w:p w:rsidR="00696E28" w:rsidRPr="00696E28" w:rsidRDefault="00696E28" w:rsidP="00696E28">
      <w:pPr>
        <w:spacing w:after="0" w:line="360" w:lineRule="auto"/>
        <w:ind w:firstLine="720"/>
        <w:jc w:val="both"/>
        <w:rPr>
          <w:rFonts w:ascii="Arial" w:hAnsi="Arial" w:cs="Arial"/>
          <w:sz w:val="24"/>
        </w:rPr>
      </w:pPr>
      <w:bookmarkStart w:id="7" w:name="_Hlk226480292"/>
      <w:r w:rsidRPr="00696E28">
        <w:rPr>
          <w:rFonts w:ascii="Arial" w:hAnsi="Arial" w:cs="Arial"/>
          <w:sz w:val="24"/>
        </w:rPr>
        <w:t xml:space="preserve">Table 9 presents the teachers’ level of organizational commitment in terms of normative commitment. The results show an overall mean of 3.47, a standard deviation of 0.65, and a descriptive rating of Neutral, which is qualitatively interpreted as Moderate Commitment. Indicators reflecting a sense of obligation and loyalty obtained relatively higher mean scores, including the belief that staying with the organization is the right thing to do (M = 3.63, SD = 0.85), feeling an obligation to give back to the organization (M = 3.60, SD = 0.97), and a sense of duty due to institutional investment (M = 3.55, SD = 0.88), all rated as Agree and interpreted as High Commitment. Meanwhile, items related to guilt in leaving and moral </w:t>
      </w:r>
      <w:r w:rsidRPr="00696E28">
        <w:rPr>
          <w:rFonts w:ascii="Arial" w:hAnsi="Arial" w:cs="Arial"/>
          <w:sz w:val="24"/>
        </w:rPr>
        <w:lastRenderedPageBreak/>
        <w:t>responsibility to remain obtained lower mean scores (M = 3.27–3.44) and were rated as Neutral, indicating moderate normative commitment.</w:t>
      </w:r>
    </w:p>
    <w:p w:rsidR="00696E28" w:rsidRDefault="00696E28" w:rsidP="00696E28">
      <w:pPr>
        <w:spacing w:after="0" w:line="360" w:lineRule="auto"/>
        <w:ind w:firstLine="720"/>
        <w:jc w:val="both"/>
        <w:rPr>
          <w:rFonts w:ascii="Arial" w:hAnsi="Arial" w:cs="Arial"/>
          <w:sz w:val="24"/>
        </w:rPr>
      </w:pPr>
      <w:r w:rsidRPr="00696E28">
        <w:rPr>
          <w:rFonts w:ascii="Arial" w:hAnsi="Arial" w:cs="Arial"/>
          <w:sz w:val="24"/>
        </w:rPr>
        <w:t>The moderate standard deviation indicates noticeable variation in teachers’ perceptions of moral obligation toward their organization. Higher mean scores with moderate variability on obligation</w:t>
      </w:r>
      <w:r w:rsidRPr="00696E28">
        <w:rPr>
          <w:rFonts w:ascii="Cambria Math" w:hAnsi="Cambria Math" w:cs="Cambria Math"/>
          <w:sz w:val="24"/>
        </w:rPr>
        <w:t>‑</w:t>
      </w:r>
      <w:r w:rsidRPr="00696E28">
        <w:rPr>
          <w:rFonts w:ascii="Arial" w:hAnsi="Arial" w:cs="Arial"/>
          <w:sz w:val="24"/>
        </w:rPr>
        <w:t>related items suggest that many teachers acknowledge loyalty and reciprocity as important values. However, the relatively lower means and higher SD values for items concerning guilt and moral responsibility imply divergent viewpoints among teachers regarding ethical attachment and long</w:t>
      </w:r>
      <w:r w:rsidRPr="00696E28">
        <w:rPr>
          <w:rFonts w:ascii="Cambria Math" w:hAnsi="Cambria Math" w:cs="Cambria Math"/>
          <w:sz w:val="24"/>
        </w:rPr>
        <w:t>‑</w:t>
      </w:r>
      <w:r w:rsidRPr="00696E28">
        <w:rPr>
          <w:rFonts w:ascii="Arial" w:hAnsi="Arial" w:cs="Arial"/>
          <w:sz w:val="24"/>
        </w:rPr>
        <w:t>term loyalty. This pattern suggests that normative commitment is present but not deeply internalized across all respondents, reflecting a balance between institutional loyalty and personal career considerations.</w:t>
      </w:r>
    </w:p>
    <w:p w:rsidR="00696E28" w:rsidRPr="00696E28" w:rsidRDefault="00696E28" w:rsidP="00696E28">
      <w:pPr>
        <w:spacing w:after="0" w:line="360" w:lineRule="auto"/>
        <w:ind w:firstLine="720"/>
        <w:jc w:val="both"/>
        <w:rPr>
          <w:rFonts w:ascii="Arial" w:hAnsi="Arial" w:cs="Arial"/>
          <w:sz w:val="24"/>
        </w:rPr>
      </w:pPr>
    </w:p>
    <w:p w:rsidR="00696E28" w:rsidRPr="00696E28" w:rsidRDefault="00696E28" w:rsidP="00696E28">
      <w:pPr>
        <w:spacing w:after="0" w:line="240" w:lineRule="auto"/>
        <w:jc w:val="both"/>
        <w:rPr>
          <w:rFonts w:ascii="Arial" w:hAnsi="Arial" w:cs="Arial"/>
          <w:sz w:val="24"/>
          <w:szCs w:val="24"/>
          <w:lang w:val="en-US"/>
        </w:rPr>
      </w:pPr>
      <w:r w:rsidRPr="00696E28">
        <w:rPr>
          <w:rFonts w:ascii="Arial" w:hAnsi="Arial" w:cs="Arial"/>
          <w:sz w:val="24"/>
          <w:szCs w:val="24"/>
          <w:lang w:val="en-US"/>
        </w:rPr>
        <w:t xml:space="preserve">Table 9. </w:t>
      </w:r>
      <w:r w:rsidRPr="00696E28">
        <w:rPr>
          <w:rFonts w:ascii="Arial" w:eastAsia="Aptos" w:hAnsi="Arial" w:cs="Arial"/>
          <w:sz w:val="24"/>
          <w:szCs w:val="24"/>
        </w:rPr>
        <w:t>Mean scores of the teachers’</w:t>
      </w:r>
      <w:r w:rsidRPr="00696E28">
        <w:rPr>
          <w:rFonts w:ascii="Arial" w:eastAsia="Aptos" w:hAnsi="Arial" w:cs="Arial"/>
          <w:sz w:val="24"/>
          <w:szCs w:val="24"/>
          <w:lang w:val="en-US"/>
        </w:rPr>
        <w:t xml:space="preserve"> </w:t>
      </w:r>
      <w:r w:rsidRPr="00696E28">
        <w:rPr>
          <w:rFonts w:ascii="Arial" w:hAnsi="Arial" w:cs="Arial"/>
          <w:sz w:val="24"/>
          <w:szCs w:val="24"/>
          <w:lang w:val="en-US"/>
        </w:rPr>
        <w:t>level of</w:t>
      </w:r>
      <w:r w:rsidRPr="00696E28">
        <w:rPr>
          <w:rFonts w:ascii="Arial" w:hAnsi="Arial" w:cs="Arial"/>
          <w:sz w:val="24"/>
          <w:szCs w:val="24"/>
        </w:rPr>
        <w:t xml:space="preserve"> </w:t>
      </w:r>
      <w:r w:rsidRPr="00696E28">
        <w:rPr>
          <w:rFonts w:ascii="Arial" w:hAnsi="Arial" w:cs="Arial"/>
          <w:sz w:val="24"/>
          <w:szCs w:val="24"/>
          <w:lang w:val="en-US"/>
        </w:rPr>
        <w:t xml:space="preserve">organizational commitment in terms of normative commitment. </w:t>
      </w:r>
    </w:p>
    <w:tbl>
      <w:tblPr>
        <w:tblW w:w="8478" w:type="dxa"/>
        <w:shd w:val="clear" w:color="auto" w:fill="FFFFFF" w:themeFill="background1"/>
        <w:tblLayout w:type="fixed"/>
        <w:tblLook w:val="04A0" w:firstRow="1" w:lastRow="0" w:firstColumn="1" w:lastColumn="0" w:noHBand="0" w:noVBand="1"/>
      </w:tblPr>
      <w:tblGrid>
        <w:gridCol w:w="3370"/>
        <w:gridCol w:w="765"/>
        <w:gridCol w:w="1232"/>
        <w:gridCol w:w="1280"/>
        <w:gridCol w:w="1831"/>
      </w:tblGrid>
      <w:tr w:rsidR="00696E28" w:rsidRPr="00696E28" w:rsidTr="00696E28">
        <w:trPr>
          <w:trHeight w:val="120"/>
        </w:trPr>
        <w:tc>
          <w:tcPr>
            <w:tcW w:w="3370"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76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23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Standard Deviation</w:t>
            </w:r>
          </w:p>
        </w:tc>
        <w:tc>
          <w:tcPr>
            <w:tcW w:w="1280"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Descriptive Rating</w:t>
            </w:r>
          </w:p>
        </w:tc>
        <w:tc>
          <w:tcPr>
            <w:tcW w:w="1831"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935"/>
        </w:trPr>
        <w:tc>
          <w:tcPr>
            <w:tcW w:w="3370"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believe that employees today move from one organization to another more often than they should.</w:t>
            </w:r>
          </w:p>
        </w:tc>
        <w:tc>
          <w:tcPr>
            <w:tcW w:w="765"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3.63</w:t>
            </w:r>
          </w:p>
        </w:tc>
        <w:tc>
          <w:tcPr>
            <w:tcW w:w="1232" w:type="dxa"/>
            <w:tcBorders>
              <w:top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0.96</w:t>
            </w:r>
          </w:p>
        </w:tc>
        <w:tc>
          <w:tcPr>
            <w:tcW w:w="1280"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Agree</w:t>
            </w:r>
          </w:p>
        </w:tc>
        <w:tc>
          <w:tcPr>
            <w:tcW w:w="1831"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Commitment</w:t>
            </w:r>
          </w:p>
        </w:tc>
      </w:tr>
      <w:tr w:rsidR="00696E28" w:rsidRPr="00696E28" w:rsidTr="00696E28">
        <w:trPr>
          <w:trHeight w:val="216"/>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believe that staying with my organization is the right thing to do, not just a practical decision.</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3.63</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0.85</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lang w:val="en-US"/>
              </w:rPr>
              <w:t>Agree</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Commitment</w:t>
            </w:r>
          </w:p>
        </w:tc>
      </w:tr>
      <w:tr w:rsidR="00696E28" w:rsidRPr="00696E28" w:rsidTr="00696E28">
        <w:trPr>
          <w:trHeight w:val="216"/>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feel an obligation to give back to my organization by continuing my service.</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3.60</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0.97</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lang w:val="en-US"/>
              </w:rPr>
              <w:t>Agree</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Commitment</w:t>
            </w:r>
          </w:p>
        </w:tc>
      </w:tr>
      <w:tr w:rsidR="00696E28" w:rsidRPr="00696E28" w:rsidTr="00696E28">
        <w:trPr>
          <w:trHeight w:val="216"/>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feel a sense of duty to remain with my organization because it has invested in me.</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3.55</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0.88</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lang w:val="en-US"/>
              </w:rPr>
              <w:t>Agree</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Commitment</w:t>
            </w:r>
          </w:p>
        </w:tc>
      </w:tr>
      <w:tr w:rsidR="00696E28" w:rsidRPr="00696E28" w:rsidTr="00696E28">
        <w:trPr>
          <w:trHeight w:val="333"/>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One of the major reasons I continue to work for this organization is my belief that loyalty is important and that I have a moral obligation to remain.</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3.52</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0.94</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lang w:val="en-US"/>
              </w:rPr>
              <w:t>Agree</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Commitment</w:t>
            </w:r>
          </w:p>
        </w:tc>
      </w:tr>
      <w:tr w:rsidR="00696E28" w:rsidRPr="00696E28" w:rsidTr="00696E28">
        <w:trPr>
          <w:trHeight w:val="216"/>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would feel guilty if I left my organization now, even if doing so benefited me personally.</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3.44</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0.94</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Neutral</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275"/>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think that leaving one organization for another is not unethical, even when one feels some responsibility to stay.</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3.40</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0.98</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Neutral</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176"/>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Even if I were offered a better job elsewhere, I would feel that it would not be right to leave my organization.</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3.38</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1.05</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Neutral</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216"/>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do not believe that a person has a moral obligation to remain loyal to his or her organization.</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3.33</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1.08</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Neutral</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275"/>
        </w:trPr>
        <w:tc>
          <w:tcPr>
            <w:tcW w:w="3370"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 xml:space="preserve">I do not feel any moral responsibility to stay with my </w:t>
            </w:r>
            <w:r w:rsidRPr="00696E28">
              <w:rPr>
                <w:rFonts w:ascii="Arial" w:hAnsi="Arial" w:cs="Arial"/>
                <w:sz w:val="20"/>
                <w:szCs w:val="20"/>
              </w:rPr>
              <w:lastRenderedPageBreak/>
              <w:t>organization if another opportunity arises.</w:t>
            </w:r>
          </w:p>
        </w:tc>
        <w:tc>
          <w:tcPr>
            <w:tcW w:w="765"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lastRenderedPageBreak/>
              <w:t>3.27</w:t>
            </w:r>
          </w:p>
        </w:tc>
        <w:tc>
          <w:tcPr>
            <w:tcW w:w="1232" w:type="dxa"/>
            <w:tcBorders>
              <w:bottom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1.14</w:t>
            </w:r>
          </w:p>
        </w:tc>
        <w:tc>
          <w:tcPr>
            <w:tcW w:w="1280"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Neutral</w:t>
            </w:r>
          </w:p>
        </w:tc>
        <w:tc>
          <w:tcPr>
            <w:tcW w:w="1831"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122"/>
        </w:trPr>
        <w:tc>
          <w:tcPr>
            <w:tcW w:w="3370" w:type="dxa"/>
            <w:tcBorders>
              <w:top w:val="single" w:sz="4" w:space="0" w:color="auto"/>
              <w:bottom w:val="single" w:sz="4" w:space="0" w:color="auto"/>
            </w:tcBorders>
            <w:shd w:val="clear" w:color="auto" w:fill="auto"/>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lastRenderedPageBreak/>
              <w:t>Overall Mean</w:t>
            </w:r>
          </w:p>
        </w:tc>
        <w:tc>
          <w:tcPr>
            <w:tcW w:w="765" w:type="dxa"/>
            <w:tcBorders>
              <w:top w:val="single" w:sz="4" w:space="0" w:color="auto"/>
              <w:bottom w:val="single" w:sz="4" w:space="0" w:color="auto"/>
            </w:tcBorders>
            <w:shd w:val="clear" w:color="auto" w:fill="auto"/>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3.47</w:t>
            </w:r>
          </w:p>
        </w:tc>
        <w:tc>
          <w:tcPr>
            <w:tcW w:w="1232" w:type="dxa"/>
            <w:tcBorders>
              <w:top w:val="single" w:sz="4" w:space="0" w:color="auto"/>
              <w:bottom w:val="single" w:sz="4" w:space="0" w:color="auto"/>
            </w:tcBorders>
            <w:shd w:val="clear" w:color="auto" w:fill="auto"/>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0.65</w:t>
            </w:r>
          </w:p>
        </w:tc>
        <w:tc>
          <w:tcPr>
            <w:tcW w:w="1280" w:type="dxa"/>
            <w:tcBorders>
              <w:top w:val="single" w:sz="4" w:space="0" w:color="auto"/>
              <w:bottom w:val="single" w:sz="4" w:space="0" w:color="auto"/>
            </w:tcBorders>
            <w:shd w:val="clear" w:color="auto" w:fill="auto"/>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Neutral</w:t>
            </w:r>
          </w:p>
        </w:tc>
        <w:tc>
          <w:tcPr>
            <w:tcW w:w="1831" w:type="dxa"/>
            <w:tcBorders>
              <w:top w:val="single" w:sz="4" w:space="0" w:color="auto"/>
              <w:bottom w:val="single" w:sz="4" w:space="0" w:color="auto"/>
            </w:tcBorders>
            <w:shd w:val="clear" w:color="auto" w:fill="auto"/>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W w:w="6219" w:type="dxa"/>
        <w:tblLook w:val="04A0" w:firstRow="1" w:lastRow="0" w:firstColumn="1" w:lastColumn="0" w:noHBand="0" w:noVBand="1"/>
      </w:tblPr>
      <w:tblGrid>
        <w:gridCol w:w="1519"/>
        <w:gridCol w:w="2403"/>
        <w:gridCol w:w="2297"/>
      </w:tblGrid>
      <w:tr w:rsidR="00696E28" w:rsidRPr="00696E28" w:rsidTr="00696E28">
        <w:trPr>
          <w:trHeight w:val="309"/>
        </w:trPr>
        <w:tc>
          <w:tcPr>
            <w:tcW w:w="1519"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Scale:</w:t>
            </w:r>
          </w:p>
        </w:tc>
        <w:tc>
          <w:tcPr>
            <w:tcW w:w="2403"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2297"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52"/>
        </w:trPr>
        <w:tc>
          <w:tcPr>
            <w:tcW w:w="15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4:51-5:00</w:t>
            </w:r>
          </w:p>
        </w:tc>
        <w:tc>
          <w:tcPr>
            <w:tcW w:w="240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2297"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Very High Commitment</w:t>
            </w:r>
          </w:p>
        </w:tc>
      </w:tr>
      <w:tr w:rsidR="00696E28" w:rsidRPr="00696E28" w:rsidTr="00696E28">
        <w:trPr>
          <w:trHeight w:val="235"/>
        </w:trPr>
        <w:tc>
          <w:tcPr>
            <w:tcW w:w="15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240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2297"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High Commitment</w:t>
            </w:r>
          </w:p>
        </w:tc>
      </w:tr>
      <w:tr w:rsidR="00696E28" w:rsidRPr="00696E28" w:rsidTr="00696E28">
        <w:trPr>
          <w:trHeight w:val="252"/>
        </w:trPr>
        <w:tc>
          <w:tcPr>
            <w:tcW w:w="15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2:51-3:50</w:t>
            </w:r>
          </w:p>
        </w:tc>
        <w:tc>
          <w:tcPr>
            <w:tcW w:w="240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2297"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Moderate Commitment</w:t>
            </w:r>
          </w:p>
        </w:tc>
      </w:tr>
      <w:tr w:rsidR="00696E28" w:rsidRPr="00696E28" w:rsidTr="00696E28">
        <w:trPr>
          <w:trHeight w:val="252"/>
        </w:trPr>
        <w:tc>
          <w:tcPr>
            <w:tcW w:w="15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240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2297"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Low Commitment</w:t>
            </w:r>
          </w:p>
        </w:tc>
      </w:tr>
      <w:tr w:rsidR="00696E28" w:rsidRPr="00696E28" w:rsidTr="00696E28">
        <w:trPr>
          <w:trHeight w:val="252"/>
        </w:trPr>
        <w:tc>
          <w:tcPr>
            <w:tcW w:w="15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240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2297"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Very Low Commitment</w:t>
            </w:r>
          </w:p>
        </w:tc>
      </w:tr>
      <w:bookmarkEnd w:id="7"/>
    </w:tbl>
    <w:p w:rsidR="00696E28" w:rsidRPr="00696E28" w:rsidRDefault="00696E28" w:rsidP="00696E28">
      <w:pPr>
        <w:spacing w:line="240" w:lineRule="auto"/>
        <w:ind w:left="720" w:hanging="720"/>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These findings imply that while teachers recognize values of loyalty and obligation, such commitment may not be strong enough to ensure long</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term organizational attachment. Institutions may need to reinforce normative commitment by highlighting mutual investment, recognizing teachers’ contributions, and fostering a shared sense of purpose. Strengthening value</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based connections between teachers and their organizations can help promote a stronger sense of responsibility and alignment with institutional goals, contributing to organizational stability and sustained engagement.</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eastAsia="Times New Roman" w:hAnsi="Arial" w:cs="Arial"/>
          <w:kern w:val="0"/>
          <w:sz w:val="24"/>
          <w:szCs w:val="24"/>
          <w:lang w:eastAsia="en-PH"/>
          <w14:ligatures w14:val="none"/>
        </w:rPr>
        <w:t xml:space="preserve">The findings align with </w:t>
      </w:r>
      <w:r w:rsidRPr="00696E28">
        <w:rPr>
          <w:rFonts w:ascii="Arial" w:eastAsia="Times New Roman" w:hAnsi="Arial" w:cs="Arial"/>
          <w:bCs/>
          <w:kern w:val="0"/>
          <w:sz w:val="24"/>
          <w:szCs w:val="24"/>
          <w:lang w:eastAsia="en-PH"/>
          <w14:ligatures w14:val="none"/>
        </w:rPr>
        <w:t>Mavrogordato et al. (2023)</w:t>
      </w:r>
      <w:r w:rsidRPr="00696E28">
        <w:rPr>
          <w:rFonts w:ascii="Arial" w:eastAsia="Times New Roman" w:hAnsi="Arial" w:cs="Arial"/>
          <w:kern w:val="0"/>
          <w:sz w:val="24"/>
          <w:szCs w:val="24"/>
          <w:lang w:eastAsia="en-PH"/>
          <w14:ligatures w14:val="none"/>
        </w:rPr>
        <w:t xml:space="preserve">, who emphasized that leadership systems promoting autonomy and intrinsic motivation foster sustainable professional growth and loyalty, beyond mere compliance. Similarly, </w:t>
      </w:r>
      <w:r w:rsidRPr="00696E28">
        <w:rPr>
          <w:rFonts w:ascii="Arial" w:eastAsia="Times New Roman" w:hAnsi="Arial" w:cs="Arial"/>
          <w:bCs/>
          <w:kern w:val="0"/>
          <w:sz w:val="24"/>
          <w:szCs w:val="24"/>
          <w:lang w:eastAsia="en-PH"/>
          <w14:ligatures w14:val="none"/>
        </w:rPr>
        <w:t>Ryan and Deci (2020)</w:t>
      </w:r>
      <w:r w:rsidRPr="00696E28">
        <w:rPr>
          <w:rFonts w:ascii="Arial" w:eastAsia="Times New Roman" w:hAnsi="Arial" w:cs="Arial"/>
          <w:kern w:val="0"/>
          <w:sz w:val="24"/>
          <w:szCs w:val="24"/>
          <w:lang w:eastAsia="en-PH"/>
          <w14:ligatures w14:val="none"/>
        </w:rPr>
        <w:t xml:space="preserve"> argued that lasting commitment arises when teachers’ psychological needs for autonomy, competence, and connection are fulfilled, reinforcing the moral obligation to remain engaged. These studies affirm that normative commitment is strengthened not by external pressures but by environments that nurture intrinsic values and ethical responsibility.</w:t>
      </w:r>
    </w:p>
    <w:p w:rsidR="00696E28" w:rsidRPr="00696E28" w:rsidRDefault="00696E28" w:rsidP="00696E28">
      <w:pPr>
        <w:spacing w:after="0" w:line="360" w:lineRule="auto"/>
        <w:ind w:firstLine="720"/>
        <w:jc w:val="both"/>
        <w:rPr>
          <w:rFonts w:ascii="Arial" w:hAnsi="Arial" w:cs="Arial"/>
          <w:sz w:val="24"/>
          <w:szCs w:val="24"/>
        </w:rPr>
      </w:pPr>
      <w:bookmarkStart w:id="8" w:name="_Hlk226480411"/>
    </w:p>
    <w:p w:rsidR="00696E28" w:rsidRP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t>Table 10 presents the summary of teachers’ organizational commitment in terms of affective, continuance, and normative commitment. The results show that all three dimensions obtained moderate levels of commitment, with mean scores ranging from 3.41 to 3.49. Affective commitment recorded the highest mean (M = 3.49, SD = 0.58), followed by normative commitment (M = 3.47, SD = 0.65) and continuance commitment (M = 3.41, SD = 0.69). The overall mean of 3.46, with a standard deviation of 0.53 and a descriptive rating of Neutral, is qualitatively interpreted as Moderate Commitment, indicating that teachers exhibit a balanced but not strongly entrenched attachment to their institutions.</w:t>
      </w:r>
    </w:p>
    <w:p w:rsidR="00696E28" w:rsidRP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lastRenderedPageBreak/>
        <w:t>The overall moderate standard deviation suggests some consistency in teachers’ perceptions of organizational commitment, while also indicating differences in how commitment is experienced across its dimensions. The slightly higher variability observed in continuance and normative commitment reflects differences in teachers’ practical considerations and perceived moral obligations to remain with their organizations. Affective commitment, while still moderate, showed relatively lower variability, indicating more consistent feelings of pride and identification with the institution. This pattern suggests that teachers’ commitment is shaped by a combination of emotional attachment, practical necessity, and personal values, none of which dominate strongly across the group.</w:t>
      </w:r>
    </w:p>
    <w:p w:rsidR="00696E28" w:rsidRPr="00696E28" w:rsidRDefault="00696E28" w:rsidP="00696E28">
      <w:pPr>
        <w:spacing w:after="0" w:line="240" w:lineRule="auto"/>
        <w:ind w:firstLine="720"/>
        <w:jc w:val="both"/>
        <w:rPr>
          <w:rFonts w:ascii="Arial" w:hAnsi="Arial" w:cs="Arial"/>
          <w:sz w:val="24"/>
          <w:szCs w:val="24"/>
          <w:lang w:val="en-US"/>
        </w:rPr>
      </w:pPr>
    </w:p>
    <w:p w:rsidR="00696E28" w:rsidRPr="00696E28" w:rsidRDefault="00696E28" w:rsidP="00696E28">
      <w:pPr>
        <w:spacing w:after="0" w:line="240" w:lineRule="auto"/>
        <w:jc w:val="both"/>
        <w:rPr>
          <w:rFonts w:ascii="Arial" w:eastAsia="Aptos" w:hAnsi="Arial" w:cs="Arial"/>
          <w:sz w:val="24"/>
          <w:szCs w:val="24"/>
        </w:rPr>
      </w:pPr>
      <w:r w:rsidRPr="00696E28">
        <w:rPr>
          <w:rFonts w:ascii="Arial" w:hAnsi="Arial" w:cs="Arial"/>
          <w:sz w:val="24"/>
          <w:szCs w:val="24"/>
          <w:lang w:val="en-US"/>
        </w:rPr>
        <w:t>Table 10. Summary of the mean scores of the teachers’ 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professional development opportunities.</w:t>
      </w:r>
    </w:p>
    <w:tbl>
      <w:tblPr>
        <w:tblW w:w="8519" w:type="dxa"/>
        <w:tblInd w:w="-5"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2989"/>
        <w:gridCol w:w="780"/>
        <w:gridCol w:w="1764"/>
        <w:gridCol w:w="1392"/>
        <w:gridCol w:w="1594"/>
      </w:tblGrid>
      <w:tr w:rsidR="00696E28" w:rsidRPr="00696E28" w:rsidTr="00696E28">
        <w:trPr>
          <w:trHeight w:val="529"/>
        </w:trPr>
        <w:tc>
          <w:tcPr>
            <w:tcW w:w="298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eastAsia="Aptos" w:hAnsi="Arial" w:cs="Arial"/>
                <w:sz w:val="20"/>
                <w:szCs w:val="20"/>
                <w:lang w:val="en-US" w:eastAsia="zh-CN" w:bidi="ar"/>
              </w:rPr>
              <w:t>Organizational Commitment</w:t>
            </w:r>
          </w:p>
        </w:tc>
        <w:tc>
          <w:tcPr>
            <w:tcW w:w="780"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764"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Standard Deviation</w:t>
            </w:r>
          </w:p>
        </w:tc>
        <w:tc>
          <w:tcPr>
            <w:tcW w:w="1392"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Descriptive Rating</w:t>
            </w:r>
          </w:p>
        </w:tc>
        <w:tc>
          <w:tcPr>
            <w:tcW w:w="159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529"/>
        </w:trPr>
        <w:tc>
          <w:tcPr>
            <w:tcW w:w="2989" w:type="dxa"/>
            <w:tcBorders>
              <w:top w:val="single" w:sz="4" w:space="0" w:color="auto"/>
            </w:tcBorders>
            <w:shd w:val="clear" w:color="auto" w:fill="FFFFFF" w:themeFill="background1"/>
          </w:tcPr>
          <w:p w:rsidR="00696E28" w:rsidRPr="00696E28" w:rsidRDefault="00696E28" w:rsidP="00696E28">
            <w:pPr>
              <w:spacing w:after="0" w:line="240" w:lineRule="auto"/>
              <w:jc w:val="both"/>
              <w:rPr>
                <w:rFonts w:ascii="Arial" w:eastAsia="Aptos" w:hAnsi="Arial" w:cs="Arial"/>
                <w:sz w:val="20"/>
                <w:szCs w:val="20"/>
              </w:rPr>
            </w:pPr>
            <w:r w:rsidRPr="00696E28">
              <w:rPr>
                <w:rFonts w:ascii="Arial" w:hAnsi="Arial" w:cs="Arial"/>
                <w:kern w:val="0"/>
                <w:sz w:val="20"/>
                <w:szCs w:val="20"/>
                <w:lang w:val="en-US" w:eastAsia="zh-CN" w:bidi="ar"/>
              </w:rPr>
              <w:t>Affective Commitment</w:t>
            </w:r>
          </w:p>
        </w:tc>
        <w:tc>
          <w:tcPr>
            <w:tcW w:w="780"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3.49</w:t>
            </w:r>
          </w:p>
        </w:tc>
        <w:tc>
          <w:tcPr>
            <w:tcW w:w="1764" w:type="dxa"/>
            <w:tcBorders>
              <w:top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0.58</w:t>
            </w:r>
          </w:p>
        </w:tc>
        <w:tc>
          <w:tcPr>
            <w:tcW w:w="1392" w:type="dxa"/>
            <w:tcBorders>
              <w:top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Neutral </w:t>
            </w:r>
          </w:p>
        </w:tc>
        <w:tc>
          <w:tcPr>
            <w:tcW w:w="1594" w:type="dxa"/>
            <w:tcBorders>
              <w:top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17"/>
        </w:trPr>
        <w:tc>
          <w:tcPr>
            <w:tcW w:w="298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lang w:val="en-US"/>
              </w:rPr>
              <w:t>Normative Commitment</w:t>
            </w:r>
          </w:p>
        </w:tc>
        <w:tc>
          <w:tcPr>
            <w:tcW w:w="7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w:t>
            </w:r>
            <w:r w:rsidRPr="00696E28">
              <w:rPr>
                <w:rFonts w:ascii="Arial" w:hAnsi="Arial" w:cs="Arial"/>
                <w:sz w:val="20"/>
                <w:szCs w:val="20"/>
                <w:lang w:val="en-US"/>
              </w:rPr>
              <w:t>7</w:t>
            </w:r>
          </w:p>
        </w:tc>
        <w:tc>
          <w:tcPr>
            <w:tcW w:w="1764" w:type="dxa"/>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0.65</w:t>
            </w:r>
          </w:p>
        </w:tc>
        <w:tc>
          <w:tcPr>
            <w:tcW w:w="1392" w:type="dxa"/>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Neutral </w:t>
            </w:r>
          </w:p>
        </w:tc>
        <w:tc>
          <w:tcPr>
            <w:tcW w:w="1594" w:type="dxa"/>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17"/>
        </w:trPr>
        <w:tc>
          <w:tcPr>
            <w:tcW w:w="298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lang w:val="en-US"/>
              </w:rPr>
              <w:t>Continuance Commitment</w:t>
            </w:r>
          </w:p>
        </w:tc>
        <w:tc>
          <w:tcPr>
            <w:tcW w:w="7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w:t>
            </w:r>
            <w:r w:rsidRPr="00696E28">
              <w:rPr>
                <w:rFonts w:ascii="Arial" w:hAnsi="Arial" w:cs="Arial"/>
                <w:sz w:val="20"/>
                <w:szCs w:val="20"/>
                <w:lang w:val="en-US"/>
              </w:rPr>
              <w:t>1</w:t>
            </w:r>
          </w:p>
        </w:tc>
        <w:tc>
          <w:tcPr>
            <w:tcW w:w="1764" w:type="dxa"/>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0.69</w:t>
            </w:r>
          </w:p>
        </w:tc>
        <w:tc>
          <w:tcPr>
            <w:tcW w:w="1392" w:type="dxa"/>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Neutral </w:t>
            </w:r>
          </w:p>
        </w:tc>
        <w:tc>
          <w:tcPr>
            <w:tcW w:w="1594" w:type="dxa"/>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40"/>
        </w:trPr>
        <w:tc>
          <w:tcPr>
            <w:tcW w:w="298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eastAsia="Aptos" w:hAnsi="Arial" w:cs="Arial"/>
                <w:sz w:val="20"/>
                <w:szCs w:val="20"/>
              </w:rPr>
            </w:pPr>
            <w:r w:rsidRPr="00696E28">
              <w:rPr>
                <w:rFonts w:ascii="Arial" w:eastAsia="Aptos" w:hAnsi="Arial" w:cs="Arial"/>
                <w:sz w:val="20"/>
                <w:szCs w:val="20"/>
              </w:rPr>
              <w:t>Overall Mean</w:t>
            </w:r>
          </w:p>
        </w:tc>
        <w:tc>
          <w:tcPr>
            <w:tcW w:w="780"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3.46</w:t>
            </w:r>
          </w:p>
        </w:tc>
        <w:tc>
          <w:tcPr>
            <w:tcW w:w="176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0.53</w:t>
            </w:r>
          </w:p>
        </w:tc>
        <w:tc>
          <w:tcPr>
            <w:tcW w:w="139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Neutral </w:t>
            </w:r>
          </w:p>
        </w:tc>
        <w:tc>
          <w:tcPr>
            <w:tcW w:w="159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bl>
    <w:p w:rsidR="00696E28" w:rsidRPr="00696E28" w:rsidRDefault="00696E28" w:rsidP="00696E28">
      <w:pPr>
        <w:spacing w:after="0" w:line="360" w:lineRule="auto"/>
        <w:jc w:val="both"/>
        <w:rPr>
          <w:rFonts w:ascii="Arial" w:hAnsi="Arial" w:cs="Arial"/>
          <w:sz w:val="18"/>
          <w:szCs w:val="24"/>
          <w:lang w:val="en-US"/>
        </w:rPr>
      </w:pPr>
      <w:r w:rsidRPr="00696E28">
        <w:rPr>
          <w:rFonts w:ascii="Arial" w:hAnsi="Arial" w:cs="Arial"/>
          <w:sz w:val="18"/>
          <w:szCs w:val="24"/>
          <w:lang w:val="en-US"/>
        </w:rPr>
        <w:t>Legend:</w:t>
      </w:r>
    </w:p>
    <w:tbl>
      <w:tblPr>
        <w:tblW w:w="8072" w:type="dxa"/>
        <w:tblLook w:val="04A0" w:firstRow="1" w:lastRow="0" w:firstColumn="1" w:lastColumn="0" w:noHBand="0" w:noVBand="1"/>
      </w:tblPr>
      <w:tblGrid>
        <w:gridCol w:w="1972"/>
        <w:gridCol w:w="3119"/>
        <w:gridCol w:w="2981"/>
      </w:tblGrid>
      <w:tr w:rsidR="00696E28" w:rsidRPr="00696E28" w:rsidTr="00696E28">
        <w:trPr>
          <w:trHeight w:val="311"/>
        </w:trPr>
        <w:tc>
          <w:tcPr>
            <w:tcW w:w="1972"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Scale:</w:t>
            </w:r>
          </w:p>
        </w:tc>
        <w:tc>
          <w:tcPr>
            <w:tcW w:w="3119"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Descriptive Rating</w:t>
            </w:r>
          </w:p>
        </w:tc>
        <w:tc>
          <w:tcPr>
            <w:tcW w:w="2981"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Qualitative Interpretation</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rPr>
            </w:pPr>
            <w:r w:rsidRPr="00696E28">
              <w:rPr>
                <w:rFonts w:ascii="Arial" w:hAnsi="Arial" w:cs="Arial"/>
                <w:sz w:val="18"/>
              </w:rPr>
              <w:t>4:51-5:00</w:t>
            </w:r>
          </w:p>
        </w:tc>
        <w:tc>
          <w:tcPr>
            <w:tcW w:w="31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Strongly Agree (SA)</w:t>
            </w:r>
          </w:p>
        </w:tc>
        <w:tc>
          <w:tcPr>
            <w:tcW w:w="2981" w:type="dxa"/>
            <w:shd w:val="clear" w:color="auto" w:fill="auto"/>
          </w:tcPr>
          <w:p w:rsidR="00696E28" w:rsidRPr="00696E28" w:rsidRDefault="00696E28" w:rsidP="00696E28">
            <w:pPr>
              <w:contextualSpacing/>
              <w:jc w:val="both"/>
              <w:rPr>
                <w:rFonts w:ascii="Arial" w:hAnsi="Arial" w:cs="Arial"/>
                <w:sz w:val="18"/>
              </w:rPr>
            </w:pPr>
            <w:r w:rsidRPr="00696E28">
              <w:rPr>
                <w:rFonts w:ascii="Arial" w:hAnsi="Arial" w:cs="Arial"/>
                <w:sz w:val="18"/>
              </w:rPr>
              <w:t>Very High Commitment</w:t>
            </w:r>
          </w:p>
        </w:tc>
      </w:tr>
      <w:tr w:rsidR="00696E28" w:rsidRPr="00696E28" w:rsidTr="00696E28">
        <w:trPr>
          <w:trHeight w:val="236"/>
        </w:trPr>
        <w:tc>
          <w:tcPr>
            <w:tcW w:w="1972" w:type="dxa"/>
          </w:tcPr>
          <w:p w:rsidR="00696E28" w:rsidRPr="00696E28" w:rsidRDefault="00696E28" w:rsidP="00696E28">
            <w:pPr>
              <w:pStyle w:val="BodyText"/>
              <w:jc w:val="both"/>
              <w:rPr>
                <w:rFonts w:ascii="Arial" w:hAnsi="Arial" w:cs="Arial"/>
                <w:sz w:val="18"/>
              </w:rPr>
            </w:pPr>
            <w:r w:rsidRPr="00696E28">
              <w:rPr>
                <w:rFonts w:ascii="Arial" w:hAnsi="Arial" w:cs="Arial"/>
                <w:sz w:val="18"/>
              </w:rPr>
              <w:t>3:51:4:50</w:t>
            </w:r>
          </w:p>
        </w:tc>
        <w:tc>
          <w:tcPr>
            <w:tcW w:w="31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Agree (A)</w:t>
            </w:r>
          </w:p>
        </w:tc>
        <w:tc>
          <w:tcPr>
            <w:tcW w:w="2981" w:type="dxa"/>
            <w:shd w:val="clear" w:color="auto" w:fill="auto"/>
          </w:tcPr>
          <w:p w:rsidR="00696E28" w:rsidRPr="00696E28" w:rsidRDefault="00696E28" w:rsidP="00696E28">
            <w:pPr>
              <w:contextualSpacing/>
              <w:jc w:val="both"/>
              <w:rPr>
                <w:rFonts w:ascii="Arial" w:hAnsi="Arial" w:cs="Arial"/>
                <w:sz w:val="18"/>
              </w:rPr>
            </w:pPr>
            <w:r w:rsidRPr="00696E28">
              <w:rPr>
                <w:rFonts w:ascii="Arial" w:hAnsi="Arial" w:cs="Arial"/>
                <w:sz w:val="18"/>
              </w:rPr>
              <w:t>High Commitment</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rPr>
            </w:pPr>
            <w:r w:rsidRPr="00696E28">
              <w:rPr>
                <w:rFonts w:ascii="Arial" w:hAnsi="Arial" w:cs="Arial"/>
                <w:sz w:val="18"/>
              </w:rPr>
              <w:t>2:51-3:50</w:t>
            </w:r>
          </w:p>
        </w:tc>
        <w:tc>
          <w:tcPr>
            <w:tcW w:w="31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Neutral (N)</w:t>
            </w:r>
          </w:p>
        </w:tc>
        <w:tc>
          <w:tcPr>
            <w:tcW w:w="2981" w:type="dxa"/>
            <w:shd w:val="clear" w:color="auto" w:fill="auto"/>
          </w:tcPr>
          <w:p w:rsidR="00696E28" w:rsidRPr="00696E28" w:rsidRDefault="00696E28" w:rsidP="00696E28">
            <w:pPr>
              <w:contextualSpacing/>
              <w:jc w:val="both"/>
              <w:rPr>
                <w:rFonts w:ascii="Arial" w:hAnsi="Arial" w:cs="Arial"/>
                <w:sz w:val="18"/>
              </w:rPr>
            </w:pPr>
            <w:r w:rsidRPr="00696E28">
              <w:rPr>
                <w:rFonts w:ascii="Arial" w:hAnsi="Arial" w:cs="Arial"/>
                <w:sz w:val="18"/>
              </w:rPr>
              <w:t>Moderate Commitment</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rPr>
            </w:pPr>
            <w:r w:rsidRPr="00696E28">
              <w:rPr>
                <w:rFonts w:ascii="Arial" w:hAnsi="Arial" w:cs="Arial"/>
                <w:sz w:val="18"/>
              </w:rPr>
              <w:t>1.51:2:50</w:t>
            </w:r>
          </w:p>
        </w:tc>
        <w:tc>
          <w:tcPr>
            <w:tcW w:w="31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Disagree (D)</w:t>
            </w:r>
          </w:p>
        </w:tc>
        <w:tc>
          <w:tcPr>
            <w:tcW w:w="2981" w:type="dxa"/>
            <w:shd w:val="clear" w:color="auto" w:fill="auto"/>
          </w:tcPr>
          <w:p w:rsidR="00696E28" w:rsidRPr="00696E28" w:rsidRDefault="00696E28" w:rsidP="00696E28">
            <w:pPr>
              <w:contextualSpacing/>
              <w:jc w:val="both"/>
              <w:rPr>
                <w:rFonts w:ascii="Arial" w:hAnsi="Arial" w:cs="Arial"/>
                <w:sz w:val="18"/>
              </w:rPr>
            </w:pPr>
            <w:r w:rsidRPr="00696E28">
              <w:rPr>
                <w:rFonts w:ascii="Arial" w:hAnsi="Arial" w:cs="Arial"/>
                <w:sz w:val="18"/>
              </w:rPr>
              <w:t>Low Commitment</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rPr>
            </w:pPr>
            <w:r w:rsidRPr="00696E28">
              <w:rPr>
                <w:rFonts w:ascii="Arial" w:hAnsi="Arial" w:cs="Arial"/>
                <w:sz w:val="18"/>
              </w:rPr>
              <w:t>1:00-1:50</w:t>
            </w:r>
          </w:p>
        </w:tc>
        <w:tc>
          <w:tcPr>
            <w:tcW w:w="31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Strongly Disagree (SD)</w:t>
            </w:r>
          </w:p>
        </w:tc>
        <w:tc>
          <w:tcPr>
            <w:tcW w:w="2981" w:type="dxa"/>
            <w:shd w:val="clear" w:color="auto" w:fill="auto"/>
          </w:tcPr>
          <w:p w:rsidR="00696E28" w:rsidRPr="00696E28" w:rsidRDefault="00696E28" w:rsidP="00696E28">
            <w:pPr>
              <w:contextualSpacing/>
              <w:jc w:val="both"/>
              <w:rPr>
                <w:rFonts w:ascii="Arial" w:hAnsi="Arial" w:cs="Arial"/>
                <w:sz w:val="18"/>
              </w:rPr>
            </w:pPr>
            <w:r w:rsidRPr="00696E28">
              <w:rPr>
                <w:rFonts w:ascii="Arial" w:hAnsi="Arial" w:cs="Arial"/>
                <w:sz w:val="18"/>
              </w:rPr>
              <w:t>Very Low Commitment</w:t>
            </w:r>
          </w:p>
        </w:tc>
      </w:tr>
      <w:bookmarkEnd w:id="8"/>
    </w:tbl>
    <w:p w:rsidR="00696E28" w:rsidRPr="00696E28" w:rsidRDefault="00696E28" w:rsidP="00696E28">
      <w:pPr>
        <w:spacing w:line="240" w:lineRule="auto"/>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rPr>
        <w:t>These findings imply that teachers’ organizational commitment is present but conditional, and may be influenced by both institutional support and individual career considerations. To strengthen commitment beyond moderate levels, schools may need to enhance supportive organizational climates, provide meaningful professional growth opportunities, and reinforce shared values and recognition systems. Strengthening these areas can help deepen teachers’ emotional, moral, and practical attachment, leading to improved retention, motivation, and alignment with institutional goals.</w:t>
      </w:r>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rPr>
        <w:t xml:space="preserve">The overall moderate ratings resonate with </w:t>
      </w:r>
      <w:r w:rsidRPr="00696E28">
        <w:rPr>
          <w:rStyle w:val="Strong"/>
          <w:rFonts w:ascii="Arial" w:hAnsi="Arial" w:cs="Arial"/>
          <w:b w:val="0"/>
          <w:sz w:val="24"/>
        </w:rPr>
        <w:t>Ballenas et al. (2023)</w:t>
      </w:r>
      <w:r w:rsidRPr="00696E28">
        <w:rPr>
          <w:rFonts w:ascii="Arial" w:hAnsi="Arial" w:cs="Arial"/>
          <w:b/>
          <w:sz w:val="24"/>
        </w:rPr>
        <w:t xml:space="preserve">, </w:t>
      </w:r>
      <w:r w:rsidRPr="00696E28">
        <w:rPr>
          <w:rFonts w:ascii="Arial" w:hAnsi="Arial" w:cs="Arial"/>
          <w:sz w:val="24"/>
        </w:rPr>
        <w:t xml:space="preserve">who found that compliance with CPD is influenced by organizational learning culture and </w:t>
      </w:r>
      <w:r w:rsidRPr="00696E28">
        <w:rPr>
          <w:rFonts w:ascii="Arial" w:hAnsi="Arial" w:cs="Arial"/>
          <w:sz w:val="24"/>
        </w:rPr>
        <w:lastRenderedPageBreak/>
        <w:t xml:space="preserve">managerial support, underscoring the role of institutional environment in shaping commitment. Similarly, </w:t>
      </w:r>
      <w:r w:rsidRPr="00696E28">
        <w:rPr>
          <w:rStyle w:val="Strong"/>
          <w:rFonts w:ascii="Arial" w:hAnsi="Arial" w:cs="Arial"/>
          <w:b w:val="0"/>
          <w:sz w:val="24"/>
        </w:rPr>
        <w:t>Ramada (2020)</w:t>
      </w:r>
      <w:r w:rsidRPr="00696E28">
        <w:rPr>
          <w:rFonts w:ascii="Arial" w:hAnsi="Arial" w:cs="Arial"/>
          <w:sz w:val="24"/>
        </w:rPr>
        <w:t xml:space="preserve"> highlighted that professional development integrated with recognition and performance evaluation enhances job satisfaction and organizational loyalty. These studies affirm that while teachers show moderate commitment, stronger institutional investment in culture and recognition is essential to deepen organizational bonds.</w:t>
      </w:r>
    </w:p>
    <w:p w:rsidR="00696E28" w:rsidRPr="00696E28" w:rsidRDefault="00696E28" w:rsidP="00696E28">
      <w:pPr>
        <w:spacing w:after="0" w:line="360" w:lineRule="auto"/>
        <w:ind w:firstLine="720"/>
        <w:jc w:val="both"/>
        <w:rPr>
          <w:rFonts w:ascii="Arial" w:hAnsi="Arial" w:cs="Arial"/>
          <w:sz w:val="24"/>
        </w:rPr>
      </w:pPr>
    </w:p>
    <w:p w:rsidR="00696E28" w:rsidRPr="00696E28" w:rsidRDefault="00696E28" w:rsidP="00696E28">
      <w:pPr>
        <w:spacing w:after="0" w:line="360" w:lineRule="auto"/>
        <w:ind w:firstLine="720"/>
        <w:jc w:val="both"/>
        <w:rPr>
          <w:rFonts w:ascii="Arial" w:hAnsi="Arial" w:cs="Arial"/>
          <w:sz w:val="24"/>
        </w:rPr>
      </w:pPr>
      <w:bookmarkStart w:id="9" w:name="_Hlk226480869"/>
      <w:r w:rsidRPr="00696E28">
        <w:rPr>
          <w:rFonts w:ascii="Arial" w:hAnsi="Arial" w:cs="Arial"/>
          <w:sz w:val="24"/>
        </w:rPr>
        <w:t>Table 11 presents the teachers’ level of workload demands in terms of time. The results show an overall mean of 3.86, a standard deviation of 0.64, and a descriptive rating of Strongly Agree, which is qualitatively interpreted as High Workload Demand. The highest</w:t>
      </w:r>
      <w:r w:rsidRPr="00696E28">
        <w:rPr>
          <w:rFonts w:ascii="Cambria Math" w:hAnsi="Cambria Math" w:cs="Cambria Math"/>
          <w:sz w:val="24"/>
        </w:rPr>
        <w:t>‑</w:t>
      </w:r>
      <w:r w:rsidRPr="00696E28">
        <w:rPr>
          <w:rFonts w:ascii="Arial" w:hAnsi="Arial" w:cs="Arial"/>
          <w:sz w:val="24"/>
        </w:rPr>
        <w:t>rated indicators include being given reasonable deadlines (M = 4.04, SD = 0.83), having sufficient time to complete assigned work (M = 4.04, SD = 0.81), and the ability to complete tasks within the expected time frame (M = 3.93, SD = 0.81). Indicators related to sudden work assignments (M = 3.63, SD = 0.94) and receiving tasks with unreasonably short deadlines (M = 3.69, SD = 0.96) received comparatively lower mean scores, although they remained within the high workload demand category.</w:t>
      </w:r>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rPr>
        <w:t>The moderate standard deviation indicates a reasonable level of consistency in teachers’ perceptions of time</w:t>
      </w:r>
      <w:r w:rsidRPr="00696E28">
        <w:rPr>
          <w:rFonts w:ascii="Cambria Math" w:hAnsi="Cambria Math" w:cs="Cambria Math"/>
          <w:sz w:val="24"/>
        </w:rPr>
        <w:t>‑</w:t>
      </w:r>
      <w:r w:rsidRPr="00696E28">
        <w:rPr>
          <w:rFonts w:ascii="Arial" w:hAnsi="Arial" w:cs="Arial"/>
          <w:sz w:val="24"/>
        </w:rPr>
        <w:t>related workload demands, suggesting that most teachers experience similar scheduling conditions. Lower SD values for indicators related to deadline reasonableness and task completion reflect shared experiences of structured time allocation. In contrast, slightly higher standard deviations observed in items related to sudden assignments and time pressure suggest greater variability in how teachers experience unexpected or unplanned tasks. This pattern indicates that while overall time management is generally stable, disruptions caused by unforeseen responsibilities affect teachers differently.</w:t>
      </w:r>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rPr>
        <w:t>These findings imply that institutions are largely effective in providing structured schedules and reasonable deadlines; however, unplanned and urgent tasks remain a source of variability in teachers’ time demands. Minimizing sudden assignments and ensuring clearer time allocation for additional responsibilities may help reduce time pressure and support sustained work quality. Strengthening time</w:t>
      </w:r>
      <w:r w:rsidRPr="00696E28">
        <w:rPr>
          <w:rFonts w:ascii="Cambria Math" w:hAnsi="Cambria Math" w:cs="Cambria Math"/>
          <w:sz w:val="24"/>
        </w:rPr>
        <w:t>‑</w:t>
      </w:r>
      <w:r w:rsidRPr="00696E28">
        <w:rPr>
          <w:rFonts w:ascii="Arial" w:hAnsi="Arial" w:cs="Arial"/>
          <w:sz w:val="24"/>
        </w:rPr>
        <w:t>management policies can contribute to improved teacher efficiency, reduced stress, and enhanced professional well</w:t>
      </w:r>
      <w:r w:rsidRPr="00696E28">
        <w:rPr>
          <w:rFonts w:ascii="Cambria Math" w:hAnsi="Cambria Math" w:cs="Cambria Math"/>
          <w:sz w:val="24"/>
        </w:rPr>
        <w:t>‑</w:t>
      </w:r>
      <w:r w:rsidRPr="00696E28">
        <w:rPr>
          <w:rFonts w:ascii="Arial" w:hAnsi="Arial" w:cs="Arial"/>
          <w:sz w:val="24"/>
        </w:rPr>
        <w:t>being.</w:t>
      </w:r>
    </w:p>
    <w:p w:rsidR="00696E28" w:rsidRPr="00696E28" w:rsidRDefault="00696E28" w:rsidP="00696E28">
      <w:pPr>
        <w:spacing w:after="0" w:line="240" w:lineRule="auto"/>
        <w:jc w:val="both"/>
        <w:rPr>
          <w:rFonts w:ascii="Arial" w:hAnsi="Arial" w:cs="Arial"/>
          <w:sz w:val="24"/>
          <w:szCs w:val="24"/>
          <w:lang w:val="en-US"/>
        </w:rPr>
      </w:pPr>
    </w:p>
    <w:p w:rsidR="00696E28" w:rsidRPr="00696E28" w:rsidRDefault="00696E28" w:rsidP="00696E28">
      <w:pPr>
        <w:spacing w:after="0" w:line="240" w:lineRule="auto"/>
        <w:jc w:val="both"/>
        <w:rPr>
          <w:rFonts w:ascii="Arial" w:hAnsi="Arial" w:cs="Arial"/>
          <w:sz w:val="24"/>
          <w:szCs w:val="24"/>
          <w:lang w:val="en-US"/>
        </w:rPr>
      </w:pPr>
      <w:r w:rsidRPr="00696E28">
        <w:rPr>
          <w:rFonts w:ascii="Arial" w:hAnsi="Arial" w:cs="Arial"/>
          <w:sz w:val="24"/>
          <w:szCs w:val="24"/>
          <w:lang w:val="en-US"/>
        </w:rPr>
        <w:t>Table 11. Mean scores of the teachers’ level of</w:t>
      </w:r>
      <w:r w:rsidRPr="00696E28">
        <w:rPr>
          <w:rFonts w:ascii="Arial" w:hAnsi="Arial" w:cs="Arial"/>
          <w:sz w:val="24"/>
          <w:szCs w:val="24"/>
        </w:rPr>
        <w:t xml:space="preserve"> </w:t>
      </w:r>
      <w:r w:rsidRPr="00696E28">
        <w:rPr>
          <w:rFonts w:ascii="Arial" w:hAnsi="Arial" w:cs="Arial"/>
          <w:sz w:val="24"/>
          <w:szCs w:val="24"/>
          <w:lang w:val="en-US"/>
        </w:rPr>
        <w:t>workload demands in terms of time.</w:t>
      </w:r>
    </w:p>
    <w:tbl>
      <w:tblPr>
        <w:tblW w:w="8418" w:type="dxa"/>
        <w:shd w:val="clear" w:color="auto" w:fill="FFFFFF" w:themeFill="background1"/>
        <w:tblLayout w:type="fixed"/>
        <w:tblLook w:val="04A0" w:firstRow="1" w:lastRow="0" w:firstColumn="1" w:lastColumn="0" w:noHBand="0" w:noVBand="1"/>
      </w:tblPr>
      <w:tblGrid>
        <w:gridCol w:w="3584"/>
        <w:gridCol w:w="804"/>
        <w:gridCol w:w="1176"/>
        <w:gridCol w:w="1212"/>
        <w:gridCol w:w="1642"/>
      </w:tblGrid>
      <w:tr w:rsidR="00696E28" w:rsidRPr="00696E28" w:rsidTr="00696E28">
        <w:trPr>
          <w:trHeight w:val="90"/>
        </w:trPr>
        <w:tc>
          <w:tcPr>
            <w:tcW w:w="358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80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176" w:type="dxa"/>
            <w:tcBorders>
              <w:top w:val="single" w:sz="4" w:space="0" w:color="auto"/>
              <w:bottom w:val="single" w:sz="4" w:space="0" w:color="auto"/>
            </w:tcBorders>
            <w:shd w:val="clear" w:color="auto" w:fill="FFFFFF" w:themeFill="background1"/>
          </w:tcPr>
          <w:p w:rsidR="00696E28" w:rsidRPr="00696E28" w:rsidRDefault="00696E28" w:rsidP="00696E28">
            <w:pPr>
              <w:autoSpaceDE w:val="0"/>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Standard Deviation</w:t>
            </w:r>
          </w:p>
        </w:tc>
        <w:tc>
          <w:tcPr>
            <w:tcW w:w="1212" w:type="dxa"/>
            <w:tcBorders>
              <w:top w:val="single" w:sz="4" w:space="0" w:color="auto"/>
              <w:bottom w:val="single" w:sz="4" w:space="0" w:color="auto"/>
            </w:tcBorders>
            <w:shd w:val="clear" w:color="auto" w:fill="FFFFFF" w:themeFill="background1"/>
          </w:tcPr>
          <w:p w:rsidR="00696E28" w:rsidRPr="00696E28" w:rsidRDefault="00696E28" w:rsidP="00696E28">
            <w:pPr>
              <w:autoSpaceDE w:val="0"/>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Descriptive Rating</w:t>
            </w:r>
          </w:p>
        </w:tc>
        <w:tc>
          <w:tcPr>
            <w:tcW w:w="164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90"/>
        </w:trPr>
        <w:tc>
          <w:tcPr>
            <w:tcW w:w="3584"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The deadlines given for my tasks are reasonable.</w:t>
            </w:r>
          </w:p>
        </w:tc>
        <w:tc>
          <w:tcPr>
            <w:tcW w:w="804"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4.04</w:t>
            </w:r>
          </w:p>
        </w:tc>
        <w:tc>
          <w:tcPr>
            <w:tcW w:w="1176" w:type="dxa"/>
            <w:tcBorders>
              <w:top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0.83</w:t>
            </w:r>
          </w:p>
        </w:tc>
        <w:tc>
          <w:tcPr>
            <w:tcW w:w="1212"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given sufficient time to complete my assigned work.</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4.04</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able to complete my tasks within the expected time frame.</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3.93</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My workload deadlines allow me to maintain work quality.</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3.92</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0.82</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can manage my time effectively to finish my work responsibilities.</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3.91</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0.86</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My work schedule allows me to complete tasks without rushing.</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3.86</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0.88</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The time allocated for my work matches the difficulty of the tasks.</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3.79</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0.87</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seldom experience time pressure when completing my work.</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3.77</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0.88</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rarely receive tasks that must be completed in an unreasonably short time.</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3.69</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0.96</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Sudden work assignments do not significantly disrupt my planned schedule.</w:t>
            </w:r>
          </w:p>
        </w:tc>
        <w:tc>
          <w:tcPr>
            <w:tcW w:w="804"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3.63</w:t>
            </w:r>
          </w:p>
        </w:tc>
        <w:tc>
          <w:tcPr>
            <w:tcW w:w="1176" w:type="dxa"/>
            <w:tcBorders>
              <w:bottom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0.94</w:t>
            </w:r>
          </w:p>
        </w:tc>
        <w:tc>
          <w:tcPr>
            <w:tcW w:w="1212"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483"/>
        </w:trPr>
        <w:tc>
          <w:tcPr>
            <w:tcW w:w="358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804"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3.86</w:t>
            </w:r>
          </w:p>
        </w:tc>
        <w:tc>
          <w:tcPr>
            <w:tcW w:w="1176"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0.64</w:t>
            </w:r>
          </w:p>
        </w:tc>
        <w:tc>
          <w:tcPr>
            <w:tcW w:w="121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W w:w="7120" w:type="dxa"/>
        <w:tblLook w:val="04A0" w:firstRow="1" w:lastRow="0" w:firstColumn="1" w:lastColumn="0" w:noHBand="0" w:noVBand="1"/>
      </w:tblPr>
      <w:tblGrid>
        <w:gridCol w:w="1467"/>
        <w:gridCol w:w="2546"/>
        <w:gridCol w:w="3107"/>
      </w:tblGrid>
      <w:tr w:rsidR="00696E28" w:rsidRPr="00696E28" w:rsidTr="00696E28">
        <w:trPr>
          <w:trHeight w:val="325"/>
        </w:trPr>
        <w:tc>
          <w:tcPr>
            <w:tcW w:w="1467"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Scale:</w:t>
            </w:r>
          </w:p>
        </w:tc>
        <w:tc>
          <w:tcPr>
            <w:tcW w:w="2546"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3107"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4:51-5:00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High Workload Demand</w:t>
            </w:r>
          </w:p>
        </w:tc>
      </w:tr>
      <w:tr w:rsidR="00696E28" w:rsidRPr="00696E28" w:rsidTr="00696E28">
        <w:trPr>
          <w:trHeight w:val="247"/>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High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2:51-3:50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Moderate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Low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Low Workload Demand</w:t>
            </w:r>
          </w:p>
        </w:tc>
      </w:tr>
      <w:bookmarkEnd w:id="9"/>
    </w:tbl>
    <w:p w:rsidR="00696E28" w:rsidRPr="00696E28" w:rsidRDefault="00696E28" w:rsidP="00696E28">
      <w:pPr>
        <w:spacing w:line="240" w:lineRule="auto"/>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rPr>
      </w:pPr>
      <w:r w:rsidRPr="00696E28">
        <w:rPr>
          <w:rFonts w:ascii="Arial" w:eastAsia="Times New Roman" w:hAnsi="Arial" w:cs="Arial"/>
          <w:kern w:val="0"/>
          <w:sz w:val="24"/>
          <w:szCs w:val="24"/>
          <w:lang w:eastAsia="en-PH"/>
          <w14:ligatures w14:val="none"/>
        </w:rPr>
        <w:t>The findings align with Hakanen et al. (2016), who emphasized that time pressure is a major predictor of teacher stress and burnout, particularly when educators juggle multiple responsibilities beyond classroom instruction. Similarly, Skaalvik and Skaalvik (2017) found that unreasonable deadlines and sudden assignments are strongly associated with emotional exhaustion, reinforcing the lower ratings teachers gave to indicators on unexpected tasks. Alves et al. (2019) further confirmed that even teachers with strong time management skills struggle when institutional demands exceed available time resources, especially during curriculum reforms. These studies affirm that structured scheduling and realistic deadlines are essential in sustaining teacher well-being and performance.</w:t>
      </w:r>
    </w:p>
    <w:p w:rsidR="00696E28" w:rsidRPr="00696E28" w:rsidRDefault="00696E28" w:rsidP="00696E28">
      <w:pPr>
        <w:spacing w:after="0" w:line="360" w:lineRule="auto"/>
        <w:ind w:firstLine="720"/>
        <w:jc w:val="both"/>
        <w:rPr>
          <w:rFonts w:ascii="Arial" w:hAnsi="Arial" w:cs="Arial"/>
          <w:sz w:val="24"/>
        </w:rPr>
      </w:pPr>
      <w:bookmarkStart w:id="10" w:name="_Hlk226481110"/>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rPr>
        <w:lastRenderedPageBreak/>
        <w:t>Table 12 presents the teachers’ level of workload demands in terms of quantitative demands. The results show an overall mean of 3.85, a standard deviation of 0.68, and a descriptive rating of Strongly Agree, which is qualitatively interpreted as High Workload Demand. The highest</w:t>
      </w:r>
      <w:r w:rsidRPr="00696E28">
        <w:rPr>
          <w:rFonts w:ascii="Cambria Math" w:hAnsi="Cambria Math" w:cs="Cambria Math"/>
          <w:sz w:val="24"/>
        </w:rPr>
        <w:t>‑</w:t>
      </w:r>
      <w:r w:rsidRPr="00696E28">
        <w:rPr>
          <w:rFonts w:ascii="Arial" w:hAnsi="Arial" w:cs="Arial"/>
          <w:sz w:val="24"/>
        </w:rPr>
        <w:t>rated indicators include the manageability of the amount of work assigned (M = 3.97, SD = 0.79), the ability to maintain work efficiency despite the number of tasks (M = 3.92, SD = 0.82), and being rarely assigned duties beyond official responsibilities (M = 3.90, SD = 0.77). Other indicators related to fairness of task distribution, workload volume, and the ability to complete tasks within working hours were likewise rated as Strongly Agree, indicating that teachers generally perceive their workload quantity as demanding but manageable.</w:t>
      </w:r>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rPr>
        <w:t>The overall mean of indicates that teachers experience high quantitative workload demands, suggesting that they are responsible for a substantial volume of tasks that require sustained effort and efficiency. Despite the demanding nature of the workload, the high mean scores imply that teachers generally feel capable of managing the number of responsibilities assigned to them. The accompanying moderate standard deviation indicates that these perceptions are fairly consistent among respondents, although some variation exists. Slightly higher variability in indicators related to completing tasks within working hours and avoiding overload suggests that while many teachers can manage their workload effectively, others may occasionally experience pressure when task volume approaches their work capacity. The combination of a high mean and moderate SD reflects a shared perception of heavy but largely manageable quantitative workload demands.</w:t>
      </w:r>
    </w:p>
    <w:p w:rsidR="00696E28" w:rsidRPr="00696E28" w:rsidRDefault="00696E28" w:rsidP="00696E28">
      <w:pPr>
        <w:spacing w:after="0" w:line="360" w:lineRule="auto"/>
        <w:ind w:firstLine="720"/>
        <w:jc w:val="both"/>
        <w:rPr>
          <w:rFonts w:ascii="Arial" w:hAnsi="Arial" w:cs="Arial"/>
          <w:sz w:val="24"/>
        </w:rPr>
      </w:pPr>
    </w:p>
    <w:p w:rsidR="00696E28" w:rsidRPr="00696E28" w:rsidRDefault="00696E28" w:rsidP="00696E28">
      <w:pPr>
        <w:spacing w:after="0" w:line="360" w:lineRule="auto"/>
        <w:ind w:firstLine="720"/>
        <w:jc w:val="both"/>
        <w:rPr>
          <w:rFonts w:ascii="Arial" w:hAnsi="Arial" w:cs="Arial"/>
          <w:sz w:val="24"/>
        </w:rPr>
      </w:pPr>
    </w:p>
    <w:p w:rsidR="00696E28" w:rsidRPr="00696E28" w:rsidRDefault="00696E28" w:rsidP="00696E28">
      <w:pPr>
        <w:spacing w:after="0" w:line="240" w:lineRule="auto"/>
        <w:jc w:val="both"/>
        <w:rPr>
          <w:rFonts w:ascii="Arial" w:hAnsi="Arial" w:cs="Arial"/>
          <w:sz w:val="24"/>
          <w:szCs w:val="24"/>
          <w:lang w:val="en-US"/>
        </w:rPr>
      </w:pPr>
      <w:r w:rsidRPr="00696E28">
        <w:rPr>
          <w:rFonts w:ascii="Arial" w:hAnsi="Arial" w:cs="Arial"/>
          <w:sz w:val="24"/>
          <w:szCs w:val="24"/>
          <w:lang w:val="en-US"/>
        </w:rPr>
        <w:t>Table 12. Mean scores of the teachers’ level of</w:t>
      </w:r>
      <w:r w:rsidRPr="00696E28">
        <w:rPr>
          <w:rFonts w:ascii="Arial" w:hAnsi="Arial" w:cs="Arial"/>
          <w:sz w:val="24"/>
          <w:szCs w:val="24"/>
        </w:rPr>
        <w:t xml:space="preserve"> </w:t>
      </w:r>
      <w:r w:rsidRPr="00696E28">
        <w:rPr>
          <w:rFonts w:ascii="Arial" w:hAnsi="Arial" w:cs="Arial"/>
          <w:sz w:val="24"/>
          <w:szCs w:val="24"/>
          <w:lang w:val="en-US"/>
        </w:rPr>
        <w:t>workload demands in terms of quantitative demands.</w:t>
      </w:r>
    </w:p>
    <w:tbl>
      <w:tblPr>
        <w:tblW w:w="8552" w:type="dxa"/>
        <w:shd w:val="clear" w:color="auto" w:fill="FFFFFF" w:themeFill="background1"/>
        <w:tblLayout w:type="fixed"/>
        <w:tblLook w:val="04A0" w:firstRow="1" w:lastRow="0" w:firstColumn="1" w:lastColumn="0" w:noHBand="0" w:noVBand="1"/>
      </w:tblPr>
      <w:tblGrid>
        <w:gridCol w:w="3452"/>
        <w:gridCol w:w="816"/>
        <w:gridCol w:w="1236"/>
        <w:gridCol w:w="1349"/>
        <w:gridCol w:w="1699"/>
      </w:tblGrid>
      <w:tr w:rsidR="00696E28" w:rsidRPr="00696E28" w:rsidTr="00696E28">
        <w:trPr>
          <w:trHeight w:val="390"/>
        </w:trPr>
        <w:tc>
          <w:tcPr>
            <w:tcW w:w="345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816"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236" w:type="dxa"/>
            <w:tcBorders>
              <w:top w:val="single" w:sz="4" w:space="0" w:color="auto"/>
              <w:bottom w:val="single" w:sz="4" w:space="0" w:color="auto"/>
            </w:tcBorders>
            <w:shd w:val="clear" w:color="auto" w:fill="FFFFFF" w:themeFill="background1"/>
          </w:tcPr>
          <w:p w:rsidR="00696E28" w:rsidRPr="00696E28" w:rsidRDefault="00696E28" w:rsidP="00696E28">
            <w:pPr>
              <w:autoSpaceDE w:val="0"/>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Standard Deviation</w:t>
            </w:r>
          </w:p>
        </w:tc>
        <w:tc>
          <w:tcPr>
            <w:tcW w:w="1349" w:type="dxa"/>
            <w:tcBorders>
              <w:top w:val="single" w:sz="4" w:space="0" w:color="auto"/>
              <w:bottom w:val="single" w:sz="4" w:space="0" w:color="auto"/>
            </w:tcBorders>
            <w:shd w:val="clear" w:color="auto" w:fill="FFFFFF" w:themeFill="background1"/>
          </w:tcPr>
          <w:p w:rsidR="00696E28" w:rsidRPr="00696E28" w:rsidRDefault="00696E28" w:rsidP="00696E28">
            <w:pPr>
              <w:autoSpaceDE w:val="0"/>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Descriptive Rating</w:t>
            </w:r>
          </w:p>
        </w:tc>
        <w:tc>
          <w:tcPr>
            <w:tcW w:w="169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390"/>
        </w:trPr>
        <w:tc>
          <w:tcPr>
            <w:tcW w:w="3452"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The amount of work assigned to me is manageable.</w:t>
            </w:r>
          </w:p>
        </w:tc>
        <w:tc>
          <w:tcPr>
            <w:tcW w:w="816"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3.97</w:t>
            </w:r>
          </w:p>
        </w:tc>
        <w:tc>
          <w:tcPr>
            <w:tcW w:w="1236" w:type="dxa"/>
            <w:tcBorders>
              <w:top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0.79</w:t>
            </w:r>
          </w:p>
        </w:tc>
        <w:tc>
          <w:tcPr>
            <w:tcW w:w="1349"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573"/>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The number of tasks assigned to me allows me to maintain work efficiency.</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3.92</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0.82</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573"/>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rarely given tasks beyond my assigned duties and responsibilities.</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3.90</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0.77</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82"/>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My workload allows me to perform my duties effectively.</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3.89</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0.83</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82"/>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 xml:space="preserve">The volume of work assigned to me </w:t>
            </w:r>
            <w:r w:rsidRPr="00696E28">
              <w:rPr>
                <w:rFonts w:ascii="Arial" w:hAnsi="Arial" w:cs="Arial"/>
                <w:sz w:val="20"/>
                <w:szCs w:val="20"/>
              </w:rPr>
              <w:lastRenderedPageBreak/>
              <w:t>is reasonable</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lastRenderedPageBreak/>
              <w:t>3.85</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 xml:space="preserve">Strongly </w:t>
            </w:r>
            <w:r w:rsidRPr="00696E28">
              <w:rPr>
                <w:rFonts w:ascii="Arial" w:eastAsia="Aptos" w:hAnsi="Arial" w:cs="Arial"/>
                <w:sz w:val="20"/>
                <w:szCs w:val="20"/>
              </w:rPr>
              <w:lastRenderedPageBreak/>
              <w:t>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lastRenderedPageBreak/>
              <w:t xml:space="preserve">High Workload </w:t>
            </w:r>
            <w:r w:rsidRPr="00696E28">
              <w:rPr>
                <w:rFonts w:ascii="Arial" w:hAnsi="Arial" w:cs="Arial"/>
                <w:sz w:val="20"/>
                <w:szCs w:val="20"/>
              </w:rPr>
              <w:lastRenderedPageBreak/>
              <w:t>Demand</w:t>
            </w:r>
          </w:p>
        </w:tc>
      </w:tr>
      <w:tr w:rsidR="00696E28" w:rsidRPr="00696E28" w:rsidTr="00696E28">
        <w:trPr>
          <w:trHeight w:val="382"/>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lastRenderedPageBreak/>
              <w:t>My work assignments are distributed fairly.</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3.83</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0.85</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82"/>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can handle my workload without feeling overwhelmed.</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3.81</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0.84</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573"/>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not overloaded with excessive work responsibilities.</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3.79</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0.89</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573"/>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The number of tasks I handle does not exceed my work capacity.</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3.79</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0.80</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82"/>
        </w:trPr>
        <w:tc>
          <w:tcPr>
            <w:tcW w:w="3452"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can complete all assigned tasks within my working hours.</w:t>
            </w:r>
          </w:p>
        </w:tc>
        <w:tc>
          <w:tcPr>
            <w:tcW w:w="816"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3.78</w:t>
            </w:r>
          </w:p>
        </w:tc>
        <w:tc>
          <w:tcPr>
            <w:tcW w:w="1236" w:type="dxa"/>
            <w:tcBorders>
              <w:bottom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0.91</w:t>
            </w:r>
          </w:p>
        </w:tc>
        <w:tc>
          <w:tcPr>
            <w:tcW w:w="1349"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99"/>
        </w:trPr>
        <w:tc>
          <w:tcPr>
            <w:tcW w:w="345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816"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3.85</w:t>
            </w:r>
          </w:p>
        </w:tc>
        <w:tc>
          <w:tcPr>
            <w:tcW w:w="1236"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0.68</w:t>
            </w:r>
          </w:p>
        </w:tc>
        <w:tc>
          <w:tcPr>
            <w:tcW w:w="134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bl>
    <w:bookmarkEnd w:id="10"/>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W w:w="7120" w:type="dxa"/>
        <w:tblLook w:val="04A0" w:firstRow="1" w:lastRow="0" w:firstColumn="1" w:lastColumn="0" w:noHBand="0" w:noVBand="1"/>
      </w:tblPr>
      <w:tblGrid>
        <w:gridCol w:w="1467"/>
        <w:gridCol w:w="2546"/>
        <w:gridCol w:w="3107"/>
      </w:tblGrid>
      <w:tr w:rsidR="00696E28" w:rsidRPr="00696E28" w:rsidTr="00696E28">
        <w:trPr>
          <w:trHeight w:val="325"/>
        </w:trPr>
        <w:tc>
          <w:tcPr>
            <w:tcW w:w="1467"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Scale:</w:t>
            </w:r>
          </w:p>
        </w:tc>
        <w:tc>
          <w:tcPr>
            <w:tcW w:w="2546"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3107"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4:51-5:00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High Workload Demand</w:t>
            </w:r>
          </w:p>
        </w:tc>
      </w:tr>
      <w:tr w:rsidR="00696E28" w:rsidRPr="00696E28" w:rsidTr="00696E28">
        <w:trPr>
          <w:trHeight w:val="247"/>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High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2:51-3:50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Moderate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Low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Low Workload Demand</w:t>
            </w:r>
          </w:p>
        </w:tc>
      </w:tr>
    </w:tbl>
    <w:p w:rsidR="00696E28" w:rsidRPr="00696E28" w:rsidRDefault="00696E28" w:rsidP="00696E28">
      <w:pPr>
        <w:spacing w:after="0" w:line="360" w:lineRule="auto"/>
        <w:jc w:val="both"/>
        <w:rPr>
          <w:rFonts w:ascii="Arial" w:eastAsia="Times New Roman" w:hAnsi="Arial" w:cs="Arial"/>
          <w:kern w:val="0"/>
          <w:sz w:val="24"/>
          <w:szCs w:val="24"/>
          <w:lang w:eastAsia="en-PH"/>
          <w14:ligatures w14:val="none"/>
        </w:rPr>
      </w:pP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These findings imply that while teachers are coping with the volume of tasks assigned to them, quantitative workload remains a significant component of their professional demands. Institutions should continue to monitor task distribution and ensure that workloads remain aligned with teachers’ capacity. Sustaining fair workload allocation and limiting excessive additional duties can help prevent overload, maintain efficiency, and support teachers’ long</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term productivity and job satisfaction.</w:t>
      </w:r>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szCs w:val="24"/>
        </w:rPr>
        <w:t>The results resonate with Geiger and Pivovarova (2018), who found that excessive quantitative workload reduces instructional quality and increases teacher attrition, underscoring the importance of manageable task volumes. Kim and Loadman (2019) also highlighted that task overload contributes to job dissatisfaction and turnover, particularly when teachers perceive unfair distribution of responsibilities—consistent with the slightly lower ratings on fairness and completing tasks within working hours. Van Droogenbroeck et al. (2016) and Alves et al. (2019) further demonstrated that when the number of tasks exceeds teachers’ capacity, they often sacrifice personal time, leading to stress and reduced well-being. These studies support the conclusion that equitable distribution and workload policies are critical in maintaining efficiency and preventing burnout.</w:t>
      </w:r>
    </w:p>
    <w:p w:rsidR="00696E28" w:rsidRPr="00696E28" w:rsidRDefault="00696E28" w:rsidP="00696E28">
      <w:pPr>
        <w:spacing w:line="240" w:lineRule="auto"/>
        <w:ind w:firstLine="720"/>
        <w:jc w:val="both"/>
        <w:rPr>
          <w:rFonts w:ascii="Arial" w:hAnsi="Arial" w:cs="Arial"/>
          <w:sz w:val="24"/>
        </w:rPr>
      </w:pPr>
      <w:bookmarkStart w:id="11" w:name="_Hlk226481580"/>
    </w:p>
    <w:p w:rsidR="00696E28" w:rsidRPr="00696E28" w:rsidRDefault="00696E28" w:rsidP="00696E28">
      <w:pPr>
        <w:spacing w:after="0" w:line="360" w:lineRule="auto"/>
        <w:ind w:firstLine="720"/>
        <w:jc w:val="both"/>
        <w:rPr>
          <w:rFonts w:ascii="Arial" w:hAnsi="Arial" w:cs="Arial"/>
          <w:sz w:val="24"/>
          <w:lang w:val="en-US"/>
        </w:rPr>
      </w:pPr>
      <w:r w:rsidRPr="00696E28">
        <w:rPr>
          <w:rFonts w:ascii="Arial" w:hAnsi="Arial" w:cs="Arial"/>
          <w:sz w:val="24"/>
        </w:rPr>
        <w:lastRenderedPageBreak/>
        <w:t>Table 13 presents the teachers’ level of workload demands in terms of qualitative demands. The results show an overall mean of 4.02, a standard deviation of 0.65, and a descriptive rating of Strongly Agree, which is qualitatively interpreted as High Workload Demand. The highest</w:t>
      </w:r>
      <w:r w:rsidRPr="00696E28">
        <w:rPr>
          <w:rFonts w:ascii="Cambria Math" w:hAnsi="Cambria Math" w:cs="Cambria Math"/>
          <w:sz w:val="24"/>
        </w:rPr>
        <w:t>‑</w:t>
      </w:r>
      <w:r w:rsidRPr="00696E28">
        <w:rPr>
          <w:rFonts w:ascii="Arial" w:hAnsi="Arial" w:cs="Arial"/>
          <w:sz w:val="24"/>
        </w:rPr>
        <w:t>rated indicators include the presence of good teamwork in completing work tasks (M = 4.12, SD = 0.80), cooperation among colleagues (M = 4.11, SD = 0.80), and collaboration between departments (M = 4.09, SD = 0.79). Other indicators related to confidence in completing assigned tasks, clarity of duties, and alignment of work with teachers’ skills and qualifications were likewise rated as Strongly Agree, indicating that teachers generally perceive qualitative workload demands as high but well supported through collaboration and competenc</w:t>
      </w:r>
      <w:r w:rsidRPr="00696E28">
        <w:rPr>
          <w:rFonts w:ascii="Arial" w:hAnsi="Arial" w:cs="Arial"/>
          <w:sz w:val="24"/>
          <w:lang w:val="en-US"/>
        </w:rPr>
        <w:t>e.</w:t>
      </w:r>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rPr>
        <w:t>The findings indicate that teachers experience qualitative workload demands that require substantial professional judgment, collaboration, and effective use of their competencies. The high level of agreement across indicators suggests that teachers generally feel capable of meeting the quality expectations of their work, particularly in environments characterized by teamwork and collegial cooperation. At the same time, some variation in responses reflects differences in how teachers experience task complexity and the extent to which their ideas are considered in work processes. The results suggest that qualitative workload demands are demanding but largely manageable within supportive professional contexts alignment.</w:t>
      </w:r>
    </w:p>
    <w:p w:rsidR="00696E28" w:rsidRPr="00696E28" w:rsidRDefault="00696E28" w:rsidP="00696E28">
      <w:pPr>
        <w:spacing w:after="0" w:line="240" w:lineRule="auto"/>
        <w:jc w:val="both"/>
        <w:rPr>
          <w:rFonts w:ascii="Arial" w:hAnsi="Arial" w:cs="Arial"/>
          <w:sz w:val="24"/>
          <w:szCs w:val="24"/>
          <w:lang w:val="en-US"/>
        </w:rPr>
      </w:pPr>
      <w:r w:rsidRPr="00696E28">
        <w:rPr>
          <w:rFonts w:ascii="Arial" w:hAnsi="Arial" w:cs="Arial"/>
          <w:sz w:val="24"/>
          <w:szCs w:val="24"/>
          <w:lang w:val="en-US"/>
        </w:rPr>
        <w:t>Table 13. Mean scores of the teachers’ level of</w:t>
      </w:r>
      <w:r w:rsidRPr="00696E28">
        <w:rPr>
          <w:rFonts w:ascii="Arial" w:hAnsi="Arial" w:cs="Arial"/>
          <w:sz w:val="24"/>
          <w:szCs w:val="24"/>
        </w:rPr>
        <w:t xml:space="preserve"> </w:t>
      </w:r>
      <w:r w:rsidRPr="00696E28">
        <w:rPr>
          <w:rFonts w:ascii="Arial" w:hAnsi="Arial" w:cs="Arial"/>
          <w:sz w:val="24"/>
          <w:szCs w:val="24"/>
          <w:lang w:val="en-US"/>
        </w:rPr>
        <w:t>workload demands in terms of qualitative demands.</w:t>
      </w:r>
    </w:p>
    <w:tbl>
      <w:tblPr>
        <w:tblW w:w="8558" w:type="dxa"/>
        <w:shd w:val="clear" w:color="auto" w:fill="FFFFFF" w:themeFill="background1"/>
        <w:tblLayout w:type="fixed"/>
        <w:tblLook w:val="04A0" w:firstRow="1" w:lastRow="0" w:firstColumn="1" w:lastColumn="0" w:noHBand="0" w:noVBand="1"/>
      </w:tblPr>
      <w:tblGrid>
        <w:gridCol w:w="3884"/>
        <w:gridCol w:w="768"/>
        <w:gridCol w:w="1114"/>
        <w:gridCol w:w="1224"/>
        <w:gridCol w:w="1568"/>
      </w:tblGrid>
      <w:tr w:rsidR="00696E28" w:rsidRPr="00696E28" w:rsidTr="00696E28">
        <w:trPr>
          <w:trHeight w:val="331"/>
        </w:trPr>
        <w:tc>
          <w:tcPr>
            <w:tcW w:w="388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768"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rPr>
                <w:rFonts w:ascii="Arial" w:hAnsi="Arial" w:cs="Arial"/>
                <w:sz w:val="20"/>
                <w:szCs w:val="20"/>
              </w:rPr>
            </w:pPr>
            <w:r w:rsidRPr="00696E28">
              <w:rPr>
                <w:rFonts w:ascii="Arial" w:hAnsi="Arial" w:cs="Arial"/>
                <w:sz w:val="20"/>
                <w:szCs w:val="20"/>
              </w:rPr>
              <w:t>Mean</w:t>
            </w:r>
          </w:p>
        </w:tc>
        <w:tc>
          <w:tcPr>
            <w:tcW w:w="1114" w:type="dxa"/>
            <w:tcBorders>
              <w:top w:val="single" w:sz="4" w:space="0" w:color="auto"/>
              <w:bottom w:val="single" w:sz="4" w:space="0" w:color="auto"/>
            </w:tcBorders>
            <w:shd w:val="clear" w:color="auto" w:fill="FFFFFF" w:themeFill="background1"/>
            <w:vAlign w:val="center"/>
          </w:tcPr>
          <w:p w:rsidR="00696E28" w:rsidRPr="00696E28" w:rsidRDefault="00696E28" w:rsidP="00696E28">
            <w:pPr>
              <w:autoSpaceDE w:val="0"/>
              <w:spacing w:beforeAutospacing="1" w:after="0" w:line="240" w:lineRule="auto"/>
              <w:jc w:val="center"/>
              <w:rPr>
                <w:rFonts w:ascii="Arial" w:hAnsi="Arial" w:cs="Arial"/>
                <w:sz w:val="20"/>
                <w:szCs w:val="20"/>
              </w:rPr>
            </w:pPr>
            <w:r w:rsidRPr="00696E28">
              <w:rPr>
                <w:rFonts w:ascii="Arial" w:eastAsia="Aptos" w:hAnsi="Arial" w:cs="Arial"/>
                <w:sz w:val="20"/>
                <w:szCs w:val="20"/>
                <w:lang w:val="en-US" w:eastAsia="zh-CN" w:bidi="ar"/>
              </w:rPr>
              <w:t>Standard Deviation</w:t>
            </w:r>
          </w:p>
        </w:tc>
        <w:tc>
          <w:tcPr>
            <w:tcW w:w="1224" w:type="dxa"/>
            <w:tcBorders>
              <w:top w:val="single" w:sz="4" w:space="0" w:color="auto"/>
              <w:bottom w:val="single" w:sz="4" w:space="0" w:color="auto"/>
            </w:tcBorders>
            <w:shd w:val="clear" w:color="auto" w:fill="FFFFFF" w:themeFill="background1"/>
            <w:vAlign w:val="center"/>
          </w:tcPr>
          <w:p w:rsidR="00696E28" w:rsidRPr="00696E28" w:rsidRDefault="00696E28" w:rsidP="00696E28">
            <w:pPr>
              <w:autoSpaceDE w:val="0"/>
              <w:spacing w:beforeAutospacing="1" w:after="0" w:line="240" w:lineRule="auto"/>
              <w:jc w:val="center"/>
              <w:rPr>
                <w:rFonts w:ascii="Arial" w:hAnsi="Arial" w:cs="Arial"/>
                <w:sz w:val="20"/>
                <w:szCs w:val="20"/>
              </w:rPr>
            </w:pPr>
            <w:r w:rsidRPr="00696E28">
              <w:rPr>
                <w:rFonts w:ascii="Arial" w:eastAsia="Aptos" w:hAnsi="Arial" w:cs="Arial"/>
                <w:sz w:val="20"/>
                <w:szCs w:val="20"/>
                <w:lang w:val="en-US" w:eastAsia="zh-CN" w:bidi="ar"/>
              </w:rPr>
              <w:t>Descriptive Rating</w:t>
            </w:r>
          </w:p>
        </w:tc>
        <w:tc>
          <w:tcPr>
            <w:tcW w:w="1568"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331"/>
        </w:trPr>
        <w:tc>
          <w:tcPr>
            <w:tcW w:w="3884" w:type="dxa"/>
            <w:tcBorders>
              <w:top w:val="single" w:sz="4" w:space="0" w:color="auto"/>
            </w:tcBorders>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There is good teamwork in completing work tasks.</w:t>
            </w:r>
          </w:p>
        </w:tc>
        <w:tc>
          <w:tcPr>
            <w:tcW w:w="768" w:type="dxa"/>
            <w:tcBorders>
              <w:top w:val="single" w:sz="4" w:space="0" w:color="auto"/>
            </w:tcBorders>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4.12</w:t>
            </w:r>
          </w:p>
        </w:tc>
        <w:tc>
          <w:tcPr>
            <w:tcW w:w="1114" w:type="dxa"/>
            <w:tcBorders>
              <w:top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0.80</w:t>
            </w:r>
          </w:p>
        </w:tc>
        <w:tc>
          <w:tcPr>
            <w:tcW w:w="1224"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477"/>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Cooperation among colleagues helps me accomplish my work effectively.</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4.11</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0.80</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18"/>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Collaboration between departments supports my work performance.</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4.09</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0.79</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477"/>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The quality of work expected from me is achievable with my skills and resources.</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4.05</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18"/>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I am confident in my ability to complete the tasks assigned to me.</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4.04</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0.74</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18"/>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My work assignments allow me to use my professional competencies.</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4.02</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0.76</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18"/>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I clearly understand how to perform my assigned duties.</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4.00</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0.84</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18"/>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The level of difficulty of my work is appropriate for my position.</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3.93</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0.82</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477"/>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My ideas and suggestions are considered when completing work tasks.</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3.93</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0.85</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18"/>
        </w:trPr>
        <w:tc>
          <w:tcPr>
            <w:tcW w:w="3884" w:type="dxa"/>
            <w:tcBorders>
              <w:bottom w:val="single" w:sz="4" w:space="0" w:color="auto"/>
            </w:tcBorders>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lastRenderedPageBreak/>
              <w:t>The tasks assigned to me match my skills and qualifications</w:t>
            </w:r>
          </w:p>
        </w:tc>
        <w:tc>
          <w:tcPr>
            <w:tcW w:w="768" w:type="dxa"/>
            <w:tcBorders>
              <w:bottom w:val="single" w:sz="4" w:space="0" w:color="auto"/>
            </w:tcBorders>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3.92</w:t>
            </w:r>
          </w:p>
        </w:tc>
        <w:tc>
          <w:tcPr>
            <w:tcW w:w="1114" w:type="dxa"/>
            <w:tcBorders>
              <w:bottom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0.79</w:t>
            </w:r>
          </w:p>
        </w:tc>
        <w:tc>
          <w:tcPr>
            <w:tcW w:w="1224"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45"/>
        </w:trPr>
        <w:tc>
          <w:tcPr>
            <w:tcW w:w="388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768"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4.02</w:t>
            </w:r>
          </w:p>
        </w:tc>
        <w:tc>
          <w:tcPr>
            <w:tcW w:w="111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0.65</w:t>
            </w:r>
          </w:p>
        </w:tc>
        <w:tc>
          <w:tcPr>
            <w:tcW w:w="122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W w:w="7531" w:type="dxa"/>
        <w:tblLook w:val="04A0" w:firstRow="1" w:lastRow="0" w:firstColumn="1" w:lastColumn="0" w:noHBand="0" w:noVBand="1"/>
      </w:tblPr>
      <w:tblGrid>
        <w:gridCol w:w="1470"/>
        <w:gridCol w:w="2171"/>
        <w:gridCol w:w="3890"/>
      </w:tblGrid>
      <w:tr w:rsidR="00696E28" w:rsidRPr="00696E28" w:rsidTr="00696E28">
        <w:trPr>
          <w:trHeight w:val="325"/>
        </w:trPr>
        <w:tc>
          <w:tcPr>
            <w:tcW w:w="1470"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Range</w:t>
            </w:r>
          </w:p>
        </w:tc>
        <w:tc>
          <w:tcPr>
            <w:tcW w:w="2171"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3890"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65"/>
        </w:trPr>
        <w:tc>
          <w:tcPr>
            <w:tcW w:w="147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4:51-5:00</w:t>
            </w:r>
          </w:p>
        </w:tc>
        <w:tc>
          <w:tcPr>
            <w:tcW w:w="217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389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High Workload Demand</w:t>
            </w:r>
          </w:p>
        </w:tc>
      </w:tr>
      <w:tr w:rsidR="00696E28" w:rsidRPr="00696E28" w:rsidTr="00696E28">
        <w:trPr>
          <w:trHeight w:val="247"/>
        </w:trPr>
        <w:tc>
          <w:tcPr>
            <w:tcW w:w="147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217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389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High Workload Demand</w:t>
            </w:r>
          </w:p>
        </w:tc>
      </w:tr>
      <w:tr w:rsidR="00696E28" w:rsidRPr="00696E28" w:rsidTr="00696E28">
        <w:trPr>
          <w:trHeight w:val="265"/>
        </w:trPr>
        <w:tc>
          <w:tcPr>
            <w:tcW w:w="147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2:51-3:50</w:t>
            </w:r>
          </w:p>
        </w:tc>
        <w:tc>
          <w:tcPr>
            <w:tcW w:w="217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389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Moderate Workload Demand</w:t>
            </w:r>
          </w:p>
        </w:tc>
      </w:tr>
      <w:tr w:rsidR="00696E28" w:rsidRPr="00696E28" w:rsidTr="00696E28">
        <w:trPr>
          <w:trHeight w:val="265"/>
        </w:trPr>
        <w:tc>
          <w:tcPr>
            <w:tcW w:w="147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217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389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Low Workload Demand</w:t>
            </w:r>
          </w:p>
        </w:tc>
      </w:tr>
      <w:tr w:rsidR="00696E28" w:rsidRPr="00696E28" w:rsidTr="00696E28">
        <w:trPr>
          <w:trHeight w:val="265"/>
        </w:trPr>
        <w:tc>
          <w:tcPr>
            <w:tcW w:w="147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217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389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Low Workload Demand</w:t>
            </w:r>
          </w:p>
        </w:tc>
      </w:tr>
    </w:tbl>
    <w:bookmarkEnd w:id="11"/>
    <w:p w:rsidR="00696E28" w:rsidRPr="00696E28" w:rsidRDefault="00696E28" w:rsidP="00696E28">
      <w:pPr>
        <w:spacing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These results imply that sustaining collaborative work environments and aligning task assignments with teachers’ competencies are crucial in managing qualitative workload demands. Schools should continue to promote teamwork, interdepartmental collaboration, and participatory practices that value teachers’ contributions. Strengthening these conditions can help ensure that high qualitative demands support professional growth rather than contribute to work strain, thereby enhancing instructional effectiveness and job satisfaction.</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rPr>
        <w:t>The findings align with Bakker and Demerouti (2017), who argued through the Job Demands–Resources model that qualitative demands become stressful when tasks exceed teachers’ skills or when resources are insufficient. Vangrieken et al. (2017) similarly emphasized that collaboration and teamwork reduce qualitative workload stress by distributing responsibilities and fostering professional learning communities, which explains the high ratings on collegial cooperation and departmental collaboration. Ryan and Deci (2020) highlighted that recognition and autonomy are key to making qualitative demands manageable and motivating, while Alves et al. (2019) confirmed that institutional support and empowerment buffer the negative effects of complex tasks. These studies affirm that collaboration, recognition, and alignment of tasks with competencies are essential in sustaining teacher resilience and performance.</w:t>
      </w:r>
    </w:p>
    <w:p w:rsidR="00696E28" w:rsidRPr="00696E28" w:rsidRDefault="00696E28" w:rsidP="00696E28">
      <w:pPr>
        <w:spacing w:after="0" w:line="240" w:lineRule="auto"/>
        <w:ind w:firstLine="720"/>
        <w:jc w:val="both"/>
        <w:rPr>
          <w:rFonts w:ascii="Arial" w:eastAsia="Times New Roman" w:hAnsi="Arial" w:cs="Arial"/>
          <w:kern w:val="0"/>
          <w:sz w:val="24"/>
          <w:szCs w:val="24"/>
          <w:lang w:eastAsia="en-PH"/>
          <w14:ligatures w14:val="none"/>
        </w:rPr>
      </w:pPr>
      <w:bookmarkStart w:id="12" w:name="_Hlk226481817"/>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Table 14 presents the summary of teachers’ workload demands in terms of time</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related, quantitative, and qualitative dimensions. The results show that all three dimensions were rated at a high level of workload demand. Qualitative demands obtained the highest mean score (M = 4.02, SD = 0.65), followed by time</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 xml:space="preserve">related demands (M = 3.86, SD = 0.64) and quantitative demands (M = 3.85, SD = 0.68). </w:t>
      </w:r>
      <w:r w:rsidRPr="00696E28">
        <w:rPr>
          <w:rFonts w:ascii="Arial" w:eastAsia="Times New Roman" w:hAnsi="Arial" w:cs="Arial"/>
          <w:kern w:val="0"/>
          <w:sz w:val="24"/>
          <w:szCs w:val="24"/>
          <w:lang w:eastAsia="en-PH"/>
          <w14:ligatures w14:val="none"/>
        </w:rPr>
        <w:lastRenderedPageBreak/>
        <w:t>The overall mean of 3.91, with a standard deviation of 0.57 and a descriptive rating of Strongly Agree, is qualitatively interpreted as High Workload Demand, indicating that teachers consistently experience substantial workload demands across all aspects of their professional duties.</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 findings indicate that teachers experience qualitative workload demands that require substantial professional judgment, collaboration, and effective use of their competencies. The high level of agreement across indicators suggests that teachers generally feel capable of meeting the quality expectations of their work, particularly in environments characterized by teamwork and collegial cooperation. At the same time, some variation in responses reflects differences in how teachers experience task complexity and the extent to which their ideas are considered in work processes. The results suggest that qualitative workload demands are demanding but largely manageable within supportive professional contexts</w:t>
      </w:r>
    </w:p>
    <w:p w:rsidR="00696E28" w:rsidRPr="00696E28" w:rsidRDefault="00696E28" w:rsidP="00696E28">
      <w:pPr>
        <w:spacing w:after="0" w:line="240" w:lineRule="auto"/>
        <w:jc w:val="both"/>
        <w:rPr>
          <w:rFonts w:ascii="Arial" w:eastAsia="Aptos" w:hAnsi="Arial" w:cs="Arial"/>
          <w:sz w:val="24"/>
          <w:szCs w:val="24"/>
        </w:rPr>
      </w:pPr>
      <w:r w:rsidRPr="00696E28">
        <w:rPr>
          <w:rFonts w:ascii="Arial" w:hAnsi="Arial" w:cs="Arial"/>
          <w:sz w:val="24"/>
          <w:szCs w:val="24"/>
          <w:lang w:val="en-US"/>
        </w:rPr>
        <w:t>Table 14. Summary of the m</w:t>
      </w:r>
      <w:r w:rsidRPr="00696E28">
        <w:rPr>
          <w:rFonts w:ascii="Arial" w:eastAsia="Aptos" w:hAnsi="Arial" w:cs="Arial"/>
          <w:sz w:val="24"/>
          <w:szCs w:val="24"/>
        </w:rPr>
        <w:t>ean scores of the teachers’</w:t>
      </w:r>
      <w:r w:rsidRPr="00696E28">
        <w:rPr>
          <w:rFonts w:ascii="Arial" w:eastAsia="Aptos" w:hAnsi="Arial" w:cs="Arial"/>
          <w:sz w:val="24"/>
          <w:szCs w:val="24"/>
          <w:lang w:val="en-US"/>
        </w:rPr>
        <w:t xml:space="preserve"> </w:t>
      </w:r>
      <w:r w:rsidRPr="00696E28">
        <w:rPr>
          <w:rFonts w:ascii="Arial" w:hAnsi="Arial" w:cs="Arial"/>
          <w:sz w:val="24"/>
          <w:szCs w:val="24"/>
          <w:lang w:val="en-US"/>
        </w:rPr>
        <w:t>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workload demands.</w:t>
      </w:r>
    </w:p>
    <w:tbl>
      <w:tblPr>
        <w:tblW w:w="8469" w:type="dxa"/>
        <w:tblInd w:w="-5"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2053"/>
        <w:gridCol w:w="1302"/>
        <w:gridCol w:w="1215"/>
        <w:gridCol w:w="2010"/>
        <w:gridCol w:w="1889"/>
      </w:tblGrid>
      <w:tr w:rsidR="00696E28" w:rsidRPr="00696E28" w:rsidTr="00696E28">
        <w:trPr>
          <w:trHeight w:val="583"/>
        </w:trPr>
        <w:tc>
          <w:tcPr>
            <w:tcW w:w="2053"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both"/>
              <w:rPr>
                <w:rFonts w:ascii="Arial" w:hAnsi="Arial" w:cs="Arial"/>
                <w:sz w:val="20"/>
                <w:szCs w:val="20"/>
              </w:rPr>
            </w:pPr>
            <w:r w:rsidRPr="00696E28">
              <w:rPr>
                <w:rFonts w:ascii="Arial" w:eastAsia="Aptos" w:hAnsi="Arial" w:cs="Arial"/>
                <w:sz w:val="20"/>
                <w:szCs w:val="20"/>
                <w:lang w:val="en-US" w:eastAsia="zh-CN" w:bidi="ar"/>
              </w:rPr>
              <w:t>Organizational Commitment</w:t>
            </w:r>
          </w:p>
        </w:tc>
        <w:tc>
          <w:tcPr>
            <w:tcW w:w="130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215" w:type="dxa"/>
            <w:tcBorders>
              <w:top w:val="single" w:sz="4" w:space="0" w:color="auto"/>
              <w:bottom w:val="single" w:sz="4" w:space="0" w:color="auto"/>
            </w:tcBorders>
            <w:shd w:val="clear" w:color="auto" w:fill="FFFFFF" w:themeFill="background1"/>
            <w:vAlign w:val="center"/>
          </w:tcPr>
          <w:p w:rsidR="00696E28" w:rsidRPr="00696E28" w:rsidRDefault="00696E28" w:rsidP="00696E28">
            <w:pPr>
              <w:autoSpaceDE w:val="0"/>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Standard Deviation</w:t>
            </w:r>
          </w:p>
        </w:tc>
        <w:tc>
          <w:tcPr>
            <w:tcW w:w="2010" w:type="dxa"/>
            <w:tcBorders>
              <w:top w:val="single" w:sz="4" w:space="0" w:color="auto"/>
              <w:bottom w:val="single" w:sz="4" w:space="0" w:color="auto"/>
            </w:tcBorders>
            <w:shd w:val="clear" w:color="auto" w:fill="FFFFFF" w:themeFill="background1"/>
            <w:vAlign w:val="center"/>
          </w:tcPr>
          <w:p w:rsidR="00696E28" w:rsidRPr="00696E28" w:rsidRDefault="00696E28" w:rsidP="00696E28">
            <w:pPr>
              <w:autoSpaceDE w:val="0"/>
              <w:spacing w:after="0" w:line="240" w:lineRule="auto"/>
              <w:jc w:val="center"/>
              <w:rPr>
                <w:rFonts w:ascii="Arial" w:eastAsia="Aptos" w:hAnsi="Arial" w:cs="Arial"/>
                <w:sz w:val="20"/>
                <w:szCs w:val="20"/>
                <w:lang w:val="en-US" w:eastAsia="zh-CN" w:bidi="ar"/>
              </w:rPr>
            </w:pPr>
            <w:r w:rsidRPr="00696E28">
              <w:rPr>
                <w:rFonts w:ascii="Arial" w:eastAsia="Aptos" w:hAnsi="Arial" w:cs="Arial"/>
                <w:sz w:val="20"/>
                <w:szCs w:val="20"/>
                <w:lang w:val="en-US" w:eastAsia="zh-CN" w:bidi="ar"/>
              </w:rPr>
              <w:t xml:space="preserve">Descriptive </w:t>
            </w:r>
          </w:p>
          <w:p w:rsidR="00696E28" w:rsidRPr="00696E28" w:rsidRDefault="00696E28" w:rsidP="00696E28">
            <w:pPr>
              <w:autoSpaceDE w:val="0"/>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Rating</w:t>
            </w:r>
          </w:p>
        </w:tc>
        <w:tc>
          <w:tcPr>
            <w:tcW w:w="188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455"/>
        </w:trPr>
        <w:tc>
          <w:tcPr>
            <w:tcW w:w="2053" w:type="dxa"/>
            <w:tcBorders>
              <w:top w:val="single" w:sz="4" w:space="0" w:color="auto"/>
            </w:tcBorders>
            <w:shd w:val="clear" w:color="auto" w:fill="FFFFFF" w:themeFill="background1"/>
          </w:tcPr>
          <w:p w:rsidR="00696E28" w:rsidRPr="00696E28" w:rsidRDefault="00696E28" w:rsidP="00696E28">
            <w:pPr>
              <w:textAlignment w:val="center"/>
              <w:rPr>
                <w:rFonts w:ascii="Arial" w:eastAsia="Aptos" w:hAnsi="Arial" w:cs="Arial"/>
                <w:sz w:val="20"/>
                <w:szCs w:val="20"/>
              </w:rPr>
            </w:pPr>
            <w:r w:rsidRPr="00696E28">
              <w:rPr>
                <w:rFonts w:ascii="Arial" w:eastAsia="Aptos" w:hAnsi="Arial" w:cs="Arial"/>
                <w:color w:val="000000"/>
                <w:sz w:val="20"/>
                <w:szCs w:val="20"/>
                <w:lang w:val="en-US" w:eastAsia="zh-CN" w:bidi="ar"/>
              </w:rPr>
              <w:t>Qualitative</w:t>
            </w:r>
          </w:p>
        </w:tc>
        <w:tc>
          <w:tcPr>
            <w:tcW w:w="1302" w:type="dxa"/>
            <w:tcBorders>
              <w:top w:val="single" w:sz="4" w:space="0" w:color="auto"/>
            </w:tcBorders>
            <w:shd w:val="clear" w:color="auto" w:fill="FFFFFF" w:themeFill="background1"/>
            <w:vAlign w:val="center"/>
          </w:tcPr>
          <w:p w:rsidR="00696E28" w:rsidRPr="00696E28" w:rsidRDefault="00696E28" w:rsidP="00696E28">
            <w:pPr>
              <w:jc w:val="center"/>
              <w:textAlignment w:val="center"/>
              <w:rPr>
                <w:rFonts w:ascii="Arial" w:hAnsi="Arial" w:cs="Arial"/>
                <w:sz w:val="20"/>
                <w:szCs w:val="20"/>
              </w:rPr>
            </w:pPr>
            <w:r w:rsidRPr="00696E28">
              <w:rPr>
                <w:rFonts w:ascii="Arial" w:eastAsia="Aptos" w:hAnsi="Arial" w:cs="Arial"/>
                <w:color w:val="000000"/>
                <w:sz w:val="20"/>
                <w:szCs w:val="20"/>
                <w:lang w:val="en-US" w:eastAsia="zh-CN" w:bidi="ar"/>
              </w:rPr>
              <w:t>4.02</w:t>
            </w:r>
          </w:p>
        </w:tc>
        <w:tc>
          <w:tcPr>
            <w:tcW w:w="1215" w:type="dxa"/>
            <w:tcBorders>
              <w:top w:val="single" w:sz="4" w:space="0" w:color="auto"/>
            </w:tcBorders>
            <w:shd w:val="clear" w:color="auto" w:fill="FFFFFF" w:themeFill="background1"/>
            <w:vAlign w:val="center"/>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0.65</w:t>
            </w:r>
          </w:p>
        </w:tc>
        <w:tc>
          <w:tcPr>
            <w:tcW w:w="2010"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889"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475"/>
        </w:trPr>
        <w:tc>
          <w:tcPr>
            <w:tcW w:w="2053" w:type="dxa"/>
            <w:shd w:val="clear" w:color="auto" w:fill="FFFFFF" w:themeFill="background1"/>
          </w:tcPr>
          <w:p w:rsidR="00696E28" w:rsidRPr="00696E28" w:rsidRDefault="00696E28" w:rsidP="00696E28">
            <w:pPr>
              <w:textAlignment w:val="center"/>
              <w:rPr>
                <w:rFonts w:ascii="Arial" w:hAnsi="Arial" w:cs="Arial"/>
                <w:sz w:val="20"/>
                <w:szCs w:val="20"/>
              </w:rPr>
            </w:pPr>
            <w:r w:rsidRPr="00696E28">
              <w:rPr>
                <w:rFonts w:ascii="Arial" w:eastAsia="Aptos" w:hAnsi="Arial" w:cs="Arial"/>
                <w:color w:val="000000"/>
                <w:sz w:val="20"/>
                <w:szCs w:val="20"/>
                <w:lang w:val="en-US" w:eastAsia="zh-CN" w:bidi="ar"/>
              </w:rPr>
              <w:t>Time</w:t>
            </w:r>
          </w:p>
        </w:tc>
        <w:tc>
          <w:tcPr>
            <w:tcW w:w="1302" w:type="dxa"/>
            <w:shd w:val="clear" w:color="auto" w:fill="FFFFFF" w:themeFill="background1"/>
            <w:vAlign w:val="center"/>
          </w:tcPr>
          <w:p w:rsidR="00696E28" w:rsidRPr="00696E28" w:rsidRDefault="00696E28" w:rsidP="00696E28">
            <w:pPr>
              <w:jc w:val="center"/>
              <w:textAlignment w:val="center"/>
              <w:rPr>
                <w:rFonts w:ascii="Arial" w:hAnsi="Arial" w:cs="Arial"/>
                <w:sz w:val="20"/>
                <w:szCs w:val="20"/>
              </w:rPr>
            </w:pPr>
            <w:r w:rsidRPr="00696E28">
              <w:rPr>
                <w:rFonts w:ascii="Arial" w:eastAsia="Aptos" w:hAnsi="Arial" w:cs="Arial"/>
                <w:color w:val="000000"/>
                <w:sz w:val="20"/>
                <w:szCs w:val="20"/>
                <w:lang w:val="en-US" w:eastAsia="zh-CN" w:bidi="ar"/>
              </w:rPr>
              <w:t>3.86</w:t>
            </w:r>
          </w:p>
        </w:tc>
        <w:tc>
          <w:tcPr>
            <w:tcW w:w="1215" w:type="dxa"/>
            <w:shd w:val="clear" w:color="auto" w:fill="FFFFFF" w:themeFill="background1"/>
            <w:vAlign w:val="center"/>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0.64</w:t>
            </w:r>
          </w:p>
        </w:tc>
        <w:tc>
          <w:tcPr>
            <w:tcW w:w="201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88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475"/>
        </w:trPr>
        <w:tc>
          <w:tcPr>
            <w:tcW w:w="2053" w:type="dxa"/>
            <w:shd w:val="clear" w:color="auto" w:fill="FFFFFF" w:themeFill="background1"/>
          </w:tcPr>
          <w:p w:rsidR="00696E28" w:rsidRPr="00696E28" w:rsidRDefault="00696E28" w:rsidP="00696E28">
            <w:pPr>
              <w:textAlignment w:val="center"/>
              <w:rPr>
                <w:rFonts w:ascii="Arial" w:hAnsi="Arial" w:cs="Arial"/>
                <w:sz w:val="20"/>
                <w:szCs w:val="20"/>
              </w:rPr>
            </w:pPr>
            <w:r w:rsidRPr="00696E28">
              <w:rPr>
                <w:rFonts w:ascii="Arial" w:eastAsia="Aptos" w:hAnsi="Arial" w:cs="Arial"/>
                <w:color w:val="000000"/>
                <w:sz w:val="20"/>
                <w:szCs w:val="20"/>
                <w:lang w:val="en-US" w:eastAsia="zh-CN" w:bidi="ar"/>
              </w:rPr>
              <w:t>Quantitative</w:t>
            </w:r>
          </w:p>
        </w:tc>
        <w:tc>
          <w:tcPr>
            <w:tcW w:w="1302" w:type="dxa"/>
            <w:shd w:val="clear" w:color="auto" w:fill="FFFFFF" w:themeFill="background1"/>
            <w:vAlign w:val="center"/>
          </w:tcPr>
          <w:p w:rsidR="00696E28" w:rsidRPr="00696E28" w:rsidRDefault="00696E28" w:rsidP="00696E28">
            <w:pPr>
              <w:jc w:val="center"/>
              <w:textAlignment w:val="center"/>
              <w:rPr>
                <w:rFonts w:ascii="Arial" w:hAnsi="Arial" w:cs="Arial"/>
                <w:sz w:val="20"/>
                <w:szCs w:val="20"/>
              </w:rPr>
            </w:pPr>
            <w:r w:rsidRPr="00696E28">
              <w:rPr>
                <w:rFonts w:ascii="Arial" w:eastAsia="Aptos" w:hAnsi="Arial" w:cs="Arial"/>
                <w:color w:val="000000"/>
                <w:sz w:val="20"/>
                <w:szCs w:val="20"/>
                <w:lang w:val="en-US" w:eastAsia="zh-CN" w:bidi="ar"/>
              </w:rPr>
              <w:t>3.85</w:t>
            </w:r>
          </w:p>
        </w:tc>
        <w:tc>
          <w:tcPr>
            <w:tcW w:w="1215" w:type="dxa"/>
            <w:shd w:val="clear" w:color="auto" w:fill="FFFFFF" w:themeFill="background1"/>
            <w:vAlign w:val="center"/>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0.68</w:t>
            </w:r>
          </w:p>
        </w:tc>
        <w:tc>
          <w:tcPr>
            <w:tcW w:w="201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88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562"/>
        </w:trPr>
        <w:tc>
          <w:tcPr>
            <w:tcW w:w="2053"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eastAsia="Aptos" w:hAnsi="Arial" w:cs="Arial"/>
                <w:sz w:val="20"/>
                <w:szCs w:val="20"/>
              </w:rPr>
            </w:pPr>
            <w:r w:rsidRPr="00696E28">
              <w:rPr>
                <w:rFonts w:ascii="Arial" w:eastAsia="Aptos" w:hAnsi="Arial" w:cs="Arial"/>
                <w:sz w:val="20"/>
                <w:szCs w:val="20"/>
              </w:rPr>
              <w:t>Overall Mean</w:t>
            </w:r>
          </w:p>
        </w:tc>
        <w:tc>
          <w:tcPr>
            <w:tcW w:w="130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3.91</w:t>
            </w:r>
          </w:p>
        </w:tc>
        <w:tc>
          <w:tcPr>
            <w:tcW w:w="121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0.57</w:t>
            </w:r>
          </w:p>
        </w:tc>
        <w:tc>
          <w:tcPr>
            <w:tcW w:w="2010"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88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bl>
    <w:bookmarkEnd w:id="12"/>
    <w:p w:rsidR="00696E28" w:rsidRPr="00696E28" w:rsidRDefault="00696E28" w:rsidP="00696E28">
      <w:pPr>
        <w:spacing w:after="0" w:line="360" w:lineRule="auto"/>
        <w:jc w:val="both"/>
        <w:rPr>
          <w:rFonts w:ascii="Arial" w:hAnsi="Arial" w:cs="Arial"/>
          <w:sz w:val="18"/>
          <w:szCs w:val="24"/>
          <w:lang w:val="en-US"/>
        </w:rPr>
      </w:pPr>
      <w:r w:rsidRPr="00696E28">
        <w:rPr>
          <w:rFonts w:ascii="Arial" w:hAnsi="Arial" w:cs="Arial"/>
          <w:sz w:val="18"/>
          <w:szCs w:val="24"/>
          <w:lang w:val="en-US"/>
        </w:rPr>
        <w:t>Legend:</w:t>
      </w:r>
    </w:p>
    <w:tbl>
      <w:tblPr>
        <w:tblW w:w="7120" w:type="dxa"/>
        <w:tblLook w:val="04A0" w:firstRow="1" w:lastRow="0" w:firstColumn="1" w:lastColumn="0" w:noHBand="0" w:noVBand="1"/>
      </w:tblPr>
      <w:tblGrid>
        <w:gridCol w:w="1467"/>
        <w:gridCol w:w="2546"/>
        <w:gridCol w:w="3107"/>
      </w:tblGrid>
      <w:tr w:rsidR="00696E28" w:rsidRPr="00696E28" w:rsidTr="00696E28">
        <w:trPr>
          <w:trHeight w:val="325"/>
        </w:trPr>
        <w:tc>
          <w:tcPr>
            <w:tcW w:w="1467"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Range:</w:t>
            </w:r>
          </w:p>
        </w:tc>
        <w:tc>
          <w:tcPr>
            <w:tcW w:w="2546"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Descriptive Rating</w:t>
            </w:r>
          </w:p>
        </w:tc>
        <w:tc>
          <w:tcPr>
            <w:tcW w:w="3107"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Qualitative Interpretation</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rPr>
            </w:pPr>
            <w:r w:rsidRPr="00696E28">
              <w:rPr>
                <w:rFonts w:ascii="Arial" w:hAnsi="Arial" w:cs="Arial"/>
                <w:sz w:val="18"/>
              </w:rPr>
              <w:t>4:51-5:00</w:t>
            </w:r>
          </w:p>
        </w:tc>
        <w:tc>
          <w:tcPr>
            <w:tcW w:w="2546" w:type="dxa"/>
          </w:tcPr>
          <w:p w:rsidR="00696E28" w:rsidRPr="00696E28" w:rsidRDefault="00696E28" w:rsidP="00696E28">
            <w:pPr>
              <w:pStyle w:val="BodyText"/>
              <w:jc w:val="both"/>
              <w:rPr>
                <w:rFonts w:ascii="Arial" w:hAnsi="Arial" w:cs="Arial"/>
                <w:sz w:val="18"/>
              </w:rPr>
            </w:pPr>
            <w:r w:rsidRPr="00696E28">
              <w:rPr>
                <w:rFonts w:ascii="Arial" w:hAnsi="Arial" w:cs="Arial"/>
                <w:sz w:val="18"/>
              </w:rPr>
              <w:t>Strongly Agree (SA)</w:t>
            </w:r>
          </w:p>
        </w:tc>
        <w:tc>
          <w:tcPr>
            <w:tcW w:w="3107"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Very High Workload Demand</w:t>
            </w:r>
          </w:p>
        </w:tc>
      </w:tr>
      <w:tr w:rsidR="00696E28" w:rsidRPr="00696E28" w:rsidTr="00696E28">
        <w:trPr>
          <w:trHeight w:val="247"/>
        </w:trPr>
        <w:tc>
          <w:tcPr>
            <w:tcW w:w="1467" w:type="dxa"/>
          </w:tcPr>
          <w:p w:rsidR="00696E28" w:rsidRPr="00696E28" w:rsidRDefault="00696E28" w:rsidP="00696E28">
            <w:pPr>
              <w:pStyle w:val="BodyText"/>
              <w:jc w:val="both"/>
              <w:rPr>
                <w:rFonts w:ascii="Arial" w:hAnsi="Arial" w:cs="Arial"/>
                <w:sz w:val="18"/>
              </w:rPr>
            </w:pPr>
            <w:r w:rsidRPr="00696E28">
              <w:rPr>
                <w:rFonts w:ascii="Arial" w:hAnsi="Arial" w:cs="Arial"/>
                <w:sz w:val="18"/>
              </w:rPr>
              <w:t>3:51:4:50</w:t>
            </w:r>
          </w:p>
        </w:tc>
        <w:tc>
          <w:tcPr>
            <w:tcW w:w="2546" w:type="dxa"/>
          </w:tcPr>
          <w:p w:rsidR="00696E28" w:rsidRPr="00696E28" w:rsidRDefault="00696E28" w:rsidP="00696E28">
            <w:pPr>
              <w:pStyle w:val="BodyText"/>
              <w:jc w:val="both"/>
              <w:rPr>
                <w:rFonts w:ascii="Arial" w:hAnsi="Arial" w:cs="Arial"/>
                <w:sz w:val="18"/>
              </w:rPr>
            </w:pPr>
            <w:r w:rsidRPr="00696E28">
              <w:rPr>
                <w:rFonts w:ascii="Arial" w:hAnsi="Arial" w:cs="Arial"/>
                <w:sz w:val="18"/>
              </w:rPr>
              <w:t>Agree (A)</w:t>
            </w:r>
          </w:p>
        </w:tc>
        <w:tc>
          <w:tcPr>
            <w:tcW w:w="3107"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High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rPr>
            </w:pPr>
            <w:r w:rsidRPr="00696E28">
              <w:rPr>
                <w:rFonts w:ascii="Arial" w:hAnsi="Arial" w:cs="Arial"/>
                <w:sz w:val="18"/>
              </w:rPr>
              <w:t>2:51-3:50</w:t>
            </w:r>
          </w:p>
        </w:tc>
        <w:tc>
          <w:tcPr>
            <w:tcW w:w="2546" w:type="dxa"/>
          </w:tcPr>
          <w:p w:rsidR="00696E28" w:rsidRPr="00696E28" w:rsidRDefault="00696E28" w:rsidP="00696E28">
            <w:pPr>
              <w:pStyle w:val="BodyText"/>
              <w:jc w:val="both"/>
              <w:rPr>
                <w:rFonts w:ascii="Arial" w:hAnsi="Arial" w:cs="Arial"/>
                <w:sz w:val="18"/>
              </w:rPr>
            </w:pPr>
            <w:r w:rsidRPr="00696E28">
              <w:rPr>
                <w:rFonts w:ascii="Arial" w:hAnsi="Arial" w:cs="Arial"/>
                <w:sz w:val="18"/>
              </w:rPr>
              <w:t>Neutral (N)</w:t>
            </w:r>
          </w:p>
        </w:tc>
        <w:tc>
          <w:tcPr>
            <w:tcW w:w="3107"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Moderate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rPr>
            </w:pPr>
            <w:r w:rsidRPr="00696E28">
              <w:rPr>
                <w:rFonts w:ascii="Arial" w:hAnsi="Arial" w:cs="Arial"/>
                <w:sz w:val="18"/>
              </w:rPr>
              <w:t>1.51:2:50</w:t>
            </w:r>
          </w:p>
        </w:tc>
        <w:tc>
          <w:tcPr>
            <w:tcW w:w="2546" w:type="dxa"/>
          </w:tcPr>
          <w:p w:rsidR="00696E28" w:rsidRPr="00696E28" w:rsidRDefault="00696E28" w:rsidP="00696E28">
            <w:pPr>
              <w:pStyle w:val="BodyText"/>
              <w:jc w:val="both"/>
              <w:rPr>
                <w:rFonts w:ascii="Arial" w:hAnsi="Arial" w:cs="Arial"/>
                <w:sz w:val="18"/>
              </w:rPr>
            </w:pPr>
            <w:r w:rsidRPr="00696E28">
              <w:rPr>
                <w:rFonts w:ascii="Arial" w:hAnsi="Arial" w:cs="Arial"/>
                <w:sz w:val="18"/>
              </w:rPr>
              <w:t>Disagree (D)</w:t>
            </w:r>
          </w:p>
        </w:tc>
        <w:tc>
          <w:tcPr>
            <w:tcW w:w="3107"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Low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rPr>
            </w:pPr>
            <w:r w:rsidRPr="00696E28">
              <w:rPr>
                <w:rFonts w:ascii="Arial" w:hAnsi="Arial" w:cs="Arial"/>
                <w:sz w:val="18"/>
              </w:rPr>
              <w:t>1:00-1:50</w:t>
            </w:r>
          </w:p>
        </w:tc>
        <w:tc>
          <w:tcPr>
            <w:tcW w:w="2546" w:type="dxa"/>
          </w:tcPr>
          <w:p w:rsidR="00696E28" w:rsidRPr="00696E28" w:rsidRDefault="00696E28" w:rsidP="00696E28">
            <w:pPr>
              <w:pStyle w:val="BodyText"/>
              <w:jc w:val="both"/>
              <w:rPr>
                <w:rFonts w:ascii="Arial" w:hAnsi="Arial" w:cs="Arial"/>
                <w:sz w:val="18"/>
              </w:rPr>
            </w:pPr>
            <w:r w:rsidRPr="00696E28">
              <w:rPr>
                <w:rFonts w:ascii="Arial" w:hAnsi="Arial" w:cs="Arial"/>
                <w:sz w:val="18"/>
              </w:rPr>
              <w:t>Strongly Disagree (SD)</w:t>
            </w:r>
          </w:p>
        </w:tc>
        <w:tc>
          <w:tcPr>
            <w:tcW w:w="3107"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Very Low Workload Demand</w:t>
            </w:r>
          </w:p>
        </w:tc>
      </w:tr>
    </w:tbl>
    <w:p w:rsidR="00696E28" w:rsidRPr="00696E28" w:rsidRDefault="00696E28" w:rsidP="00696E28">
      <w:pPr>
        <w:spacing w:line="240" w:lineRule="auto"/>
        <w:ind w:left="720" w:hanging="720"/>
        <w:jc w:val="center"/>
        <w:rPr>
          <w:rFonts w:ascii="Arial" w:hAnsi="Arial" w:cs="Arial"/>
          <w:sz w:val="24"/>
          <w:szCs w:val="24"/>
          <w:lang w:val="en-US"/>
        </w:rPr>
      </w:pPr>
    </w:p>
    <w:p w:rsidR="00696E28" w:rsidRPr="00696E28" w:rsidRDefault="00696E28" w:rsidP="00696E28">
      <w:pPr>
        <w:spacing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 xml:space="preserve">The findings indicate that teachers face high workload demands across time, quantity, and quality dimensions, suggesting that their responsibilities require sustained effort, effective time management, and professional competence. The high ratings across all dimensions imply that workload demands are a constant and significant feature of teachers’ work, rather than isolated or occasional pressures. Qualitative demands appear to be particularly prominent, reflecting the cognitive, collaborative, and professional expectations placed on teachers. </w:t>
      </w:r>
      <w:r w:rsidRPr="00696E28">
        <w:rPr>
          <w:rFonts w:ascii="Arial" w:eastAsia="Times New Roman" w:hAnsi="Arial" w:cs="Arial"/>
          <w:kern w:val="0"/>
          <w:sz w:val="24"/>
          <w:szCs w:val="24"/>
          <w:lang w:val="en-US" w:eastAsia="en-PH"/>
          <w14:ligatures w14:val="none"/>
        </w:rPr>
        <w:t>The</w:t>
      </w:r>
      <w:r w:rsidRPr="00696E28">
        <w:rPr>
          <w:rFonts w:ascii="Arial" w:eastAsia="Times New Roman" w:hAnsi="Arial" w:cs="Arial"/>
          <w:kern w:val="0"/>
          <w:sz w:val="24"/>
          <w:szCs w:val="24"/>
          <w:lang w:eastAsia="en-PH"/>
          <w14:ligatures w14:val="none"/>
        </w:rPr>
        <w:t xml:space="preserve"> relatively consistent ratings across dimensions suggest that workload demands are widely </w:t>
      </w:r>
      <w:r w:rsidRPr="00696E28">
        <w:rPr>
          <w:rFonts w:ascii="Arial" w:eastAsia="Times New Roman" w:hAnsi="Arial" w:cs="Arial"/>
          <w:kern w:val="0"/>
          <w:sz w:val="24"/>
          <w:szCs w:val="24"/>
          <w:lang w:eastAsia="en-PH"/>
          <w14:ligatures w14:val="none"/>
        </w:rPr>
        <w:lastRenderedPageBreak/>
        <w:t>shared among teachers, though experienced in varying forms depending on task requirements.</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These results imply that workload demands should be addressed in a comprehensive and balanced manner, considering not only the volume of tasks but also time constraints and qualitative expectations. Schools should ensure equitable distribution of responsibilities, realistic scheduling, and continued support for collaborative practices. Addressing workload demands holistically can help sustain teaching quality, reduce work strain, and promote teachers’ well</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being and long</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term professional engagement.</w:t>
      </w:r>
    </w:p>
    <w:p w:rsidR="00696E28" w:rsidRP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t xml:space="preserve">The consistently high workload ratings across time, quantitative, and qualitative dimensions resonate with the broader literature. Geiger and Pivovarova (2018) and Van Droogenbroeck et al. (2016) emphasized that workload pressures are persistent challenges that affect both efficiency and well-being. Meanwhile, Vangrieken et al. (2017) and Ryan &amp; Deci (2020) highlighted that collaboration and recognition can mitigate these pressures, sustaining teacher engagement and satisfaction. Alves et al. (2019) further confirmed that institutional support and balanced workload policies are vital in ensuring that demands remain manageable. </w:t>
      </w:r>
      <w:r w:rsidRPr="00696E28">
        <w:rPr>
          <w:rFonts w:ascii="Arial" w:hAnsi="Arial" w:cs="Arial"/>
          <w:sz w:val="24"/>
          <w:szCs w:val="24"/>
          <w:lang w:val="en-US"/>
        </w:rPr>
        <w:t>T</w:t>
      </w:r>
      <w:r w:rsidRPr="00696E28">
        <w:rPr>
          <w:rFonts w:ascii="Arial" w:hAnsi="Arial" w:cs="Arial"/>
          <w:sz w:val="24"/>
          <w:szCs w:val="24"/>
        </w:rPr>
        <w:t>hese studies affirm that addressing workload demands holistically through equitable distribution, realistic deadlines, and collaborative structures supports teaching quality and professional fulfillment.</w:t>
      </w:r>
    </w:p>
    <w:p w:rsidR="00696E28" w:rsidRPr="00696E28" w:rsidRDefault="00696E28" w:rsidP="00696E28">
      <w:pPr>
        <w:spacing w:line="240" w:lineRule="auto"/>
        <w:ind w:firstLine="720"/>
        <w:jc w:val="both"/>
        <w:rPr>
          <w:rFonts w:ascii="Arial" w:hAnsi="Arial" w:cs="Arial"/>
          <w:sz w:val="24"/>
          <w:szCs w:val="24"/>
          <w:lang w:val="en-US"/>
        </w:rPr>
      </w:pPr>
    </w:p>
    <w:p w:rsidR="00696E28" w:rsidRPr="00696E28" w:rsidRDefault="00696E28" w:rsidP="00696E28">
      <w:pPr>
        <w:spacing w:after="0" w:line="240" w:lineRule="auto"/>
        <w:ind w:left="720" w:hanging="720"/>
        <w:jc w:val="center"/>
        <w:rPr>
          <w:rFonts w:ascii="Arial" w:hAnsi="Arial" w:cs="Arial"/>
          <w:sz w:val="24"/>
          <w:szCs w:val="24"/>
          <w:u w:val="single"/>
          <w:lang w:val="en-US"/>
        </w:rPr>
      </w:pPr>
      <w:r w:rsidRPr="00696E28">
        <w:rPr>
          <w:rFonts w:ascii="Arial" w:hAnsi="Arial" w:cs="Arial"/>
          <w:sz w:val="24"/>
          <w:szCs w:val="24"/>
          <w:u w:val="single"/>
          <w:lang w:val="en-US"/>
        </w:rPr>
        <w:t xml:space="preserve">Relationship of Professional Development Opportunities, </w:t>
      </w:r>
    </w:p>
    <w:p w:rsidR="00696E28" w:rsidRPr="00696E28" w:rsidRDefault="00696E28" w:rsidP="00696E28">
      <w:pPr>
        <w:spacing w:after="0" w:line="240" w:lineRule="auto"/>
        <w:ind w:left="720" w:hanging="720"/>
        <w:jc w:val="center"/>
        <w:rPr>
          <w:rFonts w:ascii="Arial" w:hAnsi="Arial" w:cs="Arial"/>
          <w:sz w:val="24"/>
          <w:szCs w:val="24"/>
          <w:u w:val="single"/>
          <w:lang w:val="en-US"/>
        </w:rPr>
      </w:pPr>
      <w:r w:rsidRPr="00696E28">
        <w:rPr>
          <w:rFonts w:ascii="Arial" w:hAnsi="Arial" w:cs="Arial"/>
          <w:sz w:val="24"/>
          <w:szCs w:val="24"/>
          <w:u w:val="single"/>
          <w:lang w:val="en-US"/>
        </w:rPr>
        <w:t>Organizational Commitment, and Workload Demands</w:t>
      </w:r>
    </w:p>
    <w:p w:rsidR="00696E28" w:rsidRPr="00696E28" w:rsidRDefault="00696E28" w:rsidP="00696E28">
      <w:pPr>
        <w:spacing w:after="0" w:line="240" w:lineRule="auto"/>
        <w:ind w:left="720" w:hanging="720"/>
        <w:jc w:val="center"/>
        <w:rPr>
          <w:rFonts w:ascii="Arial" w:hAnsi="Arial" w:cs="Arial"/>
          <w:sz w:val="24"/>
          <w:szCs w:val="24"/>
          <w:u w:val="single"/>
          <w:lang w:val="en-US"/>
        </w:rPr>
      </w:pPr>
    </w:p>
    <w:p w:rsidR="00696E28" w:rsidRPr="00696E28" w:rsidRDefault="00696E28" w:rsidP="00696E28">
      <w:pPr>
        <w:spacing w:line="360" w:lineRule="auto"/>
        <w:ind w:firstLine="720"/>
        <w:jc w:val="both"/>
        <w:rPr>
          <w:rFonts w:ascii="Arial" w:hAnsi="Arial" w:cs="Arial"/>
          <w:sz w:val="24"/>
          <w:szCs w:val="24"/>
          <w:lang w:val="en-US"/>
        </w:rPr>
      </w:pPr>
      <w:r w:rsidRPr="00696E28">
        <w:rPr>
          <w:rFonts w:ascii="Arial" w:hAnsi="Arial" w:cs="Arial"/>
          <w:sz w:val="24"/>
          <w:szCs w:val="24"/>
          <w:lang w:val="en-US"/>
        </w:rPr>
        <w:t>The correlation results in Table 15 show that workload demands are significantly related to both professional development opportunities and organizational commitment, with all correlations significant at the 0.01 level. The strongest relationships were observed with professional development opportunities (r=.489, p=.000) and organizational development (r=.419, p=.000). Organizational commitment also showed a notable correlation (r=.415, p=.000), with affective (.368), continuance (.299), and normative (.376) commitments all moderately linked to workload demands.</w:t>
      </w:r>
    </w:p>
    <w:p w:rsidR="00696E28" w:rsidRPr="00696E28" w:rsidRDefault="00696E28" w:rsidP="00696E28">
      <w:pPr>
        <w:spacing w:after="0" w:line="240" w:lineRule="auto"/>
        <w:ind w:hanging="11"/>
        <w:jc w:val="both"/>
        <w:rPr>
          <w:rFonts w:ascii="Arial" w:hAnsi="Arial" w:cs="Arial"/>
          <w:sz w:val="24"/>
          <w:szCs w:val="24"/>
          <w:lang w:val="en-US"/>
        </w:rPr>
      </w:pPr>
      <w:bookmarkStart w:id="13" w:name="_Hlk226482087"/>
      <w:r w:rsidRPr="00696E28">
        <w:rPr>
          <w:rFonts w:ascii="Arial" w:hAnsi="Arial" w:cs="Arial"/>
          <w:sz w:val="24"/>
          <w:szCs w:val="24"/>
          <w:lang w:val="en-US"/>
        </w:rPr>
        <w:t>Table 15. Correlation of Professional Development Opportunities, Organization Commitment, and Workload Demands.</w:t>
      </w:r>
    </w:p>
    <w:tbl>
      <w:tblPr>
        <w:tblW w:w="0" w:type="auto"/>
        <w:tblInd w:w="-5" w:type="dxa"/>
        <w:tblBorders>
          <w:top w:val="single" w:sz="4" w:space="0" w:color="auto"/>
          <w:bottom w:val="single" w:sz="4" w:space="0" w:color="auto"/>
        </w:tblBorders>
        <w:tblLook w:val="04A0" w:firstRow="1" w:lastRow="0" w:firstColumn="1" w:lastColumn="0" w:noHBand="0" w:noVBand="1"/>
      </w:tblPr>
      <w:tblGrid>
        <w:gridCol w:w="4564"/>
        <w:gridCol w:w="1933"/>
        <w:gridCol w:w="1941"/>
      </w:tblGrid>
      <w:tr w:rsidR="00696E28" w:rsidRPr="00696E28" w:rsidTr="00696E28">
        <w:trPr>
          <w:trHeight w:val="401"/>
        </w:trPr>
        <w:tc>
          <w:tcPr>
            <w:tcW w:w="4564" w:type="dxa"/>
            <w:tcBorders>
              <w:top w:val="single" w:sz="4" w:space="0" w:color="auto"/>
              <w:bottom w:val="single" w:sz="4" w:space="0" w:color="auto"/>
            </w:tcBorders>
            <w:vAlign w:val="center"/>
          </w:tcPr>
          <w:p w:rsidR="00696E28" w:rsidRPr="00696E28" w:rsidRDefault="00696E28" w:rsidP="00696E28">
            <w:pPr>
              <w:jc w:val="both"/>
              <w:rPr>
                <w:rFonts w:ascii="Arial" w:hAnsi="Arial" w:cs="Arial"/>
                <w:lang w:val="en-US"/>
              </w:rPr>
            </w:pPr>
            <w:r w:rsidRPr="00696E28">
              <w:rPr>
                <w:rFonts w:ascii="Arial" w:hAnsi="Arial" w:cs="Arial"/>
                <w:lang w:val="en-US"/>
              </w:rPr>
              <w:lastRenderedPageBreak/>
              <w:t>Workload Demands</w:t>
            </w:r>
          </w:p>
        </w:tc>
        <w:tc>
          <w:tcPr>
            <w:tcW w:w="1933" w:type="dxa"/>
            <w:tcBorders>
              <w:top w:val="single" w:sz="4" w:space="0" w:color="auto"/>
              <w:bottom w:val="single" w:sz="4" w:space="0" w:color="auto"/>
            </w:tcBorders>
            <w:vAlign w:val="center"/>
          </w:tcPr>
          <w:p w:rsidR="00696E28" w:rsidRPr="00696E28" w:rsidRDefault="00696E28" w:rsidP="00696E28">
            <w:pPr>
              <w:jc w:val="center"/>
              <w:rPr>
                <w:rFonts w:ascii="Arial" w:hAnsi="Arial" w:cs="Arial"/>
                <w:lang w:val="en-US"/>
              </w:rPr>
            </w:pPr>
            <w:r w:rsidRPr="00696E28">
              <w:rPr>
                <w:rFonts w:ascii="Arial" w:hAnsi="Arial" w:cs="Arial"/>
                <w:lang w:val="en-US"/>
              </w:rPr>
              <w:t>r-value</w:t>
            </w:r>
          </w:p>
        </w:tc>
        <w:tc>
          <w:tcPr>
            <w:tcW w:w="1941" w:type="dxa"/>
            <w:tcBorders>
              <w:top w:val="single" w:sz="4" w:space="0" w:color="auto"/>
              <w:bottom w:val="single" w:sz="4" w:space="0" w:color="auto"/>
            </w:tcBorders>
            <w:vAlign w:val="center"/>
          </w:tcPr>
          <w:p w:rsidR="00696E28" w:rsidRPr="00696E28" w:rsidRDefault="00696E28" w:rsidP="00696E28">
            <w:pPr>
              <w:jc w:val="center"/>
              <w:rPr>
                <w:rFonts w:ascii="Arial" w:hAnsi="Arial" w:cs="Arial"/>
                <w:lang w:val="en-US"/>
              </w:rPr>
            </w:pPr>
            <w:r w:rsidRPr="00696E28">
              <w:rPr>
                <w:rFonts w:ascii="Arial" w:hAnsi="Arial" w:cs="Arial"/>
                <w:lang w:val="en-US"/>
              </w:rPr>
              <w:t>p-value</w:t>
            </w:r>
          </w:p>
        </w:tc>
      </w:tr>
      <w:tr w:rsidR="00696E28" w:rsidRPr="00696E28" w:rsidTr="00696E28">
        <w:trPr>
          <w:trHeight w:val="301"/>
        </w:trPr>
        <w:tc>
          <w:tcPr>
            <w:tcW w:w="4564" w:type="dxa"/>
            <w:tcBorders>
              <w:top w:val="single" w:sz="4" w:space="0" w:color="auto"/>
            </w:tcBorders>
          </w:tcPr>
          <w:p w:rsidR="00696E28" w:rsidRPr="00696E28" w:rsidRDefault="00696E28" w:rsidP="00696E28">
            <w:pPr>
              <w:spacing w:line="260" w:lineRule="auto"/>
              <w:rPr>
                <w:rFonts w:ascii="Arial" w:hAnsi="Arial" w:cs="Arial"/>
                <w:lang w:val="en-US"/>
              </w:rPr>
            </w:pPr>
            <w:r w:rsidRPr="00696E28">
              <w:rPr>
                <w:rFonts w:ascii="Arial" w:hAnsi="Arial" w:cs="Arial"/>
                <w:lang w:val="en-US" w:eastAsia="zh-CN"/>
              </w:rPr>
              <w:t>Professional Development Opportunities</w:t>
            </w:r>
          </w:p>
        </w:tc>
        <w:tc>
          <w:tcPr>
            <w:tcW w:w="1933" w:type="dxa"/>
            <w:tcBorders>
              <w:top w:val="single" w:sz="4" w:space="0" w:color="auto"/>
            </w:tcBorders>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..489</w:t>
            </w:r>
            <w:r w:rsidRPr="00696E28">
              <w:rPr>
                <w:rFonts w:ascii="Arial" w:hAnsi="Arial" w:cs="Arial"/>
              </w:rPr>
              <w:t>**</w:t>
            </w:r>
          </w:p>
        </w:tc>
        <w:tc>
          <w:tcPr>
            <w:tcW w:w="1941" w:type="dxa"/>
            <w:tcBorders>
              <w:top w:val="single" w:sz="4" w:space="0" w:color="auto"/>
            </w:tcBorders>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rPr>
              <w:t>.000</w:t>
            </w:r>
          </w:p>
        </w:tc>
      </w:tr>
      <w:tr w:rsidR="00696E28" w:rsidRPr="00696E28" w:rsidTr="00696E28">
        <w:trPr>
          <w:trHeight w:val="149"/>
        </w:trPr>
        <w:tc>
          <w:tcPr>
            <w:tcW w:w="4564" w:type="dxa"/>
          </w:tcPr>
          <w:p w:rsidR="00696E28" w:rsidRPr="00696E28" w:rsidRDefault="00696E28" w:rsidP="00696E28">
            <w:pPr>
              <w:spacing w:line="260" w:lineRule="auto"/>
              <w:ind w:leftChars="100" w:left="220"/>
              <w:rPr>
                <w:rFonts w:ascii="Arial" w:hAnsi="Arial" w:cs="Arial"/>
                <w:lang w:val="en-US"/>
              </w:rPr>
            </w:pPr>
            <w:r w:rsidRPr="00696E28">
              <w:rPr>
                <w:rFonts w:ascii="Arial" w:hAnsi="Arial" w:cs="Arial"/>
                <w:lang w:val="en-US" w:eastAsia="zh-CN"/>
              </w:rPr>
              <w:t>Instructional Development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.386</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r w:rsidR="00696E28" w:rsidRPr="00696E28" w:rsidTr="00696E28">
        <w:trPr>
          <w:trHeight w:val="90"/>
        </w:trPr>
        <w:tc>
          <w:tcPr>
            <w:tcW w:w="4564" w:type="dxa"/>
          </w:tcPr>
          <w:p w:rsidR="00696E28" w:rsidRPr="00696E28" w:rsidRDefault="00696E28" w:rsidP="00696E28">
            <w:pPr>
              <w:spacing w:line="260" w:lineRule="auto"/>
              <w:ind w:leftChars="100" w:left="220"/>
              <w:rPr>
                <w:rFonts w:ascii="Arial" w:hAnsi="Arial" w:cs="Arial"/>
                <w:lang w:val="en-US"/>
              </w:rPr>
            </w:pPr>
            <w:r w:rsidRPr="00696E28">
              <w:rPr>
                <w:rFonts w:ascii="Arial" w:hAnsi="Arial" w:cs="Arial"/>
                <w:lang w:val="en-US" w:eastAsia="zh-CN"/>
              </w:rPr>
              <w:t>Scientific Field Development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.306</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r w:rsidR="00696E28" w:rsidRPr="00696E28" w:rsidTr="00696E28">
        <w:trPr>
          <w:trHeight w:val="90"/>
        </w:trPr>
        <w:tc>
          <w:tcPr>
            <w:tcW w:w="4564" w:type="dxa"/>
          </w:tcPr>
          <w:p w:rsidR="00696E28" w:rsidRPr="00696E28" w:rsidRDefault="00696E28" w:rsidP="00696E28">
            <w:pPr>
              <w:spacing w:line="260" w:lineRule="auto"/>
              <w:ind w:leftChars="100" w:left="220"/>
              <w:rPr>
                <w:rFonts w:ascii="Arial" w:hAnsi="Arial" w:cs="Arial"/>
                <w:lang w:val="en-US"/>
              </w:rPr>
            </w:pPr>
            <w:r w:rsidRPr="00696E28">
              <w:rPr>
                <w:rFonts w:ascii="Arial" w:hAnsi="Arial" w:cs="Arial"/>
                <w:lang w:val="en-US" w:eastAsia="zh-CN"/>
              </w:rPr>
              <w:t>Personal Development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.388</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r w:rsidR="00696E28" w:rsidRPr="00696E28" w:rsidTr="00696E28">
        <w:trPr>
          <w:trHeight w:val="90"/>
        </w:trPr>
        <w:tc>
          <w:tcPr>
            <w:tcW w:w="4564" w:type="dxa"/>
          </w:tcPr>
          <w:p w:rsidR="00696E28" w:rsidRPr="00696E28" w:rsidRDefault="00696E28" w:rsidP="00696E28">
            <w:pPr>
              <w:spacing w:line="260" w:lineRule="auto"/>
              <w:ind w:leftChars="100" w:left="220"/>
              <w:rPr>
                <w:rFonts w:ascii="Arial" w:hAnsi="Arial" w:cs="Arial"/>
                <w:lang w:val="en-US"/>
              </w:rPr>
            </w:pPr>
            <w:r w:rsidRPr="00696E28">
              <w:rPr>
                <w:rFonts w:ascii="Arial" w:hAnsi="Arial" w:cs="Arial"/>
                <w:lang w:val="en-US" w:eastAsia="zh-CN"/>
              </w:rPr>
              <w:t>Organizational Development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.419</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r w:rsidR="00696E28" w:rsidRPr="00696E28" w:rsidTr="00696E28">
        <w:trPr>
          <w:trHeight w:val="90"/>
        </w:trPr>
        <w:tc>
          <w:tcPr>
            <w:tcW w:w="4564" w:type="dxa"/>
          </w:tcPr>
          <w:p w:rsidR="00696E28" w:rsidRPr="00696E28" w:rsidRDefault="00696E28" w:rsidP="00696E28">
            <w:pPr>
              <w:spacing w:line="260" w:lineRule="auto"/>
              <w:rPr>
                <w:rFonts w:ascii="Arial" w:hAnsi="Arial" w:cs="Arial"/>
                <w:lang w:val="en-US"/>
              </w:rPr>
            </w:pPr>
            <w:r w:rsidRPr="00696E28">
              <w:rPr>
                <w:rFonts w:ascii="Arial" w:hAnsi="Arial" w:cs="Arial"/>
                <w:lang w:val="en-US" w:eastAsia="zh-CN"/>
              </w:rPr>
              <w:t>Organizational Commitment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.415</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r w:rsidR="00696E28" w:rsidRPr="00696E28" w:rsidTr="00696E28">
        <w:trPr>
          <w:trHeight w:val="90"/>
        </w:trPr>
        <w:tc>
          <w:tcPr>
            <w:tcW w:w="4564" w:type="dxa"/>
          </w:tcPr>
          <w:p w:rsidR="00696E28" w:rsidRPr="00696E28" w:rsidRDefault="00696E28" w:rsidP="00696E28">
            <w:pPr>
              <w:spacing w:line="260" w:lineRule="auto"/>
              <w:ind w:firstLineChars="110" w:firstLine="242"/>
              <w:rPr>
                <w:rFonts w:ascii="Arial" w:hAnsi="Arial" w:cs="Arial"/>
                <w:lang w:val="en-US"/>
              </w:rPr>
            </w:pPr>
            <w:r w:rsidRPr="00696E28">
              <w:rPr>
                <w:rFonts w:ascii="Arial" w:hAnsi="Arial" w:cs="Arial"/>
                <w:lang w:val="en-US" w:eastAsia="zh-CN"/>
              </w:rPr>
              <w:t>Affective Commitment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.368</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r w:rsidR="00696E28" w:rsidRPr="00696E28" w:rsidTr="00696E28">
        <w:trPr>
          <w:trHeight w:val="90"/>
        </w:trPr>
        <w:tc>
          <w:tcPr>
            <w:tcW w:w="4564" w:type="dxa"/>
          </w:tcPr>
          <w:p w:rsidR="00696E28" w:rsidRPr="00696E28" w:rsidRDefault="00696E28" w:rsidP="00696E28">
            <w:pPr>
              <w:spacing w:line="260" w:lineRule="auto"/>
              <w:ind w:firstLineChars="110" w:firstLine="242"/>
              <w:rPr>
                <w:rFonts w:ascii="Arial" w:hAnsi="Arial" w:cs="Arial"/>
                <w:lang w:val="en-US"/>
              </w:rPr>
            </w:pPr>
            <w:r w:rsidRPr="00696E28">
              <w:rPr>
                <w:rFonts w:ascii="Arial" w:hAnsi="Arial" w:cs="Arial"/>
                <w:lang w:val="en-US" w:eastAsia="zh-CN"/>
              </w:rPr>
              <w:t>Continuance Commitment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.299</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r w:rsidR="00696E28" w:rsidRPr="00696E28" w:rsidTr="00696E28">
        <w:trPr>
          <w:trHeight w:val="90"/>
        </w:trPr>
        <w:tc>
          <w:tcPr>
            <w:tcW w:w="4564" w:type="dxa"/>
          </w:tcPr>
          <w:p w:rsidR="00696E28" w:rsidRPr="00696E28" w:rsidRDefault="00696E28" w:rsidP="00696E28">
            <w:pPr>
              <w:spacing w:line="260" w:lineRule="auto"/>
              <w:ind w:firstLineChars="110" w:firstLine="242"/>
              <w:rPr>
                <w:rFonts w:ascii="Arial" w:hAnsi="Arial" w:cs="Arial"/>
                <w:lang w:val="en-US"/>
              </w:rPr>
            </w:pPr>
            <w:r w:rsidRPr="00696E28">
              <w:rPr>
                <w:rFonts w:ascii="Arial" w:hAnsi="Arial" w:cs="Arial"/>
                <w:lang w:val="en-US" w:eastAsia="zh-CN"/>
              </w:rPr>
              <w:t>Normative Commitment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.376</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bl>
    <w:p w:rsidR="00696E28" w:rsidRPr="00696E28" w:rsidRDefault="00696E28" w:rsidP="00696E28">
      <w:pPr>
        <w:spacing w:line="240" w:lineRule="auto"/>
        <w:rPr>
          <w:rFonts w:ascii="Arial" w:hAnsi="Arial" w:cs="Arial"/>
          <w:sz w:val="24"/>
          <w:szCs w:val="24"/>
          <w:lang w:val="en-US"/>
        </w:rPr>
      </w:pPr>
      <w:r w:rsidRPr="00696E28">
        <w:rPr>
          <w:rFonts w:ascii="Arial" w:hAnsi="Arial" w:cs="Arial"/>
          <w:sz w:val="18"/>
        </w:rPr>
        <w:t>**. Correlation is significant at the 0.01 level (2-tailed).</w:t>
      </w:r>
      <w:bookmarkEnd w:id="13"/>
    </w:p>
    <w:p w:rsidR="00696E28" w:rsidRPr="00696E28" w:rsidRDefault="00696E28" w:rsidP="00696E28">
      <w:pPr>
        <w:spacing w:after="0" w:line="360" w:lineRule="auto"/>
        <w:jc w:val="both"/>
        <w:rPr>
          <w:rFonts w:ascii="Arial" w:hAnsi="Arial" w:cs="Arial"/>
          <w:sz w:val="24"/>
          <w:szCs w:val="24"/>
        </w:rPr>
      </w:pPr>
      <w:r w:rsidRPr="00696E28">
        <w:rPr>
          <w:rFonts w:ascii="Arial" w:hAnsi="Arial" w:cs="Arial"/>
          <w:sz w:val="24"/>
          <w:szCs w:val="24"/>
          <w:lang w:val="en-US"/>
        </w:rPr>
        <w:tab/>
      </w:r>
      <w:r w:rsidRPr="00696E28">
        <w:rPr>
          <w:rFonts w:ascii="Arial" w:hAnsi="Arial" w:cs="Arial"/>
          <w:sz w:val="24"/>
          <w:szCs w:val="24"/>
        </w:rPr>
        <w:t>The findings suggest that teachers’ perceptions of workload demands are closely tied to the availability of professional development and their level of organizational commitment. When institutions provide structured opportunities for instructional, personal, and organizational growth, teachers are better able to manage workload pressures. Likewise, higher levels of organizational commitment, whether emotional, practical, or moral, appear to buffer the effects of workload demands, indicating that commitment and development act as protective factors against stress.</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These results imply that institutions should integrate professional development initiatives with strategies to strengthen organizational commitment. By aligning workload management with opportunities for growth and fostering loyalty through a supportive organizational culture, schools can reduce the negative impact of workload demands. This holistic approach ensures that teachers remain engaged, resilient, and effective despite the pressures of their responsibilities.</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eastAsia="Times New Roman" w:hAnsi="Arial" w:cs="Arial"/>
          <w:kern w:val="0"/>
          <w:sz w:val="24"/>
          <w:szCs w:val="24"/>
          <w:lang w:eastAsia="en-PH"/>
          <w14:ligatures w14:val="none"/>
        </w:rPr>
        <w:t xml:space="preserve">The findings align with </w:t>
      </w:r>
      <w:r w:rsidRPr="00696E28">
        <w:rPr>
          <w:rFonts w:ascii="Arial" w:eastAsia="Times New Roman" w:hAnsi="Arial" w:cs="Arial"/>
          <w:bCs/>
          <w:kern w:val="0"/>
          <w:sz w:val="24"/>
          <w:szCs w:val="24"/>
          <w:lang w:eastAsia="en-PH"/>
          <w14:ligatures w14:val="none"/>
        </w:rPr>
        <w:t>Saikia et al. (2025)</w:t>
      </w:r>
      <w:r w:rsidRPr="00696E28">
        <w:rPr>
          <w:rFonts w:ascii="Arial" w:eastAsia="Times New Roman" w:hAnsi="Arial" w:cs="Arial"/>
          <w:kern w:val="0"/>
          <w:sz w:val="24"/>
          <w:szCs w:val="24"/>
          <w:lang w:eastAsia="en-PH"/>
          <w14:ligatures w14:val="none"/>
        </w:rPr>
        <w:t xml:space="preserve">, who emphasized that institutional support systems, such as knowledge repositories and governance structures, sustain professional development and keep workload demands manageable. Similarly, </w:t>
      </w:r>
      <w:r w:rsidRPr="00696E28">
        <w:rPr>
          <w:rFonts w:ascii="Arial" w:eastAsia="Times New Roman" w:hAnsi="Arial" w:cs="Arial"/>
          <w:bCs/>
          <w:kern w:val="0"/>
          <w:sz w:val="24"/>
          <w:szCs w:val="24"/>
          <w:lang w:eastAsia="en-PH"/>
          <w14:ligatures w14:val="none"/>
        </w:rPr>
        <w:t>Melesse and Belay (2022)</w:t>
      </w:r>
      <w:r w:rsidRPr="00696E28">
        <w:rPr>
          <w:rFonts w:ascii="Arial" w:eastAsia="Times New Roman" w:hAnsi="Arial" w:cs="Arial"/>
          <w:kern w:val="0"/>
          <w:sz w:val="24"/>
          <w:szCs w:val="24"/>
          <w:lang w:eastAsia="en-PH"/>
          <w14:ligatures w14:val="none"/>
        </w:rPr>
        <w:t xml:space="preserve"> demonstrated that participation in professional development enhances job satisfaction and organizational loyalty, reinforcing the link between development, commitment, and workload management. Together, these studies affirm that professional growth and organizational support are essential in mitigating workload pressures and sustaining teacher effectiveness.</w:t>
      </w:r>
    </w:p>
    <w:p w:rsidR="00696E28" w:rsidRPr="00696E28" w:rsidRDefault="00696E28" w:rsidP="00696E28">
      <w:pPr>
        <w:spacing w:line="240" w:lineRule="auto"/>
        <w:rPr>
          <w:rFonts w:ascii="Arial" w:hAnsi="Arial" w:cs="Arial"/>
          <w:sz w:val="24"/>
          <w:szCs w:val="24"/>
          <w:lang w:val="en-US"/>
        </w:rPr>
      </w:pPr>
    </w:p>
    <w:p w:rsidR="00696E28" w:rsidRPr="00696E28" w:rsidRDefault="00696E28" w:rsidP="00696E28">
      <w:pPr>
        <w:spacing w:line="240" w:lineRule="auto"/>
        <w:ind w:left="720" w:hanging="720"/>
        <w:jc w:val="center"/>
        <w:rPr>
          <w:rFonts w:ascii="Arial" w:hAnsi="Arial" w:cs="Arial"/>
          <w:sz w:val="24"/>
          <w:szCs w:val="24"/>
          <w:lang w:val="en-US"/>
        </w:rPr>
      </w:pPr>
      <w:r w:rsidRPr="00696E28">
        <w:rPr>
          <w:rFonts w:ascii="Arial" w:hAnsi="Arial" w:cs="Arial"/>
          <w:sz w:val="24"/>
          <w:szCs w:val="24"/>
          <w:u w:val="single"/>
          <w:lang w:val="en-US"/>
        </w:rPr>
        <w:t>Predictors of Teachers’ Workload Demands</w:t>
      </w:r>
    </w:p>
    <w:p w:rsidR="00696E28" w:rsidRPr="00696E28" w:rsidRDefault="00696E28" w:rsidP="00696E28">
      <w:pPr>
        <w:spacing w:before="240" w:after="0" w:line="360" w:lineRule="auto"/>
        <w:ind w:firstLine="720"/>
        <w:jc w:val="both"/>
        <w:rPr>
          <w:rFonts w:ascii="Arial" w:hAnsi="Arial" w:cs="Arial"/>
          <w:sz w:val="24"/>
        </w:rPr>
      </w:pPr>
      <w:bookmarkStart w:id="14" w:name="_Hlk183423838"/>
      <w:bookmarkStart w:id="15" w:name="_Hlk226482329"/>
      <w:r w:rsidRPr="00696E28">
        <w:rPr>
          <w:rFonts w:ascii="Arial" w:hAnsi="Arial" w:cs="Arial"/>
          <w:sz w:val="24"/>
        </w:rPr>
        <w:t>The regression analysis shows that several predictor variables significantly influence teachers’ workload demands, with an overall model fit of R=.605, R²=.366, F=34.37, p=.000. Among the predictors, Normative Commitment (</w:t>
      </w:r>
      <w:r w:rsidRPr="00696E28">
        <w:rPr>
          <w:rFonts w:ascii="Arial" w:hAnsi="Arial" w:cs="Arial"/>
        </w:rPr>
        <w:t>B</w:t>
      </w:r>
      <w:r w:rsidRPr="00696E28">
        <w:rPr>
          <w:rFonts w:ascii="Arial" w:hAnsi="Arial" w:cs="Arial"/>
          <w:sz w:val="24"/>
        </w:rPr>
        <w:t>=.261, p=.000) had the strongest effect, followed by Instructional Development (</w:t>
      </w:r>
      <w:r w:rsidRPr="00696E28">
        <w:rPr>
          <w:rFonts w:ascii="Arial" w:hAnsi="Arial" w:cs="Arial"/>
        </w:rPr>
        <w:t>B</w:t>
      </w:r>
      <w:r w:rsidRPr="00696E28">
        <w:rPr>
          <w:rFonts w:ascii="Arial" w:hAnsi="Arial" w:cs="Arial"/>
          <w:sz w:val="24"/>
        </w:rPr>
        <w:t>=.177, p=.001), Organizational Development (</w:t>
      </w:r>
      <w:r w:rsidRPr="00696E28">
        <w:rPr>
          <w:rFonts w:ascii="Arial" w:hAnsi="Arial" w:cs="Arial"/>
        </w:rPr>
        <w:t>B</w:t>
      </w:r>
      <w:r w:rsidRPr="00696E28">
        <w:rPr>
          <w:rFonts w:ascii="Arial" w:hAnsi="Arial" w:cs="Arial"/>
          <w:sz w:val="24"/>
        </w:rPr>
        <w:t>=.183, p=.003), Personal Development (</w:t>
      </w:r>
      <w:r w:rsidRPr="00696E28">
        <w:rPr>
          <w:rFonts w:ascii="Arial" w:hAnsi="Arial" w:cs="Arial"/>
        </w:rPr>
        <w:t>B</w:t>
      </w:r>
      <w:r w:rsidRPr="00696E28">
        <w:rPr>
          <w:rFonts w:ascii="Arial" w:hAnsi="Arial" w:cs="Arial"/>
          <w:sz w:val="24"/>
        </w:rPr>
        <w:t>=.166, p=.006), and Affective Commitment (</w:t>
      </w:r>
      <w:r w:rsidRPr="00696E28">
        <w:rPr>
          <w:rFonts w:ascii="Arial" w:hAnsi="Arial" w:cs="Arial"/>
        </w:rPr>
        <w:t>B</w:t>
      </w:r>
      <w:r w:rsidRPr="00696E28">
        <w:rPr>
          <w:rFonts w:ascii="Arial" w:hAnsi="Arial" w:cs="Arial"/>
          <w:sz w:val="24"/>
        </w:rPr>
        <w:t xml:space="preserve">=.158, p=.003). </w:t>
      </w:r>
    </w:p>
    <w:p w:rsidR="00696E28" w:rsidRPr="00696E28" w:rsidRDefault="00696E28" w:rsidP="00696E28">
      <w:pPr>
        <w:spacing w:after="0" w:line="240" w:lineRule="auto"/>
        <w:ind w:firstLine="720"/>
        <w:jc w:val="both"/>
        <w:rPr>
          <w:rFonts w:ascii="Arial" w:hAnsi="Arial" w:cs="Arial"/>
          <w:sz w:val="24"/>
          <w:lang w:val="en-US"/>
        </w:rPr>
      </w:pPr>
    </w:p>
    <w:p w:rsidR="00696E28" w:rsidRPr="00696E28" w:rsidRDefault="00696E28" w:rsidP="00696E28">
      <w:pPr>
        <w:spacing w:after="0" w:line="240" w:lineRule="auto"/>
        <w:jc w:val="both"/>
        <w:rPr>
          <w:rFonts w:ascii="Arial" w:eastAsia="Times New Roman" w:hAnsi="Arial" w:cs="Arial"/>
          <w:spacing w:val="-2"/>
          <w:kern w:val="0"/>
          <w:sz w:val="28"/>
          <w:szCs w:val="24"/>
          <w:lang w:val="en-US"/>
          <w14:ligatures w14:val="none"/>
        </w:rPr>
      </w:pPr>
      <w:r w:rsidRPr="00696E28">
        <w:rPr>
          <w:rFonts w:ascii="Arial" w:hAnsi="Arial" w:cs="Arial"/>
          <w:bCs/>
          <w:sz w:val="24"/>
        </w:rPr>
        <w:t xml:space="preserve">Table </w:t>
      </w:r>
      <w:r w:rsidRPr="00696E28">
        <w:rPr>
          <w:rFonts w:ascii="Arial" w:hAnsi="Arial" w:cs="Arial"/>
          <w:bCs/>
          <w:sz w:val="24"/>
          <w:lang w:val="en-US"/>
        </w:rPr>
        <w:t>16.</w:t>
      </w:r>
      <w:r w:rsidRPr="00696E28">
        <w:rPr>
          <w:rFonts w:ascii="Arial" w:hAnsi="Arial" w:cs="Arial"/>
          <w:bCs/>
          <w:sz w:val="24"/>
        </w:rPr>
        <w:t xml:space="preserve"> Regression Analysis Showing the Extent of Influence of Predictor Variables on </w:t>
      </w:r>
      <w:bookmarkEnd w:id="14"/>
      <w:r w:rsidRPr="00696E28">
        <w:rPr>
          <w:rFonts w:ascii="Arial" w:hAnsi="Arial" w:cs="Arial"/>
          <w:bCs/>
          <w:sz w:val="24"/>
        </w:rPr>
        <w:t xml:space="preserve">the </w:t>
      </w:r>
      <w:r w:rsidRPr="00696E28">
        <w:rPr>
          <w:rFonts w:ascii="Arial" w:hAnsi="Arial" w:cs="Arial"/>
          <w:bCs/>
          <w:sz w:val="24"/>
          <w:lang w:val="en-US"/>
        </w:rPr>
        <w:t>Teachers’ Workload Demands.</w:t>
      </w:r>
    </w:p>
    <w:tbl>
      <w:tblPr>
        <w:tblW w:w="8378" w:type="dxa"/>
        <w:tblLayout w:type="fixed"/>
        <w:tblCellMar>
          <w:left w:w="0" w:type="dxa"/>
          <w:right w:w="0" w:type="dxa"/>
        </w:tblCellMar>
        <w:tblLook w:val="04A0" w:firstRow="1" w:lastRow="0" w:firstColumn="1" w:lastColumn="0" w:noHBand="0" w:noVBand="1"/>
      </w:tblPr>
      <w:tblGrid>
        <w:gridCol w:w="90"/>
        <w:gridCol w:w="3056"/>
        <w:gridCol w:w="977"/>
        <w:gridCol w:w="1399"/>
        <w:gridCol w:w="1118"/>
        <w:gridCol w:w="703"/>
        <w:gridCol w:w="1035"/>
      </w:tblGrid>
      <w:tr w:rsidR="00696E28" w:rsidRPr="00696E28" w:rsidTr="00696E28">
        <w:trPr>
          <w:cantSplit/>
          <w:trHeight w:val="594"/>
        </w:trPr>
        <w:tc>
          <w:tcPr>
            <w:tcW w:w="3146" w:type="dxa"/>
            <w:gridSpan w:val="2"/>
            <w:vMerge w:val="restart"/>
            <w:tcBorders>
              <w:top w:val="single" w:sz="4" w:space="0" w:color="auto"/>
              <w:bottom w:val="single" w:sz="4" w:space="0" w:color="auto"/>
            </w:tcBorders>
            <w:shd w:val="clear" w:color="auto" w:fill="auto"/>
            <w:vAlign w:val="bottom"/>
          </w:tcPr>
          <w:p w:rsidR="00696E28" w:rsidRPr="00696E28" w:rsidRDefault="00696E28" w:rsidP="00696E28">
            <w:pPr>
              <w:pStyle w:val="NoSpacing"/>
              <w:rPr>
                <w:rFonts w:ascii="Arial" w:hAnsi="Arial" w:cs="Arial"/>
                <w:sz w:val="20"/>
                <w:szCs w:val="20"/>
              </w:rPr>
            </w:pPr>
            <w:r w:rsidRPr="00696E28">
              <w:rPr>
                <w:rFonts w:ascii="Arial" w:hAnsi="Arial" w:cs="Arial"/>
                <w:sz w:val="20"/>
                <w:szCs w:val="20"/>
              </w:rPr>
              <w:t>Model</w:t>
            </w:r>
          </w:p>
        </w:tc>
        <w:tc>
          <w:tcPr>
            <w:tcW w:w="2376" w:type="dxa"/>
            <w:gridSpan w:val="2"/>
            <w:tcBorders>
              <w:top w:val="single" w:sz="4" w:space="0" w:color="auto"/>
              <w:bottom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 xml:space="preserve">Unstandardized </w:t>
            </w:r>
          </w:p>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Coefficients</w:t>
            </w:r>
          </w:p>
        </w:tc>
        <w:tc>
          <w:tcPr>
            <w:tcW w:w="2856" w:type="dxa"/>
            <w:gridSpan w:val="3"/>
            <w:tcBorders>
              <w:top w:val="single" w:sz="4" w:space="0" w:color="auto"/>
              <w:bottom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 xml:space="preserve">Standardized </w:t>
            </w:r>
          </w:p>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Coefficients</w:t>
            </w:r>
          </w:p>
        </w:tc>
      </w:tr>
      <w:tr w:rsidR="00696E28" w:rsidRPr="00696E28" w:rsidTr="00696E28">
        <w:trPr>
          <w:cantSplit/>
          <w:trHeight w:val="313"/>
        </w:trPr>
        <w:tc>
          <w:tcPr>
            <w:tcW w:w="3146" w:type="dxa"/>
            <w:gridSpan w:val="2"/>
            <w:vMerge/>
            <w:tcBorders>
              <w:top w:val="single" w:sz="4" w:space="0" w:color="auto"/>
            </w:tcBorders>
            <w:shd w:val="clear" w:color="auto" w:fill="auto"/>
            <w:vAlign w:val="bottom"/>
          </w:tcPr>
          <w:p w:rsidR="00696E28" w:rsidRPr="00696E28" w:rsidRDefault="00696E28" w:rsidP="00696E28">
            <w:pPr>
              <w:pStyle w:val="NoSpacing"/>
              <w:rPr>
                <w:rFonts w:ascii="Arial" w:hAnsi="Arial" w:cs="Arial"/>
                <w:sz w:val="20"/>
                <w:szCs w:val="20"/>
              </w:rPr>
            </w:pPr>
          </w:p>
        </w:tc>
        <w:tc>
          <w:tcPr>
            <w:tcW w:w="977" w:type="dxa"/>
            <w:tcBorders>
              <w:top w:val="single" w:sz="4" w:space="0" w:color="auto"/>
              <w:bottom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B</w:t>
            </w:r>
          </w:p>
        </w:tc>
        <w:tc>
          <w:tcPr>
            <w:tcW w:w="1399" w:type="dxa"/>
            <w:tcBorders>
              <w:top w:val="single" w:sz="4" w:space="0" w:color="auto"/>
              <w:bottom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Std. Error</w:t>
            </w:r>
          </w:p>
        </w:tc>
        <w:tc>
          <w:tcPr>
            <w:tcW w:w="1118" w:type="dxa"/>
            <w:tcBorders>
              <w:top w:val="single" w:sz="4" w:space="0" w:color="auto"/>
              <w:bottom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Beta</w:t>
            </w:r>
          </w:p>
        </w:tc>
        <w:tc>
          <w:tcPr>
            <w:tcW w:w="703" w:type="dxa"/>
            <w:tcBorders>
              <w:top w:val="single" w:sz="4" w:space="0" w:color="auto"/>
              <w:bottom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t</w:t>
            </w:r>
          </w:p>
        </w:tc>
        <w:tc>
          <w:tcPr>
            <w:tcW w:w="1035" w:type="dxa"/>
            <w:tcBorders>
              <w:top w:val="single" w:sz="4" w:space="0" w:color="auto"/>
              <w:bottom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Sig.</w:t>
            </w:r>
          </w:p>
        </w:tc>
      </w:tr>
      <w:tr w:rsidR="00696E28" w:rsidRPr="00696E28" w:rsidTr="00696E28">
        <w:trPr>
          <w:cantSplit/>
          <w:trHeight w:val="306"/>
        </w:trPr>
        <w:tc>
          <w:tcPr>
            <w:tcW w:w="90" w:type="dxa"/>
            <w:vMerge w:val="restart"/>
            <w:shd w:val="clear" w:color="auto" w:fill="auto"/>
          </w:tcPr>
          <w:p w:rsidR="00696E28" w:rsidRPr="00696E28" w:rsidRDefault="00696E28" w:rsidP="00696E28">
            <w:pPr>
              <w:pStyle w:val="NoSpacing"/>
              <w:rPr>
                <w:rFonts w:ascii="Arial" w:hAnsi="Arial" w:cs="Arial"/>
                <w:sz w:val="20"/>
                <w:szCs w:val="20"/>
              </w:rPr>
            </w:pPr>
          </w:p>
        </w:tc>
        <w:tc>
          <w:tcPr>
            <w:tcW w:w="3056" w:type="dxa"/>
            <w:shd w:val="clear" w:color="auto" w:fill="auto"/>
          </w:tcPr>
          <w:p w:rsidR="00696E28" w:rsidRPr="00696E28" w:rsidRDefault="00696E28" w:rsidP="00696E28">
            <w:pPr>
              <w:pStyle w:val="NoSpacing"/>
              <w:rPr>
                <w:rFonts w:ascii="Arial" w:hAnsi="Arial" w:cs="Arial"/>
                <w:sz w:val="20"/>
                <w:szCs w:val="20"/>
              </w:rPr>
            </w:pPr>
            <w:r w:rsidRPr="00696E28">
              <w:rPr>
                <w:rFonts w:ascii="Arial" w:hAnsi="Arial" w:cs="Arial"/>
                <w:sz w:val="20"/>
                <w:szCs w:val="20"/>
              </w:rPr>
              <w:t>(Constant)</w:t>
            </w:r>
          </w:p>
        </w:tc>
        <w:tc>
          <w:tcPr>
            <w:tcW w:w="977" w:type="dxa"/>
            <w:tcBorders>
              <w:top w:val="single" w:sz="4" w:space="0" w:color="auto"/>
            </w:tcBorders>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.553</w:t>
            </w:r>
          </w:p>
        </w:tc>
        <w:tc>
          <w:tcPr>
            <w:tcW w:w="1399" w:type="dxa"/>
            <w:tcBorders>
              <w:top w:val="single" w:sz="4" w:space="0" w:color="auto"/>
            </w:tcBorders>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.263</w:t>
            </w:r>
          </w:p>
        </w:tc>
        <w:tc>
          <w:tcPr>
            <w:tcW w:w="1118" w:type="dxa"/>
            <w:tcBorders>
              <w:top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p>
        </w:tc>
        <w:tc>
          <w:tcPr>
            <w:tcW w:w="703" w:type="dxa"/>
            <w:tcBorders>
              <w:top w:val="single" w:sz="4" w:space="0" w:color="auto"/>
            </w:tcBorders>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2.101</w:t>
            </w:r>
          </w:p>
        </w:tc>
        <w:tc>
          <w:tcPr>
            <w:tcW w:w="1035" w:type="dxa"/>
            <w:tcBorders>
              <w:top w:val="single" w:sz="4" w:space="0" w:color="auto"/>
            </w:tcBorders>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.036</w:t>
            </w:r>
          </w:p>
        </w:tc>
      </w:tr>
      <w:tr w:rsidR="00696E28" w:rsidRPr="00696E28" w:rsidTr="00696E28">
        <w:trPr>
          <w:cantSplit/>
          <w:trHeight w:val="278"/>
        </w:trPr>
        <w:tc>
          <w:tcPr>
            <w:tcW w:w="90" w:type="dxa"/>
            <w:vMerge/>
            <w:shd w:val="clear" w:color="auto" w:fill="auto"/>
          </w:tcPr>
          <w:p w:rsidR="00696E28" w:rsidRPr="00696E28" w:rsidRDefault="00696E28" w:rsidP="00696E28">
            <w:pPr>
              <w:pStyle w:val="NoSpacing"/>
              <w:rPr>
                <w:rFonts w:ascii="Arial" w:hAnsi="Arial" w:cs="Arial"/>
                <w:sz w:val="20"/>
                <w:szCs w:val="20"/>
              </w:rPr>
            </w:pPr>
          </w:p>
        </w:tc>
        <w:tc>
          <w:tcPr>
            <w:tcW w:w="3056" w:type="dxa"/>
            <w:shd w:val="clear" w:color="auto" w:fill="auto"/>
          </w:tcPr>
          <w:p w:rsidR="00696E28" w:rsidRPr="00696E28" w:rsidRDefault="00696E28" w:rsidP="00696E28">
            <w:pPr>
              <w:pStyle w:val="NoSpacing"/>
              <w:rPr>
                <w:rFonts w:ascii="Arial" w:hAnsi="Arial" w:cs="Arial"/>
                <w:sz w:val="20"/>
                <w:szCs w:val="20"/>
              </w:rPr>
            </w:pPr>
            <w:r w:rsidRPr="00696E28">
              <w:rPr>
                <w:rFonts w:ascii="Arial" w:hAnsi="Arial" w:cs="Arial"/>
                <w:sz w:val="20"/>
                <w:szCs w:val="20"/>
              </w:rPr>
              <w:t>Normative Commitment</w:t>
            </w:r>
          </w:p>
        </w:tc>
        <w:tc>
          <w:tcPr>
            <w:tcW w:w="977"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.227</w:t>
            </w:r>
          </w:p>
        </w:tc>
        <w:tc>
          <w:tcPr>
            <w:tcW w:w="1399"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.045</w:t>
            </w:r>
          </w:p>
        </w:tc>
        <w:tc>
          <w:tcPr>
            <w:tcW w:w="1118"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.261</w:t>
            </w:r>
          </w:p>
        </w:tc>
        <w:tc>
          <w:tcPr>
            <w:tcW w:w="703"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5.053</w:t>
            </w:r>
          </w:p>
        </w:tc>
        <w:tc>
          <w:tcPr>
            <w:tcW w:w="1035"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.000</w:t>
            </w:r>
          </w:p>
        </w:tc>
      </w:tr>
      <w:tr w:rsidR="00696E28" w:rsidRPr="00696E28" w:rsidTr="00696E28">
        <w:trPr>
          <w:cantSplit/>
          <w:trHeight w:val="317"/>
        </w:trPr>
        <w:tc>
          <w:tcPr>
            <w:tcW w:w="90" w:type="dxa"/>
            <w:vMerge/>
            <w:shd w:val="clear" w:color="auto" w:fill="auto"/>
          </w:tcPr>
          <w:p w:rsidR="00696E28" w:rsidRPr="00696E28" w:rsidRDefault="00696E28" w:rsidP="00696E28">
            <w:pPr>
              <w:pStyle w:val="NoSpacing"/>
              <w:rPr>
                <w:rFonts w:ascii="Arial" w:hAnsi="Arial" w:cs="Arial"/>
                <w:sz w:val="20"/>
                <w:szCs w:val="20"/>
              </w:rPr>
            </w:pPr>
          </w:p>
        </w:tc>
        <w:tc>
          <w:tcPr>
            <w:tcW w:w="3056" w:type="dxa"/>
            <w:shd w:val="clear" w:color="auto" w:fill="auto"/>
          </w:tcPr>
          <w:p w:rsidR="00696E28" w:rsidRPr="00696E28" w:rsidRDefault="00696E28" w:rsidP="00696E28">
            <w:pPr>
              <w:pStyle w:val="NoSpacing"/>
              <w:rPr>
                <w:rFonts w:ascii="Arial" w:hAnsi="Arial" w:cs="Arial"/>
                <w:sz w:val="20"/>
                <w:szCs w:val="20"/>
              </w:rPr>
            </w:pPr>
            <w:r w:rsidRPr="00696E28">
              <w:rPr>
                <w:rFonts w:ascii="Arial" w:hAnsi="Arial" w:cs="Arial"/>
                <w:sz w:val="20"/>
                <w:szCs w:val="20"/>
              </w:rPr>
              <w:t>Affective Commitment</w:t>
            </w:r>
          </w:p>
        </w:tc>
        <w:tc>
          <w:tcPr>
            <w:tcW w:w="977"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.154</w:t>
            </w:r>
          </w:p>
        </w:tc>
        <w:tc>
          <w:tcPr>
            <w:tcW w:w="1399"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.051</w:t>
            </w:r>
          </w:p>
        </w:tc>
        <w:tc>
          <w:tcPr>
            <w:tcW w:w="1118"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.158</w:t>
            </w:r>
          </w:p>
        </w:tc>
        <w:tc>
          <w:tcPr>
            <w:tcW w:w="703"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3.009</w:t>
            </w:r>
          </w:p>
        </w:tc>
        <w:tc>
          <w:tcPr>
            <w:tcW w:w="1035"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.003</w:t>
            </w:r>
          </w:p>
        </w:tc>
      </w:tr>
      <w:tr w:rsidR="00696E28" w:rsidRPr="00696E28" w:rsidTr="00696E28">
        <w:trPr>
          <w:cantSplit/>
          <w:trHeight w:val="287"/>
        </w:trPr>
        <w:tc>
          <w:tcPr>
            <w:tcW w:w="90" w:type="dxa"/>
            <w:vMerge/>
            <w:shd w:val="clear" w:color="auto" w:fill="auto"/>
          </w:tcPr>
          <w:p w:rsidR="00696E28" w:rsidRPr="00696E28" w:rsidRDefault="00696E28" w:rsidP="00696E28">
            <w:pPr>
              <w:pStyle w:val="NoSpacing"/>
              <w:rPr>
                <w:rFonts w:ascii="Arial" w:hAnsi="Arial" w:cs="Arial"/>
                <w:sz w:val="20"/>
                <w:szCs w:val="20"/>
              </w:rPr>
            </w:pPr>
          </w:p>
        </w:tc>
        <w:tc>
          <w:tcPr>
            <w:tcW w:w="3056" w:type="dxa"/>
            <w:shd w:val="clear" w:color="auto" w:fill="auto"/>
          </w:tcPr>
          <w:p w:rsidR="00696E28" w:rsidRPr="00696E28" w:rsidRDefault="00696E28" w:rsidP="00696E28">
            <w:pPr>
              <w:pStyle w:val="NoSpacing"/>
              <w:rPr>
                <w:rFonts w:ascii="Arial" w:hAnsi="Arial" w:cs="Arial"/>
                <w:sz w:val="20"/>
                <w:szCs w:val="20"/>
              </w:rPr>
            </w:pPr>
            <w:r w:rsidRPr="00696E28">
              <w:rPr>
                <w:rFonts w:ascii="Arial" w:hAnsi="Arial" w:cs="Arial"/>
                <w:sz w:val="20"/>
                <w:szCs w:val="20"/>
              </w:rPr>
              <w:t>Organizational Development</w:t>
            </w:r>
          </w:p>
        </w:tc>
        <w:tc>
          <w:tcPr>
            <w:tcW w:w="977"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.164</w:t>
            </w:r>
          </w:p>
        </w:tc>
        <w:tc>
          <w:tcPr>
            <w:tcW w:w="1399"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.055</w:t>
            </w:r>
          </w:p>
        </w:tc>
        <w:tc>
          <w:tcPr>
            <w:tcW w:w="1118"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.183</w:t>
            </w:r>
          </w:p>
        </w:tc>
        <w:tc>
          <w:tcPr>
            <w:tcW w:w="703"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2.977</w:t>
            </w:r>
          </w:p>
        </w:tc>
        <w:tc>
          <w:tcPr>
            <w:tcW w:w="1035"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.003</w:t>
            </w:r>
          </w:p>
        </w:tc>
      </w:tr>
      <w:tr w:rsidR="00696E28" w:rsidRPr="00696E28" w:rsidTr="00696E28">
        <w:trPr>
          <w:cantSplit/>
          <w:trHeight w:val="280"/>
        </w:trPr>
        <w:tc>
          <w:tcPr>
            <w:tcW w:w="90" w:type="dxa"/>
            <w:vMerge/>
            <w:shd w:val="clear" w:color="auto" w:fill="auto"/>
          </w:tcPr>
          <w:p w:rsidR="00696E28" w:rsidRPr="00696E28" w:rsidRDefault="00696E28" w:rsidP="00696E28">
            <w:pPr>
              <w:pStyle w:val="NoSpacing"/>
              <w:rPr>
                <w:rFonts w:ascii="Arial" w:hAnsi="Arial" w:cs="Arial"/>
                <w:sz w:val="20"/>
                <w:szCs w:val="20"/>
              </w:rPr>
            </w:pPr>
          </w:p>
        </w:tc>
        <w:tc>
          <w:tcPr>
            <w:tcW w:w="3056" w:type="dxa"/>
            <w:shd w:val="clear" w:color="auto" w:fill="auto"/>
          </w:tcPr>
          <w:p w:rsidR="00696E28" w:rsidRPr="00696E28" w:rsidRDefault="00696E28" w:rsidP="00696E28">
            <w:pPr>
              <w:pStyle w:val="NoSpacing"/>
              <w:rPr>
                <w:rFonts w:ascii="Arial" w:hAnsi="Arial" w:cs="Arial"/>
                <w:sz w:val="20"/>
                <w:szCs w:val="20"/>
              </w:rPr>
            </w:pPr>
            <w:r w:rsidRPr="00696E28">
              <w:rPr>
                <w:rFonts w:ascii="Arial" w:hAnsi="Arial" w:cs="Arial"/>
                <w:sz w:val="20"/>
                <w:szCs w:val="20"/>
              </w:rPr>
              <w:t>Instructional Development</w:t>
            </w:r>
          </w:p>
        </w:tc>
        <w:tc>
          <w:tcPr>
            <w:tcW w:w="977"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.187</w:t>
            </w:r>
          </w:p>
        </w:tc>
        <w:tc>
          <w:tcPr>
            <w:tcW w:w="1399"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.056</w:t>
            </w:r>
          </w:p>
        </w:tc>
        <w:tc>
          <w:tcPr>
            <w:tcW w:w="1118"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.177</w:t>
            </w:r>
          </w:p>
        </w:tc>
        <w:tc>
          <w:tcPr>
            <w:tcW w:w="703"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3.352</w:t>
            </w:r>
          </w:p>
        </w:tc>
        <w:tc>
          <w:tcPr>
            <w:tcW w:w="1035"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.001</w:t>
            </w:r>
          </w:p>
        </w:tc>
      </w:tr>
      <w:tr w:rsidR="00696E28" w:rsidRPr="00696E28" w:rsidTr="00696E28">
        <w:trPr>
          <w:cantSplit/>
          <w:trHeight w:val="287"/>
        </w:trPr>
        <w:tc>
          <w:tcPr>
            <w:tcW w:w="90" w:type="dxa"/>
            <w:vMerge/>
            <w:shd w:val="clear" w:color="auto" w:fill="auto"/>
          </w:tcPr>
          <w:p w:rsidR="00696E28" w:rsidRPr="00696E28" w:rsidRDefault="00696E28" w:rsidP="00696E28">
            <w:pPr>
              <w:pStyle w:val="NoSpacing"/>
              <w:rPr>
                <w:rFonts w:ascii="Arial" w:hAnsi="Arial" w:cs="Arial"/>
                <w:sz w:val="20"/>
                <w:szCs w:val="20"/>
              </w:rPr>
            </w:pPr>
          </w:p>
        </w:tc>
        <w:tc>
          <w:tcPr>
            <w:tcW w:w="3056" w:type="dxa"/>
            <w:shd w:val="clear" w:color="auto" w:fill="auto"/>
          </w:tcPr>
          <w:p w:rsidR="00696E28" w:rsidRPr="00696E28" w:rsidRDefault="00696E28" w:rsidP="00696E28">
            <w:pPr>
              <w:pStyle w:val="NoSpacing"/>
              <w:rPr>
                <w:rFonts w:ascii="Arial" w:hAnsi="Arial" w:cs="Arial"/>
                <w:sz w:val="20"/>
                <w:szCs w:val="20"/>
              </w:rPr>
            </w:pPr>
            <w:r w:rsidRPr="00696E28">
              <w:rPr>
                <w:rFonts w:ascii="Arial" w:hAnsi="Arial" w:cs="Arial"/>
                <w:sz w:val="20"/>
                <w:szCs w:val="20"/>
              </w:rPr>
              <w:t>Personal Development</w:t>
            </w:r>
          </w:p>
        </w:tc>
        <w:tc>
          <w:tcPr>
            <w:tcW w:w="977"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.156</w:t>
            </w:r>
          </w:p>
        </w:tc>
        <w:tc>
          <w:tcPr>
            <w:tcW w:w="1399"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.056</w:t>
            </w:r>
          </w:p>
        </w:tc>
        <w:tc>
          <w:tcPr>
            <w:tcW w:w="1118"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.166</w:t>
            </w:r>
          </w:p>
        </w:tc>
        <w:tc>
          <w:tcPr>
            <w:tcW w:w="703"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2.782</w:t>
            </w:r>
          </w:p>
        </w:tc>
        <w:tc>
          <w:tcPr>
            <w:tcW w:w="1035"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.006</w:t>
            </w:r>
          </w:p>
        </w:tc>
      </w:tr>
      <w:tr w:rsidR="00696E28" w:rsidRPr="00696E28" w:rsidTr="00696E28">
        <w:trPr>
          <w:cantSplit/>
          <w:trHeight w:val="306"/>
        </w:trPr>
        <w:tc>
          <w:tcPr>
            <w:tcW w:w="8378" w:type="dxa"/>
            <w:gridSpan w:val="7"/>
            <w:tcBorders>
              <w:bottom w:val="single" w:sz="4" w:space="0" w:color="auto"/>
            </w:tcBorders>
            <w:shd w:val="clear" w:color="auto" w:fill="auto"/>
          </w:tcPr>
          <w:p w:rsidR="00696E28" w:rsidRPr="00696E28" w:rsidRDefault="00696E28" w:rsidP="00696E28">
            <w:pPr>
              <w:pStyle w:val="NoSpacing"/>
              <w:rPr>
                <w:rFonts w:ascii="Arial" w:hAnsi="Arial" w:cs="Arial"/>
                <w:sz w:val="20"/>
                <w:szCs w:val="20"/>
                <w:lang w:val="en-US"/>
              </w:rPr>
            </w:pPr>
            <w:r w:rsidRPr="00696E28">
              <w:rPr>
                <w:rFonts w:ascii="Arial" w:hAnsi="Arial" w:cs="Arial"/>
                <w:sz w:val="20"/>
                <w:szCs w:val="20"/>
              </w:rPr>
              <w:t xml:space="preserve">a. Dependent Variable: </w:t>
            </w:r>
            <w:r w:rsidRPr="00696E28">
              <w:rPr>
                <w:rFonts w:ascii="Arial" w:hAnsi="Arial" w:cs="Arial"/>
                <w:sz w:val="20"/>
                <w:szCs w:val="20"/>
                <w:lang w:val="en-US"/>
              </w:rPr>
              <w:t>Workload Demands</w:t>
            </w:r>
          </w:p>
        </w:tc>
      </w:tr>
    </w:tbl>
    <w:p w:rsidR="00696E28" w:rsidRPr="00696E28" w:rsidRDefault="00696E28" w:rsidP="00696E28">
      <w:pPr>
        <w:spacing w:line="360" w:lineRule="auto"/>
        <w:rPr>
          <w:rFonts w:ascii="Arial" w:eastAsia="Times New Roman" w:hAnsi="Arial" w:cs="Arial"/>
          <w:bCs/>
          <w:sz w:val="20"/>
          <w:szCs w:val="20"/>
          <w:lang w:val="id-ID"/>
        </w:rPr>
      </w:pPr>
      <w:r w:rsidRPr="00696E28">
        <w:rPr>
          <w:rFonts w:ascii="Arial" w:hAnsi="Arial" w:cs="Arial"/>
          <w:bCs/>
          <w:sz w:val="20"/>
          <w:szCs w:val="20"/>
        </w:rPr>
        <w:t>R= .</w:t>
      </w:r>
      <w:r w:rsidRPr="00696E28">
        <w:rPr>
          <w:rFonts w:ascii="Arial" w:hAnsi="Arial" w:cs="Arial"/>
          <w:bCs/>
          <w:sz w:val="20"/>
          <w:szCs w:val="20"/>
          <w:lang w:val="en-US"/>
        </w:rPr>
        <w:t>605</w:t>
      </w:r>
      <w:r w:rsidRPr="00696E28">
        <w:rPr>
          <w:rFonts w:ascii="Arial" w:hAnsi="Arial" w:cs="Arial"/>
          <w:bCs/>
          <w:sz w:val="20"/>
          <w:szCs w:val="20"/>
        </w:rPr>
        <w:tab/>
        <w:t>R</w:t>
      </w:r>
      <w:r w:rsidRPr="00696E28">
        <w:rPr>
          <w:rFonts w:ascii="Arial" w:hAnsi="Arial" w:cs="Arial"/>
          <w:bCs/>
          <w:sz w:val="20"/>
          <w:szCs w:val="20"/>
          <w:vertAlign w:val="superscript"/>
        </w:rPr>
        <w:t>2</w:t>
      </w:r>
      <w:r w:rsidRPr="00696E28">
        <w:rPr>
          <w:rFonts w:ascii="Arial" w:hAnsi="Arial" w:cs="Arial"/>
          <w:bCs/>
          <w:sz w:val="20"/>
          <w:szCs w:val="20"/>
        </w:rPr>
        <w:t>= .</w:t>
      </w:r>
      <w:r w:rsidRPr="00696E28">
        <w:rPr>
          <w:rFonts w:ascii="Arial" w:hAnsi="Arial" w:cs="Arial"/>
          <w:bCs/>
          <w:sz w:val="20"/>
          <w:szCs w:val="20"/>
          <w:lang w:val="en-US"/>
        </w:rPr>
        <w:t>366</w:t>
      </w:r>
      <w:r w:rsidRPr="00696E28">
        <w:rPr>
          <w:rFonts w:ascii="Arial" w:hAnsi="Arial" w:cs="Arial"/>
          <w:bCs/>
          <w:sz w:val="20"/>
          <w:szCs w:val="20"/>
        </w:rPr>
        <w:tab/>
        <w:t>F=</w:t>
      </w:r>
      <w:r w:rsidRPr="00696E28">
        <w:rPr>
          <w:rFonts w:ascii="Arial" w:hAnsi="Arial" w:cs="Arial"/>
          <w:bCs/>
          <w:sz w:val="20"/>
          <w:szCs w:val="20"/>
          <w:lang w:val="en-US"/>
        </w:rPr>
        <w:t>34.37</w:t>
      </w:r>
      <w:r w:rsidRPr="00696E28">
        <w:rPr>
          <w:rFonts w:ascii="Arial" w:hAnsi="Arial" w:cs="Arial"/>
          <w:bCs/>
          <w:sz w:val="20"/>
          <w:szCs w:val="20"/>
        </w:rPr>
        <w:t xml:space="preserve"> </w:t>
      </w:r>
      <w:r w:rsidRPr="00696E28">
        <w:rPr>
          <w:rFonts w:ascii="Arial" w:hAnsi="Arial" w:cs="Arial"/>
          <w:bCs/>
          <w:sz w:val="20"/>
          <w:szCs w:val="20"/>
        </w:rPr>
        <w:tab/>
        <w:t>Sig= .000</w:t>
      </w:r>
      <w:bookmarkEnd w:id="15"/>
    </w:p>
    <w:p w:rsidR="00696E28" w:rsidRP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rPr>
        <w:t xml:space="preserve">The </w:t>
      </w:r>
      <w:r w:rsidRPr="00696E28">
        <w:rPr>
          <w:rFonts w:ascii="Arial" w:hAnsi="Arial" w:cs="Arial"/>
          <w:sz w:val="24"/>
          <w:szCs w:val="24"/>
        </w:rPr>
        <w:t>findings suggest that teachers’ workload demands are shaped not only by institutional structures but also by their sense of moral obligation and professional growth opportunities. Normative commitment’s strong influence highlights that teachers who feel duty-bound to remain in their institutions perceive workload demands more intensely. Meanwhile, professional development dimensions, particularly the instructional and organizational dimensions, also contribute, suggesting that as teachers engage in growth opportunities, they become more aware of the workload pressures associated with their expanded roles.</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 xml:space="preserve">In the regression analysis presented in </w:t>
      </w:r>
      <w:r w:rsidRPr="00696E28">
        <w:rPr>
          <w:rFonts w:ascii="Arial" w:eastAsia="Times New Roman" w:hAnsi="Arial" w:cs="Arial"/>
          <w:bCs/>
          <w:kern w:val="0"/>
          <w:sz w:val="24"/>
          <w:szCs w:val="24"/>
          <w:lang w:eastAsia="en-PH"/>
          <w14:ligatures w14:val="none"/>
        </w:rPr>
        <w:t>Table 15</w:t>
      </w:r>
      <w:r w:rsidRPr="00696E28">
        <w:rPr>
          <w:rFonts w:ascii="Arial" w:eastAsia="Times New Roman" w:hAnsi="Arial" w:cs="Arial"/>
          <w:kern w:val="0"/>
          <w:sz w:val="24"/>
          <w:szCs w:val="24"/>
          <w:lang w:eastAsia="en-PH"/>
          <w14:ligatures w14:val="none"/>
        </w:rPr>
        <w:t xml:space="preserve">, the results indicate a moderately strong positive relationship between the predictor variables (professional development opportunities and organizational commitment dimensions) and the dependent variable (teachers’ workload demands), with a correlation coefficient of R = .605. The </w:t>
      </w:r>
      <w:r w:rsidRPr="00696E28">
        <w:rPr>
          <w:rFonts w:ascii="Arial" w:eastAsia="Times New Roman" w:hAnsi="Arial" w:cs="Arial"/>
          <w:bCs/>
          <w:kern w:val="0"/>
          <w:sz w:val="24"/>
          <w:szCs w:val="24"/>
          <w:lang w:eastAsia="en-PH"/>
          <w14:ligatures w14:val="none"/>
        </w:rPr>
        <w:t>R² value of .366</w:t>
      </w:r>
      <w:r w:rsidRPr="00696E28">
        <w:rPr>
          <w:rFonts w:ascii="Arial" w:eastAsia="Times New Roman" w:hAnsi="Arial" w:cs="Arial"/>
          <w:kern w:val="0"/>
          <w:sz w:val="24"/>
          <w:szCs w:val="24"/>
          <w:lang w:eastAsia="en-PH"/>
          <w14:ligatures w14:val="none"/>
        </w:rPr>
        <w:t xml:space="preserve"> indicates that approximately 36.6% of the variance in workload demands is explained by the predictors in the model, with the remaining variance attributed to factors outside the scope of this study. This demonstrates that </w:t>
      </w:r>
      <w:r w:rsidRPr="00696E28">
        <w:rPr>
          <w:rFonts w:ascii="Arial" w:eastAsia="Times New Roman" w:hAnsi="Arial" w:cs="Arial"/>
          <w:kern w:val="0"/>
          <w:sz w:val="24"/>
          <w:szCs w:val="24"/>
          <w:lang w:eastAsia="en-PH"/>
          <w14:ligatures w14:val="none"/>
        </w:rPr>
        <w:lastRenderedPageBreak/>
        <w:t>the predictors collectively have a meaningful influence on how teachers perceive their workload.</w:t>
      </w:r>
    </w:p>
    <w:p w:rsidR="00696E28" w:rsidRPr="00696E28" w:rsidRDefault="00696E28" w:rsidP="00696E28">
      <w:pPr>
        <w:spacing w:after="0" w:line="360" w:lineRule="auto"/>
        <w:ind w:left="709" w:firstLine="11"/>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 model can be expressed as: Y=0.553+0.227(X</w:t>
      </w:r>
      <w:r w:rsidRPr="00696E28">
        <w:rPr>
          <w:rFonts w:ascii="Arial" w:eastAsia="Times New Roman" w:hAnsi="Arial" w:cs="Arial"/>
          <w:kern w:val="0"/>
          <w:sz w:val="24"/>
          <w:szCs w:val="24"/>
          <w:vertAlign w:val="subscript"/>
          <w:lang w:eastAsia="en-PH"/>
          <w14:ligatures w14:val="none"/>
        </w:rPr>
        <w:t>1</w:t>
      </w:r>
      <w:r w:rsidRPr="00696E28">
        <w:rPr>
          <w:rFonts w:ascii="Arial" w:eastAsia="Times New Roman" w:hAnsi="Arial" w:cs="Arial"/>
          <w:kern w:val="0"/>
          <w:sz w:val="24"/>
          <w:szCs w:val="24"/>
          <w:lang w:eastAsia="en-PH"/>
          <w14:ligatures w14:val="none"/>
        </w:rPr>
        <w:t>)+0.154(X</w:t>
      </w:r>
      <w:r w:rsidRPr="00696E28">
        <w:rPr>
          <w:rFonts w:ascii="Arial" w:eastAsia="Times New Roman" w:hAnsi="Arial" w:cs="Arial"/>
          <w:kern w:val="0"/>
          <w:sz w:val="24"/>
          <w:szCs w:val="24"/>
          <w:vertAlign w:val="subscript"/>
          <w:lang w:eastAsia="en-PH"/>
          <w14:ligatures w14:val="none"/>
        </w:rPr>
        <w:t>2</w:t>
      </w:r>
      <w:r w:rsidRPr="00696E28">
        <w:rPr>
          <w:rFonts w:ascii="Arial" w:eastAsia="Times New Roman" w:hAnsi="Arial" w:cs="Arial"/>
          <w:kern w:val="0"/>
          <w:sz w:val="24"/>
          <w:szCs w:val="24"/>
          <w:lang w:eastAsia="en-PH"/>
          <w14:ligatures w14:val="none"/>
        </w:rPr>
        <w:t>)+0.164(X</w:t>
      </w:r>
      <w:r w:rsidRPr="00696E28">
        <w:rPr>
          <w:rFonts w:ascii="Arial" w:eastAsia="Times New Roman" w:hAnsi="Arial" w:cs="Arial"/>
          <w:kern w:val="0"/>
          <w:sz w:val="24"/>
          <w:szCs w:val="24"/>
          <w:vertAlign w:val="subscript"/>
          <w:lang w:eastAsia="en-PH"/>
          <w14:ligatures w14:val="none"/>
        </w:rPr>
        <w:t>3</w:t>
      </w:r>
      <w:r w:rsidRPr="00696E28">
        <w:rPr>
          <w:rFonts w:ascii="Arial" w:eastAsia="Times New Roman" w:hAnsi="Arial" w:cs="Arial"/>
          <w:kern w:val="0"/>
          <w:sz w:val="24"/>
          <w:szCs w:val="24"/>
          <w:lang w:eastAsia="en-PH"/>
          <w14:ligatures w14:val="none"/>
        </w:rPr>
        <w:t>)+0.187(X</w:t>
      </w:r>
      <w:r w:rsidRPr="00696E28">
        <w:rPr>
          <w:rFonts w:ascii="Arial" w:eastAsia="Times New Roman" w:hAnsi="Arial" w:cs="Arial"/>
          <w:kern w:val="0"/>
          <w:sz w:val="24"/>
          <w:szCs w:val="24"/>
          <w:vertAlign w:val="subscript"/>
          <w:lang w:eastAsia="en-PH"/>
          <w14:ligatures w14:val="none"/>
        </w:rPr>
        <w:t>4</w:t>
      </w:r>
      <w:r w:rsidRPr="00696E28">
        <w:rPr>
          <w:rFonts w:ascii="Arial" w:eastAsia="Times New Roman" w:hAnsi="Arial" w:cs="Arial"/>
          <w:kern w:val="0"/>
          <w:sz w:val="24"/>
          <w:szCs w:val="24"/>
          <w:lang w:eastAsia="en-PH"/>
          <w14:ligatures w14:val="none"/>
        </w:rPr>
        <w:t>)+0.156(X</w:t>
      </w:r>
      <w:r w:rsidRPr="00696E28">
        <w:rPr>
          <w:rFonts w:ascii="Arial" w:eastAsia="Times New Roman" w:hAnsi="Arial" w:cs="Arial"/>
          <w:kern w:val="0"/>
          <w:sz w:val="24"/>
          <w:szCs w:val="24"/>
          <w:vertAlign w:val="subscript"/>
          <w:lang w:eastAsia="en-PH"/>
          <w14:ligatures w14:val="none"/>
        </w:rPr>
        <w:t>5</w:t>
      </w:r>
      <w:r w:rsidRPr="00696E28">
        <w:rPr>
          <w:rFonts w:ascii="Arial" w:eastAsia="Times New Roman" w:hAnsi="Arial" w:cs="Arial"/>
          <w:kern w:val="0"/>
          <w:sz w:val="24"/>
          <w:szCs w:val="24"/>
          <w:lang w:eastAsia="en-PH"/>
          <w14:ligatures w14:val="none"/>
        </w:rPr>
        <w:t>)</w:t>
      </w:r>
    </w:p>
    <w:p w:rsidR="00696E28" w:rsidRPr="00696E28" w:rsidRDefault="00696E28" w:rsidP="00696E28">
      <w:pPr>
        <w:spacing w:after="0" w:line="360" w:lineRule="auto"/>
        <w:rPr>
          <w:rFonts w:ascii="Arial" w:hAnsi="Arial" w:cs="Arial"/>
          <w:bCs/>
          <w:sz w:val="24"/>
          <w:szCs w:val="24"/>
        </w:rPr>
      </w:pPr>
      <w:r w:rsidRPr="00696E28">
        <w:rPr>
          <w:rFonts w:ascii="Arial" w:hAnsi="Arial" w:cs="Arial"/>
          <w:bCs/>
          <w:sz w:val="24"/>
          <w:szCs w:val="24"/>
        </w:rPr>
        <w:tab/>
        <w:t xml:space="preserve">Where: </w:t>
      </w:r>
      <w:r w:rsidRPr="00696E28">
        <w:rPr>
          <w:rFonts w:ascii="Arial" w:hAnsi="Arial" w:cs="Arial"/>
          <w:bCs/>
          <w:sz w:val="24"/>
          <w:szCs w:val="24"/>
        </w:rPr>
        <w:tab/>
        <w:t>0.553</w:t>
      </w:r>
      <w:r w:rsidRPr="00696E28">
        <w:rPr>
          <w:rFonts w:ascii="Arial" w:hAnsi="Arial" w:cs="Arial"/>
          <w:bCs/>
          <w:sz w:val="24"/>
          <w:szCs w:val="24"/>
          <w:lang w:val="en-US"/>
        </w:rPr>
        <w:t xml:space="preserve"> </w:t>
      </w:r>
      <w:r w:rsidRPr="00696E28">
        <w:rPr>
          <w:rFonts w:ascii="Arial" w:hAnsi="Arial" w:cs="Arial"/>
          <w:bCs/>
          <w:sz w:val="24"/>
          <w:szCs w:val="24"/>
        </w:rPr>
        <w:t>is constant</w:t>
      </w:r>
    </w:p>
    <w:p w:rsidR="00696E28" w:rsidRPr="00696E28" w:rsidRDefault="00696E28" w:rsidP="00696E28">
      <w:pPr>
        <w:spacing w:after="0" w:line="360" w:lineRule="auto"/>
        <w:ind w:left="1440" w:firstLine="720"/>
        <w:rPr>
          <w:rFonts w:ascii="Arial" w:hAnsi="Arial" w:cs="Arial"/>
          <w:bCs/>
          <w:sz w:val="24"/>
          <w:szCs w:val="24"/>
        </w:rPr>
      </w:pPr>
      <w:r w:rsidRPr="00696E28">
        <w:rPr>
          <w:rFonts w:ascii="Arial" w:hAnsi="Arial" w:cs="Arial"/>
          <w:bCs/>
          <w:sz w:val="24"/>
          <w:szCs w:val="24"/>
        </w:rPr>
        <w:t>X</w:t>
      </w:r>
      <w:r w:rsidRPr="00696E28">
        <w:rPr>
          <w:rFonts w:ascii="Arial" w:hAnsi="Arial" w:cs="Arial"/>
          <w:bCs/>
          <w:sz w:val="24"/>
          <w:szCs w:val="24"/>
          <w:vertAlign w:val="subscript"/>
        </w:rPr>
        <w:t>1</w:t>
      </w:r>
      <w:r w:rsidRPr="00696E28">
        <w:rPr>
          <w:rFonts w:ascii="Arial" w:hAnsi="Arial" w:cs="Arial"/>
          <w:bCs/>
          <w:sz w:val="24"/>
          <w:szCs w:val="24"/>
        </w:rPr>
        <w:t xml:space="preserve">= </w:t>
      </w:r>
      <w:r w:rsidRPr="00696E28">
        <w:rPr>
          <w:rFonts w:ascii="Arial" w:hAnsi="Arial" w:cs="Arial"/>
          <w:bCs/>
          <w:sz w:val="24"/>
          <w:szCs w:val="24"/>
          <w:lang w:val="en-US"/>
        </w:rPr>
        <w:t>Normative Commitment</w:t>
      </w:r>
    </w:p>
    <w:p w:rsidR="00696E28" w:rsidRPr="00696E28" w:rsidRDefault="00696E28" w:rsidP="00696E28">
      <w:pPr>
        <w:spacing w:after="0" w:line="360" w:lineRule="auto"/>
        <w:ind w:left="1440" w:firstLine="720"/>
        <w:rPr>
          <w:rFonts w:ascii="Arial" w:hAnsi="Arial" w:cs="Arial"/>
          <w:bCs/>
          <w:sz w:val="24"/>
          <w:szCs w:val="24"/>
          <w:lang w:val="en-US"/>
        </w:rPr>
      </w:pPr>
      <w:r w:rsidRPr="00696E28">
        <w:rPr>
          <w:rFonts w:ascii="Arial" w:hAnsi="Arial" w:cs="Arial"/>
          <w:bCs/>
          <w:sz w:val="24"/>
          <w:szCs w:val="24"/>
        </w:rPr>
        <w:t>X</w:t>
      </w:r>
      <w:r w:rsidRPr="00696E28">
        <w:rPr>
          <w:rFonts w:ascii="Arial" w:hAnsi="Arial" w:cs="Arial"/>
          <w:bCs/>
          <w:sz w:val="24"/>
          <w:szCs w:val="24"/>
          <w:vertAlign w:val="subscript"/>
        </w:rPr>
        <w:t>2</w:t>
      </w:r>
      <w:r w:rsidRPr="00696E28">
        <w:rPr>
          <w:rFonts w:ascii="Arial" w:hAnsi="Arial" w:cs="Arial"/>
          <w:bCs/>
          <w:sz w:val="24"/>
          <w:szCs w:val="24"/>
        </w:rPr>
        <w:t xml:space="preserve">= </w:t>
      </w:r>
      <w:r w:rsidRPr="00696E28">
        <w:rPr>
          <w:rFonts w:ascii="Arial" w:hAnsi="Arial" w:cs="Arial"/>
          <w:bCs/>
          <w:sz w:val="24"/>
          <w:szCs w:val="24"/>
          <w:lang w:val="en-US"/>
        </w:rPr>
        <w:t>Affective Commitment</w:t>
      </w:r>
    </w:p>
    <w:p w:rsidR="00696E28" w:rsidRPr="00696E28" w:rsidRDefault="00696E28" w:rsidP="00696E28">
      <w:pPr>
        <w:spacing w:after="0" w:line="360" w:lineRule="auto"/>
        <w:ind w:left="1440" w:firstLine="720"/>
        <w:rPr>
          <w:rFonts w:ascii="Arial" w:hAnsi="Arial" w:cs="Arial"/>
          <w:bCs/>
          <w:sz w:val="24"/>
          <w:szCs w:val="24"/>
          <w:lang w:val="en-US"/>
        </w:rPr>
      </w:pPr>
      <w:r w:rsidRPr="00696E28">
        <w:rPr>
          <w:rFonts w:ascii="Arial" w:hAnsi="Arial" w:cs="Arial"/>
          <w:bCs/>
          <w:sz w:val="24"/>
          <w:szCs w:val="24"/>
        </w:rPr>
        <w:t>X</w:t>
      </w:r>
      <w:r w:rsidRPr="00696E28">
        <w:rPr>
          <w:rFonts w:ascii="Arial" w:hAnsi="Arial" w:cs="Arial"/>
          <w:bCs/>
          <w:sz w:val="24"/>
          <w:szCs w:val="24"/>
          <w:vertAlign w:val="subscript"/>
        </w:rPr>
        <w:t>3</w:t>
      </w:r>
      <w:r w:rsidRPr="00696E28">
        <w:rPr>
          <w:rFonts w:ascii="Arial" w:hAnsi="Arial" w:cs="Arial"/>
          <w:bCs/>
          <w:sz w:val="24"/>
          <w:szCs w:val="24"/>
        </w:rPr>
        <w:t xml:space="preserve">= </w:t>
      </w:r>
      <w:r w:rsidRPr="00696E28">
        <w:rPr>
          <w:rFonts w:ascii="Arial" w:hAnsi="Arial" w:cs="Arial"/>
          <w:bCs/>
          <w:sz w:val="24"/>
          <w:szCs w:val="24"/>
          <w:lang w:val="en-US"/>
        </w:rPr>
        <w:t>Organizational Development</w:t>
      </w:r>
    </w:p>
    <w:p w:rsidR="00696E28" w:rsidRPr="00696E28" w:rsidRDefault="00696E28" w:rsidP="00696E28">
      <w:pPr>
        <w:spacing w:after="0" w:line="360" w:lineRule="auto"/>
        <w:ind w:left="1440" w:firstLine="720"/>
        <w:rPr>
          <w:rFonts w:ascii="Arial" w:hAnsi="Arial" w:cs="Arial"/>
          <w:bCs/>
          <w:sz w:val="24"/>
          <w:szCs w:val="24"/>
          <w:lang w:val="en-US"/>
        </w:rPr>
      </w:pPr>
      <w:r w:rsidRPr="00696E28">
        <w:rPr>
          <w:rFonts w:ascii="Arial" w:hAnsi="Arial" w:cs="Arial"/>
          <w:bCs/>
          <w:sz w:val="24"/>
          <w:szCs w:val="24"/>
        </w:rPr>
        <w:t>X</w:t>
      </w:r>
      <w:r w:rsidRPr="00696E28">
        <w:rPr>
          <w:rFonts w:ascii="Arial" w:hAnsi="Arial" w:cs="Arial"/>
          <w:bCs/>
          <w:sz w:val="24"/>
          <w:szCs w:val="24"/>
          <w:vertAlign w:val="subscript"/>
        </w:rPr>
        <w:t>4</w:t>
      </w:r>
      <w:r w:rsidRPr="00696E28">
        <w:rPr>
          <w:rFonts w:ascii="Arial" w:hAnsi="Arial" w:cs="Arial"/>
          <w:bCs/>
          <w:sz w:val="24"/>
          <w:szCs w:val="24"/>
        </w:rPr>
        <w:t xml:space="preserve">= </w:t>
      </w:r>
      <w:r w:rsidRPr="00696E28">
        <w:rPr>
          <w:rFonts w:ascii="Arial" w:hAnsi="Arial" w:cs="Arial"/>
          <w:bCs/>
          <w:sz w:val="24"/>
          <w:szCs w:val="24"/>
          <w:lang w:val="en-US"/>
        </w:rPr>
        <w:t>Instructional Development</w:t>
      </w:r>
    </w:p>
    <w:p w:rsidR="00696E28" w:rsidRPr="00696E28" w:rsidRDefault="00696E28" w:rsidP="00696E28">
      <w:pPr>
        <w:spacing w:after="0" w:line="360" w:lineRule="auto"/>
        <w:ind w:left="1440" w:firstLine="720"/>
        <w:rPr>
          <w:rFonts w:ascii="Arial" w:hAnsi="Arial" w:cs="Arial"/>
          <w:bCs/>
          <w:sz w:val="24"/>
          <w:szCs w:val="24"/>
          <w:lang w:val="en-US"/>
        </w:rPr>
      </w:pPr>
      <w:r w:rsidRPr="00696E28">
        <w:rPr>
          <w:rFonts w:ascii="Arial" w:hAnsi="Arial" w:cs="Arial"/>
          <w:bCs/>
          <w:sz w:val="24"/>
          <w:szCs w:val="24"/>
        </w:rPr>
        <w:t>X</w:t>
      </w:r>
      <w:r w:rsidRPr="00696E28">
        <w:rPr>
          <w:rFonts w:ascii="Arial" w:hAnsi="Arial" w:cs="Arial"/>
          <w:bCs/>
          <w:sz w:val="24"/>
          <w:szCs w:val="24"/>
          <w:vertAlign w:val="subscript"/>
        </w:rPr>
        <w:t>5</w:t>
      </w:r>
      <w:r w:rsidRPr="00696E28">
        <w:rPr>
          <w:rFonts w:ascii="Arial" w:hAnsi="Arial" w:cs="Arial"/>
          <w:bCs/>
          <w:sz w:val="24"/>
          <w:szCs w:val="24"/>
        </w:rPr>
        <w:t xml:space="preserve">= </w:t>
      </w:r>
      <w:r w:rsidRPr="00696E28">
        <w:rPr>
          <w:rFonts w:ascii="Arial" w:hAnsi="Arial" w:cs="Arial"/>
          <w:bCs/>
          <w:sz w:val="24"/>
          <w:szCs w:val="24"/>
          <w:lang w:val="en-US"/>
        </w:rPr>
        <w:t>Personal Development</w:t>
      </w:r>
    </w:p>
    <w:p w:rsidR="00696E28" w:rsidRPr="00696E28" w:rsidRDefault="00696E28" w:rsidP="00696E28">
      <w:pPr>
        <w:pStyle w:val="NormalWeb"/>
        <w:spacing w:after="0" w:line="360" w:lineRule="auto"/>
        <w:ind w:firstLine="720"/>
        <w:rPr>
          <w:rFonts w:ascii="Arial" w:hAnsi="Arial" w:cs="Arial"/>
        </w:rPr>
      </w:pPr>
      <w:r w:rsidRPr="00696E28">
        <w:rPr>
          <w:rFonts w:ascii="Arial" w:eastAsia="Segoe UI" w:hAnsi="Arial" w:cs="Arial"/>
        </w:rPr>
        <w:t>Given the mean values of the independent variables:</w:t>
      </w:r>
    </w:p>
    <w:p w:rsidR="00696E28" w:rsidRPr="00696E28" w:rsidRDefault="00696E28" w:rsidP="00696E28">
      <w:pPr>
        <w:spacing w:after="0" w:line="360" w:lineRule="auto"/>
        <w:ind w:left="2200"/>
        <w:rPr>
          <w:rFonts w:ascii="Arial" w:hAnsi="Arial" w:cs="Arial"/>
          <w:sz w:val="24"/>
          <w:szCs w:val="24"/>
        </w:rPr>
      </w:pPr>
      <w:r w:rsidRPr="00696E28">
        <w:rPr>
          <w:rFonts w:ascii="Arial" w:eastAsia="Segoe UI" w:hAnsi="Arial" w:cs="Arial"/>
          <w:sz w:val="24"/>
          <w:szCs w:val="24"/>
        </w:rPr>
        <w:t>X</w:t>
      </w:r>
      <w:r w:rsidRPr="00696E28">
        <w:rPr>
          <w:rFonts w:ascii="Cambria Math" w:eastAsia="Segoe UI" w:hAnsi="Cambria Math" w:cs="Cambria Math"/>
          <w:sz w:val="24"/>
          <w:szCs w:val="24"/>
        </w:rPr>
        <w:t>₁</w:t>
      </w:r>
      <w:r w:rsidRPr="00696E28">
        <w:rPr>
          <w:rFonts w:ascii="Arial" w:eastAsia="Segoe UI" w:hAnsi="Arial" w:cs="Arial"/>
          <w:sz w:val="24"/>
          <w:szCs w:val="24"/>
        </w:rPr>
        <w:t xml:space="preserve"> = 3.47</w:t>
      </w:r>
    </w:p>
    <w:p w:rsidR="00696E28" w:rsidRPr="00696E28" w:rsidRDefault="00696E28" w:rsidP="00696E28">
      <w:pPr>
        <w:spacing w:after="0" w:line="360" w:lineRule="auto"/>
        <w:ind w:left="2200"/>
        <w:rPr>
          <w:rFonts w:ascii="Arial" w:hAnsi="Arial" w:cs="Arial"/>
          <w:sz w:val="24"/>
          <w:szCs w:val="24"/>
        </w:rPr>
      </w:pPr>
      <w:r w:rsidRPr="00696E28">
        <w:rPr>
          <w:rFonts w:ascii="Arial" w:eastAsia="Segoe UI" w:hAnsi="Arial" w:cs="Arial"/>
          <w:sz w:val="24"/>
          <w:szCs w:val="24"/>
        </w:rPr>
        <w:t>X</w:t>
      </w:r>
      <w:r w:rsidRPr="00696E28">
        <w:rPr>
          <w:rFonts w:ascii="Cambria Math" w:eastAsia="Segoe UI" w:hAnsi="Cambria Math" w:cs="Cambria Math"/>
          <w:sz w:val="24"/>
          <w:szCs w:val="24"/>
        </w:rPr>
        <w:t>₂</w:t>
      </w:r>
      <w:r w:rsidRPr="00696E28">
        <w:rPr>
          <w:rFonts w:ascii="Arial" w:eastAsia="Segoe UI" w:hAnsi="Arial" w:cs="Arial"/>
          <w:sz w:val="24"/>
          <w:szCs w:val="24"/>
        </w:rPr>
        <w:t xml:space="preserve"> = 3.49</w:t>
      </w:r>
    </w:p>
    <w:p w:rsidR="00696E28" w:rsidRPr="00696E28" w:rsidRDefault="00696E28" w:rsidP="00696E28">
      <w:pPr>
        <w:spacing w:after="0" w:line="360" w:lineRule="auto"/>
        <w:ind w:left="2200"/>
        <w:rPr>
          <w:rFonts w:ascii="Arial" w:hAnsi="Arial" w:cs="Arial"/>
          <w:sz w:val="24"/>
          <w:szCs w:val="24"/>
        </w:rPr>
      </w:pPr>
      <w:r w:rsidRPr="00696E28">
        <w:rPr>
          <w:rFonts w:ascii="Arial" w:eastAsia="Segoe UI" w:hAnsi="Arial" w:cs="Arial"/>
          <w:sz w:val="24"/>
          <w:szCs w:val="24"/>
        </w:rPr>
        <w:t>X</w:t>
      </w:r>
      <w:r w:rsidRPr="00696E28">
        <w:rPr>
          <w:rFonts w:ascii="Cambria Math" w:eastAsia="Segoe UI" w:hAnsi="Cambria Math" w:cs="Cambria Math"/>
          <w:sz w:val="24"/>
          <w:szCs w:val="24"/>
        </w:rPr>
        <w:t>₃</w:t>
      </w:r>
      <w:r w:rsidRPr="00696E28">
        <w:rPr>
          <w:rFonts w:ascii="Arial" w:eastAsia="Segoe UI" w:hAnsi="Arial" w:cs="Arial"/>
          <w:sz w:val="24"/>
          <w:szCs w:val="24"/>
        </w:rPr>
        <w:t xml:space="preserve"> = 3.9</w:t>
      </w:r>
      <w:r w:rsidRPr="00696E28">
        <w:rPr>
          <w:rFonts w:ascii="Arial" w:eastAsia="Segoe UI" w:hAnsi="Arial" w:cs="Arial"/>
          <w:sz w:val="24"/>
          <w:szCs w:val="24"/>
          <w:lang w:val="en-US"/>
        </w:rPr>
        <w:t>8</w:t>
      </w:r>
    </w:p>
    <w:p w:rsidR="00696E28" w:rsidRPr="00696E28" w:rsidRDefault="00696E28" w:rsidP="00696E28">
      <w:pPr>
        <w:spacing w:after="0" w:line="360" w:lineRule="auto"/>
        <w:ind w:left="2200"/>
        <w:rPr>
          <w:rFonts w:ascii="Arial" w:hAnsi="Arial" w:cs="Arial"/>
          <w:sz w:val="24"/>
          <w:szCs w:val="24"/>
        </w:rPr>
      </w:pPr>
      <w:r w:rsidRPr="00696E28">
        <w:rPr>
          <w:rFonts w:ascii="Arial" w:eastAsia="Segoe UI" w:hAnsi="Arial" w:cs="Arial"/>
          <w:sz w:val="24"/>
          <w:szCs w:val="24"/>
        </w:rPr>
        <w:t>X</w:t>
      </w:r>
      <w:r w:rsidRPr="00696E28">
        <w:rPr>
          <w:rFonts w:ascii="Cambria Math" w:eastAsia="Segoe UI" w:hAnsi="Cambria Math" w:cs="Cambria Math"/>
          <w:sz w:val="24"/>
          <w:szCs w:val="24"/>
        </w:rPr>
        <w:t>₄</w:t>
      </w:r>
      <w:r w:rsidRPr="00696E28">
        <w:rPr>
          <w:rFonts w:ascii="Arial" w:eastAsia="Segoe UI" w:hAnsi="Arial" w:cs="Arial"/>
          <w:sz w:val="24"/>
          <w:szCs w:val="24"/>
        </w:rPr>
        <w:t xml:space="preserve"> = 4.0</w:t>
      </w:r>
      <w:r w:rsidRPr="00696E28">
        <w:rPr>
          <w:rFonts w:ascii="Arial" w:eastAsia="Segoe UI" w:hAnsi="Arial" w:cs="Arial"/>
          <w:sz w:val="24"/>
          <w:szCs w:val="24"/>
          <w:lang w:val="en-US"/>
        </w:rPr>
        <w:t>2</w:t>
      </w:r>
    </w:p>
    <w:p w:rsidR="00696E28" w:rsidRPr="00696E28" w:rsidRDefault="00696E28" w:rsidP="00696E28">
      <w:pPr>
        <w:spacing w:after="0" w:line="360" w:lineRule="auto"/>
        <w:ind w:left="2200"/>
        <w:rPr>
          <w:rFonts w:ascii="Arial" w:hAnsi="Arial" w:cs="Arial"/>
          <w:sz w:val="24"/>
          <w:szCs w:val="24"/>
        </w:rPr>
      </w:pPr>
      <w:r w:rsidRPr="00696E28">
        <w:rPr>
          <w:rFonts w:ascii="Arial" w:eastAsia="Segoe UI" w:hAnsi="Arial" w:cs="Arial"/>
          <w:sz w:val="24"/>
          <w:szCs w:val="24"/>
        </w:rPr>
        <w:t>X</w:t>
      </w:r>
      <w:r w:rsidRPr="00696E28">
        <w:rPr>
          <w:rFonts w:ascii="Cambria Math" w:eastAsia="Segoe UI" w:hAnsi="Cambria Math" w:cs="Cambria Math"/>
          <w:sz w:val="24"/>
          <w:szCs w:val="24"/>
        </w:rPr>
        <w:t>₅</w:t>
      </w:r>
      <w:r w:rsidRPr="00696E28">
        <w:rPr>
          <w:rFonts w:ascii="Arial" w:eastAsia="Segoe UI" w:hAnsi="Arial" w:cs="Arial"/>
          <w:sz w:val="24"/>
          <w:szCs w:val="24"/>
        </w:rPr>
        <w:t>= 4.02</w:t>
      </w:r>
    </w:p>
    <w:p w:rsidR="00696E28" w:rsidRPr="00696E28" w:rsidRDefault="00696E28" w:rsidP="00696E28">
      <w:pPr>
        <w:spacing w:after="0" w:line="360" w:lineRule="auto"/>
        <w:ind w:firstLine="440"/>
        <w:jc w:val="both"/>
        <w:rPr>
          <w:rFonts w:ascii="Arial" w:eastAsia="Segoe UI" w:hAnsi="Arial" w:cs="Arial"/>
          <w:sz w:val="24"/>
          <w:szCs w:val="24"/>
        </w:rPr>
      </w:pPr>
      <w:r w:rsidRPr="00696E28">
        <w:rPr>
          <w:rFonts w:ascii="Arial" w:eastAsia="Segoe UI" w:hAnsi="Arial" w:cs="Arial"/>
          <w:kern w:val="0"/>
          <w:sz w:val="24"/>
          <w:szCs w:val="24"/>
          <w:lang w:val="en-US" w:eastAsia="zh-CN" w:bidi="ar"/>
        </w:rPr>
        <w:t>Y=0.553+0.227(3.47)+0.154(3.49)+0.164(3.98)+0.187(4.02)+0.156(4.02)</w:t>
      </w:r>
    </w:p>
    <w:p w:rsidR="00696E28" w:rsidRPr="00696E28" w:rsidRDefault="00696E28" w:rsidP="00696E28">
      <w:pPr>
        <w:spacing w:after="0" w:line="360" w:lineRule="auto"/>
        <w:ind w:left="2880" w:firstLine="720"/>
        <w:jc w:val="both"/>
        <w:rPr>
          <w:rFonts w:ascii="Arial" w:hAnsi="Arial" w:cs="Arial"/>
          <w:lang w:val="en-US" w:eastAsia="zh-CN"/>
        </w:rPr>
      </w:pPr>
      <w:r w:rsidRPr="00696E28">
        <w:rPr>
          <w:rFonts w:ascii="Arial" w:eastAsia="Segoe UI" w:hAnsi="Arial" w:cs="Arial"/>
          <w:kern w:val="0"/>
          <w:sz w:val="24"/>
          <w:szCs w:val="24"/>
          <w:lang w:val="en-US" w:eastAsia="zh-CN" w:bidi="ar"/>
        </w:rPr>
        <w:t>Y=3.91</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 regression analysis reveals that teachers’ workload demands are shaped not only by institutional structures but also by their sense of moral obligation and engagement in professional growth opportunities. The regression model demonstrates a moderately strong positive relationship between the predictor variables—professional development opportunities and organizational commitment—and teachers’ workload demands, indicating that these factors collectively exert a meaningful influence on how workload is perceived.</w:t>
      </w:r>
      <w:r w:rsidRPr="00696E28">
        <w:rPr>
          <w:rFonts w:ascii="Arial" w:eastAsia="Times New Roman" w:hAnsi="Arial" w:cs="Arial"/>
          <w:kern w:val="0"/>
          <w:sz w:val="24"/>
          <w:szCs w:val="24"/>
          <w:lang w:val="en-US" w:eastAsia="en-PH"/>
          <w14:ligatures w14:val="none"/>
        </w:rPr>
        <w:t xml:space="preserve"> </w:t>
      </w:r>
      <w:r w:rsidRPr="00696E28">
        <w:rPr>
          <w:rFonts w:ascii="Arial" w:eastAsia="Times New Roman" w:hAnsi="Arial" w:cs="Arial"/>
          <w:kern w:val="0"/>
          <w:sz w:val="24"/>
          <w:szCs w:val="24"/>
          <w:lang w:eastAsia="en-PH"/>
          <w14:ligatures w14:val="none"/>
        </w:rPr>
        <w:t>Using the regression equation and the mean values of the independent variables, the predicted value of workload demands (Y) is 3.91, which corresponds to a high level of workload demand. This suggests that when teachers exhibit average levels of professional development engagement and organizational commitment, they are likely to experience substantial workload demands in their professional roles. This finding confirms that workload demands are not merely incidental but are closely linked to teachers’ involvement and roles within their institutions.</w:t>
      </w:r>
      <w:r w:rsidRPr="00696E28">
        <w:rPr>
          <w:rFonts w:ascii="Arial" w:eastAsia="Times New Roman" w:hAnsi="Arial" w:cs="Arial"/>
          <w:kern w:val="0"/>
          <w:sz w:val="24"/>
          <w:szCs w:val="24"/>
          <w:lang w:val="en-US" w:eastAsia="en-PH"/>
          <w14:ligatures w14:val="none"/>
        </w:rPr>
        <w:t xml:space="preserve"> </w:t>
      </w:r>
      <w:r w:rsidRPr="00696E28">
        <w:rPr>
          <w:rFonts w:ascii="Arial" w:eastAsia="Times New Roman" w:hAnsi="Arial" w:cs="Arial"/>
          <w:kern w:val="0"/>
          <w:sz w:val="24"/>
          <w:szCs w:val="24"/>
          <w:lang w:eastAsia="en-PH"/>
          <w14:ligatures w14:val="none"/>
        </w:rPr>
        <w:t xml:space="preserve">The regression coefficients further </w:t>
      </w:r>
      <w:r w:rsidRPr="00696E28">
        <w:rPr>
          <w:rFonts w:ascii="Arial" w:eastAsia="Times New Roman" w:hAnsi="Arial" w:cs="Arial"/>
          <w:kern w:val="0"/>
          <w:sz w:val="24"/>
          <w:szCs w:val="24"/>
          <w:lang w:eastAsia="en-PH"/>
          <w14:ligatures w14:val="none"/>
        </w:rPr>
        <w:lastRenderedPageBreak/>
        <w:t>show that all predictors contribute positively to workload demands. Among them, normative commitment exerts the strongest influence, indicating that teachers who feel a moral obligation or duty to remain in their institutions tend to perceive workload demands more intensely. This highlights the role of ethical and value</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based attachment in shaping workload perceptions. In addition, professional development dimensions—particularly instructional development and organizational development—also show strong contributions, suggesting that as teachers engage more deeply in instructional improvement and organizational roles, their responsibilities expand. Affective commitment and personal development likewise contribute to workload demands, though to a lesser extent, reinforcing the view that emotional attachment and self</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development also play a role in workload perception.</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These findings imply that teachers’ workload demands are closely intertwined with their level of professional engagement and organizational attachment. The predicted high workload demand value suggests that as teachers become more committed and actively involved in professional development activities, their roles naturally expand, leading to increased workload perceptions. While professional development opportunities enhance teachers’ competencies and effectiveness, they may also intensify workload demands if not accompanied by adequate institutional support.</w:t>
      </w:r>
      <w:r w:rsidRPr="00696E28">
        <w:rPr>
          <w:rFonts w:ascii="Arial" w:eastAsia="Times New Roman" w:hAnsi="Arial" w:cs="Arial"/>
          <w:kern w:val="0"/>
          <w:sz w:val="24"/>
          <w:szCs w:val="24"/>
          <w:lang w:val="en-US" w:eastAsia="en-PH"/>
          <w14:ligatures w14:val="none"/>
        </w:rPr>
        <w:t xml:space="preserve"> </w:t>
      </w:r>
      <w:r w:rsidRPr="00696E28">
        <w:rPr>
          <w:rFonts w:ascii="Arial" w:eastAsia="Times New Roman" w:hAnsi="Arial" w:cs="Arial"/>
          <w:kern w:val="0"/>
          <w:sz w:val="24"/>
          <w:szCs w:val="24"/>
          <w:lang w:eastAsia="en-PH"/>
          <w14:ligatures w14:val="none"/>
        </w:rPr>
        <w:t>Institutions should therefore adopt a balanced approach in promoting professional development and strengthening organizational commitment. Providing additional support mechanisms, realistic workload planning, and appropriate recognition for expanded roles may help mitigate the increased workload associated with higher commitment and professional engagement. By aligning professional growth initiatives with effective workload management strategies, schools can sustain teacher motivation, prevent burnout, and ensure that professional development remains a source of empowerment rather than strain.</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 xml:space="preserve">The findings align with </w:t>
      </w:r>
      <w:r w:rsidRPr="00696E28">
        <w:rPr>
          <w:rFonts w:ascii="Arial" w:eastAsia="Times New Roman" w:hAnsi="Arial" w:cs="Arial"/>
          <w:bCs/>
          <w:kern w:val="0"/>
          <w:sz w:val="24"/>
          <w:szCs w:val="24"/>
          <w:lang w:eastAsia="en-PH"/>
          <w14:ligatures w14:val="none"/>
        </w:rPr>
        <w:t>Ballenas et al. (2023)</w:t>
      </w:r>
      <w:r w:rsidRPr="00696E28">
        <w:rPr>
          <w:rFonts w:ascii="Arial" w:eastAsia="Times New Roman" w:hAnsi="Arial" w:cs="Arial"/>
          <w:kern w:val="0"/>
          <w:sz w:val="24"/>
          <w:szCs w:val="24"/>
          <w:lang w:eastAsia="en-PH"/>
          <w14:ligatures w14:val="none"/>
        </w:rPr>
        <w:t xml:space="preserve">, who emphasized that compliance with CPD is influenced by organizational learning culture and managerial support, reinforcing the link between development and workload perception. Similarly, </w:t>
      </w:r>
      <w:r w:rsidRPr="00696E28">
        <w:rPr>
          <w:rFonts w:ascii="Arial" w:eastAsia="Times New Roman" w:hAnsi="Arial" w:cs="Arial"/>
          <w:bCs/>
          <w:kern w:val="0"/>
          <w:sz w:val="24"/>
          <w:szCs w:val="24"/>
          <w:lang w:eastAsia="en-PH"/>
          <w14:ligatures w14:val="none"/>
        </w:rPr>
        <w:t>Saikia et al. (2025)</w:t>
      </w:r>
      <w:r w:rsidRPr="00696E28">
        <w:rPr>
          <w:rFonts w:ascii="Arial" w:eastAsia="Times New Roman" w:hAnsi="Arial" w:cs="Arial"/>
          <w:kern w:val="0"/>
          <w:sz w:val="24"/>
          <w:szCs w:val="24"/>
          <w:lang w:eastAsia="en-PH"/>
          <w14:ligatures w14:val="none"/>
        </w:rPr>
        <w:t xml:space="preserve"> highlighted that institutional governance and support systems sustain professional development while helping teachers manage workload demands effectively. These studies affirm that workload pressures are intertwined with both professional growth and organizational commitment, underscoring the need for balanced institutional strategies.</w:t>
      </w: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0B536A" w:rsidRDefault="000B536A" w:rsidP="000B536A">
      <w:pPr>
        <w:spacing w:before="240" w:line="360" w:lineRule="auto"/>
        <w:jc w:val="center"/>
        <w:rPr>
          <w:rFonts w:ascii="Arial" w:hAnsi="Arial" w:cs="Arial"/>
          <w:sz w:val="24"/>
          <w:szCs w:val="24"/>
          <w:u w:val="single"/>
          <w:lang w:val="en-US"/>
        </w:rPr>
      </w:pPr>
      <w:r>
        <w:rPr>
          <w:rFonts w:ascii="Arial" w:hAnsi="Arial" w:cs="Arial"/>
          <w:sz w:val="24"/>
          <w:szCs w:val="24"/>
          <w:u w:val="single"/>
          <w:lang w:val="en-US"/>
        </w:rPr>
        <w:t>Conclusions</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rPr>
        <w:t xml:space="preserve">Based on the findings of this study, the following conclusions </w:t>
      </w:r>
      <w:r>
        <w:rPr>
          <w:rFonts w:ascii="Arial" w:hAnsi="Arial" w:cs="Arial"/>
          <w:sz w:val="24"/>
          <w:szCs w:val="24"/>
          <w:lang w:val="en-US"/>
        </w:rPr>
        <w:t xml:space="preserve">were </w:t>
      </w:r>
      <w:r>
        <w:rPr>
          <w:rFonts w:ascii="Arial" w:hAnsi="Arial" w:cs="Arial"/>
          <w:sz w:val="24"/>
          <w:szCs w:val="24"/>
        </w:rPr>
        <w:t>drawn:</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 xml:space="preserve">Teachers consistently demonstrated engagement in Professional Development Opportunities (PDOs) across instructional, scientific, personal, and organizational domains, with all dimensions rated as High Opportunity. </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 xml:space="preserve">Teachers exhibited moderate levels of organizational commitment across affective, continuance, and normative dimensions. </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 xml:space="preserve">The overall level of workload demands was interpreted as High, with teachers reporting high workload demand in time, quantitative, and qualitative expectations. </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The study concludes that there is a significant correlation between workload demands and both professional development opportunities and organizational commitment. Therefore, the null hypothesis (Ho</w:t>
      </w:r>
      <w:r>
        <w:rPr>
          <w:rFonts w:ascii="Arial" w:hAnsi="Arial" w:cs="Arial"/>
          <w:sz w:val="24"/>
          <w:szCs w:val="24"/>
          <w:vertAlign w:val="subscript"/>
          <w:lang w:val="en-US"/>
        </w:rPr>
        <w:t>1</w:t>
      </w:r>
      <w:r>
        <w:rPr>
          <w:rFonts w:ascii="Arial" w:hAnsi="Arial" w:cs="Arial"/>
          <w:sz w:val="24"/>
          <w:szCs w:val="24"/>
          <w:lang w:val="en-US"/>
        </w:rPr>
        <w:t>) stating that there is no significant relationship between PDOs and organizational commitment is failed to be accepted. Similarly, the null hypothesis (Ho</w:t>
      </w:r>
      <w:r>
        <w:rPr>
          <w:rFonts w:ascii="Arial" w:hAnsi="Arial" w:cs="Arial"/>
          <w:sz w:val="24"/>
          <w:szCs w:val="24"/>
          <w:vertAlign w:val="subscript"/>
          <w:lang w:val="en-US"/>
        </w:rPr>
        <w:t>2</w:t>
      </w:r>
      <w:r>
        <w:rPr>
          <w:rFonts w:ascii="Arial" w:hAnsi="Arial" w:cs="Arial"/>
          <w:sz w:val="24"/>
          <w:szCs w:val="24"/>
          <w:lang w:val="en-US"/>
        </w:rPr>
        <w:t>) regarding workload demands and organizational commitment is also failed to be accepted, confirming that these variables are significantly related.</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Finally, regression analysis revealed that normative commitment, affective commitment, and instructional, organizational, and personal professional development opportunities significantly predict workload demands. Therefore, the null hypothesis (Ho</w:t>
      </w:r>
      <w:r>
        <w:rPr>
          <w:rFonts w:ascii="Arial" w:hAnsi="Arial" w:cs="Arial"/>
          <w:sz w:val="24"/>
          <w:szCs w:val="24"/>
          <w:vertAlign w:val="subscript"/>
          <w:lang w:val="en-US"/>
        </w:rPr>
        <w:t>3</w:t>
      </w:r>
      <w:r>
        <w:rPr>
          <w:rFonts w:ascii="Arial" w:hAnsi="Arial" w:cs="Arial"/>
          <w:sz w:val="24"/>
          <w:szCs w:val="24"/>
          <w:lang w:val="en-US"/>
        </w:rPr>
        <w:t>) stating that there are no variables</w:t>
      </w:r>
      <w:r>
        <w:rPr>
          <w:rFonts w:ascii="Arial" w:hAnsi="Arial" w:cs="Arial" w:hint="cs"/>
          <w:sz w:val="24"/>
          <w:szCs w:val="24"/>
          <w:lang w:val="en-US"/>
        </w:rPr>
        <w:t>—</w:t>
      </w:r>
      <w:r>
        <w:rPr>
          <w:rFonts w:ascii="Arial" w:hAnsi="Arial" w:cs="Arial"/>
          <w:sz w:val="24"/>
          <w:szCs w:val="24"/>
          <w:lang w:val="en-US"/>
        </w:rPr>
        <w:t>singly or in combination</w:t>
      </w:r>
      <w:r>
        <w:rPr>
          <w:rFonts w:ascii="Arial" w:hAnsi="Arial" w:cs="Arial" w:hint="cs"/>
          <w:sz w:val="24"/>
          <w:szCs w:val="24"/>
          <w:lang w:val="en-US"/>
        </w:rPr>
        <w:t>—</w:t>
      </w:r>
      <w:r>
        <w:rPr>
          <w:rFonts w:ascii="Arial" w:hAnsi="Arial" w:cs="Arial"/>
          <w:sz w:val="24"/>
          <w:szCs w:val="24"/>
          <w:lang w:val="en-US"/>
        </w:rPr>
        <w:t xml:space="preserve">among PDOs and organizational commitment that significantly predict workload demands is rejected. </w:t>
      </w:r>
    </w:p>
    <w:p w:rsidR="000B536A" w:rsidRDefault="000B536A" w:rsidP="000B536A">
      <w:pPr>
        <w:spacing w:line="240" w:lineRule="auto"/>
        <w:ind w:firstLine="720"/>
        <w:jc w:val="both"/>
        <w:rPr>
          <w:rFonts w:ascii="Arial" w:hAnsi="Arial" w:cs="Arial"/>
          <w:sz w:val="24"/>
          <w:szCs w:val="24"/>
          <w:lang w:val="en-US"/>
        </w:rPr>
      </w:pPr>
    </w:p>
    <w:p w:rsidR="000B536A" w:rsidRDefault="000B536A" w:rsidP="000B536A">
      <w:pPr>
        <w:spacing w:before="240" w:line="360" w:lineRule="auto"/>
        <w:jc w:val="center"/>
        <w:rPr>
          <w:rFonts w:ascii="Arial" w:hAnsi="Arial" w:cs="Arial"/>
          <w:sz w:val="24"/>
          <w:szCs w:val="24"/>
          <w:u w:val="single"/>
          <w:lang w:val="en-US"/>
        </w:rPr>
      </w:pPr>
      <w:r>
        <w:rPr>
          <w:rFonts w:ascii="Arial" w:hAnsi="Arial" w:cs="Arial"/>
          <w:sz w:val="24"/>
          <w:szCs w:val="24"/>
          <w:u w:val="single"/>
          <w:lang w:val="en-US"/>
        </w:rPr>
        <w:t>Recommendations</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rPr>
        <w:t>Based on the findings and the significance of this study, the following recommendations are proposed:</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lastRenderedPageBreak/>
        <w:t>Teachers are encouraged to maximize available Professional Development Opportunities (PDOs) while adopting effective workload management strategies. Since PDOs were found to significantly influence workload perceptions, teachers should engage in continuous learning but also practice time management and collaborative approaches to balance professional growth with well-being. This will enhance their competence while reducing stress associated with high workload demands.</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School administrators may design policies and programs that balance workload demands with meaningful professional development initiatives. Since organizational commitment was found to be moderate, institutions must strengthen supportive work environments by recognizing teachers’ contributions, ensuring equitable task distribution, and fostering collaboration. Doing so will not only improve teacher retention but also enhance institutional effectiveness.</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Students benefit most when teachers are professionally supported and organizationally committed. Institutions may therefore ensure that PDOs and workload management strategies directly translate into improved classroom practices. By supporting teachers’ growth and reducing unnecessary workload pressures, schools can improve learning outcomes and create a more positive educational experience for students.</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This study may serve as a reference for further investigations into the interplay of professional development, workload demands, and organizational commitment. Future research could expand to public school settings or explore additional variables such as teacher motivation, leadership practices, and institutional culture. Such studies will deepen understanding of teacher retention and professional fulfillment across diverse educational contexts.</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Since regression results confirmed that PDOs and organizational commitment significantly predict workload demands, policymakers and school leaders may integrate professional growth initiatives with workload management frameworks. This means aligning training programs with realistic expectations and providing institutional support systems that prevent burnout. By doing so, private schools in Bukidnon can strengthen teacher engagement, retention, and overall institutional success.</w:t>
      </w: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0B536A" w:rsidRDefault="000B536A" w:rsidP="000B536A">
      <w:pPr>
        <w:spacing w:before="100" w:beforeAutospacing="1" w:after="100" w:afterAutospacing="1" w:line="300" w:lineRule="atLeast"/>
        <w:jc w:val="both"/>
        <w:outlineLvl w:val="1"/>
        <w:rPr>
          <w:rFonts w:ascii="Arial" w:eastAsia="Times New Roman" w:hAnsi="Arial" w:cs="Arial"/>
          <w:b/>
          <w:bCs/>
          <w:kern w:val="0"/>
          <w:sz w:val="36"/>
          <w:szCs w:val="36"/>
          <w:lang w:eastAsia="en-PH"/>
          <w14:ligatures w14:val="none"/>
        </w:rPr>
      </w:pPr>
      <w:r>
        <w:rPr>
          <w:rFonts w:ascii="Arial" w:eastAsia="Times New Roman" w:hAnsi="Arial" w:cs="Arial"/>
          <w:b/>
          <w:bCs/>
          <w:kern w:val="0"/>
          <w:sz w:val="36"/>
          <w:szCs w:val="36"/>
          <w:lang w:eastAsia="en-PH"/>
          <w14:ligatures w14:val="none"/>
        </w:rPr>
        <w:t>REFERENCES</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Abdrakhmanova, K., Kadirbayeva, R., Kudaibergenova, K., Zharmukhanbetov, S., &amp; Nurmukhanbetova, N. (2025). Formation of STEM competencies of future teachers: Kazakhstani experience. </w:t>
      </w:r>
      <w:r>
        <w:rPr>
          <w:rFonts w:ascii="Arial" w:hAnsi="Arial"/>
          <w:i/>
          <w:iCs/>
          <w:sz w:val="24"/>
          <w:szCs w:val="24"/>
          <w:lang w:val="en-US"/>
        </w:rPr>
        <w:t>Open Education Studies</w:t>
      </w:r>
      <w:r>
        <w:rPr>
          <w:rFonts w:ascii="Arial" w:hAnsi="Arial"/>
          <w:sz w:val="24"/>
          <w:szCs w:val="24"/>
          <w:lang w:val="en-US"/>
        </w:rPr>
        <w:t xml:space="preserve">, </w:t>
      </w:r>
      <w:r>
        <w:rPr>
          <w:rFonts w:ascii="Arial" w:hAnsi="Arial"/>
          <w:i/>
          <w:iCs/>
          <w:sz w:val="24"/>
          <w:szCs w:val="24"/>
          <w:lang w:val="en-US"/>
        </w:rPr>
        <w:t>7(1)</w:t>
      </w:r>
      <w:r>
        <w:rPr>
          <w:rFonts w:ascii="Arial" w:hAnsi="Arial"/>
          <w:sz w:val="24"/>
          <w:szCs w:val="24"/>
          <w:lang w:val="en-US"/>
        </w:rPr>
        <w:t xml:space="preserve">. https://doi.org/10.1515/edu-2024-0058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Abdullah, M. H. S., &amp; Hassan, N. M. (2024). Negative Implications of Workload among Teachers: A Systematic Literature Review. </w:t>
      </w:r>
      <w:r>
        <w:rPr>
          <w:rFonts w:ascii="Arial" w:hAnsi="Arial"/>
          <w:i/>
          <w:iCs/>
          <w:sz w:val="24"/>
          <w:szCs w:val="24"/>
          <w:lang w:val="en-US"/>
        </w:rPr>
        <w:t>International Journal of Academic Research in Progressive Education and Development</w:t>
      </w:r>
      <w:r>
        <w:rPr>
          <w:rFonts w:ascii="Arial" w:hAnsi="Arial"/>
          <w:sz w:val="24"/>
          <w:szCs w:val="24"/>
          <w:lang w:val="en-US"/>
        </w:rPr>
        <w:t>, 13(3). https://doi.org/10.6007/ijarped/v13-i3/22193</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Agcaoili, M. C., &amp; Bascos-Ocampo, R. (2022). Teaching readiness, workload analysis and performance of teachers in Luna District. </w:t>
      </w:r>
      <w:r>
        <w:rPr>
          <w:rFonts w:ascii="Arial" w:hAnsi="Arial"/>
          <w:i/>
          <w:iCs/>
          <w:sz w:val="24"/>
          <w:szCs w:val="24"/>
          <w:lang w:val="en-US"/>
        </w:rPr>
        <w:t>Asian Journal of Education and Social Studies</w:t>
      </w:r>
      <w:r>
        <w:rPr>
          <w:rFonts w:ascii="Arial" w:hAnsi="Arial"/>
          <w:sz w:val="24"/>
          <w:szCs w:val="24"/>
          <w:lang w:val="en-US"/>
        </w:rPr>
        <w:t xml:space="preserve">, 39–50. https://doi.org/10.9734/ajess/2022/v28i230674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Ahmad, A. (2018). The relationship among job characteristics organizational commitment and employee turnover intentions. </w:t>
      </w:r>
      <w:r>
        <w:rPr>
          <w:rFonts w:ascii="Arial" w:hAnsi="Arial"/>
          <w:i/>
          <w:iCs/>
          <w:sz w:val="24"/>
          <w:szCs w:val="24"/>
          <w:lang w:val="en-US"/>
        </w:rPr>
        <w:t>Journal of Work-Applied Management, 10(1)</w:t>
      </w:r>
      <w:r>
        <w:rPr>
          <w:rFonts w:ascii="Arial" w:hAnsi="Arial"/>
          <w:sz w:val="24"/>
          <w:szCs w:val="24"/>
          <w:lang w:val="en-US"/>
        </w:rPr>
        <w:t xml:space="preserve">, 74–92. https://doi.org/10.1108/jwam-09-2017-0027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Ahmed, S. a. M., Zhang, W., Ma, H., &amp; Feng, Z. (2023). Professional development for STEM educators: A bibliometric analysis of the recent progress. </w:t>
      </w:r>
      <w:r>
        <w:rPr>
          <w:rFonts w:ascii="Arial" w:hAnsi="Arial"/>
          <w:i/>
          <w:iCs/>
          <w:sz w:val="24"/>
          <w:szCs w:val="24"/>
          <w:lang w:val="en-US"/>
        </w:rPr>
        <w:t>Review of Education, 11(1)</w:t>
      </w:r>
      <w:r>
        <w:rPr>
          <w:rFonts w:ascii="Arial" w:hAnsi="Arial"/>
          <w:sz w:val="24"/>
          <w:szCs w:val="24"/>
          <w:lang w:val="en-US"/>
        </w:rPr>
        <w:t xml:space="preserve">. https://doi.org/10.1002/rev3.3392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Alda, R. C., Boholano, H. B., &amp; De Leon-Abao, E. (2024). Career progression of graduates in diploma for professional education. </w:t>
      </w:r>
      <w:r>
        <w:rPr>
          <w:rFonts w:ascii="Arial" w:hAnsi="Arial"/>
          <w:i/>
          <w:iCs/>
          <w:sz w:val="24"/>
          <w:szCs w:val="24"/>
          <w:lang w:val="en-US"/>
        </w:rPr>
        <w:t>Journal of Education and Learning (EduLearn), 19(1)</w:t>
      </w:r>
      <w:r>
        <w:rPr>
          <w:rFonts w:ascii="Arial" w:hAnsi="Arial"/>
          <w:sz w:val="24"/>
          <w:szCs w:val="24"/>
          <w:lang w:val="en-US"/>
        </w:rPr>
        <w:t>, 1–13. https://doi.org/10.11591/edulearn.v19i1.21831</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Allen, N. J., &amp; Meyer, J. P. (1990). The measurement and antecedents of affective, continuance and normative commitment to the organization. </w:t>
      </w:r>
      <w:r>
        <w:rPr>
          <w:rFonts w:ascii="Arial" w:hAnsi="Arial"/>
          <w:i/>
          <w:iCs/>
          <w:sz w:val="24"/>
          <w:szCs w:val="24"/>
          <w:lang w:val="en-US"/>
        </w:rPr>
        <w:t>Journal of Occupational Psychology, 63(1)</w:t>
      </w:r>
      <w:r>
        <w:rPr>
          <w:rFonts w:ascii="Arial" w:hAnsi="Arial"/>
          <w:sz w:val="24"/>
          <w:szCs w:val="24"/>
          <w:lang w:val="en-US"/>
        </w:rPr>
        <w:t>, 1–18. https://doi.org/10.1111/j.2044-8325.1990.tb00506.x</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Alomran, A. M., Ahmed, T. S. A., &amp; Kassem, A. M. (2024). Impact of organizational trust on organizational commitment: the moderating effect of national identity. </w:t>
      </w:r>
      <w:r>
        <w:rPr>
          <w:rFonts w:ascii="Arial" w:hAnsi="Arial"/>
          <w:i/>
          <w:iCs/>
          <w:sz w:val="24"/>
          <w:szCs w:val="24"/>
          <w:lang w:val="en-US"/>
        </w:rPr>
        <w:t>Cogent Social Sciences, 10(1)</w:t>
      </w:r>
      <w:r>
        <w:rPr>
          <w:rFonts w:ascii="Arial" w:hAnsi="Arial"/>
          <w:sz w:val="24"/>
          <w:szCs w:val="24"/>
          <w:lang w:val="en-US"/>
        </w:rPr>
        <w:t xml:space="preserve">. https://doi.org/10.1080/23311886.2024.2309712 </w:t>
      </w:r>
    </w:p>
    <w:p w:rsidR="000B536A" w:rsidRDefault="000B536A" w:rsidP="000B536A">
      <w:pPr>
        <w:spacing w:before="100" w:beforeAutospacing="1" w:after="100" w:afterAutospacing="1" w:line="240" w:lineRule="auto"/>
        <w:ind w:left="709" w:hanging="709"/>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lastRenderedPageBreak/>
        <w:t xml:space="preserve">Alves, P., Azevedo, J., &amp; Gonçalves, C. (2019). Teachers’ time management and workload: Implications for stress and performance. </w:t>
      </w:r>
      <w:r>
        <w:rPr>
          <w:rFonts w:ascii="Arial" w:eastAsia="Times New Roman" w:hAnsi="Arial" w:cs="Arial"/>
          <w:i/>
          <w:iCs/>
          <w:kern w:val="0"/>
          <w:sz w:val="24"/>
          <w:szCs w:val="24"/>
          <w:lang w:eastAsia="en-PH"/>
          <w14:ligatures w14:val="none"/>
        </w:rPr>
        <w:t>European Journal of Education Studies, 6(5)</w:t>
      </w:r>
      <w:r>
        <w:rPr>
          <w:rFonts w:ascii="Arial" w:eastAsia="Times New Roman" w:hAnsi="Arial" w:cs="Arial"/>
          <w:kern w:val="0"/>
          <w:sz w:val="24"/>
          <w:szCs w:val="24"/>
          <w:lang w:eastAsia="en-PH"/>
          <w14:ligatures w14:val="none"/>
        </w:rPr>
        <w:t>, 45–59.</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Ancho, I., &amp; Bongco, R. (2019). Exploring filipino teachers’ professional workload. </w:t>
      </w:r>
      <w:r>
        <w:rPr>
          <w:rFonts w:ascii="Arial" w:hAnsi="Arial"/>
          <w:i/>
          <w:iCs/>
          <w:sz w:val="24"/>
          <w:szCs w:val="24"/>
          <w:lang w:val="en-US"/>
        </w:rPr>
        <w:t>Journal of Research Policy &amp; Practice of Teachers &amp; Teacher Education, 9(2)</w:t>
      </w:r>
      <w:r>
        <w:rPr>
          <w:rFonts w:ascii="Arial" w:hAnsi="Arial"/>
          <w:sz w:val="24"/>
          <w:szCs w:val="24"/>
          <w:lang w:val="en-US"/>
        </w:rPr>
        <w:t xml:space="preserve">, 19–29. https://doi.org/10.37134/jrpptte.vol9.no2.2.2019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Arukaroha, J., &amp; Arubayi, D. O. (2022). WORK ETHICS CLIMATE AND ORGANIZATIONAL COMMITMENT IN NIGERIA: A survey of consumer goods companies. Management and Human Resource </w:t>
      </w:r>
      <w:r>
        <w:rPr>
          <w:rFonts w:ascii="Arial" w:hAnsi="Arial"/>
          <w:i/>
          <w:iCs/>
          <w:sz w:val="24"/>
          <w:szCs w:val="24"/>
          <w:lang w:val="en-US"/>
        </w:rPr>
        <w:t xml:space="preserve">Research Journal, 11–9. </w:t>
      </w:r>
      <w:r>
        <w:rPr>
          <w:rFonts w:ascii="Arial" w:hAnsi="Arial"/>
          <w:sz w:val="24"/>
          <w:szCs w:val="24"/>
          <w:lang w:val="en-US"/>
        </w:rPr>
        <w:t xml:space="preserve">https://cirdjournals.com/index.php/mhrrj/article/view/880/806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Avunduk, Y. (2021). The Relationship between Organizational Commitment and Job Satisfaction. </w:t>
      </w:r>
      <w:r>
        <w:rPr>
          <w:rFonts w:ascii="Arial" w:hAnsi="Arial"/>
          <w:i/>
          <w:iCs/>
          <w:sz w:val="24"/>
          <w:szCs w:val="24"/>
          <w:lang w:val="en-US"/>
        </w:rPr>
        <w:t>Journal of Educational Issues, 7(2)</w:t>
      </w:r>
      <w:r>
        <w:rPr>
          <w:rFonts w:ascii="Arial" w:hAnsi="Arial"/>
          <w:sz w:val="24"/>
          <w:szCs w:val="24"/>
          <w:lang w:val="en-US"/>
        </w:rPr>
        <w:t xml:space="preserve">, 146. https://doi.org/10.5296/jei.v7i2.18966 </w:t>
      </w:r>
    </w:p>
    <w:p w:rsidR="000B536A" w:rsidRDefault="000B536A" w:rsidP="000B536A">
      <w:pPr>
        <w:spacing w:line="240" w:lineRule="auto"/>
        <w:ind w:left="720" w:hanging="720"/>
        <w:jc w:val="both"/>
        <w:rPr>
          <w:rFonts w:ascii="Arial" w:hAnsi="Arial"/>
          <w:i/>
          <w:iCs/>
          <w:sz w:val="24"/>
          <w:szCs w:val="24"/>
          <w:lang w:val="en-US"/>
        </w:rPr>
      </w:pPr>
      <w:r>
        <w:rPr>
          <w:rFonts w:ascii="Arial" w:hAnsi="Arial"/>
          <w:sz w:val="24"/>
          <w:szCs w:val="24"/>
          <w:lang w:val="en-US"/>
        </w:rPr>
        <w:t xml:space="preserve">Bading, W. C. (2023). Organizational Commitment of Teachers: Its effects on the performance of students in the high Schools of Sanchez Mira, Cagayan. </w:t>
      </w:r>
      <w:r>
        <w:rPr>
          <w:rFonts w:ascii="Arial" w:hAnsi="Arial"/>
          <w:i/>
          <w:iCs/>
          <w:sz w:val="24"/>
          <w:szCs w:val="24"/>
          <w:lang w:val="en-US"/>
        </w:rPr>
        <w:t>AIDE Interdisciplinary Research Journal, 2</w:t>
      </w:r>
      <w:r>
        <w:rPr>
          <w:rFonts w:ascii="Arial" w:hAnsi="Arial"/>
          <w:sz w:val="24"/>
          <w:szCs w:val="24"/>
          <w:lang w:val="en-US"/>
        </w:rPr>
        <w:t>, 92–108.</w:t>
      </w:r>
      <w:r>
        <w:rPr>
          <w:rFonts w:ascii="Arial" w:hAnsi="Arial"/>
          <w:i/>
          <w:iCs/>
          <w:sz w:val="24"/>
          <w:szCs w:val="24"/>
          <w:lang w:val="en-US"/>
        </w:rPr>
        <w:t xml:space="preserve"> </w:t>
      </w:r>
    </w:p>
    <w:p w:rsidR="000B536A" w:rsidRDefault="000B536A" w:rsidP="000B536A">
      <w:pPr>
        <w:spacing w:before="100" w:beforeAutospacing="1" w:after="100" w:afterAutospacing="1" w:line="240" w:lineRule="auto"/>
        <w:ind w:left="709" w:hanging="709"/>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t xml:space="preserve">Bakker, A. B., &amp; Demerouti, E. (2017). Job demands–resources theory: Taking stock and looking forward. </w:t>
      </w:r>
      <w:r>
        <w:rPr>
          <w:rFonts w:ascii="Arial" w:eastAsia="Times New Roman" w:hAnsi="Arial" w:cs="Arial"/>
          <w:i/>
          <w:iCs/>
          <w:kern w:val="0"/>
          <w:sz w:val="24"/>
          <w:szCs w:val="24"/>
          <w:lang w:eastAsia="en-PH"/>
          <w14:ligatures w14:val="none"/>
        </w:rPr>
        <w:t>Journal of Occupational Health Psychology, 22</w:t>
      </w:r>
      <w:r>
        <w:rPr>
          <w:rFonts w:ascii="Arial" w:eastAsia="Times New Roman" w:hAnsi="Arial" w:cs="Arial"/>
          <w:kern w:val="0"/>
          <w:sz w:val="24"/>
          <w:szCs w:val="24"/>
          <w:lang w:eastAsia="en-PH"/>
          <w14:ligatures w14:val="none"/>
        </w:rPr>
        <w:t>(3), 273–285.</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Ballenas, G. J., Tidong, Y. P., Granaderos, R. D., &amp; Tagadiad, J. V. (2023). Research culture and organizational learning on professional development of secondary teachers. </w:t>
      </w:r>
      <w:r>
        <w:rPr>
          <w:rFonts w:ascii="Arial" w:hAnsi="Arial"/>
          <w:i/>
          <w:iCs/>
          <w:sz w:val="28"/>
          <w:szCs w:val="28"/>
          <w:lang w:val="en-US"/>
        </w:rPr>
        <w:t>American Journal of Educational Research, 11(9)</w:t>
      </w:r>
      <w:r>
        <w:rPr>
          <w:rFonts w:ascii="Arial" w:hAnsi="Arial"/>
          <w:sz w:val="24"/>
          <w:szCs w:val="24"/>
          <w:lang w:val="en-US"/>
        </w:rPr>
        <w:t xml:space="preserve">, 580–593. https://doi.org/10.12691/education-11-9-7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Banal, C. L., &amp; Cruz, R. a. O. (2022). Teachers’ resilience in facing workload adversities in times of pandemic: The case of the private school teachers in a developing country. </w:t>
      </w:r>
      <w:r>
        <w:rPr>
          <w:rFonts w:ascii="Arial" w:hAnsi="Arial"/>
          <w:i/>
          <w:iCs/>
          <w:sz w:val="28"/>
          <w:szCs w:val="28"/>
          <w:lang w:val="en-US"/>
        </w:rPr>
        <w:t>Indonesian Journal of Social Sciences, 14(1)</w:t>
      </w:r>
      <w:r>
        <w:rPr>
          <w:rFonts w:ascii="Arial" w:hAnsi="Arial"/>
          <w:sz w:val="24"/>
          <w:szCs w:val="24"/>
          <w:lang w:val="en-US"/>
        </w:rPr>
        <w:t xml:space="preserve">, 36–51. https://doi.org/10.20473/ijss.v14i1.35946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Batugal, M. L. C., &amp; Tindowen, D. J. C. (2019). Influence of organizational culture on teachers’ organizational commitment and job satisfaction: the case of Catholic higher education institutions in the Philippines. </w:t>
      </w:r>
      <w:r>
        <w:rPr>
          <w:rFonts w:ascii="Arial" w:hAnsi="Arial"/>
          <w:i/>
          <w:iCs/>
          <w:sz w:val="28"/>
          <w:szCs w:val="28"/>
          <w:lang w:val="en-US"/>
        </w:rPr>
        <w:t>Universal Journal of Educational Research, 7(11)</w:t>
      </w:r>
      <w:r>
        <w:rPr>
          <w:rFonts w:ascii="Arial" w:hAnsi="Arial"/>
          <w:sz w:val="24"/>
          <w:szCs w:val="24"/>
          <w:lang w:val="en-US"/>
        </w:rPr>
        <w:t xml:space="preserve">, 2432–2443. https://doi.org/10.13189/ujer.2019.071121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Beach, P., Minuk, A., &amp; Favret, E. (2022). Teachers’ Self-Directed Online Learning Strategies and Experiences: A Longitudinal study. </w:t>
      </w:r>
      <w:r>
        <w:rPr>
          <w:rFonts w:ascii="Arial" w:hAnsi="Arial"/>
          <w:i/>
          <w:iCs/>
          <w:sz w:val="28"/>
          <w:szCs w:val="28"/>
          <w:lang w:val="en-US"/>
        </w:rPr>
        <w:t>Online Learning, 26(4)</w:t>
      </w:r>
      <w:r>
        <w:rPr>
          <w:rFonts w:ascii="Arial" w:hAnsi="Arial"/>
          <w:sz w:val="24"/>
          <w:szCs w:val="24"/>
          <w:lang w:val="en-US"/>
        </w:rPr>
        <w:t>. https://doi.org/10.24059/olj.v26i4.3441</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Belay, S., Melese, S., &amp; Seifu, A. (2021). Advancing teachers’ human capital through effective leadership and institutional safety: Mediating effect of professional learning and teaching climate. </w:t>
      </w:r>
      <w:r>
        <w:rPr>
          <w:rFonts w:ascii="Arial" w:hAnsi="Arial"/>
          <w:i/>
          <w:iCs/>
          <w:sz w:val="24"/>
          <w:szCs w:val="24"/>
          <w:lang w:val="en-US"/>
        </w:rPr>
        <w:t>Taylor and Francis Online</w:t>
      </w:r>
      <w:r>
        <w:rPr>
          <w:rFonts w:ascii="Arial" w:hAnsi="Arial"/>
          <w:sz w:val="24"/>
          <w:szCs w:val="24"/>
          <w:lang w:val="en-US"/>
        </w:rPr>
        <w:t xml:space="preserve">. https://www.tandfonline.com/doi/epdf/10.1080/2331186X.2021.1912488?needAccess=true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Bellibaş, M. Ş., Gümüş, S., &amp; Chen, J. (2023). The impact of distributed leadership on teacher commitment: The mediation role of teacher workload stress and </w:t>
      </w:r>
      <w:r>
        <w:rPr>
          <w:rFonts w:ascii="Arial" w:hAnsi="Arial"/>
          <w:sz w:val="24"/>
          <w:szCs w:val="24"/>
          <w:lang w:val="en-US"/>
        </w:rPr>
        <w:lastRenderedPageBreak/>
        <w:t>teacher well</w:t>
      </w:r>
      <w:r>
        <w:rPr>
          <w:rFonts w:ascii="Cambria Math" w:hAnsi="Cambria Math" w:cs="Cambria Math"/>
          <w:sz w:val="24"/>
          <w:szCs w:val="24"/>
          <w:lang w:val="en-US"/>
        </w:rPr>
        <w:t>‐</w:t>
      </w:r>
      <w:r>
        <w:rPr>
          <w:rFonts w:ascii="Arial" w:hAnsi="Arial"/>
          <w:sz w:val="24"/>
          <w:szCs w:val="24"/>
          <w:lang w:val="en-US"/>
        </w:rPr>
        <w:t xml:space="preserve">being. </w:t>
      </w:r>
      <w:r>
        <w:rPr>
          <w:rFonts w:ascii="Arial" w:hAnsi="Arial"/>
          <w:i/>
          <w:iCs/>
          <w:sz w:val="24"/>
          <w:szCs w:val="24"/>
          <w:lang w:val="en-US"/>
        </w:rPr>
        <w:t>British Educational Research Journal, 50(2)</w:t>
      </w:r>
      <w:r>
        <w:rPr>
          <w:rFonts w:ascii="Arial" w:hAnsi="Arial"/>
          <w:sz w:val="24"/>
          <w:szCs w:val="24"/>
          <w:lang w:val="en-US"/>
        </w:rPr>
        <w:t>, 814–836. https://doi.org/10.1002/berj.3944</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Bhatt, S. P. (2021). Self-Directed Professional Development: EFL teachers’ understanding. </w:t>
      </w:r>
      <w:r>
        <w:rPr>
          <w:rFonts w:ascii="Arial" w:hAnsi="Arial"/>
          <w:i/>
          <w:iCs/>
          <w:sz w:val="24"/>
          <w:szCs w:val="24"/>
          <w:lang w:val="en-US"/>
        </w:rPr>
        <w:t>International Journal of Language and Literary Studies, 3(4)</w:t>
      </w:r>
      <w:r>
        <w:rPr>
          <w:rFonts w:ascii="Arial" w:hAnsi="Arial"/>
          <w:sz w:val="24"/>
          <w:szCs w:val="24"/>
          <w:lang w:val="en-US"/>
        </w:rPr>
        <w:t>, 196–208. https://doi.org/10.36892/ijlls.v3i4.737</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Bibi, A., Khalid, M. A., &amp; Hussain, A. (2019). Perceived organizational support and organizational commitment among special education teachers in Pakistan.</w:t>
      </w:r>
      <w:r>
        <w:rPr>
          <w:rFonts w:ascii="Arial" w:hAnsi="Arial"/>
          <w:i/>
          <w:iCs/>
          <w:sz w:val="24"/>
          <w:szCs w:val="24"/>
          <w:lang w:val="en-US"/>
        </w:rPr>
        <w:t xml:space="preserve"> International Journal of Educational Management, 33(5)</w:t>
      </w:r>
      <w:r>
        <w:rPr>
          <w:rFonts w:ascii="Arial" w:hAnsi="Arial"/>
          <w:sz w:val="24"/>
          <w:szCs w:val="24"/>
          <w:lang w:val="en-US"/>
        </w:rPr>
        <w:t xml:space="preserve">, 848–859. https://doi.org/10.1108/ijem-12-2017-0365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Blanco, C. G. R., Buenvinida, L. P., Tan, C. S., Yazon, A. D., &amp; Lapie, L. P. (2022). Organizational commitment, teachers’ empowerment, and transformational teaching of public elementary schools in Laguna, Philippines. </w:t>
      </w:r>
      <w:r>
        <w:rPr>
          <w:rFonts w:ascii="Arial" w:hAnsi="Arial"/>
          <w:i/>
          <w:iCs/>
          <w:sz w:val="24"/>
          <w:szCs w:val="24"/>
          <w:lang w:val="en-US"/>
        </w:rPr>
        <w:t>International Journal of Emerging Issues in Early Childhood Education, 4(2)</w:t>
      </w:r>
      <w:r>
        <w:rPr>
          <w:rFonts w:ascii="Arial" w:hAnsi="Arial"/>
          <w:sz w:val="24"/>
          <w:szCs w:val="24"/>
          <w:lang w:val="en-US"/>
        </w:rPr>
        <w:t xml:space="preserve">, 12–28. https://doi.org/10.31098/ijeiece.v4i2.1122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Burgin, X. D., &amp; Daniel, M. C. (2025). Ecuador’s goals for equity and inclusivity: In-service teachers’ perspectives. </w:t>
      </w:r>
      <w:r>
        <w:rPr>
          <w:rFonts w:ascii="Arial" w:hAnsi="Arial"/>
          <w:i/>
          <w:iCs/>
          <w:sz w:val="24"/>
          <w:szCs w:val="24"/>
          <w:lang w:val="en-US"/>
        </w:rPr>
        <w:t>Policy Futures in Education</w:t>
      </w:r>
      <w:r>
        <w:rPr>
          <w:rFonts w:ascii="Arial" w:hAnsi="Arial"/>
          <w:sz w:val="24"/>
          <w:szCs w:val="24"/>
          <w:lang w:val="en-US"/>
        </w:rPr>
        <w:t>. https://doi.org/10.1177/14782103251374376</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Cadenas, J. I. C. (2025). Human, social, cultural, and organizational capital as predictors of turnover intention among faculty in nursing education. Volume 1 Issue 8. https://doi.org/10.5281/zenodo.16788964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Camral, A., &amp; Sumayo, G. (2025). Continuing professional development engagement and pedagogical competence of public elementary school teachers. </w:t>
      </w:r>
      <w:r>
        <w:rPr>
          <w:rFonts w:ascii="Arial" w:hAnsi="Arial"/>
          <w:i/>
          <w:iCs/>
          <w:sz w:val="24"/>
          <w:szCs w:val="24"/>
          <w:lang w:val="en-US"/>
        </w:rPr>
        <w:t>International Journal of Multidisciplinary Studies in Higher Education, 2(1)</w:t>
      </w:r>
      <w:r>
        <w:rPr>
          <w:rFonts w:ascii="Arial" w:hAnsi="Arial"/>
          <w:sz w:val="24"/>
          <w:szCs w:val="24"/>
          <w:lang w:val="en-US"/>
        </w:rPr>
        <w:t>, 77–104. https://doi.org/10.70847/592788</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Cayupe, J. C., Bernedo-Moreira, D. H., Morales-García, W. C., Alcaraz, F. L., Peña, K. B. C., Saintila, J., &amp; Flores-Paredes, A. (2023). Self-efficacy, organizational commitment, workload as predictors of life satisfaction in elementary school teachers: the mediating role of job satisfaction. </w:t>
      </w:r>
      <w:r>
        <w:rPr>
          <w:rFonts w:ascii="Arial" w:hAnsi="Arial"/>
          <w:i/>
          <w:iCs/>
          <w:sz w:val="24"/>
          <w:szCs w:val="24"/>
          <w:lang w:val="en-US"/>
        </w:rPr>
        <w:t>Frontiers in Psychology, 14.</w:t>
      </w:r>
      <w:r>
        <w:rPr>
          <w:rFonts w:ascii="Arial" w:hAnsi="Arial"/>
          <w:sz w:val="24"/>
          <w:szCs w:val="24"/>
          <w:lang w:val="en-US"/>
        </w:rPr>
        <w:t xml:space="preserve"> https://doi.org/10.3389/fpsyg.2023.1066321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Chen, C., &amp; Fan, J. (2025). Predicting early childhood teachers’ job satisfaction by Pedagogical Leadership: a moderated mediation model of workload stress and professional collaboration. </w:t>
      </w:r>
      <w:r>
        <w:rPr>
          <w:rFonts w:ascii="Arial" w:hAnsi="Arial"/>
          <w:i/>
          <w:iCs/>
          <w:sz w:val="24"/>
          <w:szCs w:val="24"/>
          <w:lang w:val="en-US"/>
        </w:rPr>
        <w:t>Early Childhood Education Journal</w:t>
      </w:r>
      <w:r>
        <w:rPr>
          <w:rFonts w:ascii="Arial" w:hAnsi="Arial"/>
          <w:sz w:val="24"/>
          <w:szCs w:val="24"/>
          <w:lang w:val="en-US"/>
        </w:rPr>
        <w:t xml:space="preserve">. https://doi.org/10.1007/s10643-025-01960-5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Clores, S. C. (2025). Human resource management and teachers performance. </w:t>
      </w:r>
      <w:r>
        <w:rPr>
          <w:rFonts w:ascii="Arial" w:hAnsi="Arial"/>
          <w:i/>
          <w:iCs/>
          <w:sz w:val="24"/>
          <w:szCs w:val="24"/>
          <w:lang w:val="en-US"/>
        </w:rPr>
        <w:t>International Journal of Research Publications, 170(1)</w:t>
      </w:r>
      <w:r>
        <w:rPr>
          <w:rFonts w:ascii="Arial" w:hAnsi="Arial"/>
          <w:sz w:val="24"/>
          <w:szCs w:val="24"/>
          <w:lang w:val="en-US"/>
        </w:rPr>
        <w:t>. https://doi.org/10.47119/ijrp1001701420257751</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Collie, R. J., &amp; Mansfield, C. F. (2022). Teacher and school stress profiles: A multilevel examination and associations with work-related outcomes. </w:t>
      </w:r>
      <w:r>
        <w:rPr>
          <w:rFonts w:ascii="Arial" w:hAnsi="Arial"/>
          <w:i/>
          <w:iCs/>
          <w:sz w:val="24"/>
          <w:szCs w:val="24"/>
          <w:lang w:val="en-US"/>
        </w:rPr>
        <w:t>Teaching and Teacher Education, 116</w:t>
      </w:r>
      <w:r>
        <w:rPr>
          <w:rFonts w:ascii="Arial" w:hAnsi="Arial"/>
          <w:sz w:val="24"/>
          <w:szCs w:val="24"/>
          <w:lang w:val="en-US"/>
        </w:rPr>
        <w:t xml:space="preserve">, 103759. https://doi.org/10.1016/j.tate.2022.103759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Constantino, R. W., &amp; Antonio, R. P. (2025). MAPPING THE STEM EDUCATION RESEARCH IN THE PHILIPPINES. </w:t>
      </w:r>
      <w:r>
        <w:rPr>
          <w:rFonts w:ascii="Arial" w:hAnsi="Arial"/>
          <w:i/>
          <w:iCs/>
          <w:sz w:val="24"/>
          <w:szCs w:val="24"/>
          <w:lang w:val="en-US"/>
        </w:rPr>
        <w:t>Problems of Education in the 21st Century, 83(5)</w:t>
      </w:r>
      <w:r>
        <w:rPr>
          <w:rFonts w:ascii="Arial" w:hAnsi="Arial"/>
          <w:sz w:val="24"/>
          <w:szCs w:val="24"/>
          <w:lang w:val="en-US"/>
        </w:rPr>
        <w:t>, 626–644. https://doi.org/10.33225/pec/25.83.626</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lastRenderedPageBreak/>
        <w:t xml:space="preserve">Costa, M. C., Domingos, A. M. D., Teodoro, V. D., &amp; Vinhas, É. M. R. G. (2022). Teacher Professional Development in STEM Education: An Integrated Approach with Real-World Scenarios in Portugal. </w:t>
      </w:r>
      <w:r>
        <w:rPr>
          <w:rFonts w:ascii="Arial" w:hAnsi="Arial"/>
          <w:i/>
          <w:iCs/>
          <w:sz w:val="24"/>
          <w:szCs w:val="24"/>
          <w:lang w:val="en-US"/>
        </w:rPr>
        <w:t>Mathematics, 10(21)</w:t>
      </w:r>
      <w:r>
        <w:rPr>
          <w:rFonts w:ascii="Arial" w:hAnsi="Arial"/>
          <w:sz w:val="24"/>
          <w:szCs w:val="24"/>
          <w:lang w:val="en-US"/>
        </w:rPr>
        <w:t xml:space="preserve">, 3944. https://doi.org/10.3390/math10213944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Coventry, T. H., Maslin</w:t>
      </w:r>
      <w:r>
        <w:rPr>
          <w:rFonts w:ascii="Cambria Math" w:hAnsi="Cambria Math" w:cs="Cambria Math"/>
          <w:sz w:val="24"/>
          <w:szCs w:val="24"/>
          <w:lang w:val="en-US"/>
        </w:rPr>
        <w:t>‐</w:t>
      </w:r>
      <w:r>
        <w:rPr>
          <w:rFonts w:ascii="Arial" w:hAnsi="Arial"/>
          <w:sz w:val="24"/>
          <w:szCs w:val="24"/>
          <w:lang w:val="en-US"/>
        </w:rPr>
        <w:t xml:space="preserve">Prothero, S. E., &amp; Smith, G. (2015). Organizational impact of nurse supply and workload on nurses continuing professional development opportunities: an integrative review. </w:t>
      </w:r>
      <w:r>
        <w:rPr>
          <w:rFonts w:ascii="Arial" w:hAnsi="Arial"/>
          <w:i/>
          <w:iCs/>
          <w:sz w:val="24"/>
          <w:szCs w:val="24"/>
          <w:lang w:val="en-US"/>
        </w:rPr>
        <w:t>Journal of Advanced Nursing, 71(12)</w:t>
      </w:r>
      <w:r>
        <w:rPr>
          <w:rFonts w:ascii="Arial" w:hAnsi="Arial"/>
          <w:sz w:val="24"/>
          <w:szCs w:val="24"/>
          <w:lang w:val="en-US"/>
        </w:rPr>
        <w:t>, 2715–2727. https://doi.org/10.1111/jan.12724</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David, C. C., Albert, J. R. G., &amp; Vizmanos, J. F. V. (2019). Pressures on public school teachers and implications on quality. In Philippine Institute for </w:t>
      </w:r>
      <w:r>
        <w:rPr>
          <w:rFonts w:ascii="Arial" w:hAnsi="Arial"/>
          <w:i/>
          <w:iCs/>
          <w:sz w:val="24"/>
          <w:szCs w:val="24"/>
          <w:lang w:val="en-US"/>
        </w:rPr>
        <w:t xml:space="preserve">Development Studies. </w:t>
      </w:r>
      <w:r>
        <w:rPr>
          <w:rFonts w:ascii="Arial" w:hAnsi="Arial"/>
          <w:sz w:val="24"/>
          <w:szCs w:val="24"/>
          <w:lang w:val="en-US"/>
        </w:rPr>
        <w:t xml:space="preserve">https://pidswebs.pids.gov.ph/CDN/PUBLICATIONS/pidspn1901.pdf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Deep, P. D., Ghosh, N., &amp; Chen, Y. (2025). Faculty burnout in Higher Education: Effects on student engagement, learning outcomes, and Artificial Intelligence-Driven Institutional Responses. Journal of </w:t>
      </w:r>
      <w:r>
        <w:rPr>
          <w:rFonts w:ascii="Arial" w:hAnsi="Arial"/>
          <w:i/>
          <w:iCs/>
          <w:sz w:val="24"/>
          <w:szCs w:val="24"/>
          <w:lang w:val="en-US"/>
        </w:rPr>
        <w:t>Educational and Developmental Psychology, 15(1),</w:t>
      </w:r>
      <w:r>
        <w:rPr>
          <w:rFonts w:ascii="Arial" w:hAnsi="Arial"/>
          <w:sz w:val="24"/>
          <w:szCs w:val="24"/>
          <w:lang w:val="en-US"/>
        </w:rPr>
        <w:t xml:space="preserve"> 29. https://doi.org/10.5539/jedp.v15n1p29</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Demirbolat, A. O., Ihtiyaroğlu, N., &amp; Köse, E. K. (2017). AN INVESTIGATION OF THE RELATIONSHIP BETWEEN THE AFFECTIVE, NORMATIVE, AND CONTINUANCE COMMITMENT OF TEACHERS AND LEVELS OF EFFECTIVENESS. </w:t>
      </w:r>
      <w:r>
        <w:rPr>
          <w:rFonts w:ascii="Arial" w:hAnsi="Arial"/>
          <w:i/>
          <w:iCs/>
          <w:sz w:val="24"/>
          <w:szCs w:val="24"/>
          <w:lang w:val="en-US"/>
        </w:rPr>
        <w:t>European Journal of Education Studies, 3(7)</w:t>
      </w:r>
      <w:r>
        <w:rPr>
          <w:rFonts w:ascii="Arial" w:hAnsi="Arial"/>
          <w:sz w:val="24"/>
          <w:szCs w:val="24"/>
          <w:lang w:val="en-US"/>
        </w:rPr>
        <w:t xml:space="preserve">. https://doi.org/10.5281/zenodo.805996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Digamon, J. S., &amp; Prado, N. I. (2024). Teachers’ organizational commitment, citizenship behavior, engagement, and burnout in the next normal. In Transactions on computer systems and networks (pp. 83–97). https://doi.org/10.1007/978-981-97-4931-7_9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Dominado, N. L., &amp; Valdez, L. G. (2021). Stress in the workplace, depression, and academic workloads of public school teachers. International </w:t>
      </w:r>
      <w:r>
        <w:rPr>
          <w:rFonts w:ascii="Arial" w:hAnsi="Arial"/>
          <w:i/>
          <w:iCs/>
          <w:sz w:val="24"/>
          <w:szCs w:val="24"/>
          <w:lang w:val="en-US"/>
        </w:rPr>
        <w:t>Journal of Multidisciplinary Applied Business and Education Research, 2(5)</w:t>
      </w:r>
      <w:r>
        <w:rPr>
          <w:rFonts w:ascii="Arial" w:hAnsi="Arial"/>
          <w:sz w:val="24"/>
          <w:szCs w:val="24"/>
          <w:lang w:val="en-US"/>
        </w:rPr>
        <w:t xml:space="preserve">, 417–423. https://doi.org/10.11594/ijmaber.02.05.08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Edward, C. J., &amp; Roda, S. J. (2022). Association between Teachers’ Selflessness and School Organizational Commitment. International </w:t>
      </w:r>
      <w:r>
        <w:rPr>
          <w:rFonts w:ascii="Arial" w:hAnsi="Arial"/>
          <w:i/>
          <w:iCs/>
          <w:sz w:val="24"/>
          <w:szCs w:val="24"/>
          <w:lang w:val="en-US"/>
        </w:rPr>
        <w:t>Journal of Education Science Technology and Engineering (IJESTE), 5(2)</w:t>
      </w:r>
      <w:r>
        <w:rPr>
          <w:rFonts w:ascii="Arial" w:hAnsi="Arial"/>
          <w:sz w:val="24"/>
          <w:szCs w:val="24"/>
          <w:lang w:val="en-US"/>
        </w:rPr>
        <w:t xml:space="preserve">, 22–33. https://doi.org/10.36079/lamintang.ijeste-0502.410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Effrosyni, B. (2020). Intercultural Story-Based Framework in Young Language Learners’ Classrooms: from alternative teaching to alternative assessment. </w:t>
      </w:r>
      <w:r>
        <w:rPr>
          <w:rFonts w:ascii="Arial" w:hAnsi="Arial"/>
          <w:i/>
          <w:iCs/>
          <w:sz w:val="24"/>
          <w:szCs w:val="24"/>
          <w:lang w:val="en-US"/>
        </w:rPr>
        <w:t>Language Teaching Research Quarterly, 17</w:t>
      </w:r>
      <w:r>
        <w:rPr>
          <w:rFonts w:ascii="Arial" w:hAnsi="Arial"/>
          <w:sz w:val="24"/>
          <w:szCs w:val="24"/>
          <w:lang w:val="en-US"/>
        </w:rPr>
        <w:t xml:space="preserve">, 55–69. https://doi.org/10.32038/ltrq.2020.17.05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Ekmekci, A., Aqazade, M., McGraw, R., Rushton, G., Gibson, D. J., Cerosaletti, C., Daley, M., &amp; Kucuk, B. (2025). Using human, social, structural, and positive psychological capital to explore science and mathematics teacher retention. </w:t>
      </w:r>
      <w:r>
        <w:rPr>
          <w:rFonts w:ascii="Arial" w:hAnsi="Arial"/>
          <w:i/>
          <w:iCs/>
          <w:sz w:val="24"/>
          <w:szCs w:val="24"/>
          <w:lang w:val="en-US"/>
        </w:rPr>
        <w:t>International Journal of STEM Education, 12(1)</w:t>
      </w:r>
      <w:r>
        <w:rPr>
          <w:rFonts w:ascii="Arial" w:hAnsi="Arial"/>
          <w:sz w:val="24"/>
          <w:szCs w:val="24"/>
          <w:lang w:val="en-US"/>
        </w:rPr>
        <w:t xml:space="preserve">. https://doi.org/10.1186/s40594-024-00523-1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Escal, R. J. B. (2024). Organizational Culture and Commitment among the Academic Staff of Teacher Education Institutions: The Case of Northwest Samar State University, Philippines. </w:t>
      </w:r>
      <w:r>
        <w:rPr>
          <w:rFonts w:ascii="Arial" w:hAnsi="Arial"/>
          <w:i/>
          <w:iCs/>
          <w:sz w:val="24"/>
          <w:szCs w:val="24"/>
          <w:lang w:val="en-US"/>
        </w:rPr>
        <w:t>In Innovations</w:t>
      </w:r>
      <w:r>
        <w:rPr>
          <w:rFonts w:ascii="Arial" w:hAnsi="Arial"/>
          <w:sz w:val="24"/>
          <w:szCs w:val="24"/>
          <w:lang w:val="en-US"/>
        </w:rPr>
        <w:t xml:space="preserve">. https://www.journal-innovations.com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lastRenderedPageBreak/>
        <w:t xml:space="preserve">Evers, A. T., Van Der Heijden, B. I. J. M., Kreijns, K., Evers, A. T., Van Der Heijden, B. I. J. M., &amp; Kreijns, K. (2016). Organisational and task factors influencing teachers’ professional development at work. </w:t>
      </w:r>
      <w:r>
        <w:rPr>
          <w:rFonts w:ascii="Arial" w:hAnsi="Arial"/>
          <w:i/>
          <w:iCs/>
          <w:sz w:val="24"/>
          <w:szCs w:val="24"/>
          <w:lang w:val="en-US"/>
        </w:rPr>
        <w:t>European Journal of Training and Development, 40(1)</w:t>
      </w:r>
      <w:r>
        <w:rPr>
          <w:rFonts w:ascii="Arial" w:hAnsi="Arial"/>
          <w:sz w:val="24"/>
          <w:szCs w:val="24"/>
          <w:lang w:val="en-US"/>
        </w:rPr>
        <w:t>, 36–55. https://doi.org/10.1108/ejtd-03-2015-0023</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Farisi, S., Muslih, N., Siswadi, Y., &amp; Arif, M. (2024). Factor affecting work engagement, affective commitment, and organizational citizenship behavior. </w:t>
      </w:r>
      <w:r>
        <w:rPr>
          <w:rFonts w:ascii="Arial" w:hAnsi="Arial"/>
          <w:i/>
          <w:iCs/>
          <w:sz w:val="24"/>
          <w:szCs w:val="24"/>
          <w:lang w:val="en-US"/>
        </w:rPr>
        <w:t>Jurnal Manajemen, 28(2)</w:t>
      </w:r>
      <w:r>
        <w:rPr>
          <w:rFonts w:ascii="Arial" w:hAnsi="Arial"/>
          <w:sz w:val="24"/>
          <w:szCs w:val="24"/>
          <w:lang w:val="en-US"/>
        </w:rPr>
        <w:t xml:space="preserve">, 293–317. https://doi.org/10.24912/jm.v28i2.1817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Fehintola, V. A., Onyemah, T. N., A, I. S., Raji, N. A., Sylvester, A. O., &amp; Adewuyi, H. O. (2023). Enhancing teaching productivity among university staffers: the influence of organizational commitment and workload. </w:t>
      </w:r>
      <w:r>
        <w:rPr>
          <w:rFonts w:ascii="Arial" w:hAnsi="Arial"/>
          <w:i/>
          <w:iCs/>
          <w:sz w:val="24"/>
          <w:szCs w:val="24"/>
          <w:lang w:val="en-US"/>
        </w:rPr>
        <w:t>Journal of General Education and Humanities,</w:t>
      </w:r>
      <w:r>
        <w:rPr>
          <w:rFonts w:ascii="Arial" w:hAnsi="Arial"/>
          <w:sz w:val="24"/>
          <w:szCs w:val="24"/>
          <w:lang w:val="en-US"/>
        </w:rPr>
        <w:t xml:space="preserve"> 3(1), 37–46. https://doi.org/10.58421/gehu.v3i1.190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Fernandes, S., Araújo, A. M., Miguel, I., &amp; Abelha, M. (2023). Teacher Professional development in Higher Education: The impact of pedagogical training perceived by teachers. </w:t>
      </w:r>
      <w:r>
        <w:rPr>
          <w:rFonts w:ascii="Arial" w:hAnsi="Arial"/>
          <w:i/>
          <w:iCs/>
          <w:sz w:val="24"/>
          <w:szCs w:val="24"/>
          <w:lang w:val="en-US"/>
        </w:rPr>
        <w:t>Education Sciences, 13(3)</w:t>
      </w:r>
      <w:r>
        <w:rPr>
          <w:rFonts w:ascii="Arial" w:hAnsi="Arial"/>
          <w:sz w:val="24"/>
          <w:szCs w:val="24"/>
          <w:lang w:val="en-US"/>
        </w:rPr>
        <w:t>, 309. https://doi.org/10.3390/educsci13030309</w:t>
      </w:r>
    </w:p>
    <w:p w:rsidR="000B536A" w:rsidRDefault="000B536A" w:rsidP="000B536A">
      <w:pPr>
        <w:spacing w:before="100" w:beforeAutospacing="1" w:after="100" w:afterAutospacing="1" w:line="240" w:lineRule="auto"/>
        <w:ind w:left="709" w:hanging="709"/>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t xml:space="preserve">Geiger, T., &amp; Pivovarova, M. (2018). The effects of teacher workload on attrition and instructional quality. </w:t>
      </w:r>
      <w:r>
        <w:rPr>
          <w:rFonts w:ascii="Arial" w:eastAsia="Times New Roman" w:hAnsi="Arial" w:cs="Arial"/>
          <w:i/>
          <w:iCs/>
          <w:kern w:val="0"/>
          <w:sz w:val="24"/>
          <w:szCs w:val="24"/>
          <w:lang w:eastAsia="en-PH"/>
          <w14:ligatures w14:val="none"/>
        </w:rPr>
        <w:t>Education Policy Analysis Archives, 26</w:t>
      </w:r>
      <w:r>
        <w:rPr>
          <w:rFonts w:ascii="Arial" w:eastAsia="Times New Roman" w:hAnsi="Arial" w:cs="Arial"/>
          <w:kern w:val="0"/>
          <w:sz w:val="24"/>
          <w:szCs w:val="24"/>
          <w:lang w:eastAsia="en-PH"/>
          <w14:ligatures w14:val="none"/>
        </w:rPr>
        <w:t>(44), 1–30.</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Gökyer, N. (2018). Organizational commitment of high school teachers. </w:t>
      </w:r>
      <w:r>
        <w:rPr>
          <w:rFonts w:ascii="Arial" w:hAnsi="Arial"/>
          <w:i/>
          <w:iCs/>
          <w:sz w:val="24"/>
          <w:szCs w:val="24"/>
          <w:lang w:val="en-US"/>
        </w:rPr>
        <w:t>Journal of Education and Training Studies, 6(3a)</w:t>
      </w:r>
      <w:r>
        <w:rPr>
          <w:rFonts w:ascii="Arial" w:hAnsi="Arial"/>
          <w:sz w:val="24"/>
          <w:szCs w:val="24"/>
          <w:lang w:val="en-US"/>
        </w:rPr>
        <w:t xml:space="preserve">, 115. https://doi.org/10.11114/jets.v6i3a.3165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Guhao, E. S., Jr. (2019). ORGANIZATIONAL COMMITMENT OF PUBLIC SCHOOL TEACHERS: A STRUCTURAL EQUATION MODELING ANALYSIS. </w:t>
      </w:r>
      <w:r>
        <w:rPr>
          <w:rFonts w:ascii="Arial" w:hAnsi="Arial"/>
          <w:i/>
          <w:iCs/>
          <w:sz w:val="24"/>
          <w:szCs w:val="24"/>
          <w:lang w:val="en-US"/>
        </w:rPr>
        <w:t>Malaysian Online Journal of Educational Management, 7(1)</w:t>
      </w:r>
      <w:r>
        <w:rPr>
          <w:rFonts w:ascii="Arial" w:hAnsi="Arial"/>
          <w:sz w:val="24"/>
          <w:szCs w:val="24"/>
          <w:lang w:val="en-US"/>
        </w:rPr>
        <w:t xml:space="preserve">, 57–91. https://doi.org/10.22452/mojem/vol7no1.4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Guiraldo-Tutania, M., &amp; Castro, J. (2025). Teachers’ narratives on professional growth and career advancement. </w:t>
      </w:r>
      <w:r>
        <w:rPr>
          <w:rFonts w:ascii="Arial" w:hAnsi="Arial"/>
          <w:i/>
          <w:iCs/>
          <w:sz w:val="24"/>
          <w:szCs w:val="24"/>
          <w:lang w:val="en-US"/>
        </w:rPr>
        <w:t>International Journal of Open-access Interdisciplinary and New Educational Discoveries of ETCOR Educational Research Center (iJOINED ETCOR), 4(2),</w:t>
      </w:r>
      <w:r>
        <w:rPr>
          <w:rFonts w:ascii="Arial" w:hAnsi="Arial"/>
          <w:sz w:val="24"/>
          <w:szCs w:val="24"/>
          <w:lang w:val="en-US"/>
        </w:rPr>
        <w:t xml:space="preserve"> 109–121. https://doi.org/10.63498/nxz2st260</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Gunawan, C. I., Maharani, N. D., &amp; Irawanto, D. W. (2024). Modeling Affective Commitment and Job Satisfaction as A Mediating Role in Predicting Turnover Intention among Gen Z Employees. </w:t>
      </w:r>
      <w:r>
        <w:rPr>
          <w:rFonts w:ascii="Arial" w:hAnsi="Arial"/>
          <w:i/>
          <w:iCs/>
          <w:sz w:val="24"/>
          <w:szCs w:val="24"/>
          <w:lang w:val="en-US"/>
        </w:rPr>
        <w:t>JBTI Jurnal Bisnis Teori Dan Implementasi, 15(2)</w:t>
      </w:r>
      <w:r>
        <w:rPr>
          <w:rFonts w:ascii="Arial" w:hAnsi="Arial"/>
          <w:sz w:val="24"/>
          <w:szCs w:val="24"/>
          <w:lang w:val="en-US"/>
        </w:rPr>
        <w:t xml:space="preserve">, 143–160. https://doi.org/10.18196/jbti.v15i2.20881 </w:t>
      </w:r>
    </w:p>
    <w:p w:rsidR="000B536A" w:rsidRDefault="000B536A" w:rsidP="000B536A">
      <w:pPr>
        <w:spacing w:before="100" w:beforeAutospacing="1" w:after="100" w:afterAutospacing="1" w:line="240" w:lineRule="auto"/>
        <w:ind w:left="709" w:hanging="709"/>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t xml:space="preserve">Hakanen, J. J., Bakker, A. B., &amp; Turunen, J. (2016). The future of teacher well-being: Coping with time pressure and demands. </w:t>
      </w:r>
      <w:r>
        <w:rPr>
          <w:rFonts w:ascii="Arial" w:eastAsia="Times New Roman" w:hAnsi="Arial" w:cs="Arial"/>
          <w:i/>
          <w:iCs/>
          <w:kern w:val="0"/>
          <w:sz w:val="24"/>
          <w:szCs w:val="24"/>
          <w:lang w:eastAsia="en-PH"/>
          <w14:ligatures w14:val="none"/>
        </w:rPr>
        <w:t>Educational Psychology Review</w:t>
      </w:r>
      <w:r>
        <w:rPr>
          <w:rFonts w:ascii="Arial" w:eastAsia="Times New Roman" w:hAnsi="Arial" w:cs="Arial"/>
          <w:kern w:val="0"/>
          <w:sz w:val="24"/>
          <w:szCs w:val="24"/>
          <w:lang w:eastAsia="en-PH"/>
          <w14:ligatures w14:val="none"/>
        </w:rPr>
        <w:t>.</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Hameli, K., &amp; Ordun, G. (2022). The mediating role of self-efficacy in the relationship between emotional intelligence and organizational commitment. </w:t>
      </w:r>
      <w:r>
        <w:rPr>
          <w:rFonts w:ascii="Arial" w:hAnsi="Arial"/>
          <w:i/>
          <w:iCs/>
          <w:sz w:val="24"/>
          <w:szCs w:val="24"/>
          <w:lang w:val="en-US"/>
        </w:rPr>
        <w:t>European Journal of Management Studies, 27(1)</w:t>
      </w:r>
      <w:r>
        <w:rPr>
          <w:rFonts w:ascii="Arial" w:hAnsi="Arial"/>
          <w:sz w:val="24"/>
          <w:szCs w:val="24"/>
          <w:lang w:val="en-US"/>
        </w:rPr>
        <w:t xml:space="preserve">, 75–97. https://doi.org/10.1108/ejms-05-2021-0033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Heffernan, A., Bright, D., Kim, M., Longmuir, F., &amp; Magyar, B. (2022). ‘I cannot sustain the workload and the emotional toll’: Reasons behind Australian </w:t>
      </w:r>
      <w:r>
        <w:rPr>
          <w:rFonts w:ascii="Arial" w:hAnsi="Arial"/>
          <w:sz w:val="24"/>
          <w:szCs w:val="24"/>
          <w:lang w:val="en-US"/>
        </w:rPr>
        <w:lastRenderedPageBreak/>
        <w:t xml:space="preserve">teachers’ intentions to leave the profession. </w:t>
      </w:r>
      <w:r>
        <w:rPr>
          <w:rFonts w:ascii="Arial" w:hAnsi="Arial"/>
          <w:i/>
          <w:iCs/>
          <w:sz w:val="24"/>
          <w:szCs w:val="24"/>
          <w:lang w:val="en-US"/>
        </w:rPr>
        <w:t>Australian Journal of Education, 66(2)</w:t>
      </w:r>
      <w:r>
        <w:rPr>
          <w:rFonts w:ascii="Arial" w:hAnsi="Arial"/>
          <w:sz w:val="24"/>
          <w:szCs w:val="24"/>
          <w:lang w:val="en-US"/>
        </w:rPr>
        <w:t>, 196–209. https://doi.org/10.1177/00049441221086654</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Herrera, S. (2018). Scholar commentary. </w:t>
      </w:r>
      <w:r>
        <w:rPr>
          <w:rFonts w:ascii="Arial" w:hAnsi="Arial"/>
          <w:i/>
          <w:iCs/>
          <w:sz w:val="24"/>
          <w:szCs w:val="24"/>
          <w:lang w:val="en-US"/>
        </w:rPr>
        <w:t>Teaching Education, 29(4)</w:t>
      </w:r>
      <w:r>
        <w:rPr>
          <w:rFonts w:ascii="Arial" w:hAnsi="Arial"/>
          <w:sz w:val="24"/>
          <w:szCs w:val="24"/>
          <w:lang w:val="en-US"/>
        </w:rPr>
        <w:t>, 424–428. https://doi.org/10.1080/10476210.2018.1508434</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Ikyanyon, D. N., &amp; Agber, I. A. (2020). Examining the Effect of Employee Commitment on Organizational Performance: Evidence from a Cement Manufacturing Company in Nigeria. </w:t>
      </w:r>
      <w:r>
        <w:rPr>
          <w:rFonts w:ascii="Arial" w:hAnsi="Arial"/>
          <w:i/>
          <w:iCs/>
          <w:sz w:val="24"/>
          <w:szCs w:val="24"/>
          <w:lang w:val="en-US"/>
        </w:rPr>
        <w:t>European Scientific Journal ESJ, 16(22)</w:t>
      </w:r>
      <w:r>
        <w:rPr>
          <w:rFonts w:ascii="Arial" w:hAnsi="Arial"/>
          <w:sz w:val="24"/>
          <w:szCs w:val="24"/>
          <w:lang w:val="en-US"/>
        </w:rPr>
        <w:t>. https://doi.org/10.19044/esj.2020.v16n22p78</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Imakpokpomwan, M. I., &amp; Odjugo, P. (2024). THE PLACE OF HUMAN CAPITAL FORMATION THEORY IN THE CONTINUOUS PROFESSIONAL DEVELOPMENT OF TEACHERS. </w:t>
      </w:r>
      <w:r>
        <w:rPr>
          <w:rFonts w:ascii="Arial" w:hAnsi="Arial"/>
          <w:i/>
          <w:iCs/>
          <w:sz w:val="24"/>
          <w:szCs w:val="24"/>
          <w:lang w:val="en-US"/>
        </w:rPr>
        <w:t>Journal of Theoretical and Empirical Studies in Education</w:t>
      </w:r>
      <w:r>
        <w:rPr>
          <w:rFonts w:ascii="Arial" w:hAnsi="Arial"/>
          <w:sz w:val="24"/>
          <w:szCs w:val="24"/>
          <w:lang w:val="en-US"/>
        </w:rPr>
        <w:t xml:space="preserve">. https://journals.unizik.edu.ng/jtese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Importante, S. C. B., &amp; Roberto, J. T. (2020). Workplace values and organizational commitment of basic education teachers in Catholic schools. </w:t>
      </w:r>
      <w:r>
        <w:rPr>
          <w:rFonts w:ascii="Arial" w:hAnsi="Arial"/>
          <w:i/>
          <w:iCs/>
          <w:sz w:val="24"/>
          <w:szCs w:val="24"/>
          <w:lang w:val="en-US"/>
        </w:rPr>
        <w:t>Philippine Social Science Journal, 3(2)</w:t>
      </w:r>
      <w:r>
        <w:rPr>
          <w:rFonts w:ascii="Arial" w:hAnsi="Arial"/>
          <w:sz w:val="24"/>
          <w:szCs w:val="24"/>
          <w:lang w:val="en-US"/>
        </w:rPr>
        <w:t xml:space="preserve">, 47–48. https://doi.org/10.52006/main.v3i2.224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Ishak, M., Oderinde, I., &amp; Ahmad, S. (2025). The role of Metacognitive Strategies in Enhancing learning Outcomes and Educational Efficiency: A Systematic review of Quantitative, Qualitative and Mixed-Method studies. </w:t>
      </w:r>
      <w:r>
        <w:rPr>
          <w:rFonts w:ascii="Arial" w:hAnsi="Arial"/>
          <w:i/>
          <w:iCs/>
          <w:sz w:val="24"/>
          <w:szCs w:val="24"/>
          <w:lang w:val="en-US"/>
        </w:rPr>
        <w:t>International Journal of Academic Research in Business and Social Sciences, 15(4)</w:t>
      </w:r>
      <w:r>
        <w:rPr>
          <w:rFonts w:ascii="Arial" w:hAnsi="Arial"/>
          <w:sz w:val="24"/>
          <w:szCs w:val="24"/>
          <w:lang w:val="en-US"/>
        </w:rPr>
        <w:t xml:space="preserve">. https://doi.org/10.6007/ijarbss/v15-i4/24964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Jarosinski, J. M., Seldomridge, L., Reid, T. P., &amp; Willey, J. (2021). Nurse faculty shortage. </w:t>
      </w:r>
      <w:r>
        <w:rPr>
          <w:rFonts w:ascii="Arial" w:hAnsi="Arial"/>
          <w:i/>
          <w:iCs/>
          <w:sz w:val="24"/>
          <w:szCs w:val="24"/>
          <w:lang w:val="en-US"/>
        </w:rPr>
        <w:t>Nurse Educator, 47(3)</w:t>
      </w:r>
      <w:r>
        <w:rPr>
          <w:rFonts w:ascii="Arial" w:hAnsi="Arial"/>
          <w:sz w:val="24"/>
          <w:szCs w:val="24"/>
          <w:lang w:val="en-US"/>
        </w:rPr>
        <w:t>, 151–155. https://doi.org/10.1097/nne.0000000000001139</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Jelongos, C. S., &amp; Naanep, N. D. (2025). Extra workload, time pressure and teachers’ stress levels. </w:t>
      </w:r>
      <w:r>
        <w:rPr>
          <w:rFonts w:ascii="Arial" w:hAnsi="Arial"/>
          <w:i/>
          <w:iCs/>
          <w:sz w:val="24"/>
          <w:szCs w:val="24"/>
          <w:lang w:val="en-US"/>
        </w:rPr>
        <w:t>International Journal of the Humanities and Social Sciences, 4(2).</w:t>
      </w:r>
      <w:r>
        <w:rPr>
          <w:rFonts w:ascii="Arial" w:hAnsi="Arial"/>
          <w:sz w:val="24"/>
          <w:szCs w:val="24"/>
          <w:lang w:val="en-US"/>
        </w:rPr>
        <w:t xml:space="preserve"> https://pantaojournal.com/wp-content/uploads/2025/05/38-Jelongos.pdf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Jerrim, J., &amp; Sims, S. (2020). Teacher workload and well-being. New international evidence from the OECD TALIS study. https://johnjerrim.com/wp-content/uploads/2020/11/working_paper_workload_wellbeing_november_2020.pdf</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Jimenez, J. B., Montes, N. T., Velez, J. D., &amp; Caballero, M. M. A. (2021). Organizational Communication in Relation to the Organizational Commitment among Local Government Employees, Panglao, Bohol. </w:t>
      </w:r>
      <w:r>
        <w:rPr>
          <w:rFonts w:ascii="Arial" w:hAnsi="Arial"/>
          <w:i/>
          <w:iCs/>
          <w:sz w:val="24"/>
          <w:szCs w:val="24"/>
          <w:lang w:val="en-US"/>
        </w:rPr>
        <w:t>University of Bohol Multidisciplinary Research Journal, 9(1)</w:t>
      </w:r>
      <w:r>
        <w:rPr>
          <w:rFonts w:ascii="Arial" w:hAnsi="Arial"/>
          <w:sz w:val="24"/>
          <w:szCs w:val="24"/>
          <w:lang w:val="en-US"/>
        </w:rPr>
        <w:t xml:space="preserve">, 30–56. https://doi.org/10.15631/ubmrj.v9i1.132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Johari, J., Tan, F. Y., &amp; Zulkarnain, Z. I. T. (2018). Autonomy, workload, work-life balance and job performance among teachers. </w:t>
      </w:r>
      <w:r>
        <w:rPr>
          <w:rFonts w:ascii="Arial" w:hAnsi="Arial"/>
          <w:i/>
          <w:iCs/>
          <w:sz w:val="24"/>
          <w:szCs w:val="24"/>
          <w:lang w:val="en-US"/>
        </w:rPr>
        <w:t>International Journal of Educational Management, 32(1)</w:t>
      </w:r>
      <w:r>
        <w:rPr>
          <w:rFonts w:ascii="Arial" w:hAnsi="Arial"/>
          <w:sz w:val="24"/>
          <w:szCs w:val="24"/>
          <w:lang w:val="en-US"/>
        </w:rPr>
        <w:t xml:space="preserve">, 107–120. https://doi.org/10.1108/ijem-10-2016-0226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Jomuad, P., Leah, M., Cericos, E., Bacus, J., Vallejo, J., Dionio, B., Bazar, J., Cocolan, J., &amp; Clarin, A. (2021). Teachers’ workload in relation to burnout and work performance. </w:t>
      </w:r>
      <w:r>
        <w:rPr>
          <w:rFonts w:ascii="Arial" w:hAnsi="Arial"/>
          <w:i/>
          <w:iCs/>
          <w:sz w:val="24"/>
          <w:szCs w:val="24"/>
          <w:lang w:val="en-US"/>
        </w:rPr>
        <w:t>International Journal of Educational Policy Research and Review, 8(2)</w:t>
      </w:r>
      <w:r>
        <w:rPr>
          <w:rFonts w:ascii="Arial" w:hAnsi="Arial"/>
          <w:sz w:val="24"/>
          <w:szCs w:val="24"/>
          <w:lang w:val="en-US"/>
        </w:rPr>
        <w:t>, 48–53. https://doi.org/10.15739/ijeprr.21.007</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lastRenderedPageBreak/>
        <w:t xml:space="preserve">Kalelioglu, F., &amp; Sentance, S. (2019). Teaching with physical computing in school: the case of the micro:bit. </w:t>
      </w:r>
      <w:r>
        <w:rPr>
          <w:rFonts w:ascii="Arial" w:hAnsi="Arial"/>
          <w:i/>
          <w:iCs/>
          <w:sz w:val="24"/>
          <w:szCs w:val="24"/>
          <w:lang w:val="en-US"/>
        </w:rPr>
        <w:t>Education and Information Technologies, 25(4)</w:t>
      </w:r>
      <w:r>
        <w:rPr>
          <w:rFonts w:ascii="Arial" w:hAnsi="Arial"/>
          <w:sz w:val="24"/>
          <w:szCs w:val="24"/>
          <w:lang w:val="en-US"/>
        </w:rPr>
        <w:t xml:space="preserve">, 2577–2603. https://doi.org/10.1007/s10639-019-10080-8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Karanfil, F., &amp; Khatami, M. (2021). The Correlation between Teachers’ Burnout and Workload : The Case of Iranian EFL Teachers. </w:t>
      </w:r>
      <w:r>
        <w:rPr>
          <w:rFonts w:ascii="Arial" w:hAnsi="Arial"/>
          <w:i/>
          <w:iCs/>
          <w:sz w:val="24"/>
          <w:szCs w:val="24"/>
          <w:lang w:val="en-US"/>
        </w:rPr>
        <w:t>The Journal of AsiaTEFL, 18(3),</w:t>
      </w:r>
      <w:r>
        <w:rPr>
          <w:rFonts w:ascii="Arial" w:hAnsi="Arial"/>
          <w:sz w:val="24"/>
          <w:szCs w:val="24"/>
          <w:lang w:val="en-US"/>
        </w:rPr>
        <w:t xml:space="preserve"> 1023–1031. https://doi.org/10.18823/asiatefl.2021.18.3.22.1023</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Kasáčová, B., Babiaková, S., &amp; Hanesová, D. (2019). PROFESSIONAL ACTIVITIES AND WORKLOAD OF PRIMARY SCHOOL TEACHERS: INTERNATIONAL COMPARISON. </w:t>
      </w:r>
      <w:r>
        <w:rPr>
          <w:rFonts w:ascii="Arial" w:hAnsi="Arial"/>
          <w:i/>
          <w:iCs/>
          <w:sz w:val="24"/>
          <w:szCs w:val="24"/>
          <w:lang w:val="en-US"/>
        </w:rPr>
        <w:t>ICERI Proceedings, 1,</w:t>
      </w:r>
      <w:r>
        <w:rPr>
          <w:rFonts w:ascii="Arial" w:hAnsi="Arial"/>
          <w:sz w:val="24"/>
          <w:szCs w:val="24"/>
          <w:lang w:val="en-US"/>
        </w:rPr>
        <w:t xml:space="preserve"> 1340–1349. https://doi.org/10.21125/iceri.2019.0402</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Khalid, K. (2020). The impact of managerial support on the association between pay satisfaction, continuance and affective commitment, and employee task performance. </w:t>
      </w:r>
      <w:r>
        <w:rPr>
          <w:rFonts w:ascii="Arial" w:hAnsi="Arial"/>
          <w:i/>
          <w:iCs/>
          <w:sz w:val="24"/>
          <w:szCs w:val="24"/>
          <w:lang w:val="en-US"/>
        </w:rPr>
        <w:t>SAGE Open, 10(1)</w:t>
      </w:r>
      <w:r>
        <w:rPr>
          <w:rFonts w:ascii="Arial" w:hAnsi="Arial"/>
          <w:sz w:val="24"/>
          <w:szCs w:val="24"/>
          <w:lang w:val="en-US"/>
        </w:rPr>
        <w:t xml:space="preserve">, 215824402091459. https://doi.org/10.1177/2158244020914591 </w:t>
      </w:r>
    </w:p>
    <w:p w:rsidR="000B536A" w:rsidRDefault="000B536A" w:rsidP="000B536A">
      <w:pPr>
        <w:spacing w:before="100" w:beforeAutospacing="1" w:after="100" w:afterAutospacing="1" w:line="240" w:lineRule="auto"/>
        <w:ind w:left="709" w:hanging="709"/>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t xml:space="preserve">Kim, J., &amp; Loadman, W. (2019). Teacher workload and job satisfaction: Implications for retention. </w:t>
      </w:r>
      <w:r>
        <w:rPr>
          <w:rFonts w:ascii="Arial" w:eastAsia="Times New Roman" w:hAnsi="Arial" w:cs="Arial"/>
          <w:i/>
          <w:iCs/>
          <w:kern w:val="0"/>
          <w:sz w:val="24"/>
          <w:szCs w:val="24"/>
          <w:lang w:eastAsia="en-PH"/>
          <w14:ligatures w14:val="none"/>
        </w:rPr>
        <w:t>International Journal of Education Policy, 12</w:t>
      </w:r>
      <w:r>
        <w:rPr>
          <w:rFonts w:ascii="Arial" w:eastAsia="Times New Roman" w:hAnsi="Arial" w:cs="Arial"/>
          <w:kern w:val="0"/>
          <w:sz w:val="24"/>
          <w:szCs w:val="24"/>
          <w:lang w:eastAsia="en-PH"/>
          <w14:ligatures w14:val="none"/>
        </w:rPr>
        <w:t>(3), 215–229.</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Klink, M. V. D., Kools, Q., Avissar, G., White, S., &amp; Sakata, T. (2016). Professional development of teacher educators: what do they do? Findings from an explorative international study. </w:t>
      </w:r>
      <w:r>
        <w:rPr>
          <w:rFonts w:ascii="Arial" w:hAnsi="Arial"/>
          <w:i/>
          <w:iCs/>
          <w:sz w:val="24"/>
          <w:szCs w:val="24"/>
          <w:lang w:val="en-US"/>
        </w:rPr>
        <w:t>Professional Development in Education, 43(2),</w:t>
      </w:r>
      <w:r>
        <w:rPr>
          <w:rFonts w:ascii="Arial" w:hAnsi="Arial"/>
          <w:sz w:val="24"/>
          <w:szCs w:val="24"/>
          <w:lang w:val="en-US"/>
        </w:rPr>
        <w:t xml:space="preserve"> 163–178. https://doi.org/10.1080/19415257.2015.1114506</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Kokubun, K. (2019). Organizational commitment, rewards and education in the Philippines. </w:t>
      </w:r>
      <w:r>
        <w:rPr>
          <w:rFonts w:ascii="Arial" w:hAnsi="Arial"/>
          <w:i/>
          <w:iCs/>
          <w:sz w:val="24"/>
          <w:szCs w:val="24"/>
          <w:lang w:val="en-US"/>
        </w:rPr>
        <w:t>International Journal of Organizational Analysis, 27(5)</w:t>
      </w:r>
      <w:r>
        <w:rPr>
          <w:rFonts w:ascii="Arial" w:hAnsi="Arial"/>
          <w:sz w:val="24"/>
          <w:szCs w:val="24"/>
          <w:lang w:val="en-US"/>
        </w:rPr>
        <w:t xml:space="preserve">, 1605–1630. https://doi.org/10.1108/ijoa-02-2019-1667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Lee, M., &amp; Kim, B. (2023). Effect of employee experience on organizational commitment: Case of South Korea. </w:t>
      </w:r>
      <w:r>
        <w:rPr>
          <w:rFonts w:ascii="Arial" w:hAnsi="Arial"/>
          <w:i/>
          <w:iCs/>
          <w:sz w:val="24"/>
          <w:szCs w:val="24"/>
          <w:lang w:val="en-US"/>
        </w:rPr>
        <w:t>Behavioral Sciences, 13(7)</w:t>
      </w:r>
      <w:r>
        <w:rPr>
          <w:rFonts w:ascii="Arial" w:hAnsi="Arial"/>
          <w:sz w:val="24"/>
          <w:szCs w:val="24"/>
          <w:lang w:val="en-US"/>
        </w:rPr>
        <w:t>, 521. https://doi.org/10.3390/bs13070521</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Lee, S., &amp; Schallert, D. L. (2016). Becoming a teacher: Coordinating past, present, and future selves with perspectival understandings about teaching. </w:t>
      </w:r>
      <w:r>
        <w:rPr>
          <w:rFonts w:ascii="Arial" w:hAnsi="Arial"/>
          <w:i/>
          <w:iCs/>
          <w:sz w:val="24"/>
          <w:szCs w:val="24"/>
          <w:lang w:val="en-US"/>
        </w:rPr>
        <w:t>Teaching and Teacher Education, 56</w:t>
      </w:r>
      <w:r>
        <w:rPr>
          <w:rFonts w:ascii="Arial" w:hAnsi="Arial"/>
          <w:sz w:val="24"/>
          <w:szCs w:val="24"/>
          <w:lang w:val="en-US"/>
        </w:rPr>
        <w:t xml:space="preserve">, 72–83. https://doi.org/10.1016/j.tate.2016.02.004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Lie, D., Saraswati, K. D. H., &amp; Lie, D. S. (2023). Work engagement influences affective commitment: psychological capital and perceived organisation support as moderators. </w:t>
      </w:r>
      <w:r>
        <w:rPr>
          <w:rFonts w:ascii="Arial" w:hAnsi="Arial"/>
          <w:i/>
          <w:iCs/>
          <w:sz w:val="24"/>
          <w:szCs w:val="24"/>
          <w:lang w:val="en-US"/>
        </w:rPr>
        <w:t>Journal of Indonesian Economy and Business, 38(2)</w:t>
      </w:r>
      <w:r>
        <w:rPr>
          <w:rFonts w:ascii="Arial" w:hAnsi="Arial"/>
          <w:sz w:val="24"/>
          <w:szCs w:val="24"/>
          <w:lang w:val="en-US"/>
        </w:rPr>
        <w:t>. https://doi.org/10.22146/jieb.v38i2.6821</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Lindfors, T., Ahtiainen, R., Heikonen, L., &amp; Toom, A. (2024). Leading cooperative professional development in educational reform at school, local and regional levels. </w:t>
      </w:r>
      <w:r>
        <w:rPr>
          <w:rFonts w:ascii="Arial" w:hAnsi="Arial"/>
          <w:i/>
          <w:iCs/>
          <w:sz w:val="24"/>
          <w:szCs w:val="24"/>
          <w:lang w:val="en-US"/>
        </w:rPr>
        <w:t>Research Papers in Education, 40(4),</w:t>
      </w:r>
      <w:r>
        <w:rPr>
          <w:rFonts w:ascii="Arial" w:hAnsi="Arial"/>
          <w:sz w:val="24"/>
          <w:szCs w:val="24"/>
          <w:lang w:val="en-US"/>
        </w:rPr>
        <w:t xml:space="preserve"> 587–612. https://doi.org/10.1080/02671522.2024.2447026</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Liu, W.-S., Li, X.-W., &amp; Zou, Y.-M. (2018). The Formation of Teachers’ Intrinsic Motivation in Professional Development. </w:t>
      </w:r>
      <w:r>
        <w:rPr>
          <w:rFonts w:ascii="Arial" w:hAnsi="Arial"/>
          <w:i/>
          <w:iCs/>
          <w:sz w:val="24"/>
          <w:szCs w:val="24"/>
          <w:lang w:val="en-US"/>
        </w:rPr>
        <w:t>Integr Psychol Behav Sci, 53(3)</w:t>
      </w:r>
      <w:r>
        <w:rPr>
          <w:rFonts w:ascii="Arial" w:hAnsi="Arial"/>
          <w:sz w:val="24"/>
          <w:szCs w:val="24"/>
          <w:lang w:val="en-US"/>
        </w:rPr>
        <w:t xml:space="preserve">, 30338438. https://dx.doi.org/10.1007/s12124-018-9465-3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lastRenderedPageBreak/>
        <w:t xml:space="preserve">Longmuir, F., &amp; McKay, A. (2024). Teachers workload strain: considering the density as well as the quantity of teachers work. </w:t>
      </w:r>
      <w:r>
        <w:rPr>
          <w:rFonts w:ascii="Arial" w:hAnsi="Arial"/>
          <w:i/>
          <w:iCs/>
          <w:sz w:val="24"/>
          <w:szCs w:val="24"/>
          <w:lang w:val="en-US"/>
        </w:rPr>
        <w:t>Curriculum Perspectives, 44(4)</w:t>
      </w:r>
      <w:r>
        <w:rPr>
          <w:rFonts w:ascii="Arial" w:hAnsi="Arial"/>
          <w:sz w:val="24"/>
          <w:szCs w:val="24"/>
          <w:lang w:val="en-US"/>
        </w:rPr>
        <w:t>, 561–565. https://doi.org/10.1007/s41297-024-00279-2</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Low, E. L., Goh, S., &amp; Tan, J. S. Y. (2022). The Future of work in Education: Teachers’ professional commitment in a changing world. ScholarWorks at UMass Boston, 34(1), 8. https://scholarworks.umb.edu/nejpp/vol34/iss1/8?utm_source=scholarworks.umb.edu%2Fnejpp%2Fvol34%2Fiss1%2F8&amp;utm_medium=PDF&amp;utm_campaign=PDFCoverPages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Ludwig-Beymer, P., Vottero, B., Coates, A., Blodgett, N., Rogers, J., &amp; McGonigal-Kenney, M. (2021). Nursing faculty workload. </w:t>
      </w:r>
      <w:r>
        <w:rPr>
          <w:rFonts w:ascii="Arial" w:hAnsi="Arial"/>
          <w:i/>
          <w:iCs/>
          <w:sz w:val="24"/>
          <w:szCs w:val="24"/>
          <w:lang w:val="en-US"/>
        </w:rPr>
        <w:t>Nurse Educator, 47(3),</w:t>
      </w:r>
      <w:r>
        <w:rPr>
          <w:rFonts w:ascii="Arial" w:hAnsi="Arial"/>
          <w:sz w:val="24"/>
          <w:szCs w:val="24"/>
          <w:lang w:val="en-US"/>
        </w:rPr>
        <w:t xml:space="preserve"> 174–179. https://doi.org/10.1097/nne.0000000000001121</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Mabitad, B. D., &amp; Gudelos, J. T. (2025). Understanding the Interplay of Stress, Workloads, and Teaching Performance: Evidence from Senior High School Teachers in the Philippines. </w:t>
      </w:r>
      <w:r>
        <w:rPr>
          <w:rFonts w:ascii="Arial" w:hAnsi="Arial"/>
          <w:i/>
          <w:iCs/>
          <w:sz w:val="24"/>
          <w:szCs w:val="24"/>
          <w:lang w:val="en-US"/>
        </w:rPr>
        <w:t>Business, Education, Social Sciences, and Technology, 1–1</w:t>
      </w:r>
      <w:r>
        <w:rPr>
          <w:rFonts w:ascii="Arial" w:hAnsi="Arial"/>
          <w:sz w:val="24"/>
          <w:szCs w:val="24"/>
          <w:lang w:val="en-US"/>
        </w:rPr>
        <w:t>, 113–118. https://doi.org/10.69478/BEST2025v1n1a018</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Magtalas, S. A. (2024). Teacher’s workload in relation to burnout and work performance. </w:t>
      </w:r>
      <w:r>
        <w:rPr>
          <w:rFonts w:ascii="Arial" w:hAnsi="Arial"/>
          <w:i/>
          <w:iCs/>
          <w:sz w:val="24"/>
          <w:szCs w:val="24"/>
          <w:lang w:val="en-US"/>
        </w:rPr>
        <w:t>International Journal of Multidisciplinary Applied Business and Education Research, 5(10),</w:t>
      </w:r>
      <w:r>
        <w:rPr>
          <w:rFonts w:ascii="Arial" w:hAnsi="Arial"/>
          <w:sz w:val="24"/>
          <w:szCs w:val="24"/>
          <w:lang w:val="en-US"/>
        </w:rPr>
        <w:t xml:space="preserve"> 4111–4123. https://doi.org/10.11594/ijmaber.05.10.24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Mallillin, L. L. D., &amp; Laurel, R. D. (2022). PROFESSIONAL DEVELOPMENT SYSTEM THEORY FOR QUALITY EDUCATION. </w:t>
      </w:r>
      <w:r>
        <w:rPr>
          <w:rFonts w:ascii="Arial" w:hAnsi="Arial"/>
          <w:i/>
          <w:iCs/>
          <w:sz w:val="24"/>
          <w:szCs w:val="24"/>
          <w:lang w:val="en-US"/>
        </w:rPr>
        <w:t>European Journal of Education Studies, 9(8)</w:t>
      </w:r>
      <w:r>
        <w:rPr>
          <w:rFonts w:ascii="Arial" w:hAnsi="Arial"/>
          <w:sz w:val="24"/>
          <w:szCs w:val="24"/>
          <w:lang w:val="en-US"/>
        </w:rPr>
        <w:t xml:space="preserve">. https://doi.org/10.46827/ejes.v9i8.4407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Manegdeg, J. F. T., &amp; Paglinawan, J. L. (2024). Collaboration opportunities and workload on professional development access of Public-School teachers. </w:t>
      </w:r>
      <w:r>
        <w:rPr>
          <w:rFonts w:ascii="Arial" w:hAnsi="Arial"/>
          <w:i/>
          <w:iCs/>
          <w:sz w:val="24"/>
          <w:szCs w:val="24"/>
          <w:lang w:val="en-US"/>
        </w:rPr>
        <w:t>International Journal of Research and Innovation in Applied Science, IX(XII)</w:t>
      </w:r>
      <w:r>
        <w:rPr>
          <w:rFonts w:ascii="Arial" w:hAnsi="Arial"/>
          <w:sz w:val="24"/>
          <w:szCs w:val="24"/>
          <w:lang w:val="en-US"/>
        </w:rPr>
        <w:t>, 64–79. https://doi.org/10.51584/ijrias.2024.912008</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Mangahas, T. L. S. (2023). Human capital development in university teaching environment: the role of workplace and innovation culture. International </w:t>
      </w:r>
      <w:r>
        <w:rPr>
          <w:rFonts w:ascii="Arial" w:hAnsi="Arial"/>
          <w:i/>
          <w:iCs/>
          <w:sz w:val="24"/>
          <w:szCs w:val="24"/>
          <w:lang w:val="en-US"/>
        </w:rPr>
        <w:t>Journal of Human Capital in Urban Management, 8(4)</w:t>
      </w:r>
      <w:r>
        <w:rPr>
          <w:rFonts w:ascii="Arial" w:hAnsi="Arial"/>
          <w:sz w:val="24"/>
          <w:szCs w:val="24"/>
          <w:lang w:val="en-US"/>
        </w:rPr>
        <w:t xml:space="preserve">, 469–484. https://doi.org/10.22034/IJHCUM.2023.04.03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Manuel, J., Carter, D., &amp; Dutton, J. (2018). “As much as I love being in the classroom . . .”: Understanding secondary English teachers’ workload. </w:t>
      </w:r>
      <w:r>
        <w:rPr>
          <w:rFonts w:ascii="Arial" w:hAnsi="Arial"/>
          <w:i/>
          <w:iCs/>
          <w:sz w:val="24"/>
          <w:szCs w:val="24"/>
          <w:lang w:val="en-US"/>
        </w:rPr>
        <w:t>Open Publications of UTS Scholars (University of Technology Sydney), 53(3),</w:t>
      </w:r>
      <w:r>
        <w:rPr>
          <w:rFonts w:ascii="Arial" w:hAnsi="Arial"/>
          <w:sz w:val="24"/>
          <w:szCs w:val="24"/>
          <w:lang w:val="en-US"/>
        </w:rPr>
        <w:t xml:space="preserve"> 5–22. http://hdl.handle.net/10453/131563</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Mavrogordato, M., Youngs, P., Donaldson, M. L., Kang, H., &amp; Dougherty, S. M. (2023). Motivating Leadership Change and Improvement: How principal Evaluation addresses intrinsic and extrinsic sources of motivation. </w:t>
      </w:r>
      <w:r>
        <w:rPr>
          <w:rFonts w:ascii="Arial" w:hAnsi="Arial"/>
          <w:i/>
          <w:iCs/>
          <w:sz w:val="24"/>
          <w:szCs w:val="24"/>
          <w:lang w:val="en-US"/>
        </w:rPr>
        <w:t>Educational Administration Quarterly, 59(5)</w:t>
      </w:r>
      <w:r>
        <w:rPr>
          <w:rFonts w:ascii="Arial" w:hAnsi="Arial"/>
          <w:sz w:val="24"/>
          <w:szCs w:val="24"/>
          <w:lang w:val="en-US"/>
        </w:rPr>
        <w:t xml:space="preserve">, 965–1001. https://doi.org/10.1177/0013161x231188706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Melesse, T., &amp; Belay, S. (2022). Uplifting teachers’ professional capital through promoting engagement in professional learning: Mediating effect of teacher job satisfaction. </w:t>
      </w:r>
      <w:r>
        <w:rPr>
          <w:rFonts w:ascii="Arial" w:hAnsi="Arial"/>
          <w:i/>
          <w:iCs/>
          <w:sz w:val="24"/>
          <w:szCs w:val="24"/>
          <w:lang w:val="en-US"/>
        </w:rPr>
        <w:t>Cogent Education</w:t>
      </w:r>
      <w:r>
        <w:rPr>
          <w:rFonts w:ascii="Arial" w:hAnsi="Arial"/>
          <w:sz w:val="24"/>
          <w:szCs w:val="24"/>
          <w:lang w:val="en-US"/>
        </w:rPr>
        <w:t xml:space="preserve">, 2057102. </w:t>
      </w:r>
      <w:r>
        <w:rPr>
          <w:rFonts w:ascii="Arial" w:hAnsi="Arial"/>
          <w:sz w:val="24"/>
          <w:szCs w:val="24"/>
          <w:lang w:val="en-US"/>
        </w:rPr>
        <w:lastRenderedPageBreak/>
        <w:t xml:space="preserve">https://www.tandfonline.com/doi/epdf/10.1080/2331186X.2022.2057102?needAccess=true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Merino, C., Pacheco, G., Arenas-Martija, A., Becerra, R., &amp; Solís-Pinilla, J. (2025). Continuing professional development in teachers: insights for designing a formative trajectory in scientific education. </w:t>
      </w:r>
      <w:r>
        <w:rPr>
          <w:rFonts w:ascii="Arial" w:hAnsi="Arial"/>
          <w:i/>
          <w:iCs/>
          <w:sz w:val="24"/>
          <w:szCs w:val="24"/>
          <w:lang w:val="en-US"/>
        </w:rPr>
        <w:t>Frontiers in Education, 10</w:t>
      </w:r>
      <w:r>
        <w:rPr>
          <w:rFonts w:ascii="Arial" w:hAnsi="Arial"/>
          <w:sz w:val="24"/>
          <w:szCs w:val="24"/>
          <w:lang w:val="en-US"/>
        </w:rPr>
        <w:t>. https://doi.org/10.3389/feduc.2025.1537502</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Mitra, M. J. L. (2025). Professional Learning Networks: Exploring Filipino Teachers’ Experiences and Pathways Toward Inclusive and Sustainable Professional Development in Rural Schools [Journal-article]. A</w:t>
      </w:r>
      <w:r>
        <w:rPr>
          <w:rFonts w:ascii="Arial" w:hAnsi="Arial"/>
          <w:i/>
          <w:iCs/>
          <w:sz w:val="24"/>
          <w:szCs w:val="24"/>
          <w:lang w:val="en-US"/>
        </w:rPr>
        <w:t>loysian Interdisciplinary Journal, 1(5)</w:t>
      </w:r>
      <w:r>
        <w:rPr>
          <w:rFonts w:ascii="Arial" w:hAnsi="Arial"/>
          <w:sz w:val="24"/>
          <w:szCs w:val="24"/>
          <w:lang w:val="en-US"/>
        </w:rPr>
        <w:t>. https://doi.org/10.5281/zenodo.15500068</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Molina, M. C., &amp; Escarlos, G. S. (2024). WORKLOAD MANAGEMENT AND ORGANIZATIONAL COMMITMENT ON ATTRITION OF PUBLIC ELEMENTARY SCHOOL TEACHERS. </w:t>
      </w:r>
      <w:r>
        <w:rPr>
          <w:rFonts w:ascii="Arial" w:hAnsi="Arial"/>
          <w:i/>
          <w:iCs/>
          <w:sz w:val="24"/>
          <w:szCs w:val="24"/>
          <w:lang w:val="en-US"/>
        </w:rPr>
        <w:t>International Journal of All Research Writings, Vol. 6</w:t>
      </w:r>
      <w:r>
        <w:rPr>
          <w:rFonts w:ascii="Arial" w:hAnsi="Arial"/>
          <w:sz w:val="24"/>
          <w:szCs w:val="24"/>
          <w:lang w:val="en-US"/>
        </w:rPr>
        <w:t xml:space="preserve">(Issue. 6), 298–299. https://www.ijarw.com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Moyer, S. M., &amp; Moyer, S. M. (2022). Work-Life Balance of Nursing Faculty: A scoping review. </w:t>
      </w:r>
      <w:r>
        <w:rPr>
          <w:rFonts w:ascii="Arial" w:hAnsi="Arial"/>
          <w:i/>
          <w:iCs/>
          <w:sz w:val="24"/>
          <w:szCs w:val="24"/>
          <w:lang w:val="en-US"/>
        </w:rPr>
        <w:t>Nursing Education Perspectives, 43(4)</w:t>
      </w:r>
      <w:r>
        <w:rPr>
          <w:rFonts w:ascii="Arial" w:hAnsi="Arial"/>
          <w:sz w:val="24"/>
          <w:szCs w:val="24"/>
          <w:lang w:val="en-US"/>
        </w:rPr>
        <w:t xml:space="preserve">, 211–216. https://doi.org/10.1097/01.nep.0000000000000952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Nababan, M. D. L., Hernandya, V. N., Hamidah, G. S., Syukriati, H., Fauziah, A. N., &amp; Oktafien, S. (2022). EFFECT OF ORGANIZATIONAL COMMITMENT AND EMPLOYEE WORKLOAD ON TURNOVER INTENTION AT PT DHANAR MAS CONCERN. </w:t>
      </w:r>
      <w:r>
        <w:rPr>
          <w:rFonts w:ascii="Arial" w:hAnsi="Arial"/>
          <w:i/>
          <w:iCs/>
          <w:sz w:val="24"/>
          <w:szCs w:val="24"/>
          <w:lang w:val="en-US"/>
        </w:rPr>
        <w:t>In CENTRAL ASIA AND THE CAUCASUS English Edition (Vol. 23,</w:t>
      </w:r>
      <w:r>
        <w:rPr>
          <w:rFonts w:ascii="Arial" w:hAnsi="Arial"/>
          <w:sz w:val="24"/>
          <w:szCs w:val="24"/>
          <w:lang w:val="en-US"/>
        </w:rPr>
        <w:t xml:space="preserve"> Issue 1). https://www.ca-c.org/index.php/cac/article/view/73</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Ngakantsi, I. S. (2022). Examining the Relationship Between the Psychological Contract, Organisational Committment and Employee Retention in the Water Control Sector of South Africa </w:t>
      </w:r>
      <w:r>
        <w:rPr>
          <w:rFonts w:ascii="Arial" w:hAnsi="Arial"/>
          <w:i/>
          <w:iCs/>
          <w:sz w:val="24"/>
          <w:szCs w:val="24"/>
          <w:lang w:val="en-US"/>
        </w:rPr>
        <w:t>[Thesis,</w:t>
      </w:r>
      <w:r>
        <w:rPr>
          <w:rFonts w:ascii="Arial" w:hAnsi="Arial"/>
          <w:sz w:val="24"/>
          <w:szCs w:val="24"/>
          <w:lang w:val="en-US"/>
        </w:rPr>
        <w:t xml:space="preserve"> </w:t>
      </w:r>
      <w:r>
        <w:rPr>
          <w:rFonts w:ascii="Arial" w:hAnsi="Arial"/>
          <w:i/>
          <w:iCs/>
          <w:sz w:val="24"/>
          <w:szCs w:val="24"/>
          <w:lang w:val="en-US"/>
        </w:rPr>
        <w:t>University of South Africa]</w:t>
      </w:r>
      <w:r>
        <w:rPr>
          <w:rFonts w:ascii="Arial" w:hAnsi="Arial"/>
          <w:sz w:val="24"/>
          <w:szCs w:val="24"/>
          <w:lang w:val="en-US"/>
        </w:rPr>
        <w:t xml:space="preserve">. https://www.proquest.com/openview/9eb1668a1cbd82862470839ea686ff7e/1?pq-origsite=gscholar&amp;cbl=2026366&amp;diss=y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Ngao, A. I., Sang, G., &amp; Kihwele, J. E. (2022). Understanding Teacher Educators’ Perceptions and Practices about ICT Integration in Teacher Education Program. </w:t>
      </w:r>
      <w:r>
        <w:rPr>
          <w:rFonts w:ascii="Arial" w:hAnsi="Arial"/>
          <w:i/>
          <w:iCs/>
          <w:sz w:val="24"/>
          <w:szCs w:val="24"/>
          <w:lang w:val="en-US"/>
        </w:rPr>
        <w:t>Education Sciences, 12(8)</w:t>
      </w:r>
      <w:r>
        <w:rPr>
          <w:rFonts w:ascii="Arial" w:hAnsi="Arial"/>
          <w:sz w:val="24"/>
          <w:szCs w:val="24"/>
          <w:lang w:val="en-US"/>
        </w:rPr>
        <w:t>, 549. https://doi.org/10.3390/educsci12080549</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Nguyen, H. C. (2018). An investigation of professional development among educational policy-makers, institutional leaders and teachers. </w:t>
      </w:r>
      <w:r>
        <w:rPr>
          <w:rFonts w:ascii="Arial" w:hAnsi="Arial"/>
          <w:i/>
          <w:iCs/>
          <w:sz w:val="24"/>
          <w:szCs w:val="24"/>
          <w:lang w:val="en-US"/>
        </w:rPr>
        <w:t>Management in Education, 33(1)</w:t>
      </w:r>
      <w:r>
        <w:rPr>
          <w:rFonts w:ascii="Arial" w:hAnsi="Arial"/>
          <w:sz w:val="24"/>
          <w:szCs w:val="24"/>
          <w:lang w:val="en-US"/>
        </w:rPr>
        <w:t xml:space="preserve">, 32–36. https://doi.org/10.1177/0892020618781678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Ntumi, S., Amos, P. M., Antwi, T., Nimo, D. G., Ofori, D. M., &amp; Sarfo, P. O. (2025). Linking burnout emotional exhaustion and assessment related stress to mental health outcomes among early career teachers: counselling support as a dual mediating and moderating factor. </w:t>
      </w:r>
      <w:r>
        <w:rPr>
          <w:rFonts w:ascii="Arial" w:hAnsi="Arial"/>
          <w:i/>
          <w:iCs/>
          <w:sz w:val="24"/>
          <w:szCs w:val="24"/>
          <w:lang w:val="en-US"/>
        </w:rPr>
        <w:t>Research Square (Research Square)</w:t>
      </w:r>
      <w:r>
        <w:rPr>
          <w:rFonts w:ascii="Arial" w:hAnsi="Arial"/>
          <w:sz w:val="24"/>
          <w:szCs w:val="24"/>
          <w:lang w:val="en-US"/>
        </w:rPr>
        <w:t xml:space="preserve">. https://doi.org/10.21203/rs.3.rs-7003152/v1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Nwoko, J. C., Emeto, T. I., Malau-Aduli, A. E. O., &amp; Malau-Aduli, B. S. (2023). A systematic review of the factors that influence teachers’ occupational wellbeing. </w:t>
      </w:r>
      <w:r>
        <w:rPr>
          <w:rFonts w:ascii="Arial" w:hAnsi="Arial"/>
          <w:i/>
          <w:iCs/>
          <w:sz w:val="24"/>
          <w:szCs w:val="24"/>
          <w:lang w:val="en-US"/>
        </w:rPr>
        <w:t>International Journal of Environmental Research and Public Health, 20(12)</w:t>
      </w:r>
      <w:r>
        <w:rPr>
          <w:rFonts w:ascii="Arial" w:hAnsi="Arial"/>
          <w:sz w:val="24"/>
          <w:szCs w:val="24"/>
          <w:lang w:val="en-US"/>
        </w:rPr>
        <w:t xml:space="preserve">, 6070. https://doi.org/10.3390/ijerph20126070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lastRenderedPageBreak/>
        <w:t xml:space="preserve">Nyoto, N., Sudarno, N., Priyono, N., Surikin, N., &amp; Renaldo, N. (2023). Emotional intelligence, workload, and cyberloafing on organizational commitment and performance of teachers at the Pelalawan High School level. </w:t>
      </w:r>
      <w:r>
        <w:rPr>
          <w:rFonts w:ascii="Arial" w:hAnsi="Arial"/>
          <w:i/>
          <w:iCs/>
          <w:sz w:val="24"/>
          <w:szCs w:val="24"/>
          <w:lang w:val="en-US"/>
        </w:rPr>
        <w:t>Journal of Applied Business and Technology, 4</w:t>
      </w:r>
      <w:r>
        <w:rPr>
          <w:rFonts w:ascii="Arial" w:hAnsi="Arial"/>
          <w:sz w:val="24"/>
          <w:szCs w:val="24"/>
          <w:lang w:val="en-US"/>
        </w:rPr>
        <w:t>(2), 134–143. https://doi.org/10.35145/jabt.v4i2.129</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Ömür, G. A. (2025). The Relationship Between Motivation and Organizational Commitment: A Meta-Analytic Review. </w:t>
      </w:r>
      <w:r>
        <w:rPr>
          <w:rFonts w:ascii="Arial" w:hAnsi="Arial"/>
          <w:i/>
          <w:iCs/>
          <w:sz w:val="24"/>
          <w:szCs w:val="24"/>
          <w:lang w:val="en-US"/>
        </w:rPr>
        <w:t>Researches on Multidisciplinary Approaches,</w:t>
      </w:r>
      <w:r>
        <w:rPr>
          <w:rFonts w:ascii="Arial" w:hAnsi="Arial"/>
          <w:sz w:val="24"/>
          <w:szCs w:val="24"/>
          <w:lang w:val="en-US"/>
        </w:rPr>
        <w:t xml:space="preserve"> 49–62. https://dergipark.org.tr/en/download/article-file/5198849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Ong, J. F. B., Tan, J. M. T., Villareal, R. F. C., &amp; Chiu, J. L. (2019). Impact of quality work life and prosocial motivation on the organizational commitment and turnover intent of public health practitioners. In Review of Integrative Business and Economics Research. </w:t>
      </w:r>
      <w:r>
        <w:rPr>
          <w:rFonts w:ascii="Arial" w:hAnsi="Arial"/>
          <w:i/>
          <w:iCs/>
          <w:sz w:val="24"/>
          <w:szCs w:val="24"/>
          <w:lang w:val="en-US"/>
        </w:rPr>
        <w:t xml:space="preserve">GMP Press and Printing. </w:t>
      </w:r>
      <w:r>
        <w:rPr>
          <w:rFonts w:ascii="Arial" w:hAnsi="Arial"/>
          <w:sz w:val="24"/>
          <w:szCs w:val="24"/>
          <w:lang w:val="en-US"/>
        </w:rPr>
        <w:t xml:space="preserve">https://buscompress.com/uploads/3/4/9/8/34980536/riber_8-s4_01_k19-140_24-43.pdf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Pamolarco, E. S., Jr. (2025). The role of Filipino-American educational organizations in the professional development of Filipino-American teachers. </w:t>
      </w:r>
      <w:r>
        <w:rPr>
          <w:rFonts w:ascii="Arial" w:hAnsi="Arial"/>
          <w:i/>
          <w:iCs/>
          <w:sz w:val="24"/>
          <w:szCs w:val="24"/>
          <w:lang w:val="en-US"/>
        </w:rPr>
        <w:t>AIDE Interdisciplinary Research Journal, 12</w:t>
      </w:r>
      <w:r>
        <w:rPr>
          <w:rFonts w:ascii="Arial" w:hAnsi="Arial"/>
          <w:sz w:val="24"/>
          <w:szCs w:val="24"/>
          <w:lang w:val="en-US"/>
        </w:rPr>
        <w:t>, 137–192. https://doi.org/10.56648/aide-irj.v12i1.190</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Pan, H. W., Chung, C., &amp; Lin, Y. (2023). Exploring the Predictors of Teacher Well-Being: An analysis of teacher training preparedness, autonomy, and workload. </w:t>
      </w:r>
      <w:r>
        <w:rPr>
          <w:rFonts w:ascii="Arial" w:hAnsi="Arial"/>
          <w:i/>
          <w:iCs/>
          <w:sz w:val="24"/>
          <w:szCs w:val="24"/>
          <w:lang w:val="en-US"/>
        </w:rPr>
        <w:t>Sustainability, 15(7)</w:t>
      </w:r>
      <w:r>
        <w:rPr>
          <w:rFonts w:ascii="Arial" w:hAnsi="Arial"/>
          <w:sz w:val="24"/>
          <w:szCs w:val="24"/>
          <w:lang w:val="en-US"/>
        </w:rPr>
        <w:t xml:space="preserve">, 5804. https://doi.org/10.3390/su15075804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Pathak, A., Kadyan, S., Kothari, H., Singh, S., &amp; Srinivas, V. (2025). THE ROLE OF EMOTIONAL INTELLIGENCE, WELL-BEING, AND OCCUPATIONAL STRESS ON TEACHER MENTAL HEALTH IN EDUCATIONAL SETTINGS. </w:t>
      </w:r>
      <w:r>
        <w:rPr>
          <w:rFonts w:ascii="Arial" w:hAnsi="Arial"/>
          <w:i/>
          <w:iCs/>
          <w:sz w:val="24"/>
          <w:szCs w:val="24"/>
          <w:lang w:val="en-US"/>
        </w:rPr>
        <w:t>Testing, Psychometrics, Methodology in Applied Psychology, Vol.32</w:t>
      </w:r>
      <w:r>
        <w:rPr>
          <w:rFonts w:ascii="Arial" w:hAnsi="Arial"/>
          <w:sz w:val="24"/>
          <w:szCs w:val="24"/>
          <w:lang w:val="en-US"/>
        </w:rPr>
        <w:t xml:space="preserve">(No.S1). https://tpmap.org/submission/index.php/tpm/article/view/135/21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Payod, E. P., Canque, M. S., &amp; Derasin, L. M. C. (2021). Organizational commitment of a Non-Teaching personnel in a state university in the Philippines. </w:t>
      </w:r>
      <w:r>
        <w:rPr>
          <w:rFonts w:ascii="Arial" w:hAnsi="Arial"/>
          <w:i/>
          <w:iCs/>
          <w:sz w:val="24"/>
          <w:szCs w:val="24"/>
          <w:lang w:val="en-US"/>
        </w:rPr>
        <w:t>Turkish Journal of Computer and Mathematics Education (TURCOMAT), 12(14)</w:t>
      </w:r>
      <w:r>
        <w:rPr>
          <w:rFonts w:ascii="Arial" w:hAnsi="Arial"/>
          <w:sz w:val="24"/>
          <w:szCs w:val="24"/>
          <w:lang w:val="en-US"/>
        </w:rPr>
        <w:t xml:space="preserve">, 583–589. https://turcomat.org/index.php/turkbilmat/article/view/10322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Peneyra, R. V. (2025). Professional Development Needs and Core Behavioral Competence of Secondary Teachers in Relation to their Instructional Performance and Students’ Academic Achievement: Input for Teacher Training and Development. </w:t>
      </w:r>
      <w:r>
        <w:rPr>
          <w:rFonts w:ascii="Arial" w:hAnsi="Arial"/>
          <w:i/>
          <w:iCs/>
          <w:sz w:val="24"/>
          <w:szCs w:val="24"/>
          <w:lang w:val="en-US"/>
        </w:rPr>
        <w:t>International Journal of Latest Research in Humanities and Social Science (IJLRHSS), 08–08(06)</w:t>
      </w:r>
      <w:r>
        <w:rPr>
          <w:rFonts w:ascii="Arial" w:hAnsi="Arial"/>
          <w:sz w:val="24"/>
          <w:szCs w:val="24"/>
          <w:lang w:val="en-US"/>
        </w:rPr>
        <w:t>, 01–15. http://www.ijlrhss.com/paper/volume-8-issue-6/1-HSS-3099.pdf</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Pergamino, G. M., &amp; Yuayan, A. P. (2021). Job satisfaction and organizational commitment among teachers of the Bohol Association of Catholic Schools, Diocese of Tagbilaran. </w:t>
      </w:r>
      <w:r>
        <w:rPr>
          <w:rFonts w:ascii="Arial" w:hAnsi="Arial"/>
          <w:i/>
          <w:iCs/>
          <w:sz w:val="24"/>
          <w:szCs w:val="24"/>
          <w:lang w:val="en-US"/>
        </w:rPr>
        <w:t>University of Bohol Multidisciplinary Research Journal, 9(1)</w:t>
      </w:r>
      <w:r>
        <w:rPr>
          <w:rFonts w:ascii="Arial" w:hAnsi="Arial"/>
          <w:sz w:val="24"/>
          <w:szCs w:val="24"/>
          <w:lang w:val="en-US"/>
        </w:rPr>
        <w:t xml:space="preserve">, 1–29. https://doi.org/10.15631/ubmrj.v9i1.131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Radkowitsch, A., Sommerhoff, D., Nickl, M., Codreanu, E., Ufer, S., &amp; Seidel, T. (2023). Exploring the diagnostic process of pre-service teachers using a simulation – A latent profile approach. T</w:t>
      </w:r>
      <w:r>
        <w:rPr>
          <w:rFonts w:ascii="Arial" w:hAnsi="Arial"/>
          <w:i/>
          <w:iCs/>
          <w:sz w:val="24"/>
          <w:szCs w:val="24"/>
          <w:lang w:val="en-US"/>
        </w:rPr>
        <w:t>eaching and Teacher Education, 130</w:t>
      </w:r>
      <w:r>
        <w:rPr>
          <w:rFonts w:ascii="Arial" w:hAnsi="Arial"/>
          <w:sz w:val="24"/>
          <w:szCs w:val="24"/>
          <w:lang w:val="en-US"/>
        </w:rPr>
        <w:t xml:space="preserve">, 104172. https://doi.org/10.1016/j.tate.2023.104172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lastRenderedPageBreak/>
        <w:t xml:space="preserve">Ramada, M. G. (2020). Human resources management practices, job satisfaction and faculty performance. </w:t>
      </w:r>
      <w:r>
        <w:rPr>
          <w:rFonts w:ascii="Arial" w:hAnsi="Arial"/>
          <w:i/>
          <w:iCs/>
          <w:sz w:val="24"/>
          <w:szCs w:val="24"/>
          <w:lang w:val="en-US"/>
        </w:rPr>
        <w:t>Journal of World Englishes and Educational Practices, 2(2</w:t>
      </w:r>
      <w:r>
        <w:rPr>
          <w:rFonts w:ascii="Arial" w:hAnsi="Arial"/>
          <w:sz w:val="24"/>
          <w:szCs w:val="24"/>
          <w:lang w:val="en-US"/>
        </w:rPr>
        <w:t xml:space="preserve">), 24–35. https://media.neliti.com/media/publications/351784-human-resources-management-practices-job-7285c52a.pdf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Rehman, N., Huang, X., Mahmood, A., Zafeer, H. M. I., &amp; Mohammad, N. K. (2025). Emerging trends and effective strategies in STEM teacher professional development: A systematic review. </w:t>
      </w:r>
      <w:r>
        <w:rPr>
          <w:rFonts w:ascii="Arial" w:hAnsi="Arial"/>
          <w:i/>
          <w:iCs/>
          <w:sz w:val="24"/>
          <w:szCs w:val="24"/>
          <w:lang w:val="en-US"/>
        </w:rPr>
        <w:t>Humanities and Social Sciences Communications, 12(1</w:t>
      </w:r>
      <w:r>
        <w:rPr>
          <w:rFonts w:ascii="Arial" w:hAnsi="Arial"/>
          <w:sz w:val="24"/>
          <w:szCs w:val="24"/>
          <w:lang w:val="en-US"/>
        </w:rPr>
        <w:t xml:space="preserve">). https://doi.org/10.1057/s41599-024-04272-y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Rivera, J. P., Sinsay-Villanueva, L. M., Tanyag, I. H., Berroya, J., Garcia, G. D., &amp; Lim, V. (2025). Revitalizing the Philippine education system: facilitating access and participation to In-Service Training (INSET) and teacher Professional Development (TPD). https://doi.org/10.62986/dp2025.14</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Roncesvalles, M. C. T., &amp; Gaerlan, A. A. (2021). The role of authentic leadership and teachers’ organizational commitment on organizational citizenship behavior in higher education. </w:t>
      </w:r>
      <w:r>
        <w:rPr>
          <w:rFonts w:ascii="Arial" w:hAnsi="Arial"/>
          <w:i/>
          <w:iCs/>
          <w:sz w:val="24"/>
          <w:szCs w:val="24"/>
          <w:lang w:val="en-US"/>
        </w:rPr>
        <w:t>International Journal of Educational Leadership and Management, 9(2)</w:t>
      </w:r>
      <w:r>
        <w:rPr>
          <w:rFonts w:ascii="Arial" w:hAnsi="Arial"/>
          <w:sz w:val="24"/>
          <w:szCs w:val="24"/>
          <w:lang w:val="en-US"/>
        </w:rPr>
        <w:t xml:space="preserve">, 92–121. http://files.eric.ed.gov/fulltext/EJ1310299.pdf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Rose, P. V. (2022). Women in STEM: An examination of career commitment as a moderator to organizational commitment. FireScholars. https://firescholars.seu.edu/org-lead/6?utm_source=firescholars.seu.edu%2Forg-lead%2F6&amp;utm_medium=PDF&amp;utm_campaign=PDFCoverPages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Rothacker-Peyton, S., Wilson-Anderson, K., &amp; Mayer, K. (2022). Nursing faculty professional quality of life and resilience in a changing educational environment. </w:t>
      </w:r>
      <w:r>
        <w:rPr>
          <w:rFonts w:ascii="Arial" w:hAnsi="Arial"/>
          <w:i/>
          <w:iCs/>
          <w:sz w:val="24"/>
          <w:szCs w:val="24"/>
          <w:lang w:val="en-US"/>
        </w:rPr>
        <w:t>Journal of Nursing Education, 61(6</w:t>
      </w:r>
      <w:r>
        <w:rPr>
          <w:rFonts w:ascii="Arial" w:hAnsi="Arial"/>
          <w:sz w:val="24"/>
          <w:szCs w:val="24"/>
          <w:lang w:val="en-US"/>
        </w:rPr>
        <w:t>), 330–333. https://doi.org/10.3928/01484834-20220404-12</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Rubio-Valdehita, S., López-Núñez, M., López-Higes, R., &amp; Díaz-Ramiro, E. (2017). Development of the CarMen-Q Questionnaire for mental workload assessment. </w:t>
      </w:r>
      <w:r>
        <w:rPr>
          <w:rFonts w:ascii="Arial" w:hAnsi="Arial"/>
          <w:i/>
          <w:iCs/>
          <w:sz w:val="24"/>
          <w:szCs w:val="24"/>
          <w:lang w:val="en-US"/>
        </w:rPr>
        <w:t>Psicothema, 4(29)</w:t>
      </w:r>
      <w:r>
        <w:rPr>
          <w:rFonts w:ascii="Arial" w:hAnsi="Arial"/>
          <w:sz w:val="24"/>
          <w:szCs w:val="24"/>
          <w:lang w:val="en-US"/>
        </w:rPr>
        <w:t xml:space="preserve">, 570–576. https://doi.org/10.7334/psicothema2017.151 </w:t>
      </w:r>
    </w:p>
    <w:p w:rsidR="000B536A" w:rsidRDefault="000B536A" w:rsidP="000B536A">
      <w:pPr>
        <w:spacing w:before="100" w:beforeAutospacing="1" w:after="100" w:afterAutospacing="1" w:line="240" w:lineRule="auto"/>
        <w:ind w:left="709" w:hanging="709"/>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t xml:space="preserve">Ryan, R. M., &amp; Deci, E. L. (2020). Intrinsic and extrinsic motivation from a self-determination theory perspective. </w:t>
      </w:r>
      <w:r>
        <w:rPr>
          <w:rFonts w:ascii="Arial" w:eastAsia="Times New Roman" w:hAnsi="Arial" w:cs="Arial"/>
          <w:i/>
          <w:iCs/>
          <w:kern w:val="0"/>
          <w:sz w:val="24"/>
          <w:szCs w:val="24"/>
          <w:lang w:eastAsia="en-PH"/>
          <w14:ligatures w14:val="none"/>
        </w:rPr>
        <w:t>Contemporary Educational Psychology, 61</w:t>
      </w:r>
      <w:r>
        <w:rPr>
          <w:rFonts w:ascii="Arial" w:eastAsia="Times New Roman" w:hAnsi="Arial" w:cs="Arial"/>
          <w:kern w:val="0"/>
          <w:sz w:val="24"/>
          <w:szCs w:val="24"/>
          <w:lang w:eastAsia="en-PH"/>
          <w14:ligatures w14:val="none"/>
        </w:rPr>
        <w:t>, 101860.</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Sabuero, J. B. (2023). The mediating effect of organizational culture on the relationship between organizational commitment and work-life balance among business management faculty. </w:t>
      </w:r>
      <w:r>
        <w:rPr>
          <w:rFonts w:ascii="Arial" w:hAnsi="Arial"/>
          <w:i/>
          <w:iCs/>
          <w:sz w:val="24"/>
          <w:szCs w:val="24"/>
          <w:lang w:val="en-US"/>
        </w:rPr>
        <w:t>International Journal of Multidisciplinary Applied Business and Education Research, 4(11)</w:t>
      </w:r>
      <w:r>
        <w:rPr>
          <w:rFonts w:ascii="Arial" w:hAnsi="Arial"/>
          <w:sz w:val="24"/>
          <w:szCs w:val="24"/>
          <w:lang w:val="en-US"/>
        </w:rPr>
        <w:t xml:space="preserve">, 3989–3998. https://doi.org/10.11594/ijmaber.04.11.19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Saikia, D., Chhibber, P., &amp; Gan, C. (2025). Understanding the role of structural capital as facilitator in professional learning networks and organizational learning of university. </w:t>
      </w:r>
      <w:r>
        <w:rPr>
          <w:rFonts w:ascii="Arial" w:hAnsi="Arial"/>
          <w:i/>
          <w:iCs/>
          <w:sz w:val="24"/>
          <w:szCs w:val="24"/>
          <w:lang w:val="en-US"/>
        </w:rPr>
        <w:t>Journal of Professional Capital and Community.</w:t>
      </w:r>
      <w:r>
        <w:rPr>
          <w:rFonts w:ascii="Arial" w:hAnsi="Arial"/>
          <w:sz w:val="24"/>
          <w:szCs w:val="24"/>
          <w:lang w:val="en-US"/>
        </w:rPr>
        <w:t xml:space="preserve"> https://www.emerald.com/jpcc/article-abstract/doi/10.1108/JPCC-09-2024-0166/1298967/Understanding-the-role-of-structural-capital-as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lastRenderedPageBreak/>
        <w:t xml:space="preserve">Santiago, C. T. (2019). Teacher’s Affective Attitude and its Effect on their Organizational Commitment. </w:t>
      </w:r>
      <w:r>
        <w:rPr>
          <w:rFonts w:ascii="Arial" w:hAnsi="Arial"/>
          <w:i/>
          <w:iCs/>
          <w:sz w:val="24"/>
          <w:szCs w:val="24"/>
          <w:lang w:val="en-US"/>
        </w:rPr>
        <w:t>International Journal of Sciences: Basic and Applied Research, 48(3)</w:t>
      </w:r>
      <w:r>
        <w:rPr>
          <w:rFonts w:ascii="Arial" w:hAnsi="Arial"/>
          <w:sz w:val="24"/>
          <w:szCs w:val="24"/>
          <w:lang w:val="en-US"/>
        </w:rPr>
        <w:t xml:space="preserve">, 78–91. https://gssrr.org/index.php/JournalOfBasicAndApplied/article/download/10270/5432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Sellen, P. (2016). Teacher workload and professional development in England’s secondary schools: insights from TALIS: 10 October 2016. Digital Education </w:t>
      </w:r>
      <w:r>
        <w:rPr>
          <w:rFonts w:ascii="Arial" w:hAnsi="Arial"/>
          <w:i/>
          <w:iCs/>
          <w:sz w:val="24"/>
          <w:szCs w:val="24"/>
          <w:lang w:val="en-US"/>
        </w:rPr>
        <w:t>Resource Archive (University College London)</w:t>
      </w:r>
      <w:r>
        <w:rPr>
          <w:rFonts w:ascii="Arial" w:hAnsi="Arial"/>
          <w:sz w:val="24"/>
          <w:szCs w:val="24"/>
          <w:lang w:val="en-US"/>
        </w:rPr>
        <w:t>. http://dera.ioe.ac.uk/27930/1/TeacherWorkload_EPI.pdf</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Shaik-Abdullah, S., Shanmugam, S. K. S., &amp; Chinnappan, M. (2018). Action Research as continuous professional development in Southeast Asia. </w:t>
      </w:r>
      <w:r>
        <w:rPr>
          <w:rFonts w:ascii="Arial" w:hAnsi="Arial"/>
          <w:i/>
          <w:iCs/>
          <w:sz w:val="24"/>
          <w:szCs w:val="24"/>
          <w:lang w:val="en-US"/>
        </w:rPr>
        <w:t xml:space="preserve">Oxford Research Encyclopedia of Education. </w:t>
      </w:r>
      <w:r>
        <w:rPr>
          <w:rFonts w:ascii="Arial" w:hAnsi="Arial"/>
          <w:sz w:val="24"/>
          <w:szCs w:val="24"/>
          <w:lang w:val="en-US"/>
        </w:rPr>
        <w:t>https://doi.org/10.1093/acrefore/9780190264093.013.699</w:t>
      </w:r>
    </w:p>
    <w:p w:rsidR="000B536A" w:rsidRDefault="000B536A" w:rsidP="000B536A">
      <w:pPr>
        <w:spacing w:before="100" w:beforeAutospacing="1" w:after="100" w:afterAutospacing="1" w:line="240" w:lineRule="auto"/>
        <w:ind w:left="709" w:hanging="709"/>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t xml:space="preserve">Skaalvik, E. M., &amp; Skaalvik, S. (2017). Teacher stress and burnout: Relations to time pressure and workload. </w:t>
      </w:r>
      <w:r>
        <w:rPr>
          <w:rFonts w:ascii="Arial" w:eastAsia="Times New Roman" w:hAnsi="Arial" w:cs="Arial"/>
          <w:i/>
          <w:iCs/>
          <w:kern w:val="0"/>
          <w:sz w:val="24"/>
          <w:szCs w:val="24"/>
          <w:lang w:eastAsia="en-PH"/>
          <w14:ligatures w14:val="none"/>
        </w:rPr>
        <w:t>Teaching and Teacher Education, 67</w:t>
      </w:r>
      <w:r>
        <w:rPr>
          <w:rFonts w:ascii="Arial" w:eastAsia="Times New Roman" w:hAnsi="Arial" w:cs="Arial"/>
          <w:kern w:val="0"/>
          <w:sz w:val="24"/>
          <w:szCs w:val="24"/>
          <w:lang w:eastAsia="en-PH"/>
          <w14:ligatures w14:val="none"/>
        </w:rPr>
        <w:t>, 102–111.</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Smet, M. (2021). Professional Development and Teacher Job Satisfaction: Evidence from a Multilevel Model. </w:t>
      </w:r>
      <w:r>
        <w:rPr>
          <w:rFonts w:ascii="Arial" w:hAnsi="Arial"/>
          <w:i/>
          <w:iCs/>
          <w:sz w:val="24"/>
          <w:szCs w:val="24"/>
          <w:lang w:val="en-US"/>
        </w:rPr>
        <w:t>Mathematics, 10(1)</w:t>
      </w:r>
      <w:r>
        <w:rPr>
          <w:rFonts w:ascii="Arial" w:hAnsi="Arial"/>
          <w:sz w:val="24"/>
          <w:szCs w:val="24"/>
          <w:lang w:val="en-US"/>
        </w:rPr>
        <w:t>, 51. https://doi.org/10.3390/math10010051</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Solania, N., Coñado, E., Paguta, M. J., Ventura, R., &amp; Arnado, A. (2023). The influence of workload and work motivation on the performance of teachers. </w:t>
      </w:r>
      <w:r>
        <w:rPr>
          <w:rFonts w:ascii="Arial" w:hAnsi="Arial"/>
          <w:i/>
          <w:iCs/>
          <w:sz w:val="24"/>
          <w:szCs w:val="24"/>
          <w:lang w:val="en-US"/>
        </w:rPr>
        <w:t>International Journal of Multidisciplinary Applied Business and Education Research, 4(4)</w:t>
      </w:r>
      <w:r>
        <w:rPr>
          <w:rFonts w:ascii="Arial" w:hAnsi="Arial"/>
          <w:sz w:val="24"/>
          <w:szCs w:val="24"/>
          <w:lang w:val="en-US"/>
        </w:rPr>
        <w:t xml:space="preserve">, 1270–1277. https://doi.org/10.11594/ijmaber.04.04.22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Sun, L., Chen, D., &amp; Xu, J. (2023). Changes in workload of Chinese university undergraduate teaching from the perspective of education quality management: A case study of a teaching-research university. </w:t>
      </w:r>
      <w:r>
        <w:rPr>
          <w:rFonts w:ascii="Arial" w:hAnsi="Arial"/>
          <w:i/>
          <w:iCs/>
          <w:sz w:val="24"/>
          <w:szCs w:val="24"/>
          <w:lang w:val="en-US"/>
        </w:rPr>
        <w:t>International Journal of Metrology and Quality Engineering, 14</w:t>
      </w:r>
      <w:r>
        <w:rPr>
          <w:rFonts w:ascii="Arial" w:hAnsi="Arial"/>
          <w:sz w:val="24"/>
          <w:szCs w:val="24"/>
          <w:lang w:val="en-US"/>
        </w:rPr>
        <w:t xml:space="preserve">, 11. https://doi.org/10.1051/ijmqe/2023012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Taga, J. R. A. (2025). Faculty Readiness and Professional Development for Distance Education in Philippine Higher Education Institutions: A Scoping Review [Article]. </w:t>
      </w:r>
      <w:r>
        <w:rPr>
          <w:rFonts w:ascii="Arial" w:hAnsi="Arial"/>
          <w:i/>
          <w:iCs/>
          <w:sz w:val="24"/>
          <w:szCs w:val="24"/>
          <w:lang w:val="en-US"/>
        </w:rPr>
        <w:t>International Journal of Academic Pedagogical Research (IJAPR), 9(9)</w:t>
      </w:r>
      <w:r>
        <w:rPr>
          <w:rFonts w:ascii="Arial" w:hAnsi="Arial"/>
          <w:sz w:val="24"/>
          <w:szCs w:val="24"/>
          <w:lang w:val="en-US"/>
        </w:rPr>
        <w:t>, 70–74. https://www.ijeais.org/ijapr</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Taquiso, E. L. (2025). Organizational commitment of employees of a private higher institution. </w:t>
      </w:r>
      <w:r>
        <w:rPr>
          <w:rFonts w:ascii="Arial" w:hAnsi="Arial"/>
          <w:i/>
          <w:iCs/>
          <w:sz w:val="24"/>
          <w:szCs w:val="24"/>
          <w:lang w:val="en-US"/>
        </w:rPr>
        <w:t xml:space="preserve">Cognizance Journal of Multidisciplinary Studies, 5(1), </w:t>
      </w:r>
      <w:r>
        <w:rPr>
          <w:rFonts w:ascii="Arial" w:hAnsi="Arial"/>
          <w:sz w:val="24"/>
          <w:szCs w:val="24"/>
          <w:lang w:val="en-US"/>
        </w:rPr>
        <w:t xml:space="preserve">614–623. https://doi.org/10.47760/cognizance.2025.v05i01.047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Tarraya, H. O. (2023). Teachers’ workload Policy: Its impact on Philippine public school teachers. </w:t>
      </w:r>
      <w:r>
        <w:rPr>
          <w:rFonts w:ascii="Arial" w:hAnsi="Arial"/>
          <w:i/>
          <w:iCs/>
          <w:sz w:val="24"/>
          <w:szCs w:val="24"/>
          <w:lang w:val="en-US"/>
        </w:rPr>
        <w:t>Puissant, Vol. 5.</w:t>
      </w:r>
      <w:r>
        <w:rPr>
          <w:rFonts w:ascii="Arial" w:hAnsi="Arial"/>
          <w:sz w:val="24"/>
          <w:szCs w:val="24"/>
          <w:lang w:val="en-US"/>
        </w:rPr>
        <w:t xml:space="preserve"> https://puissant.stepacademic.net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Tiangco, A. N. G. (2018). Job Satisfaction and Organizational Commitment among Private School Teachers in Nasugbu, Batangas: Basis for Improving Teachers’ Retention. </w:t>
      </w:r>
      <w:r>
        <w:rPr>
          <w:rFonts w:ascii="Arial" w:hAnsi="Arial"/>
          <w:i/>
          <w:iCs/>
          <w:sz w:val="24"/>
          <w:szCs w:val="24"/>
          <w:lang w:val="en-US"/>
        </w:rPr>
        <w:t>Abstract Proceedings International Scholars Conference, 6(1)</w:t>
      </w:r>
      <w:r>
        <w:rPr>
          <w:rFonts w:ascii="Arial" w:hAnsi="Arial"/>
          <w:sz w:val="24"/>
          <w:szCs w:val="24"/>
          <w:lang w:val="en-US"/>
        </w:rPr>
        <w:t xml:space="preserve">, 225. https://doi.org/10.35974/isc.v6i1.1365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Tjahjono, H. K., Rahayu, M. K. P., &amp; Putra, A. D. (2020). THE MEDIATING ROLE OF AFFECTIVE COMMITMENT ON THE EFFECT OF PERCEIVED ORGANIZATIONAL SUPPORT AND PROCEDURAL JUSTICE ON JOB </w:t>
      </w:r>
      <w:r>
        <w:rPr>
          <w:rFonts w:ascii="Arial" w:hAnsi="Arial"/>
          <w:sz w:val="24"/>
          <w:szCs w:val="24"/>
          <w:lang w:val="en-US"/>
        </w:rPr>
        <w:lastRenderedPageBreak/>
        <w:t xml:space="preserve">PERFORMANCE OF CIVIL SERVANT. </w:t>
      </w:r>
      <w:r>
        <w:rPr>
          <w:rFonts w:ascii="Arial" w:hAnsi="Arial"/>
          <w:i/>
          <w:iCs/>
          <w:sz w:val="24"/>
          <w:szCs w:val="24"/>
          <w:lang w:val="en-US"/>
        </w:rPr>
        <w:t>Journal of Leadership in Organizations, 2(2</w:t>
      </w:r>
      <w:r>
        <w:rPr>
          <w:rFonts w:ascii="Arial" w:hAnsi="Arial"/>
          <w:sz w:val="24"/>
          <w:szCs w:val="24"/>
          <w:lang w:val="en-US"/>
        </w:rPr>
        <w:t xml:space="preserve">). https://doi.org/10.22146/jlo.55371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Tong, W., &amp; Razniak, A. (2016). Building professional capital within a 21st century learning framework. </w:t>
      </w:r>
      <w:r>
        <w:rPr>
          <w:rFonts w:ascii="Arial" w:hAnsi="Arial"/>
          <w:i/>
          <w:iCs/>
          <w:sz w:val="24"/>
          <w:szCs w:val="24"/>
          <w:lang w:val="en-US"/>
        </w:rPr>
        <w:t xml:space="preserve">Journal of Professional Capital and Community. </w:t>
      </w:r>
      <w:r>
        <w:rPr>
          <w:rFonts w:ascii="Arial" w:hAnsi="Arial"/>
          <w:sz w:val="24"/>
          <w:szCs w:val="24"/>
          <w:lang w:val="en-US"/>
        </w:rPr>
        <w:t xml:space="preserve">https://www.emerald.com/jpcc/article-abstract/2/1/36/238744/Building-professional-capital-within-a-21st?redirectedFrom=fulltext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Toropova, A., Myrberg, E., &amp; Johansson, S. (2020). Teacher job satisfaction: the importance of school working conditions and teacher characteristics. </w:t>
      </w:r>
      <w:r>
        <w:rPr>
          <w:rFonts w:ascii="Arial" w:hAnsi="Arial"/>
          <w:i/>
          <w:iCs/>
          <w:sz w:val="24"/>
          <w:szCs w:val="24"/>
          <w:lang w:val="en-US"/>
        </w:rPr>
        <w:t>Educational Review, 73(1),</w:t>
      </w:r>
      <w:r>
        <w:rPr>
          <w:rFonts w:ascii="Arial" w:hAnsi="Arial"/>
          <w:sz w:val="24"/>
          <w:szCs w:val="24"/>
          <w:lang w:val="en-US"/>
        </w:rPr>
        <w:t xml:space="preserve"> 71–97. https://doi.org/10.1080/00131911.2019.1705247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Tuerah, P. R. (2025). Teacher Professional Development in Implementing Inclusive Education Practices. </w:t>
      </w:r>
      <w:r>
        <w:rPr>
          <w:rFonts w:ascii="Arial" w:hAnsi="Arial"/>
          <w:i/>
          <w:iCs/>
          <w:sz w:val="24"/>
          <w:szCs w:val="24"/>
          <w:lang w:val="en-US"/>
        </w:rPr>
        <w:t>PT. NALURI EDUKASI PRESS, 2(3)</w:t>
      </w:r>
      <w:r>
        <w:rPr>
          <w:rFonts w:ascii="Arial" w:hAnsi="Arial"/>
          <w:sz w:val="24"/>
          <w:szCs w:val="24"/>
          <w:lang w:val="en-US"/>
        </w:rPr>
        <w:t xml:space="preserve">, 117–130. https://doi.org/10.64924/cs3h9b14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Tullao, T. Jr. S., Cabuay, C. J., &amp; Hofilena, D. (2015). Establishing the Linkages of Human Resource Development with Inclusive Growth. In Philippine Institute for Development Studies, PIDS Discussion Paper Series (No. 2015–13). </w:t>
      </w:r>
      <w:r>
        <w:rPr>
          <w:rFonts w:ascii="Arial" w:hAnsi="Arial"/>
          <w:i/>
          <w:iCs/>
          <w:sz w:val="24"/>
          <w:szCs w:val="24"/>
          <w:lang w:val="en-US"/>
        </w:rPr>
        <w:t xml:space="preserve">Philippine Institute for Development Studies (PIDS). </w:t>
      </w:r>
      <w:r>
        <w:rPr>
          <w:rFonts w:ascii="Arial" w:hAnsi="Arial"/>
          <w:sz w:val="24"/>
          <w:szCs w:val="24"/>
          <w:lang w:val="en-US"/>
        </w:rPr>
        <w:t xml:space="preserve">https://www.econstor.eu/bitstream/10419/127020/1/pidsdps1513.pdf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Ulla, M. B. (2018). Benefits and challenges of doing research: Experiences from Philippine public school teachers. </w:t>
      </w:r>
      <w:r>
        <w:rPr>
          <w:rFonts w:ascii="Arial" w:hAnsi="Arial"/>
          <w:i/>
          <w:iCs/>
          <w:sz w:val="24"/>
          <w:szCs w:val="24"/>
          <w:lang w:val="en-US"/>
        </w:rPr>
        <w:t>Issues in Educational Research, 28(3)</w:t>
      </w:r>
      <w:r>
        <w:rPr>
          <w:rFonts w:ascii="Arial" w:hAnsi="Arial"/>
          <w:sz w:val="24"/>
          <w:szCs w:val="24"/>
          <w:lang w:val="en-US"/>
        </w:rPr>
        <w:t xml:space="preserve">, 797–810. https://www.iier.org.au/iier28/ulla.pdf </w:t>
      </w:r>
    </w:p>
    <w:p w:rsidR="000B536A" w:rsidRDefault="000B536A" w:rsidP="000B536A">
      <w:pPr>
        <w:spacing w:before="100" w:beforeAutospacing="1" w:after="100" w:afterAutospacing="1" w:line="240" w:lineRule="auto"/>
        <w:ind w:left="567" w:hanging="567"/>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t xml:space="preserve">Van Droogenbroeck, F., Spruyt, B., &amp; Vanroelen, C. (2016). Burnout among teachers: The role of workload and job resources. </w:t>
      </w:r>
      <w:r>
        <w:rPr>
          <w:rFonts w:ascii="Arial" w:eastAsia="Times New Roman" w:hAnsi="Arial" w:cs="Arial"/>
          <w:i/>
          <w:iCs/>
          <w:kern w:val="0"/>
          <w:sz w:val="24"/>
          <w:szCs w:val="24"/>
          <w:lang w:eastAsia="en-PH"/>
          <w14:ligatures w14:val="none"/>
        </w:rPr>
        <w:t>Teaching and Teacher Education, 55</w:t>
      </w:r>
      <w:r>
        <w:rPr>
          <w:rFonts w:ascii="Arial" w:eastAsia="Times New Roman" w:hAnsi="Arial" w:cs="Arial"/>
          <w:kern w:val="0"/>
          <w:sz w:val="24"/>
          <w:szCs w:val="24"/>
          <w:lang w:eastAsia="en-PH"/>
          <w14:ligatures w14:val="none"/>
        </w:rPr>
        <w:t>, 196–206.</w:t>
      </w:r>
    </w:p>
    <w:p w:rsidR="000B536A" w:rsidRDefault="000B536A" w:rsidP="000B536A">
      <w:pPr>
        <w:spacing w:before="100" w:beforeAutospacing="1" w:after="100" w:afterAutospacing="1" w:line="240" w:lineRule="auto"/>
        <w:ind w:left="567" w:hanging="567"/>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t xml:space="preserve">Vangrieken, K., Meredith, C., Packer, T., &amp; Kyndt, E. (2017). Teacher collaboration: A systematic review. </w:t>
      </w:r>
      <w:r>
        <w:rPr>
          <w:rFonts w:ascii="Arial" w:eastAsia="Times New Roman" w:hAnsi="Arial" w:cs="Arial"/>
          <w:i/>
          <w:iCs/>
          <w:kern w:val="0"/>
          <w:sz w:val="24"/>
          <w:szCs w:val="24"/>
          <w:lang w:eastAsia="en-PH"/>
          <w14:ligatures w14:val="none"/>
        </w:rPr>
        <w:t>Educational Research Review, 19</w:t>
      </w:r>
      <w:r>
        <w:rPr>
          <w:rFonts w:ascii="Arial" w:eastAsia="Times New Roman" w:hAnsi="Arial" w:cs="Arial"/>
          <w:kern w:val="0"/>
          <w:sz w:val="24"/>
          <w:szCs w:val="24"/>
          <w:lang w:eastAsia="en-PH"/>
          <w14:ligatures w14:val="none"/>
        </w:rPr>
        <w:t>, 17–40.</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Viterbo, L. D., &amp; Dayaganon, A. J. B. (2025). THE MEDIATING EFFECT OF PSYCHOLOGICAL WELL-BEING ON THE RELATIONSHIP BETWEEN OCCUPATIONAL STRESS AND TURNOVER INTENTIONS OF ESL TEACHERS IN THE PHILIPPINES: AN EXPLANATORY SEQUENT. . . In University of the Immaculate Conception, Graduate School Department, University of the Immaculate Conception. https://doi.org/10.5281/zenodo.17453981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Wang, C., Norlizah, C. H., Muhamad, M., &amp; Zhang, S. (2025). Empowering STEM educators in cross-cultural higher education contexts: professional development strategies for sustainable workforce readiness. </w:t>
      </w:r>
      <w:r>
        <w:rPr>
          <w:rFonts w:ascii="Arial" w:hAnsi="Arial"/>
          <w:i/>
          <w:iCs/>
          <w:sz w:val="24"/>
          <w:szCs w:val="24"/>
          <w:lang w:val="en-US"/>
        </w:rPr>
        <w:t>STEM Education, 5(5)</w:t>
      </w:r>
      <w:r>
        <w:rPr>
          <w:rFonts w:ascii="Arial" w:hAnsi="Arial"/>
          <w:sz w:val="24"/>
          <w:szCs w:val="24"/>
          <w:lang w:val="en-US"/>
        </w:rPr>
        <w:t>, 954–973. https://doi.org/10.3934/steme.2025042</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Yang, D., Zargar, E., Adams, A. M., Day, S. L., &amp; Connor, C. M. (2020). Using interactive E-Book user log variables to track reading processes and predict digital learning outcomes. </w:t>
      </w:r>
      <w:r>
        <w:rPr>
          <w:rFonts w:ascii="Arial" w:hAnsi="Arial"/>
          <w:i/>
          <w:iCs/>
          <w:sz w:val="24"/>
          <w:szCs w:val="24"/>
          <w:lang w:val="en-US"/>
        </w:rPr>
        <w:t>Assessment for Effective Intervention, 46(4</w:t>
      </w:r>
      <w:r>
        <w:rPr>
          <w:rFonts w:ascii="Arial" w:hAnsi="Arial"/>
          <w:sz w:val="24"/>
          <w:szCs w:val="24"/>
          <w:lang w:val="en-US"/>
        </w:rPr>
        <w:t xml:space="preserve">), 292–303. https://doi.org/10.1177/1534508420941935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lastRenderedPageBreak/>
        <w:t xml:space="preserve">Yazon, A. D., &amp; Ang-Manaig, K. (2019). Emotional Intelligence and Occupational Stress among Filipino Teachers. </w:t>
      </w:r>
      <w:r>
        <w:rPr>
          <w:rFonts w:ascii="Arial" w:hAnsi="Arial"/>
          <w:i/>
          <w:iCs/>
          <w:sz w:val="24"/>
          <w:szCs w:val="24"/>
          <w:lang w:val="en-US"/>
        </w:rPr>
        <w:t>Universal Journal of Educational Research, 7(11)</w:t>
      </w:r>
      <w:r>
        <w:rPr>
          <w:rFonts w:ascii="Arial" w:hAnsi="Arial"/>
          <w:sz w:val="24"/>
          <w:szCs w:val="24"/>
          <w:lang w:val="en-US"/>
        </w:rPr>
        <w:t xml:space="preserve">, 2303–2313. https://doi.org/10.13189/ujer.2019.071108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Yenen, E. T., &amp; Yöntem, M. K. (2020). Teachers’ Professional Development Needs: A Q Method analysis. Discourse and Communication for Sustainable Education, 11(2), 159–176. https://doi.org/10.2478/dcse-2020-0024</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Yongtao, G. (2025). Impact of workload on the performance of junior high school teachers under China’s “Double Reduction” policy. </w:t>
      </w:r>
      <w:r>
        <w:rPr>
          <w:rFonts w:ascii="Arial" w:hAnsi="Arial"/>
          <w:i/>
          <w:iCs/>
          <w:sz w:val="24"/>
          <w:szCs w:val="24"/>
          <w:lang w:val="en-US"/>
        </w:rPr>
        <w:t>SAGE Open, 15(3)</w:t>
      </w:r>
      <w:r>
        <w:rPr>
          <w:rFonts w:ascii="Arial" w:hAnsi="Arial"/>
          <w:sz w:val="24"/>
          <w:szCs w:val="24"/>
          <w:lang w:val="en-US"/>
        </w:rPr>
        <w:t xml:space="preserve">. https://doi.org/10.1177/21582440251345577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Yoon, S., Yom, J. K., Yang, Z., &amp; Liu, L. (2017). The Effects of Teachers’ Social and Human Capital on Urban Science Reform Initiatives: Considerations for Professional Development. </w:t>
      </w:r>
      <w:r>
        <w:rPr>
          <w:rFonts w:ascii="Arial" w:hAnsi="Arial"/>
          <w:i/>
          <w:iCs/>
          <w:sz w:val="24"/>
          <w:szCs w:val="24"/>
          <w:lang w:val="en-US"/>
        </w:rPr>
        <w:t>Sage Journals Home, Volume 119</w:t>
      </w:r>
      <w:r>
        <w:rPr>
          <w:rFonts w:ascii="Arial" w:hAnsi="Arial"/>
          <w:sz w:val="24"/>
          <w:szCs w:val="24"/>
          <w:lang w:val="en-US"/>
        </w:rPr>
        <w:t xml:space="preserve">(Issue 4). https://journals.sagepub.com/doi/abs/10.1177/016146811711900407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Yumang, A. O. (2025). Competence of Out-Of-Field Science Teachers: Basis for a professional development program. </w:t>
      </w:r>
      <w:r>
        <w:rPr>
          <w:rFonts w:ascii="Arial" w:hAnsi="Arial"/>
          <w:i/>
          <w:iCs/>
          <w:sz w:val="24"/>
          <w:szCs w:val="24"/>
          <w:lang w:val="en-US"/>
        </w:rPr>
        <w:t xml:space="preserve">INTERNATIONAL JOURNAL OF ADVANCED MULTIDISCIPLINARY STUDIES, V(7). </w:t>
      </w:r>
      <w:r>
        <w:rPr>
          <w:rFonts w:ascii="Arial" w:hAnsi="Arial"/>
          <w:sz w:val="24"/>
          <w:szCs w:val="24"/>
          <w:lang w:val="en-US"/>
        </w:rPr>
        <w:t>https://www.ijams-bbp.net/wp-content/uploads/2025/08/7-IJAMS-JULY-2025-1452-1469.pdf</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Zanabazar, A., &amp; Jigjiddorj, S. (2022). Relationships between mental workload, job burnout, and organizational commitment. </w:t>
      </w:r>
      <w:r>
        <w:rPr>
          <w:rFonts w:ascii="Arial" w:hAnsi="Arial"/>
          <w:i/>
          <w:iCs/>
          <w:sz w:val="24"/>
          <w:szCs w:val="24"/>
          <w:lang w:val="en-US"/>
        </w:rPr>
        <w:t>SHS Web of Conferences</w:t>
      </w:r>
      <w:r>
        <w:rPr>
          <w:rFonts w:ascii="Arial" w:hAnsi="Arial"/>
          <w:sz w:val="24"/>
          <w:szCs w:val="24"/>
          <w:lang w:val="en-US"/>
        </w:rPr>
        <w:t xml:space="preserve">, 132, 01003. https://doi.org/10.1051/shsconf/202213201003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Zerrad, H., &amp; Schechter, C. (2025). Human capital development: principals’ challenges in developing school staff. </w:t>
      </w:r>
      <w:r>
        <w:rPr>
          <w:rFonts w:ascii="Arial" w:hAnsi="Arial"/>
          <w:i/>
          <w:iCs/>
          <w:sz w:val="24"/>
          <w:szCs w:val="24"/>
          <w:lang w:val="en-US"/>
        </w:rPr>
        <w:t xml:space="preserve">Journal of Professional Capital and Community. </w:t>
      </w:r>
      <w:r>
        <w:rPr>
          <w:rFonts w:ascii="Arial" w:hAnsi="Arial"/>
          <w:sz w:val="24"/>
          <w:szCs w:val="24"/>
          <w:lang w:val="en-US"/>
        </w:rPr>
        <w:t xml:space="preserve">https://www.emerald.com/jpcc/article-abstract/doi/10.1108/JPCC-09-2024-0159/1253952/Human-capital-development-principals-challenges-in?redirectedFrom=fulltext </w:t>
      </w:r>
    </w:p>
    <w:p w:rsidR="000B536A" w:rsidRDefault="000B536A" w:rsidP="000B536A">
      <w:pPr>
        <w:spacing w:line="240" w:lineRule="auto"/>
        <w:ind w:left="720" w:hanging="720"/>
        <w:jc w:val="both"/>
        <w:rPr>
          <w:rFonts w:ascii="Arial" w:hAnsi="Arial"/>
          <w:sz w:val="24"/>
          <w:szCs w:val="24"/>
        </w:rPr>
      </w:pPr>
      <w:r>
        <w:rPr>
          <w:rFonts w:ascii="Arial" w:hAnsi="Arial"/>
          <w:sz w:val="24"/>
          <w:szCs w:val="24"/>
          <w:lang w:val="en-US"/>
        </w:rPr>
        <w:t xml:space="preserve">Zhao, S., Wang, T., Luo, S., Mi, Y., Wang, Y., Ma, H., &amp; Wei, X. (2025). The impact of organizational commitment on job performance in primary healthcare: a motivation internalization perspective. </w:t>
      </w:r>
      <w:r>
        <w:rPr>
          <w:rFonts w:ascii="Arial" w:hAnsi="Arial"/>
          <w:i/>
          <w:iCs/>
          <w:sz w:val="24"/>
          <w:szCs w:val="24"/>
          <w:lang w:val="en-US"/>
        </w:rPr>
        <w:t>Frontiers in Public Health, 13</w:t>
      </w:r>
      <w:r>
        <w:rPr>
          <w:rFonts w:ascii="Arial" w:hAnsi="Arial"/>
          <w:sz w:val="24"/>
          <w:szCs w:val="24"/>
          <w:lang w:val="en-US"/>
        </w:rPr>
        <w:t>. https://doi.org/10.3389/fpubh.2025.1685420</w:t>
      </w:r>
    </w:p>
    <w:p w:rsidR="000B536A" w:rsidRPr="00696E28" w:rsidRDefault="000B536A" w:rsidP="000B536A">
      <w:pPr>
        <w:spacing w:before="100" w:beforeAutospacing="1" w:after="100" w:afterAutospacing="1" w:line="300" w:lineRule="atLeast"/>
        <w:jc w:val="both"/>
        <w:outlineLvl w:val="1"/>
        <w:rPr>
          <w:rFonts w:ascii="Arial" w:eastAsia="Times New Roman" w:hAnsi="Arial" w:cs="Arial"/>
          <w:b/>
          <w:bCs/>
          <w:kern w:val="0"/>
          <w:sz w:val="36"/>
          <w:szCs w:val="36"/>
          <w:lang w:eastAsia="en-PH"/>
          <w14:ligatures w14:val="none"/>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jc w:val="center"/>
        <w:rPr>
          <w:rFonts w:ascii="Arial" w:hAnsi="Arial" w:cs="Arial"/>
          <w:lang w:val="en-US"/>
        </w:rPr>
      </w:pPr>
    </w:p>
    <w:sectPr w:rsidR="00696E28" w:rsidRPr="00696E28" w:rsidSect="00696E28">
      <w:pgSz w:w="11906" w:h="16838" w:code="9"/>
      <w:pgMar w:top="1440" w:right="1440" w:bottom="1440" w:left="1440"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290C95"/>
    <w:multiLevelType w:val="singleLevel"/>
    <w:tmpl w:val="D5290C95"/>
    <w:lvl w:ilvl="0">
      <w:start w:val="1"/>
      <w:numFmt w:val="lowerLetter"/>
      <w:lvlText w:val="%1."/>
      <w:lvlJc w:val="left"/>
      <w:pPr>
        <w:tabs>
          <w:tab w:val="left" w:pos="425"/>
        </w:tabs>
        <w:ind w:left="425" w:hanging="425"/>
      </w:pPr>
      <w:rPr>
        <w:rFonts w:hint="default"/>
      </w:rPr>
    </w:lvl>
  </w:abstractNum>
  <w:abstractNum w:abstractNumId="1">
    <w:nsid w:val="E612F804"/>
    <w:multiLevelType w:val="singleLevel"/>
    <w:tmpl w:val="E612F804"/>
    <w:lvl w:ilvl="0">
      <w:start w:val="1"/>
      <w:numFmt w:val="lowerLetter"/>
      <w:lvlText w:val="%1."/>
      <w:lvlJc w:val="left"/>
      <w:pPr>
        <w:tabs>
          <w:tab w:val="left" w:pos="425"/>
        </w:tabs>
        <w:ind w:left="425" w:hanging="425"/>
      </w:pPr>
      <w:rPr>
        <w:rFonts w:hint="default"/>
      </w:rPr>
    </w:lvl>
  </w:abstractNum>
  <w:abstractNum w:abstractNumId="2">
    <w:nsid w:val="EEC27D5E"/>
    <w:multiLevelType w:val="singleLevel"/>
    <w:tmpl w:val="EEC27D5E"/>
    <w:lvl w:ilvl="0">
      <w:start w:val="1"/>
      <w:numFmt w:val="lowerLetter"/>
      <w:lvlText w:val="%1."/>
      <w:lvlJc w:val="left"/>
      <w:pPr>
        <w:tabs>
          <w:tab w:val="left" w:pos="425"/>
        </w:tabs>
        <w:ind w:left="425" w:hanging="425"/>
      </w:pPr>
      <w:rPr>
        <w:rFonts w:ascii="Arial" w:hAnsi="Arial" w:cs="Arial" w:hint="default"/>
      </w:rPr>
    </w:lvl>
  </w:abstractNum>
  <w:abstractNum w:abstractNumId="3">
    <w:nsid w:val="FE623ABD"/>
    <w:multiLevelType w:val="multilevel"/>
    <w:tmpl w:val="FE623ABD"/>
    <w:lvl w:ilvl="0">
      <w:start w:val="1"/>
      <w:numFmt w:val="lowerLetter"/>
      <w:lvlText w:val="%1."/>
      <w:lvlJc w:val="left"/>
      <w:pPr>
        <w:tabs>
          <w:tab w:val="left" w:pos="425"/>
        </w:tabs>
        <w:ind w:left="425"/>
      </w:pPr>
      <w:rPr>
        <w:rFonts w:hint="default"/>
      </w:rPr>
    </w:lvl>
    <w:lvl w:ilvl="1">
      <w:start w:val="1"/>
      <w:numFmt w:val="lowerLetter"/>
      <w:lvlText w:val="%2."/>
      <w:lvlJc w:val="left"/>
      <w:pPr>
        <w:tabs>
          <w:tab w:val="left" w:pos="425"/>
        </w:tabs>
        <w:ind w:left="425" w:hanging="5"/>
      </w:pPr>
      <w:rPr>
        <w:rFonts w:hint="default"/>
      </w:rPr>
    </w:lvl>
    <w:lvl w:ilvl="2">
      <w:start w:val="1"/>
      <w:numFmt w:val="lowerRoman"/>
      <w:lvlText w:val="%3."/>
      <w:lvlJc w:val="left"/>
      <w:pPr>
        <w:tabs>
          <w:tab w:val="left" w:pos="425"/>
        </w:tabs>
        <w:ind w:left="425" w:firstLine="415"/>
      </w:pPr>
      <w:rPr>
        <w:rFonts w:hint="default"/>
      </w:rPr>
    </w:lvl>
    <w:lvl w:ilvl="3">
      <w:start w:val="1"/>
      <w:numFmt w:val="decimal"/>
      <w:lvlText w:val="%4."/>
      <w:lvlJc w:val="left"/>
      <w:pPr>
        <w:tabs>
          <w:tab w:val="left" w:pos="425"/>
        </w:tabs>
        <w:ind w:left="425" w:firstLine="835"/>
      </w:pPr>
      <w:rPr>
        <w:rFonts w:hint="default"/>
      </w:rPr>
    </w:lvl>
    <w:lvl w:ilvl="4">
      <w:start w:val="1"/>
      <w:numFmt w:val="lowerLetter"/>
      <w:lvlText w:val="%5."/>
      <w:lvlJc w:val="left"/>
      <w:pPr>
        <w:tabs>
          <w:tab w:val="left" w:pos="425"/>
        </w:tabs>
        <w:ind w:left="425" w:firstLine="1255"/>
      </w:pPr>
      <w:rPr>
        <w:rFonts w:hint="default"/>
      </w:rPr>
    </w:lvl>
    <w:lvl w:ilvl="5">
      <w:start w:val="1"/>
      <w:numFmt w:val="lowerRoman"/>
      <w:lvlText w:val="%6."/>
      <w:lvlJc w:val="left"/>
      <w:pPr>
        <w:tabs>
          <w:tab w:val="left" w:pos="425"/>
        </w:tabs>
        <w:ind w:left="425" w:firstLine="1675"/>
      </w:pPr>
      <w:rPr>
        <w:rFonts w:hint="default"/>
      </w:rPr>
    </w:lvl>
    <w:lvl w:ilvl="6">
      <w:start w:val="1"/>
      <w:numFmt w:val="decimal"/>
      <w:lvlText w:val="%7."/>
      <w:lvlJc w:val="left"/>
      <w:pPr>
        <w:tabs>
          <w:tab w:val="left" w:pos="425"/>
        </w:tabs>
        <w:ind w:left="425" w:firstLine="2095"/>
      </w:pPr>
      <w:rPr>
        <w:rFonts w:hint="default"/>
      </w:rPr>
    </w:lvl>
    <w:lvl w:ilvl="7">
      <w:start w:val="1"/>
      <w:numFmt w:val="lowerLetter"/>
      <w:lvlText w:val="%8."/>
      <w:lvlJc w:val="left"/>
      <w:pPr>
        <w:tabs>
          <w:tab w:val="left" w:pos="425"/>
        </w:tabs>
        <w:ind w:left="425" w:firstLine="2515"/>
      </w:pPr>
      <w:rPr>
        <w:rFonts w:hint="default"/>
      </w:rPr>
    </w:lvl>
    <w:lvl w:ilvl="8">
      <w:start w:val="1"/>
      <w:numFmt w:val="lowerRoman"/>
      <w:lvlText w:val="%9."/>
      <w:lvlJc w:val="left"/>
      <w:pPr>
        <w:tabs>
          <w:tab w:val="left" w:pos="425"/>
        </w:tabs>
        <w:ind w:left="425" w:firstLine="2935"/>
      </w:pPr>
      <w:rPr>
        <w:rFonts w:hint="default"/>
      </w:rPr>
    </w:lvl>
  </w:abstractNum>
  <w:abstractNum w:abstractNumId="4">
    <w:nsid w:val="0B074D04"/>
    <w:multiLevelType w:val="multilevel"/>
    <w:tmpl w:val="0B074D04"/>
    <w:lvl w:ilvl="0">
      <w:start w:val="1"/>
      <w:numFmt w:val="lowerLetter"/>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nsid w:val="24EDC4B8"/>
    <w:multiLevelType w:val="singleLevel"/>
    <w:tmpl w:val="24EDC4B8"/>
    <w:lvl w:ilvl="0">
      <w:start w:val="1"/>
      <w:numFmt w:val="lowerLetter"/>
      <w:lvlText w:val="%1."/>
      <w:lvlJc w:val="left"/>
      <w:pPr>
        <w:tabs>
          <w:tab w:val="left" w:pos="425"/>
        </w:tabs>
        <w:ind w:left="425" w:hanging="425"/>
      </w:pPr>
      <w:rPr>
        <w:rFonts w:hint="default"/>
      </w:rPr>
    </w:lvl>
  </w:abstractNum>
  <w:abstractNum w:abstractNumId="6">
    <w:nsid w:val="5DBC4508"/>
    <w:multiLevelType w:val="multilevel"/>
    <w:tmpl w:val="5DBC4508"/>
    <w:lvl w:ilvl="0">
      <w:start w:val="1"/>
      <w:numFmt w:val="lowerLetter"/>
      <w:lvlText w:val="%1."/>
      <w:lvlJc w:val="left"/>
      <w:pPr>
        <w:tabs>
          <w:tab w:val="left" w:pos="425"/>
        </w:tabs>
        <w:ind w:left="425"/>
      </w:pPr>
      <w:rPr>
        <w:rFonts w:hint="default"/>
      </w:rPr>
    </w:lvl>
    <w:lvl w:ilvl="1">
      <w:start w:val="1"/>
      <w:numFmt w:val="lowerLetter"/>
      <w:lvlText w:val="%2."/>
      <w:lvlJc w:val="left"/>
      <w:pPr>
        <w:tabs>
          <w:tab w:val="left" w:pos="425"/>
        </w:tabs>
        <w:ind w:left="425" w:hanging="5"/>
      </w:pPr>
      <w:rPr>
        <w:rFonts w:hint="default"/>
      </w:rPr>
    </w:lvl>
    <w:lvl w:ilvl="2">
      <w:start w:val="1"/>
      <w:numFmt w:val="lowerRoman"/>
      <w:lvlText w:val="%3."/>
      <w:lvlJc w:val="left"/>
      <w:pPr>
        <w:tabs>
          <w:tab w:val="left" w:pos="425"/>
        </w:tabs>
        <w:ind w:left="425" w:firstLine="415"/>
      </w:pPr>
      <w:rPr>
        <w:rFonts w:hint="default"/>
      </w:rPr>
    </w:lvl>
    <w:lvl w:ilvl="3">
      <w:start w:val="1"/>
      <w:numFmt w:val="decimal"/>
      <w:lvlText w:val="%4."/>
      <w:lvlJc w:val="left"/>
      <w:pPr>
        <w:tabs>
          <w:tab w:val="left" w:pos="425"/>
        </w:tabs>
        <w:ind w:left="425" w:firstLine="835"/>
      </w:pPr>
      <w:rPr>
        <w:rFonts w:hint="default"/>
      </w:rPr>
    </w:lvl>
    <w:lvl w:ilvl="4">
      <w:start w:val="1"/>
      <w:numFmt w:val="lowerLetter"/>
      <w:lvlText w:val="%5."/>
      <w:lvlJc w:val="left"/>
      <w:pPr>
        <w:tabs>
          <w:tab w:val="left" w:pos="425"/>
        </w:tabs>
        <w:ind w:left="425" w:firstLine="1255"/>
      </w:pPr>
      <w:rPr>
        <w:rFonts w:hint="default"/>
      </w:rPr>
    </w:lvl>
    <w:lvl w:ilvl="5">
      <w:start w:val="1"/>
      <w:numFmt w:val="lowerRoman"/>
      <w:lvlText w:val="%6."/>
      <w:lvlJc w:val="left"/>
      <w:pPr>
        <w:tabs>
          <w:tab w:val="left" w:pos="425"/>
        </w:tabs>
        <w:ind w:left="425" w:firstLine="1675"/>
      </w:pPr>
      <w:rPr>
        <w:rFonts w:hint="default"/>
      </w:rPr>
    </w:lvl>
    <w:lvl w:ilvl="6">
      <w:start w:val="1"/>
      <w:numFmt w:val="decimal"/>
      <w:lvlText w:val="%7."/>
      <w:lvlJc w:val="left"/>
      <w:pPr>
        <w:tabs>
          <w:tab w:val="left" w:pos="425"/>
        </w:tabs>
        <w:ind w:left="425" w:firstLine="2095"/>
      </w:pPr>
      <w:rPr>
        <w:rFonts w:hint="default"/>
      </w:rPr>
    </w:lvl>
    <w:lvl w:ilvl="7">
      <w:start w:val="1"/>
      <w:numFmt w:val="lowerLetter"/>
      <w:lvlText w:val="%8."/>
      <w:lvlJc w:val="left"/>
      <w:pPr>
        <w:tabs>
          <w:tab w:val="left" w:pos="425"/>
        </w:tabs>
        <w:ind w:left="425" w:firstLine="2515"/>
      </w:pPr>
      <w:rPr>
        <w:rFonts w:hint="default"/>
      </w:rPr>
    </w:lvl>
    <w:lvl w:ilvl="8">
      <w:start w:val="1"/>
      <w:numFmt w:val="lowerRoman"/>
      <w:lvlText w:val="%9."/>
      <w:lvlJc w:val="left"/>
      <w:pPr>
        <w:tabs>
          <w:tab w:val="left" w:pos="425"/>
        </w:tabs>
        <w:ind w:left="425" w:firstLine="2935"/>
      </w:pPr>
      <w:rPr>
        <w:rFonts w:hint="default"/>
      </w:rPr>
    </w:lvl>
  </w:abstractNum>
  <w:abstractNum w:abstractNumId="7">
    <w:nsid w:val="5F6F1B0D"/>
    <w:multiLevelType w:val="multilevel"/>
    <w:tmpl w:val="5F6F1B0D"/>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8">
    <w:nsid w:val="74290B11"/>
    <w:multiLevelType w:val="multilevel"/>
    <w:tmpl w:val="74290B11"/>
    <w:lvl w:ilvl="0">
      <w:start w:val="1"/>
      <w:numFmt w:val="lowerLetter"/>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9">
    <w:nsid w:val="7BC0C66E"/>
    <w:multiLevelType w:val="multilevel"/>
    <w:tmpl w:val="7BC0C66E"/>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abstractNumId w:val="7"/>
  </w:num>
  <w:num w:numId="2">
    <w:abstractNumId w:val="1"/>
  </w:num>
  <w:num w:numId="3">
    <w:abstractNumId w:val="3"/>
  </w:num>
  <w:num w:numId="4">
    <w:abstractNumId w:val="4"/>
  </w:num>
  <w:num w:numId="5">
    <w:abstractNumId w:val="0"/>
  </w:num>
  <w:num w:numId="6">
    <w:abstractNumId w:val="9"/>
  </w:num>
  <w:num w:numId="7">
    <w:abstractNumId w:val="5"/>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28"/>
    <w:rsid w:val="000B536A"/>
    <w:rsid w:val="002B42C0"/>
    <w:rsid w:val="005B1280"/>
    <w:rsid w:val="00696E28"/>
    <w:rsid w:val="006A5B33"/>
    <w:rsid w:val="0073265A"/>
    <w:rsid w:val="00A01A10"/>
    <w:rsid w:val="00A350A9"/>
    <w:rsid w:val="00D15534"/>
    <w:rsid w:val="00DC11E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6A"/>
  </w:style>
  <w:style w:type="paragraph" w:styleId="Heading1">
    <w:name w:val="heading 1"/>
    <w:basedOn w:val="Normal"/>
    <w:next w:val="Normal"/>
    <w:link w:val="Heading1Char"/>
    <w:uiPriority w:val="9"/>
    <w:qFormat/>
    <w:rsid w:val="00696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link w:val="Heading2Char"/>
    <w:uiPriority w:val="9"/>
    <w:qFormat/>
    <w:rsid w:val="00696E2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PH"/>
      <w14:ligatures w14:val="none"/>
    </w:rPr>
  </w:style>
  <w:style w:type="paragraph" w:styleId="Heading3">
    <w:name w:val="heading 3"/>
    <w:basedOn w:val="Normal"/>
    <w:next w:val="Normal"/>
    <w:link w:val="Heading3Char"/>
    <w:uiPriority w:val="9"/>
    <w:unhideWhenUsed/>
    <w:qFormat/>
    <w:rsid w:val="00696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E28"/>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696E28"/>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96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696E28"/>
    <w:rPr>
      <w:rFonts w:ascii="Times New Roman" w:eastAsia="Times New Roman" w:hAnsi="Times New Roman" w:cs="Times New Roman"/>
      <w:b/>
      <w:bCs/>
      <w:kern w:val="0"/>
      <w:sz w:val="36"/>
      <w:szCs w:val="36"/>
      <w:lang w:eastAsia="en-PH"/>
      <w14:ligatures w14:val="none"/>
    </w:rPr>
  </w:style>
  <w:style w:type="character" w:customStyle="1" w:styleId="Heading3Char">
    <w:name w:val="Heading 3 Char"/>
    <w:basedOn w:val="DefaultParagraphFont"/>
    <w:link w:val="Heading3"/>
    <w:uiPriority w:val="9"/>
    <w:qFormat/>
    <w:rsid w:val="00696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696E28"/>
    <w:rPr>
      <w:rFonts w:eastAsiaTheme="majorEastAsia" w:cstheme="majorBidi"/>
      <w:i/>
      <w:iCs/>
      <w:color w:val="0F4761" w:themeColor="accent1" w:themeShade="BF"/>
    </w:rPr>
  </w:style>
  <w:style w:type="character" w:styleId="Strong">
    <w:name w:val="Strong"/>
    <w:basedOn w:val="DefaultParagraphFont"/>
    <w:uiPriority w:val="22"/>
    <w:qFormat/>
    <w:rsid w:val="00696E28"/>
    <w:rPr>
      <w:b/>
      <w:bCs/>
    </w:rPr>
  </w:style>
  <w:style w:type="paragraph" w:styleId="NormalWeb">
    <w:name w:val="Normal (Web)"/>
    <w:basedOn w:val="Normal"/>
    <w:uiPriority w:val="99"/>
    <w:unhideWhenUsed/>
    <w:qFormat/>
    <w:rsid w:val="00696E28"/>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customStyle="1" w:styleId="Heading5Char">
    <w:name w:val="Heading 5 Char"/>
    <w:basedOn w:val="DefaultParagraphFont"/>
    <w:link w:val="Heading5"/>
    <w:uiPriority w:val="9"/>
    <w:semiHidden/>
    <w:qFormat/>
    <w:rsid w:val="00696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696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96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96E28"/>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sid w:val="00696E28"/>
    <w:rPr>
      <w:rFonts w:eastAsiaTheme="majorEastAsia" w:cstheme="majorBidi"/>
      <w:color w:val="262626" w:themeColor="text1" w:themeTint="D9"/>
    </w:rPr>
  </w:style>
  <w:style w:type="paragraph" w:styleId="BodyText">
    <w:name w:val="Body Text"/>
    <w:basedOn w:val="Normal"/>
    <w:link w:val="BodyTextChar"/>
    <w:uiPriority w:val="1"/>
    <w:qFormat/>
    <w:rsid w:val="00696E28"/>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qFormat/>
    <w:rsid w:val="00696E28"/>
    <w:rPr>
      <w:rFonts w:ascii="Arial MT" w:eastAsia="Arial MT" w:hAnsi="Arial MT" w:cs="Arial MT"/>
      <w:kern w:val="0"/>
      <w:sz w:val="24"/>
      <w:szCs w:val="24"/>
      <w:lang w:val="en-US"/>
      <w14:ligatures w14:val="none"/>
    </w:rPr>
  </w:style>
  <w:style w:type="paragraph" w:styleId="CommentText">
    <w:name w:val="annotation text"/>
    <w:basedOn w:val="Normal"/>
    <w:link w:val="CommentTextChar"/>
    <w:uiPriority w:val="99"/>
    <w:unhideWhenUsed/>
    <w:qFormat/>
    <w:rsid w:val="00696E28"/>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qFormat/>
    <w:rsid w:val="00696E28"/>
    <w:rPr>
      <w:kern w:val="0"/>
      <w:sz w:val="20"/>
      <w:szCs w:val="20"/>
      <w14:ligatures w14:val="none"/>
    </w:rPr>
  </w:style>
  <w:style w:type="character" w:styleId="Emphasis">
    <w:name w:val="Emphasis"/>
    <w:basedOn w:val="DefaultParagraphFont"/>
    <w:uiPriority w:val="20"/>
    <w:qFormat/>
    <w:rsid w:val="00696E28"/>
    <w:rPr>
      <w:i/>
      <w:iCs/>
    </w:rPr>
  </w:style>
  <w:style w:type="paragraph" w:styleId="Footer">
    <w:name w:val="footer"/>
    <w:basedOn w:val="Normal"/>
    <w:link w:val="FooterChar"/>
    <w:uiPriority w:val="99"/>
    <w:unhideWhenUsed/>
    <w:qFormat/>
    <w:rsid w:val="00696E2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96E28"/>
  </w:style>
  <w:style w:type="paragraph" w:styleId="Header">
    <w:name w:val="header"/>
    <w:basedOn w:val="Normal"/>
    <w:link w:val="HeaderChar"/>
    <w:uiPriority w:val="99"/>
    <w:unhideWhenUsed/>
    <w:qFormat/>
    <w:rsid w:val="00696E2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96E28"/>
  </w:style>
  <w:style w:type="character" w:styleId="Hyperlink">
    <w:name w:val="Hyperlink"/>
    <w:basedOn w:val="DefaultParagraphFont"/>
    <w:uiPriority w:val="99"/>
    <w:unhideWhenUsed/>
    <w:qFormat/>
    <w:rsid w:val="00696E28"/>
    <w:rPr>
      <w:color w:val="467886" w:themeColor="hyperlink"/>
      <w:u w:val="single"/>
    </w:rPr>
  </w:style>
  <w:style w:type="paragraph" w:styleId="Subtitle">
    <w:name w:val="Subtitle"/>
    <w:basedOn w:val="Normal"/>
    <w:next w:val="Normal"/>
    <w:link w:val="SubtitleChar"/>
    <w:uiPriority w:val="11"/>
    <w:qFormat/>
    <w:rsid w:val="00696E28"/>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696E28"/>
    <w:rPr>
      <w:rFonts w:eastAsiaTheme="majorEastAsia" w:cstheme="majorBidi"/>
      <w:color w:val="595959" w:themeColor="text1" w:themeTint="A6"/>
      <w:spacing w:val="15"/>
      <w:sz w:val="28"/>
      <w:szCs w:val="28"/>
    </w:rPr>
  </w:style>
  <w:style w:type="table" w:styleId="TableGrid">
    <w:name w:val="Table Grid"/>
    <w:basedOn w:val="TableNormal"/>
    <w:uiPriority w:val="39"/>
    <w:qFormat/>
    <w:rsid w:val="00696E28"/>
    <w:pPr>
      <w:spacing w:after="0" w:line="240" w:lineRule="auto"/>
    </w:pPr>
    <w:rPr>
      <w:rFonts w:ascii="Calibri" w:eastAsia="Calibri" w:hAnsi="Calibri" w:cs="SimSun"/>
      <w:kern w:val="0"/>
      <w:sz w:val="20"/>
      <w:szCs w:val="20"/>
      <w:lang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96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696E28"/>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696E28"/>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696E28"/>
    <w:rPr>
      <w:i/>
      <w:iCs/>
      <w:color w:val="404040" w:themeColor="text1" w:themeTint="BF"/>
    </w:rPr>
  </w:style>
  <w:style w:type="paragraph" w:styleId="ListParagraph">
    <w:name w:val="List Paragraph"/>
    <w:basedOn w:val="Normal"/>
    <w:uiPriority w:val="34"/>
    <w:qFormat/>
    <w:rsid w:val="00696E28"/>
    <w:pPr>
      <w:ind w:left="720"/>
      <w:contextualSpacing/>
    </w:pPr>
  </w:style>
  <w:style w:type="character" w:customStyle="1" w:styleId="IntenseEmphasis1">
    <w:name w:val="Intense Emphasis1"/>
    <w:basedOn w:val="DefaultParagraphFont"/>
    <w:uiPriority w:val="21"/>
    <w:qFormat/>
    <w:rsid w:val="00696E28"/>
    <w:rPr>
      <w:i/>
      <w:iCs/>
      <w:color w:val="0F4761" w:themeColor="accent1" w:themeShade="BF"/>
    </w:rPr>
  </w:style>
  <w:style w:type="paragraph" w:styleId="IntenseQuote">
    <w:name w:val="Intense Quote"/>
    <w:basedOn w:val="Normal"/>
    <w:next w:val="Normal"/>
    <w:link w:val="IntenseQuoteChar"/>
    <w:uiPriority w:val="30"/>
    <w:qFormat/>
    <w:rsid w:val="00696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696E28"/>
    <w:rPr>
      <w:i/>
      <w:iCs/>
      <w:color w:val="0F4761" w:themeColor="accent1" w:themeShade="BF"/>
    </w:rPr>
  </w:style>
  <w:style w:type="character" w:customStyle="1" w:styleId="IntenseReference1">
    <w:name w:val="Intense Reference1"/>
    <w:basedOn w:val="DefaultParagraphFont"/>
    <w:uiPriority w:val="32"/>
    <w:qFormat/>
    <w:rsid w:val="00696E28"/>
    <w:rPr>
      <w:b/>
      <w:bCs/>
      <w:smallCaps/>
      <w:color w:val="0F4761" w:themeColor="accent1" w:themeShade="BF"/>
      <w:spacing w:val="5"/>
    </w:rPr>
  </w:style>
  <w:style w:type="character" w:customStyle="1" w:styleId="wdyuqq">
    <w:name w:val="wdyuqq"/>
    <w:basedOn w:val="DefaultParagraphFont"/>
    <w:qFormat/>
    <w:rsid w:val="00696E28"/>
  </w:style>
  <w:style w:type="paragraph" w:styleId="NoSpacing">
    <w:name w:val="No Spacing"/>
    <w:uiPriority w:val="1"/>
    <w:qFormat/>
    <w:rsid w:val="00696E28"/>
    <w:pPr>
      <w:spacing w:after="0" w:line="240" w:lineRule="auto"/>
    </w:pPr>
  </w:style>
  <w:style w:type="character" w:customStyle="1" w:styleId="15">
    <w:name w:val="15"/>
    <w:qFormat/>
    <w:rsid w:val="00696E28"/>
    <w:rPr>
      <w:rFonts w:ascii="Times New Roman" w:hAnsi="Times New Roman" w:cs="Times New Roman" w:hint="default"/>
      <w:color w:val="0563C1"/>
      <w:u w:val="single"/>
    </w:rPr>
  </w:style>
  <w:style w:type="character" w:customStyle="1" w:styleId="10">
    <w:name w:val="10"/>
    <w:qFormat/>
    <w:rsid w:val="00696E28"/>
    <w:rPr>
      <w:rFonts w:ascii="Times New Roman" w:hAnsi="Times New Roman" w:cs="Times New Roman" w:hint="default"/>
    </w:rPr>
  </w:style>
  <w:style w:type="paragraph" w:customStyle="1" w:styleId="msonospacing0">
    <w:name w:val="msonospacing"/>
    <w:qFormat/>
    <w:rsid w:val="00696E28"/>
    <w:pPr>
      <w:spacing w:after="0" w:line="240" w:lineRule="auto"/>
    </w:pPr>
    <w:rPr>
      <w:rFonts w:ascii="Calibri" w:eastAsia="Calibri" w:hAnsi="Calibri" w:cs="Times New Roman" w:hint="eastAsia"/>
      <w:sz w:val="24"/>
      <w:szCs w:val="24"/>
      <w:lang w:val="en-US" w:eastAsia="zh-CN"/>
      <w14:ligatures w14:val="none"/>
    </w:rPr>
  </w:style>
  <w:style w:type="character" w:customStyle="1" w:styleId="msointenseemphasis0">
    <w:name w:val="msointenseemphasis"/>
    <w:qFormat/>
    <w:rsid w:val="00696E28"/>
    <w:rPr>
      <w:i/>
      <w:iCs/>
      <w:color w:val="2F5496"/>
    </w:rPr>
  </w:style>
  <w:style w:type="character" w:customStyle="1" w:styleId="msointensereference0">
    <w:name w:val="msointensereference"/>
    <w:qFormat/>
    <w:rsid w:val="00696E28"/>
    <w:rPr>
      <w:b/>
      <w:bCs/>
      <w:smallCaps/>
      <w:color w:val="2F5496"/>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6A"/>
  </w:style>
  <w:style w:type="paragraph" w:styleId="Heading1">
    <w:name w:val="heading 1"/>
    <w:basedOn w:val="Normal"/>
    <w:next w:val="Normal"/>
    <w:link w:val="Heading1Char"/>
    <w:uiPriority w:val="9"/>
    <w:qFormat/>
    <w:rsid w:val="00696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link w:val="Heading2Char"/>
    <w:uiPriority w:val="9"/>
    <w:qFormat/>
    <w:rsid w:val="00696E2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PH"/>
      <w14:ligatures w14:val="none"/>
    </w:rPr>
  </w:style>
  <w:style w:type="paragraph" w:styleId="Heading3">
    <w:name w:val="heading 3"/>
    <w:basedOn w:val="Normal"/>
    <w:next w:val="Normal"/>
    <w:link w:val="Heading3Char"/>
    <w:uiPriority w:val="9"/>
    <w:unhideWhenUsed/>
    <w:qFormat/>
    <w:rsid w:val="00696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E28"/>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696E28"/>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96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696E28"/>
    <w:rPr>
      <w:rFonts w:ascii="Times New Roman" w:eastAsia="Times New Roman" w:hAnsi="Times New Roman" w:cs="Times New Roman"/>
      <w:b/>
      <w:bCs/>
      <w:kern w:val="0"/>
      <w:sz w:val="36"/>
      <w:szCs w:val="36"/>
      <w:lang w:eastAsia="en-PH"/>
      <w14:ligatures w14:val="none"/>
    </w:rPr>
  </w:style>
  <w:style w:type="character" w:customStyle="1" w:styleId="Heading3Char">
    <w:name w:val="Heading 3 Char"/>
    <w:basedOn w:val="DefaultParagraphFont"/>
    <w:link w:val="Heading3"/>
    <w:uiPriority w:val="9"/>
    <w:qFormat/>
    <w:rsid w:val="00696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696E28"/>
    <w:rPr>
      <w:rFonts w:eastAsiaTheme="majorEastAsia" w:cstheme="majorBidi"/>
      <w:i/>
      <w:iCs/>
      <w:color w:val="0F4761" w:themeColor="accent1" w:themeShade="BF"/>
    </w:rPr>
  </w:style>
  <w:style w:type="character" w:styleId="Strong">
    <w:name w:val="Strong"/>
    <w:basedOn w:val="DefaultParagraphFont"/>
    <w:uiPriority w:val="22"/>
    <w:qFormat/>
    <w:rsid w:val="00696E28"/>
    <w:rPr>
      <w:b/>
      <w:bCs/>
    </w:rPr>
  </w:style>
  <w:style w:type="paragraph" w:styleId="NormalWeb">
    <w:name w:val="Normal (Web)"/>
    <w:basedOn w:val="Normal"/>
    <w:uiPriority w:val="99"/>
    <w:unhideWhenUsed/>
    <w:qFormat/>
    <w:rsid w:val="00696E28"/>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customStyle="1" w:styleId="Heading5Char">
    <w:name w:val="Heading 5 Char"/>
    <w:basedOn w:val="DefaultParagraphFont"/>
    <w:link w:val="Heading5"/>
    <w:uiPriority w:val="9"/>
    <w:semiHidden/>
    <w:qFormat/>
    <w:rsid w:val="00696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696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96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96E28"/>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sid w:val="00696E28"/>
    <w:rPr>
      <w:rFonts w:eastAsiaTheme="majorEastAsia" w:cstheme="majorBidi"/>
      <w:color w:val="262626" w:themeColor="text1" w:themeTint="D9"/>
    </w:rPr>
  </w:style>
  <w:style w:type="paragraph" w:styleId="BodyText">
    <w:name w:val="Body Text"/>
    <w:basedOn w:val="Normal"/>
    <w:link w:val="BodyTextChar"/>
    <w:uiPriority w:val="1"/>
    <w:qFormat/>
    <w:rsid w:val="00696E28"/>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qFormat/>
    <w:rsid w:val="00696E28"/>
    <w:rPr>
      <w:rFonts w:ascii="Arial MT" w:eastAsia="Arial MT" w:hAnsi="Arial MT" w:cs="Arial MT"/>
      <w:kern w:val="0"/>
      <w:sz w:val="24"/>
      <w:szCs w:val="24"/>
      <w:lang w:val="en-US"/>
      <w14:ligatures w14:val="none"/>
    </w:rPr>
  </w:style>
  <w:style w:type="paragraph" w:styleId="CommentText">
    <w:name w:val="annotation text"/>
    <w:basedOn w:val="Normal"/>
    <w:link w:val="CommentTextChar"/>
    <w:uiPriority w:val="99"/>
    <w:unhideWhenUsed/>
    <w:qFormat/>
    <w:rsid w:val="00696E28"/>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qFormat/>
    <w:rsid w:val="00696E28"/>
    <w:rPr>
      <w:kern w:val="0"/>
      <w:sz w:val="20"/>
      <w:szCs w:val="20"/>
      <w14:ligatures w14:val="none"/>
    </w:rPr>
  </w:style>
  <w:style w:type="character" w:styleId="Emphasis">
    <w:name w:val="Emphasis"/>
    <w:basedOn w:val="DefaultParagraphFont"/>
    <w:uiPriority w:val="20"/>
    <w:qFormat/>
    <w:rsid w:val="00696E28"/>
    <w:rPr>
      <w:i/>
      <w:iCs/>
    </w:rPr>
  </w:style>
  <w:style w:type="paragraph" w:styleId="Footer">
    <w:name w:val="footer"/>
    <w:basedOn w:val="Normal"/>
    <w:link w:val="FooterChar"/>
    <w:uiPriority w:val="99"/>
    <w:unhideWhenUsed/>
    <w:qFormat/>
    <w:rsid w:val="00696E2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96E28"/>
  </w:style>
  <w:style w:type="paragraph" w:styleId="Header">
    <w:name w:val="header"/>
    <w:basedOn w:val="Normal"/>
    <w:link w:val="HeaderChar"/>
    <w:uiPriority w:val="99"/>
    <w:unhideWhenUsed/>
    <w:qFormat/>
    <w:rsid w:val="00696E2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96E28"/>
  </w:style>
  <w:style w:type="character" w:styleId="Hyperlink">
    <w:name w:val="Hyperlink"/>
    <w:basedOn w:val="DefaultParagraphFont"/>
    <w:uiPriority w:val="99"/>
    <w:unhideWhenUsed/>
    <w:qFormat/>
    <w:rsid w:val="00696E28"/>
    <w:rPr>
      <w:color w:val="467886" w:themeColor="hyperlink"/>
      <w:u w:val="single"/>
    </w:rPr>
  </w:style>
  <w:style w:type="paragraph" w:styleId="Subtitle">
    <w:name w:val="Subtitle"/>
    <w:basedOn w:val="Normal"/>
    <w:next w:val="Normal"/>
    <w:link w:val="SubtitleChar"/>
    <w:uiPriority w:val="11"/>
    <w:qFormat/>
    <w:rsid w:val="00696E28"/>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696E28"/>
    <w:rPr>
      <w:rFonts w:eastAsiaTheme="majorEastAsia" w:cstheme="majorBidi"/>
      <w:color w:val="595959" w:themeColor="text1" w:themeTint="A6"/>
      <w:spacing w:val="15"/>
      <w:sz w:val="28"/>
      <w:szCs w:val="28"/>
    </w:rPr>
  </w:style>
  <w:style w:type="table" w:styleId="TableGrid">
    <w:name w:val="Table Grid"/>
    <w:basedOn w:val="TableNormal"/>
    <w:uiPriority w:val="39"/>
    <w:qFormat/>
    <w:rsid w:val="00696E28"/>
    <w:pPr>
      <w:spacing w:after="0" w:line="240" w:lineRule="auto"/>
    </w:pPr>
    <w:rPr>
      <w:rFonts w:ascii="Calibri" w:eastAsia="Calibri" w:hAnsi="Calibri" w:cs="SimSun"/>
      <w:kern w:val="0"/>
      <w:sz w:val="20"/>
      <w:szCs w:val="20"/>
      <w:lang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96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696E28"/>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696E28"/>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696E28"/>
    <w:rPr>
      <w:i/>
      <w:iCs/>
      <w:color w:val="404040" w:themeColor="text1" w:themeTint="BF"/>
    </w:rPr>
  </w:style>
  <w:style w:type="paragraph" w:styleId="ListParagraph">
    <w:name w:val="List Paragraph"/>
    <w:basedOn w:val="Normal"/>
    <w:uiPriority w:val="34"/>
    <w:qFormat/>
    <w:rsid w:val="00696E28"/>
    <w:pPr>
      <w:ind w:left="720"/>
      <w:contextualSpacing/>
    </w:pPr>
  </w:style>
  <w:style w:type="character" w:customStyle="1" w:styleId="IntenseEmphasis1">
    <w:name w:val="Intense Emphasis1"/>
    <w:basedOn w:val="DefaultParagraphFont"/>
    <w:uiPriority w:val="21"/>
    <w:qFormat/>
    <w:rsid w:val="00696E28"/>
    <w:rPr>
      <w:i/>
      <w:iCs/>
      <w:color w:val="0F4761" w:themeColor="accent1" w:themeShade="BF"/>
    </w:rPr>
  </w:style>
  <w:style w:type="paragraph" w:styleId="IntenseQuote">
    <w:name w:val="Intense Quote"/>
    <w:basedOn w:val="Normal"/>
    <w:next w:val="Normal"/>
    <w:link w:val="IntenseQuoteChar"/>
    <w:uiPriority w:val="30"/>
    <w:qFormat/>
    <w:rsid w:val="00696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696E28"/>
    <w:rPr>
      <w:i/>
      <w:iCs/>
      <w:color w:val="0F4761" w:themeColor="accent1" w:themeShade="BF"/>
    </w:rPr>
  </w:style>
  <w:style w:type="character" w:customStyle="1" w:styleId="IntenseReference1">
    <w:name w:val="Intense Reference1"/>
    <w:basedOn w:val="DefaultParagraphFont"/>
    <w:uiPriority w:val="32"/>
    <w:qFormat/>
    <w:rsid w:val="00696E28"/>
    <w:rPr>
      <w:b/>
      <w:bCs/>
      <w:smallCaps/>
      <w:color w:val="0F4761" w:themeColor="accent1" w:themeShade="BF"/>
      <w:spacing w:val="5"/>
    </w:rPr>
  </w:style>
  <w:style w:type="character" w:customStyle="1" w:styleId="wdyuqq">
    <w:name w:val="wdyuqq"/>
    <w:basedOn w:val="DefaultParagraphFont"/>
    <w:qFormat/>
    <w:rsid w:val="00696E28"/>
  </w:style>
  <w:style w:type="paragraph" w:styleId="NoSpacing">
    <w:name w:val="No Spacing"/>
    <w:uiPriority w:val="1"/>
    <w:qFormat/>
    <w:rsid w:val="00696E28"/>
    <w:pPr>
      <w:spacing w:after="0" w:line="240" w:lineRule="auto"/>
    </w:pPr>
  </w:style>
  <w:style w:type="character" w:customStyle="1" w:styleId="15">
    <w:name w:val="15"/>
    <w:qFormat/>
    <w:rsid w:val="00696E28"/>
    <w:rPr>
      <w:rFonts w:ascii="Times New Roman" w:hAnsi="Times New Roman" w:cs="Times New Roman" w:hint="default"/>
      <w:color w:val="0563C1"/>
      <w:u w:val="single"/>
    </w:rPr>
  </w:style>
  <w:style w:type="character" w:customStyle="1" w:styleId="10">
    <w:name w:val="10"/>
    <w:qFormat/>
    <w:rsid w:val="00696E28"/>
    <w:rPr>
      <w:rFonts w:ascii="Times New Roman" w:hAnsi="Times New Roman" w:cs="Times New Roman" w:hint="default"/>
    </w:rPr>
  </w:style>
  <w:style w:type="paragraph" w:customStyle="1" w:styleId="msonospacing0">
    <w:name w:val="msonospacing"/>
    <w:qFormat/>
    <w:rsid w:val="00696E28"/>
    <w:pPr>
      <w:spacing w:after="0" w:line="240" w:lineRule="auto"/>
    </w:pPr>
    <w:rPr>
      <w:rFonts w:ascii="Calibri" w:eastAsia="Calibri" w:hAnsi="Calibri" w:cs="Times New Roman" w:hint="eastAsia"/>
      <w:sz w:val="24"/>
      <w:szCs w:val="24"/>
      <w:lang w:val="en-US" w:eastAsia="zh-CN"/>
      <w14:ligatures w14:val="none"/>
    </w:rPr>
  </w:style>
  <w:style w:type="character" w:customStyle="1" w:styleId="msointenseemphasis0">
    <w:name w:val="msointenseemphasis"/>
    <w:qFormat/>
    <w:rsid w:val="00696E28"/>
    <w:rPr>
      <w:i/>
      <w:iCs/>
      <w:color w:val="2F5496"/>
    </w:rPr>
  </w:style>
  <w:style w:type="character" w:customStyle="1" w:styleId="msointensereference0">
    <w:name w:val="msointensereference"/>
    <w:qFormat/>
    <w:rsid w:val="00696E28"/>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673113">
      <w:bodyDiv w:val="1"/>
      <w:marLeft w:val="0"/>
      <w:marRight w:val="0"/>
      <w:marTop w:val="0"/>
      <w:marBottom w:val="0"/>
      <w:divBdr>
        <w:top w:val="none" w:sz="0" w:space="0" w:color="auto"/>
        <w:left w:val="none" w:sz="0" w:space="0" w:color="auto"/>
        <w:bottom w:val="none" w:sz="0" w:space="0" w:color="auto"/>
        <w:right w:val="none" w:sz="0" w:space="0" w:color="auto"/>
      </w:divBdr>
      <w:divsChild>
        <w:div w:id="480662322">
          <w:marLeft w:val="0"/>
          <w:marRight w:val="0"/>
          <w:marTop w:val="0"/>
          <w:marBottom w:val="0"/>
          <w:divBdr>
            <w:top w:val="none" w:sz="0" w:space="0" w:color="auto"/>
            <w:left w:val="none" w:sz="0" w:space="0" w:color="auto"/>
            <w:bottom w:val="none" w:sz="0" w:space="0" w:color="auto"/>
            <w:right w:val="none" w:sz="0" w:space="0" w:color="auto"/>
          </w:divBdr>
        </w:div>
      </w:divsChild>
    </w:div>
    <w:div w:id="1994210704">
      <w:bodyDiv w:val="1"/>
      <w:marLeft w:val="0"/>
      <w:marRight w:val="0"/>
      <w:marTop w:val="0"/>
      <w:marBottom w:val="0"/>
      <w:divBdr>
        <w:top w:val="none" w:sz="0" w:space="0" w:color="auto"/>
        <w:left w:val="none" w:sz="0" w:space="0" w:color="auto"/>
        <w:bottom w:val="none" w:sz="0" w:space="0" w:color="auto"/>
        <w:right w:val="none" w:sz="0" w:space="0" w:color="auto"/>
      </w:divBdr>
      <w:divsChild>
        <w:div w:id="555288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48</Pages>
  <Words>17480</Words>
  <Characters>99640</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Jay-Ar Tino</dc:creator>
  <cp:keywords/>
  <dc:description/>
  <cp:lastModifiedBy>qwert</cp:lastModifiedBy>
  <cp:revision>2</cp:revision>
  <dcterms:created xsi:type="dcterms:W3CDTF">2026-04-21T12:41:00Z</dcterms:created>
  <dcterms:modified xsi:type="dcterms:W3CDTF">2026-04-23T15:57:00Z</dcterms:modified>
</cp:coreProperties>
</file>