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0780D" w14:textId="77777777" w:rsidR="00962F3B" w:rsidRDefault="00962F3B" w:rsidP="00962F3B">
      <w:pPr>
        <w:spacing w:before="16" w:after="8"/>
        <w:ind w:left="238" w:right="238"/>
        <w:jc w:val="center"/>
        <w:rPr>
          <w:rFonts w:ascii="Times New Roman" w:hAnsi="Times New Roman" w:cs="Times New Roman"/>
          <w:b/>
          <w:bCs/>
          <w:sz w:val="36"/>
          <w:szCs w:val="36"/>
        </w:rPr>
      </w:pPr>
      <w:r w:rsidRPr="00BD4B3B">
        <w:rPr>
          <w:rFonts w:ascii="Times New Roman" w:hAnsi="Times New Roman" w:cs="Times New Roman"/>
          <w:b/>
          <w:bCs/>
          <w:sz w:val="36"/>
          <w:szCs w:val="36"/>
        </w:rPr>
        <w:t>MANGROVES</w:t>
      </w:r>
      <w:r>
        <w:rPr>
          <w:rFonts w:ascii="Times New Roman" w:hAnsi="Times New Roman" w:cs="Times New Roman"/>
          <w:b/>
          <w:bCs/>
          <w:sz w:val="36"/>
          <w:szCs w:val="36"/>
        </w:rPr>
        <w:t>-</w:t>
      </w:r>
      <w:r w:rsidRPr="00BD4B3B">
        <w:rPr>
          <w:rFonts w:ascii="Times New Roman" w:hAnsi="Times New Roman" w:cs="Times New Roman"/>
          <w:b/>
          <w:bCs/>
          <w:sz w:val="36"/>
          <w:szCs w:val="36"/>
        </w:rPr>
        <w:t>BLUE CARBON HEROES</w:t>
      </w:r>
      <w:r>
        <w:rPr>
          <w:rFonts w:ascii="Times New Roman" w:hAnsi="Times New Roman" w:cs="Times New Roman"/>
          <w:b/>
          <w:bCs/>
          <w:sz w:val="36"/>
          <w:szCs w:val="36"/>
        </w:rPr>
        <w:t>- A FIGHT AGAINST CLIMATE CHANGE</w:t>
      </w:r>
    </w:p>
    <w:p w14:paraId="13636E7C" w14:textId="77777777" w:rsidR="00962F3B" w:rsidRDefault="00962F3B" w:rsidP="00D96F4E">
      <w:pPr>
        <w:spacing w:before="16" w:after="8"/>
        <w:ind w:left="238" w:right="238"/>
        <w:jc w:val="center"/>
        <w:rPr>
          <w:rFonts w:ascii="Times New Roman" w:hAnsi="Times New Roman" w:cs="Times New Roman"/>
          <w:b/>
          <w:bCs/>
          <w:sz w:val="36"/>
          <w:szCs w:val="36"/>
        </w:rPr>
      </w:pPr>
    </w:p>
    <w:p w14:paraId="64977FDE" w14:textId="77777777" w:rsidR="00962F3B" w:rsidRDefault="00962F3B" w:rsidP="00D96F4E">
      <w:pPr>
        <w:spacing w:before="16" w:after="8"/>
        <w:ind w:left="238" w:right="238"/>
        <w:jc w:val="center"/>
        <w:rPr>
          <w:rFonts w:ascii="Times New Roman" w:hAnsi="Times New Roman" w:cs="Times New Roman"/>
          <w:b/>
          <w:bCs/>
          <w:sz w:val="36"/>
          <w:szCs w:val="36"/>
        </w:rPr>
      </w:pPr>
    </w:p>
    <w:p w14:paraId="692A913A" w14:textId="07259206" w:rsidR="00262F00" w:rsidRDefault="00262F00" w:rsidP="00D96F4E">
      <w:pPr>
        <w:spacing w:before="16" w:after="8"/>
        <w:ind w:left="238" w:right="238"/>
        <w:rPr>
          <w:rFonts w:ascii="Times New Roman" w:hAnsi="Times New Roman" w:cs="Times New Roman"/>
          <w:b/>
          <w:bCs/>
          <w:sz w:val="28"/>
          <w:szCs w:val="28"/>
        </w:rPr>
      </w:pPr>
      <w:bookmarkStart w:id="0" w:name="_GoBack"/>
      <w:bookmarkEnd w:id="0"/>
      <w:r w:rsidRPr="00262F00">
        <w:rPr>
          <w:rFonts w:ascii="Times New Roman" w:hAnsi="Times New Roman" w:cs="Times New Roman"/>
          <w:b/>
          <w:bCs/>
          <w:sz w:val="28"/>
          <w:szCs w:val="28"/>
        </w:rPr>
        <w:t>ABSTRACT</w:t>
      </w:r>
    </w:p>
    <w:p w14:paraId="582C6B62" w14:textId="3B634EDF" w:rsidR="00C00184" w:rsidRDefault="00262F0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color w:val="000000"/>
        </w:rPr>
        <w:t xml:space="preserve">Mangroves function as natural protective barriers against coastal erosion, storm surges, and flooding. Mangroves function as natural protective barriers against coastal erosion, storm surges, and flooding. By stabilizing shorelines and reducing the impact of extreme weather events, they help to minimize economic losses associated with damage to infrastructure, agriculture, and property. However, rapid urbanization, land reclamation, pollution, and unplanned development have resulted in significant degradation of mangrove habitats. </w:t>
      </w:r>
      <w:r w:rsidR="00C00184">
        <w:rPr>
          <w:rFonts w:ascii="Times New Roman" w:eastAsia="Times New Roman" w:hAnsi="Times New Roman" w:cs="Times New Roman"/>
        </w:rPr>
        <w:t>Primary data were collected through structured questionnaires, direct interviews with local residents, fishermen, tourism workers and visitors, along with field observation. Secondary data was sourced from published research articles, academic journals, government reports, policy documents, environmental studies, and official websites. Loss of fish stock and increased flood damage together account for the major economic losses, highlighting the strong link between mangrove degradation and local economic insecurity. Natural scenery and biodiversity and a peaceful environment</w:t>
      </w:r>
      <w:r w:rsidR="00D96F4E">
        <w:rPr>
          <w:rFonts w:ascii="Times New Roman" w:eastAsia="Times New Roman" w:hAnsi="Times New Roman" w:cs="Times New Roman"/>
        </w:rPr>
        <w:t xml:space="preserve"> </w:t>
      </w:r>
      <w:r w:rsidR="00C00184">
        <w:rPr>
          <w:rFonts w:ascii="Times New Roman" w:eastAsia="Times New Roman" w:hAnsi="Times New Roman" w:cs="Times New Roman"/>
        </w:rPr>
        <w:t>are the main motivations for visiting mangrove areas.</w:t>
      </w:r>
    </w:p>
    <w:p w14:paraId="12410574" w14:textId="7B73CA06" w:rsidR="00E456CB" w:rsidRPr="0073518C" w:rsidRDefault="00E456CB" w:rsidP="00D96F4E">
      <w:pPr>
        <w:spacing w:before="16" w:after="8" w:line="240" w:lineRule="auto"/>
        <w:ind w:left="238" w:right="238"/>
        <w:jc w:val="both"/>
        <w:rPr>
          <w:rFonts w:ascii="Times New Roman" w:eastAsia="Times New Roman" w:hAnsi="Times New Roman" w:cs="Times New Roman"/>
          <w:b/>
          <w:bCs/>
        </w:rPr>
      </w:pPr>
      <w:r>
        <w:rPr>
          <w:rFonts w:ascii="Times New Roman" w:eastAsia="Times New Roman" w:hAnsi="Times New Roman" w:cs="Times New Roman"/>
        </w:rPr>
        <w:t xml:space="preserve">Key Words: </w:t>
      </w:r>
      <w:r w:rsidRPr="00E456CB">
        <w:rPr>
          <w:rFonts w:ascii="Times New Roman" w:eastAsia="Times New Roman" w:hAnsi="Times New Roman" w:cs="Times New Roman"/>
          <w:b/>
          <w:bCs/>
          <w:color w:val="000000"/>
        </w:rPr>
        <w:t>Mangrove</w:t>
      </w:r>
      <w:r>
        <w:rPr>
          <w:rFonts w:ascii="Times New Roman" w:eastAsia="Times New Roman" w:hAnsi="Times New Roman" w:cs="Times New Roman"/>
          <w:b/>
          <w:bCs/>
          <w:color w:val="000000"/>
        </w:rPr>
        <w:t xml:space="preserve">, </w:t>
      </w:r>
      <w:r w:rsidRPr="0073518C">
        <w:rPr>
          <w:rFonts w:ascii="Times New Roman" w:eastAsia="Times New Roman" w:hAnsi="Times New Roman" w:cs="Times New Roman"/>
          <w:b/>
          <w:bCs/>
          <w:color w:val="000000"/>
        </w:rPr>
        <w:t>shorelines, mitigation, sediments</w:t>
      </w:r>
      <w:r w:rsidR="0073518C" w:rsidRPr="0073518C">
        <w:rPr>
          <w:rFonts w:ascii="Times New Roman" w:eastAsia="Times New Roman" w:hAnsi="Times New Roman" w:cs="Times New Roman"/>
          <w:b/>
          <w:bCs/>
          <w:color w:val="000000"/>
        </w:rPr>
        <w:t>, filtering pollutants</w:t>
      </w:r>
    </w:p>
    <w:p w14:paraId="67EEB57C" w14:textId="3B20807E" w:rsidR="00262F00" w:rsidRPr="0073518C" w:rsidRDefault="00262F00" w:rsidP="00D96F4E">
      <w:pPr>
        <w:spacing w:before="16" w:after="8" w:line="240" w:lineRule="auto"/>
        <w:ind w:left="238" w:right="238"/>
        <w:jc w:val="both"/>
        <w:rPr>
          <w:rFonts w:ascii="Times New Roman" w:eastAsia="Times New Roman" w:hAnsi="Times New Roman" w:cs="Times New Roman"/>
          <w:b/>
          <w:bCs/>
          <w:color w:val="000000"/>
        </w:rPr>
      </w:pPr>
    </w:p>
    <w:p w14:paraId="32F7B5F9" w14:textId="0309C8FE" w:rsidR="00262F00" w:rsidRPr="00077924" w:rsidRDefault="00262F00" w:rsidP="00D96F4E">
      <w:pPr>
        <w:spacing w:before="16" w:after="8" w:line="240" w:lineRule="auto"/>
        <w:ind w:left="238" w:right="238"/>
        <w:rPr>
          <w:rFonts w:ascii="Times New Roman" w:hAnsi="Times New Roman" w:cs="Times New Roman"/>
          <w:b/>
          <w:bCs/>
          <w:sz w:val="28"/>
          <w:szCs w:val="28"/>
        </w:rPr>
      </w:pPr>
      <w:r w:rsidRPr="00077924">
        <w:rPr>
          <w:rFonts w:ascii="Times New Roman" w:eastAsia="Times New Roman" w:hAnsi="Times New Roman" w:cs="Times New Roman"/>
          <w:b/>
          <w:bCs/>
          <w:color w:val="000000"/>
          <w:sz w:val="28"/>
          <w:szCs w:val="28"/>
        </w:rPr>
        <w:t>INTRODUCTION</w:t>
      </w:r>
    </w:p>
    <w:p w14:paraId="00E50439" w14:textId="77777777" w:rsidR="00BD4B3B" w:rsidRDefault="00BD4B3B"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Mangrove ecosystems are among the most productive and economically valuable coastal habitats in the world. mangrove forests form a vital component of the coastal and wetland landscape. These ecosystems not only support rich biodiversity but also provide direct and indirect economic benefits to local communities. However, rapid urbanization, land reclamation, pollution, and unplanned development have resulted in significant degradation of mangrove habitats. In this context, integrating mangrove conservation with ecotourism presents a sustainable economic strategy that can promote environmental protection while enhancing local livelihoods.</w:t>
      </w:r>
    </w:p>
    <w:p w14:paraId="574A919A" w14:textId="54259D7C"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Mangrove conservation is not merely an environmental concern; it has strong economic relevance. Mangroves function as natural protective barriers against coastal erosion, storm surges, and flooding. By stabilizing shorelines and reducing the impact of extreme weather events, they help to minimize economic losses associated with damage to infrastructure, agriculture, and property. This natural disaster mitigation service reduces public expenditure on artificial coastal defences and rehabilitation measures. Therefore, conserving mangroves can be viewed as a cost-effective investment in long-term economic security. </w:t>
      </w:r>
    </w:p>
    <w:p w14:paraId="2D98A231" w14:textId="7DE9430E"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Mangroves play a critical role in supporting fisheries, which are a major source of income for local communities. Mangrove ecosystems serve as breeding and nursery grounds for various fish species, crabs, prawns, and </w:t>
      </w:r>
      <w:r w:rsidR="00C472AD">
        <w:rPr>
          <w:rFonts w:ascii="Times New Roman" w:eastAsia="Times New Roman" w:hAnsi="Times New Roman" w:cs="Times New Roman"/>
          <w:color w:val="000000"/>
        </w:rPr>
        <w:t>molluscs</w:t>
      </w:r>
      <w:r>
        <w:rPr>
          <w:rFonts w:ascii="Times New Roman" w:eastAsia="Times New Roman" w:hAnsi="Times New Roman" w:cs="Times New Roman"/>
          <w:color w:val="000000"/>
        </w:rPr>
        <w:t xml:space="preserve">. These resources contribute directly to the livelihoods of fishermen and small-scale seafood traders. The productivity of nearshore fisheries is closely linked to the health of mangrove ecosystems. </w:t>
      </w:r>
    </w:p>
    <w:p w14:paraId="747F2BD8" w14:textId="77777777"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Degradation of mangroves leads to a decline in fish populations, which in turn affects income levels and food security. Thus, conservation efforts can enhance fish stocks, stabilize incomes, and ensure sustainable economic returns over time.</w:t>
      </w:r>
    </w:p>
    <w:p w14:paraId="244B5193" w14:textId="608274E3"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Mangroves improve water quality by filtering pollutants and trapping sediments. This benefits aquaculture, agriculture, and drinking water sources in surrounding areas. Moreover, mangroves act as significant carbon sinks, storing large amounts of carbon in their biomass and soil. In the context of global climate change, this carbon sequestration potential may open opportunities for climate finance mechanisms and carbon credit initiatives.</w:t>
      </w:r>
    </w:p>
    <w:p w14:paraId="4FD3FF99" w14:textId="4C29F270" w:rsidR="00EB1ABC" w:rsidRDefault="00EB1ABC"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Ecotourism emerges as a promising approach to link conservation with economic development. Unlike conventional mass tourism, ecotourism emphasizes environmental sustainability, community participation, and cultural preservation. Responsible tourism initiatives such as guided mangrove trails, canoe rides through backwaters, bird watching tours, photography excursions, and environmental education camps can attract visitors interested in sustainable travel experiences.</w:t>
      </w:r>
    </w:p>
    <w:p w14:paraId="417FBBC6" w14:textId="0812827C" w:rsidR="00262F00" w:rsidRDefault="00262F00" w:rsidP="00D96F4E">
      <w:pPr>
        <w:pBdr>
          <w:top w:val="nil"/>
          <w:left w:val="nil"/>
          <w:bottom w:val="nil"/>
          <w:right w:val="nil"/>
          <w:between w:val="nil"/>
        </w:pBdr>
        <w:spacing w:before="16" w:after="8" w:line="36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eastAsia="en-IN"/>
        </w:rPr>
        <w:drawing>
          <wp:inline distT="0" distB="0" distL="0" distR="0" wp14:anchorId="492482AC" wp14:editId="41571295">
            <wp:extent cx="3596640" cy="2065020"/>
            <wp:effectExtent l="0" t="0" r="3810" b="0"/>
            <wp:docPr id="54839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94341" name="Picture 548394341"/>
                    <pic:cNvPicPr/>
                  </pic:nvPicPr>
                  <pic:blipFill>
                    <a:blip r:embed="rId8">
                      <a:extLst>
                        <a:ext uri="{28A0092B-C50C-407E-A947-70E740481C1C}">
                          <a14:useLocalDpi xmlns:a14="http://schemas.microsoft.com/office/drawing/2010/main" val="0"/>
                        </a:ext>
                      </a:extLst>
                    </a:blip>
                    <a:stretch>
                      <a:fillRect/>
                    </a:stretch>
                  </pic:blipFill>
                  <pic:spPr>
                    <a:xfrm>
                      <a:off x="0" y="0"/>
                      <a:ext cx="3596640" cy="2065020"/>
                    </a:xfrm>
                    <a:prstGeom prst="rect">
                      <a:avLst/>
                    </a:prstGeom>
                  </pic:spPr>
                </pic:pic>
              </a:graphicData>
            </a:graphic>
          </wp:inline>
        </w:drawing>
      </w:r>
    </w:p>
    <w:p w14:paraId="7CC1CEDC" w14:textId="77777777" w:rsidR="00A9647B" w:rsidRDefault="00A9647B" w:rsidP="00D96F4E">
      <w:pPr>
        <w:pBdr>
          <w:top w:val="nil"/>
          <w:left w:val="nil"/>
          <w:bottom w:val="nil"/>
          <w:right w:val="nil"/>
          <w:between w:val="nil"/>
        </w:pBdr>
        <w:spacing w:before="16" w:after="8" w:line="240" w:lineRule="auto"/>
        <w:ind w:left="238" w:right="238"/>
        <w:jc w:val="both"/>
        <w:rPr>
          <w:rFonts w:ascii="Times New Roman" w:eastAsia="Times New Roman" w:hAnsi="Times New Roman" w:cs="Times New Roman"/>
          <w:color w:val="000000"/>
        </w:rPr>
      </w:pPr>
      <w:r>
        <w:rPr>
          <w:rFonts w:ascii="Times New Roman" w:eastAsia="Times New Roman" w:hAnsi="Times New Roman" w:cs="Times New Roman"/>
          <w:color w:val="000000"/>
        </w:rPr>
        <w:t>The economic benefits of ecotourism are multifaceted. First, it generates direct employment opportunities for local residents. Community members can work as tourist guides, boat operators, nature interpreters, homestay hosts, and small-scale entrepreneurs selling handicrafts and local products. Women and youth, in particular, can benefit from these opportunities, contributing to inclusive economic growth. Second, ecotourism stimulates indirect economic activities such as transportation services, local food supply chains, and small businesses. The multiplier effect of tourism spending can enhance overall income levels in the region.</w:t>
      </w:r>
    </w:p>
    <w:p w14:paraId="4F1A7AD8" w14:textId="77777777" w:rsidR="00A9647B" w:rsidRPr="00077924" w:rsidRDefault="00A9647B" w:rsidP="00D96F4E">
      <w:pPr>
        <w:pBdr>
          <w:top w:val="nil"/>
          <w:left w:val="nil"/>
          <w:bottom w:val="nil"/>
          <w:right w:val="nil"/>
          <w:between w:val="nil"/>
        </w:pBdr>
        <w:spacing w:before="16" w:after="8" w:line="360" w:lineRule="auto"/>
        <w:ind w:left="238" w:right="238"/>
        <w:jc w:val="both"/>
        <w:rPr>
          <w:rFonts w:ascii="Times New Roman" w:eastAsia="Times New Roman" w:hAnsi="Times New Roman" w:cs="Times New Roman"/>
          <w:color w:val="000000"/>
          <w:sz w:val="28"/>
          <w:szCs w:val="28"/>
        </w:rPr>
      </w:pPr>
      <w:r w:rsidRPr="00077924">
        <w:rPr>
          <w:rFonts w:ascii="Times New Roman" w:eastAsia="Times New Roman" w:hAnsi="Times New Roman" w:cs="Times New Roman"/>
          <w:b/>
          <w:bCs/>
          <w:color w:val="000000"/>
          <w:sz w:val="28"/>
          <w:szCs w:val="28"/>
        </w:rPr>
        <w:t>REVIEW OF LITERATURE</w:t>
      </w:r>
    </w:p>
    <w:p w14:paraId="3CF71727" w14:textId="64B77725" w:rsidR="006C02F4" w:rsidRPr="006C02F4" w:rsidRDefault="006C02F4" w:rsidP="00D96F4E">
      <w:pPr>
        <w:spacing w:before="16" w:after="8" w:line="240" w:lineRule="auto"/>
        <w:ind w:left="238" w:right="238"/>
        <w:jc w:val="both"/>
        <w:rPr>
          <w:rFonts w:ascii="Times New Roman" w:eastAsia="Times New Roman" w:hAnsi="Times New Roman" w:cs="Times New Roman"/>
        </w:rPr>
      </w:pPr>
      <w:r w:rsidRPr="006C02F4">
        <w:rPr>
          <w:rFonts w:ascii="Times New Roman" w:eastAsia="Times New Roman" w:hAnsi="Times New Roman" w:cs="Times New Roman"/>
        </w:rPr>
        <w:t>The study develops with a background base from earlier studies</w:t>
      </w:r>
      <w:r>
        <w:rPr>
          <w:rFonts w:ascii="Times New Roman" w:eastAsia="Times New Roman" w:hAnsi="Times New Roman" w:cs="Times New Roman"/>
        </w:rPr>
        <w:t>, that are following:</w:t>
      </w:r>
    </w:p>
    <w:p w14:paraId="6E905E8F" w14:textId="1D22B830" w:rsidR="00A9647B" w:rsidRDefault="00A9647B" w:rsidP="00D96F4E">
      <w:pPr>
        <w:spacing w:before="16" w:after="8" w:line="240" w:lineRule="auto"/>
        <w:ind w:left="238" w:right="238"/>
        <w:jc w:val="both"/>
        <w:rPr>
          <w:rFonts w:ascii="Times New Roman" w:eastAsia="Times New Roman" w:hAnsi="Times New Roman" w:cs="Times New Roman"/>
        </w:rPr>
      </w:pPr>
      <w:proofErr w:type="spellStart"/>
      <w:r>
        <w:rPr>
          <w:rFonts w:ascii="Times New Roman" w:eastAsia="Times New Roman" w:hAnsi="Times New Roman" w:cs="Times New Roman"/>
          <w:b/>
          <w:bCs/>
        </w:rPr>
        <w:t>Sarang</w:t>
      </w:r>
      <w:proofErr w:type="gramStart"/>
      <w:r>
        <w:rPr>
          <w:rFonts w:ascii="Times New Roman" w:eastAsia="Times New Roman" w:hAnsi="Times New Roman" w:cs="Times New Roman"/>
          <w:b/>
          <w:bCs/>
        </w:rPr>
        <w:t>,K.T</w:t>
      </w:r>
      <w:proofErr w:type="spellEnd"/>
      <w:proofErr w:type="gramEnd"/>
      <w:r>
        <w:rPr>
          <w:rFonts w:ascii="Times New Roman" w:eastAsia="Times New Roman" w:hAnsi="Times New Roman" w:cs="Times New Roman"/>
          <w:b/>
          <w:bCs/>
        </w:rPr>
        <w:t xml:space="preserve">.(2020), </w:t>
      </w:r>
      <w:r>
        <w:rPr>
          <w:rFonts w:ascii="Times New Roman" w:eastAsia="Times New Roman" w:hAnsi="Times New Roman" w:cs="Times New Roman"/>
        </w:rPr>
        <w:t xml:space="preserve">This study explores the symbiotic relationship between local communities and mangrove wetlands near the </w:t>
      </w:r>
      <w:proofErr w:type="spellStart"/>
      <w:r>
        <w:rPr>
          <w:rFonts w:ascii="Times New Roman" w:eastAsia="Times New Roman" w:hAnsi="Times New Roman" w:cs="Times New Roman"/>
        </w:rPr>
        <w:t>Kavvayi</w:t>
      </w:r>
      <w:proofErr w:type="spellEnd"/>
      <w:r>
        <w:rPr>
          <w:rFonts w:ascii="Times New Roman" w:eastAsia="Times New Roman" w:hAnsi="Times New Roman" w:cs="Times New Roman"/>
        </w:rPr>
        <w:t xml:space="preserve"> river basin in northern Kerala. Mangroves are acknowledged here as highly productive ecosystems, providing shoreline stabilization, protection from coastal hazards, filtration of pollutants, and essential breeding grounds for fish and shellfish. </w:t>
      </w:r>
    </w:p>
    <w:p w14:paraId="14FCA3B8" w14:textId="5800C36E"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t>Chitra K.P, Preetha K.V., Vikas P.A. (2021)</w:t>
      </w:r>
      <w:r>
        <w:rPr>
          <w:rFonts w:ascii="Times New Roman" w:eastAsia="Times New Roman" w:hAnsi="Times New Roman" w:cs="Times New Roman"/>
        </w:rPr>
        <w:t xml:space="preserve"> - This chapter situates Kerala’s wetland conservation strategies within the global framework provided by the Ramsar Convention. It defines wetlands expansively, including marshes, peatlands, and even shallow marine zones, emphasizing their ecological importance and contribution to sustainable development goals. In Kerala, wetlands including mangroves provide critical ecosystem services like flood mitigation, water purification, carbon sequestration, and microclimate regulation. </w:t>
      </w:r>
    </w:p>
    <w:p w14:paraId="3B2177DA" w14:textId="3056436E"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lastRenderedPageBreak/>
        <w:t>Devaraj Asir Ramesh et al. (2022)</w:t>
      </w:r>
      <w:r>
        <w:rPr>
          <w:rFonts w:ascii="Times New Roman" w:eastAsia="Times New Roman" w:hAnsi="Times New Roman" w:cs="Times New Roman"/>
        </w:rPr>
        <w:t xml:space="preserve"> –This study undertakes a comprehensive economic valuation of mangrove ecosystem services across India using the Millennium Ecosystem Assessment (MEA) framework, which classifies ecosystem services into four categories: provisioning, regulating, cultural, and supporting services. Provisioning services include timber, fuelwood, fisheries, and honey. Regulating services encompass storm protection, erosion control, and carbon sequestration. Cultural services involve ecotourism and spiritual significance, while supporting services include nutrient cycling and primary productivity. </w:t>
      </w:r>
    </w:p>
    <w:p w14:paraId="598FDF66" w14:textId="3AD3AFDC" w:rsidR="00A9647B" w:rsidRDefault="00A9647B"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b/>
          <w:bCs/>
        </w:rPr>
        <w:t>Divya S. Rajan and Athira P.V.’s article (2023</w:t>
      </w:r>
      <w:r>
        <w:rPr>
          <w:rFonts w:ascii="Times New Roman" w:eastAsia="Times New Roman" w:hAnsi="Times New Roman" w:cs="Times New Roman"/>
        </w:rPr>
        <w:t>), This article sits within a broad and growing body of mangrove literature that emphasizes the indispensable ecosystem services mangroves provide—coastal protection, nursery habitat for fisheries, carbon sequestration, nutrient cycling—and the multiple, often synergistic threats they face from coastal development, aquaculture, pollution, and hydrological alteration</w:t>
      </w:r>
      <w:r w:rsidR="002025F1">
        <w:rPr>
          <w:rFonts w:ascii="Times New Roman" w:eastAsia="Times New Roman" w:hAnsi="Times New Roman" w:cs="Times New Roman"/>
        </w:rPr>
        <w:t>.</w:t>
      </w:r>
      <w:r>
        <w:rPr>
          <w:rFonts w:ascii="Times New Roman" w:eastAsia="Times New Roman" w:hAnsi="Times New Roman" w:cs="Times New Roman"/>
        </w:rPr>
        <w:t xml:space="preserve"> </w:t>
      </w:r>
    </w:p>
    <w:p w14:paraId="20D70559" w14:textId="2B929B00" w:rsidR="009E3601" w:rsidRPr="00077924" w:rsidRDefault="009E3601" w:rsidP="00D96F4E">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METHODOLOGY</w:t>
      </w:r>
    </w:p>
    <w:p w14:paraId="0B2817FC" w14:textId="77777777" w:rsidR="008E6FBF" w:rsidRDefault="006C46B2" w:rsidP="008E6FBF">
      <w:pPr>
        <w:spacing w:before="16" w:after="8" w:line="240" w:lineRule="auto"/>
        <w:ind w:left="238" w:right="238"/>
        <w:jc w:val="both"/>
        <w:rPr>
          <w:rFonts w:ascii="Times New Roman" w:eastAsia="Times New Roman" w:hAnsi="Times New Roman" w:cs="Times New Roman"/>
        </w:rPr>
      </w:pPr>
      <w:r w:rsidRPr="006C46B2">
        <w:rPr>
          <w:rFonts w:ascii="Times New Roman" w:eastAsia="Times New Roman" w:hAnsi="Times New Roman" w:cs="Times New Roman"/>
        </w:rPr>
        <w:t xml:space="preserve">Based on a case study approach, the current paper examines </w:t>
      </w:r>
      <w:proofErr w:type="spellStart"/>
      <w:r w:rsidRPr="006C46B2">
        <w:rPr>
          <w:rFonts w:ascii="Times New Roman" w:eastAsia="Times New Roman" w:hAnsi="Times New Roman" w:cs="Times New Roman"/>
        </w:rPr>
        <w:t>Kattampally</w:t>
      </w:r>
      <w:proofErr w:type="spellEnd"/>
      <w:r w:rsidRPr="006C46B2">
        <w:rPr>
          <w:rFonts w:ascii="Times New Roman" w:eastAsia="Times New Roman" w:hAnsi="Times New Roman" w:cs="Times New Roman"/>
        </w:rPr>
        <w:t xml:space="preserve"> in Kerala, India's Kannur district. Based on both primary and secondary data, the study is analytical and descriptive in character. </w:t>
      </w:r>
      <w:r w:rsidR="009E3601">
        <w:rPr>
          <w:rFonts w:ascii="Times New Roman" w:eastAsia="Times New Roman" w:hAnsi="Times New Roman" w:cs="Times New Roman"/>
        </w:rPr>
        <w:t xml:space="preserve">Primary data were collected through structured questionnaires, direct interviews with local residents, fishermen, tourism workers and visitors, along with field observation. </w:t>
      </w:r>
      <w:r w:rsidR="00262F00">
        <w:rPr>
          <w:rFonts w:ascii="Times New Roman" w:eastAsia="Times New Roman" w:hAnsi="Times New Roman" w:cs="Times New Roman"/>
        </w:rPr>
        <w:t xml:space="preserve">Secondary data was sourced from published research articles, academic journals, government reports, policy documents, environmental studies, and official websites related to mangrove ecosystems and eco-tourism. </w:t>
      </w:r>
      <w:r w:rsidR="008E6FBF" w:rsidRPr="008E6FBF">
        <w:rPr>
          <w:rFonts w:ascii="Times New Roman" w:eastAsia="Times New Roman" w:hAnsi="Times New Roman" w:cs="Times New Roman"/>
        </w:rPr>
        <w:t>The respondents were chosen using a convenience sample technique. Convenience sampling was used in the study, and participants were chosen based on their availability and desire to take part. The survey had 50 respondents in total. Field visits and self-administered questionnaires were used to collect data in order to guarantee the validity and applicability of the answers.</w:t>
      </w:r>
    </w:p>
    <w:p w14:paraId="2B67C14A" w14:textId="5FC45CC7" w:rsidR="00EB1ABC" w:rsidRPr="00077924" w:rsidRDefault="009E3601" w:rsidP="008E6FBF">
      <w:pPr>
        <w:spacing w:before="16" w:after="8" w:line="240" w:lineRule="auto"/>
        <w:ind w:left="238" w:right="238"/>
        <w:jc w:val="both"/>
        <w:rPr>
          <w:rFonts w:ascii="Times New Roman" w:eastAsia="Times New Roman" w:hAnsi="Times New Roman" w:cs="Times New Roman"/>
          <w:b/>
          <w:bCs/>
          <w:color w:val="000000"/>
          <w:sz w:val="28"/>
          <w:szCs w:val="28"/>
        </w:rPr>
      </w:pPr>
      <w:r w:rsidRPr="00077924">
        <w:rPr>
          <w:rFonts w:ascii="Times New Roman" w:eastAsia="Times New Roman" w:hAnsi="Times New Roman" w:cs="Times New Roman"/>
          <w:b/>
          <w:bCs/>
          <w:color w:val="000000"/>
          <w:sz w:val="28"/>
          <w:szCs w:val="28"/>
        </w:rPr>
        <w:t>RESULTS</w:t>
      </w:r>
    </w:p>
    <w:p w14:paraId="5DAF9E0C" w14:textId="77777777" w:rsidR="009E3601" w:rsidRDefault="009E3601"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Mangrove forests are vital coastal ecosystems that provide significant ecological and economic benefits, particularly in tropical regions. They act as natural barriers against coastal erosion, floods, and storms, while also supporting biodiversity and sustaining the livelihoods of local communities through fisheries, aquaculture, and related activities. In Kerala, mangrove ecosystems are closely linked with the backwater economy and eco-tourism development.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situated in the Kannur district, is an important wetland area where mangrove forests contribute to both environmental protection and local income generation. In recent years, the promotion of eco-tourism in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has created new economic opportunities while increasing awareness about conservation. However, balancing economic activities with sustainable management remains a challenge. Therefore, studying the economic aspects of mangrove forest conservation and tourism in </w:t>
      </w:r>
      <w:proofErr w:type="spellStart"/>
      <w:r>
        <w:rPr>
          <w:rFonts w:ascii="Times New Roman" w:eastAsia="Times New Roman" w:hAnsi="Times New Roman" w:cs="Times New Roman"/>
        </w:rPr>
        <w:t>Kattampally</w:t>
      </w:r>
      <w:proofErr w:type="spellEnd"/>
      <w:r>
        <w:rPr>
          <w:rFonts w:ascii="Times New Roman" w:eastAsia="Times New Roman" w:hAnsi="Times New Roman" w:cs="Times New Roman"/>
        </w:rPr>
        <w:t xml:space="preserve"> is essential to understand how environmental sustainability and local economic development can be effectively integrated for long-term growth.</w:t>
      </w:r>
    </w:p>
    <w:p w14:paraId="78C909B1" w14:textId="4DE9607B" w:rsidR="009E3601" w:rsidRDefault="009E3601"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 xml:space="preserve"> Table 1</w:t>
      </w:r>
      <w:r w:rsidR="00C134BB">
        <w:rPr>
          <w:rFonts w:ascii="Times New Roman" w:eastAsia="Times New Roman" w:hAnsi="Times New Roman" w:cs="Times New Roman"/>
          <w:b/>
          <w:bCs/>
        </w:rPr>
        <w:t>.</w:t>
      </w:r>
      <w:r>
        <w:rPr>
          <w:rFonts w:ascii="Times New Roman" w:eastAsia="Times New Roman" w:hAnsi="Times New Roman" w:cs="Times New Roman"/>
          <w:b/>
          <w:bCs/>
        </w:rPr>
        <w:t>Common product</w:t>
      </w:r>
      <w:r w:rsidR="00C134BB">
        <w:rPr>
          <w:rFonts w:ascii="Times New Roman" w:eastAsia="Times New Roman" w:hAnsi="Times New Roman" w:cs="Times New Roman"/>
          <w:b/>
          <w:bCs/>
        </w:rPr>
        <w:t>s</w:t>
      </w:r>
      <w:r>
        <w:rPr>
          <w:rFonts w:ascii="Times New Roman" w:eastAsia="Times New Roman" w:hAnsi="Times New Roman" w:cs="Times New Roman"/>
          <w:b/>
          <w:bCs/>
        </w:rPr>
        <w:t xml:space="preserve"> collected from </w:t>
      </w:r>
      <w:r w:rsidR="00C134BB">
        <w:rPr>
          <w:rFonts w:ascii="Times New Roman" w:eastAsia="Times New Roman" w:hAnsi="Times New Roman" w:cs="Times New Roman"/>
          <w:b/>
          <w:bCs/>
        </w:rPr>
        <w:t>M</w:t>
      </w:r>
      <w:r>
        <w:rPr>
          <w:rFonts w:ascii="Times New Roman" w:eastAsia="Times New Roman" w:hAnsi="Times New Roman" w:cs="Times New Roman"/>
          <w:b/>
          <w:bCs/>
        </w:rPr>
        <w:t>angroves</w:t>
      </w:r>
    </w:p>
    <w:tbl>
      <w:tblPr>
        <w:tblW w:w="8222" w:type="dxa"/>
        <w:tblLayout w:type="fixed"/>
        <w:tblLook w:val="0000" w:firstRow="0" w:lastRow="0" w:firstColumn="0" w:lastColumn="0" w:noHBand="0" w:noVBand="0"/>
      </w:tblPr>
      <w:tblGrid>
        <w:gridCol w:w="988"/>
        <w:gridCol w:w="3643"/>
        <w:gridCol w:w="1815"/>
        <w:gridCol w:w="1776"/>
      </w:tblGrid>
      <w:tr w:rsidR="009E3601" w14:paraId="0612E82E" w14:textId="77777777" w:rsidTr="00FE3ABD">
        <w:trPr>
          <w:trHeight w:val="255"/>
        </w:trPr>
        <w:tc>
          <w:tcPr>
            <w:tcW w:w="98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5385C8E1" w14:textId="77777777" w:rsidR="009E3601" w:rsidRDefault="009E3601" w:rsidP="00D96F4E">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64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E784A10"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xml:space="preserve">Common product collected from mangrove </w:t>
            </w:r>
          </w:p>
        </w:tc>
        <w:tc>
          <w:tcPr>
            <w:tcW w:w="1815"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77BE17FC"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177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52AB0606"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9E3601" w14:paraId="60EB98EE" w14:textId="77777777" w:rsidTr="00FE3ABD">
        <w:trPr>
          <w:trHeight w:val="247"/>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E61D194"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9B1DC54"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Crabs</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75E59E2"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9AB04FF"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9E3601" w14:paraId="46A88B68" w14:textId="77777777" w:rsidTr="00FE3ABD">
        <w:trPr>
          <w:trHeight w:val="255"/>
        </w:trPr>
        <w:tc>
          <w:tcPr>
            <w:tcW w:w="988" w:type="dxa"/>
            <w:tcBorders>
              <w:top w:val="nil"/>
              <w:left w:val="single" w:sz="4" w:space="0" w:color="000000"/>
              <w:bottom w:val="single" w:sz="4" w:space="0" w:color="000000"/>
              <w:right w:val="single" w:sz="4" w:space="0" w:color="000000"/>
            </w:tcBorders>
            <w:vAlign w:val="bottom"/>
          </w:tcPr>
          <w:p w14:paraId="4956CAB0"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643" w:type="dxa"/>
            <w:tcBorders>
              <w:top w:val="nil"/>
              <w:left w:val="nil"/>
              <w:bottom w:val="single" w:sz="4" w:space="0" w:color="000000"/>
              <w:right w:val="single" w:sz="4" w:space="0" w:color="000000"/>
            </w:tcBorders>
            <w:vAlign w:val="bottom"/>
          </w:tcPr>
          <w:p w14:paraId="21AA8ED1"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Firewood</w:t>
            </w:r>
          </w:p>
        </w:tc>
        <w:tc>
          <w:tcPr>
            <w:tcW w:w="1815" w:type="dxa"/>
            <w:tcBorders>
              <w:top w:val="nil"/>
              <w:left w:val="nil"/>
              <w:bottom w:val="single" w:sz="4" w:space="0" w:color="000000"/>
              <w:right w:val="single" w:sz="4" w:space="0" w:color="000000"/>
            </w:tcBorders>
            <w:vAlign w:val="bottom"/>
          </w:tcPr>
          <w:p w14:paraId="2735A957"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1776" w:type="dxa"/>
            <w:tcBorders>
              <w:top w:val="nil"/>
              <w:left w:val="nil"/>
              <w:bottom w:val="single" w:sz="4" w:space="0" w:color="000000"/>
              <w:right w:val="single" w:sz="4" w:space="0" w:color="000000"/>
            </w:tcBorders>
            <w:vAlign w:val="bottom"/>
          </w:tcPr>
          <w:p w14:paraId="50AE380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9E3601" w14:paraId="582E598D"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90253"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DDB196C"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Fish</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96B13F5"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23</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BE98208"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46.0%</w:t>
            </w:r>
          </w:p>
        </w:tc>
      </w:tr>
      <w:tr w:rsidR="009E3601" w14:paraId="0D3D5159"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52E5E9A"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EEFEE65"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Shellfish</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599783A"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BA6133F"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9E3601" w14:paraId="6E8BA075"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46687AC"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C6F77C5"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None</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B52B9CE"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13</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FAEC36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26.0%</w:t>
            </w:r>
          </w:p>
        </w:tc>
      </w:tr>
      <w:tr w:rsidR="009E3601" w14:paraId="7102DFDB"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D979885" w14:textId="77777777" w:rsidR="009E3601" w:rsidRDefault="009E3601" w:rsidP="00D96F4E">
            <w:pPr>
              <w:spacing w:before="16" w:after="8" w:line="240" w:lineRule="auto"/>
              <w:ind w:left="238" w:right="238"/>
              <w:jc w:val="center"/>
              <w:rPr>
                <w:rFonts w:ascii="Times New Roman" w:eastAsia="Times New Roman" w:hAnsi="Times New Roman" w:cs="Times New Roman"/>
              </w:rPr>
            </w:pPr>
          </w:p>
        </w:tc>
        <w:tc>
          <w:tcPr>
            <w:tcW w:w="364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BC31570" w14:textId="77777777" w:rsidR="009E3601" w:rsidRDefault="009E3601"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181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61A2B8D"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177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5058D19" w14:textId="77777777" w:rsidR="009E3601" w:rsidRDefault="009E3601"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632E6707" w14:textId="19BB6E29" w:rsidR="009E3601" w:rsidRPr="00DF4D49" w:rsidRDefault="009E3601" w:rsidP="00D96F4E">
      <w:pPr>
        <w:spacing w:before="16" w:after="8" w:line="240" w:lineRule="auto"/>
        <w:ind w:left="238" w:right="23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(Source: Primary data)                                </w:t>
      </w:r>
    </w:p>
    <w:p w14:paraId="287B44B0" w14:textId="00BC474F" w:rsidR="009E3601" w:rsidRPr="00DF4D49" w:rsidRDefault="009E3601"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Table 1</w:t>
      </w:r>
      <w:r w:rsidR="00C134BB">
        <w:rPr>
          <w:rFonts w:ascii="Times New Roman" w:eastAsia="Times New Roman" w:hAnsi="Times New Roman" w:cs="Times New Roman"/>
        </w:rPr>
        <w:t xml:space="preserve"> </w:t>
      </w:r>
      <w:r>
        <w:rPr>
          <w:rFonts w:ascii="Times New Roman" w:eastAsia="Times New Roman" w:hAnsi="Times New Roman" w:cs="Times New Roman"/>
        </w:rPr>
        <w:t>shows that fishing is the predominant activity associated with mangrove resources. Fish represents the largest category of products collected, accounting for 46% (23 out of 50) of the total count. This underscores the vital role mangroves play as a nursery and habitat for fisheries. Interestingly, the second-largest group consists of individuals who collect "None" of the listed products, making up 26% (13 out of 50) of the sample. Among those who do extract biological resources, Crabs are the next most common at 12.0%, while Firewood and Shellfish are collected less frequently, each representing 8% of the total activities.</w:t>
      </w:r>
      <w:r w:rsidR="00DF4D49">
        <w:rPr>
          <w:rFonts w:ascii="Times New Roman" w:eastAsia="Times New Roman" w:hAnsi="Times New Roman" w:cs="Times New Roman"/>
        </w:rPr>
        <w:t xml:space="preserve"> </w:t>
      </w:r>
      <w:r>
        <w:rPr>
          <w:rFonts w:ascii="Times New Roman" w:eastAsia="Times New Roman" w:hAnsi="Times New Roman" w:cs="Times New Roman"/>
        </w:rPr>
        <w:t xml:space="preserve">The concentration of activity in fish and crab collection indicates that the area is likely a significant source of protein and income for the local population. </w:t>
      </w:r>
    </w:p>
    <w:p w14:paraId="347863F3" w14:textId="7035DA60" w:rsidR="00DF4D49" w:rsidRDefault="00DF4D49" w:rsidP="00D96F4E">
      <w:pPr>
        <w:spacing w:before="16" w:after="8" w:line="360" w:lineRule="auto"/>
        <w:ind w:left="238" w:right="238"/>
        <w:rPr>
          <w:rFonts w:ascii="Times New Roman" w:eastAsia="Times New Roman" w:hAnsi="Times New Roman" w:cs="Times New Roman"/>
          <w:b/>
          <w:bCs/>
        </w:rPr>
      </w:pPr>
      <w:r>
        <w:rPr>
          <w:rFonts w:ascii="Times New Roman" w:eastAsia="Times New Roman" w:hAnsi="Times New Roman" w:cs="Times New Roman"/>
          <w:b/>
          <w:bCs/>
        </w:rPr>
        <w:t>Figure 1</w:t>
      </w:r>
      <w:r w:rsidR="00C134BB">
        <w:rPr>
          <w:rFonts w:ascii="Times New Roman" w:eastAsia="Times New Roman" w:hAnsi="Times New Roman" w:cs="Times New Roman"/>
          <w:b/>
          <w:bCs/>
        </w:rPr>
        <w:t>.</w:t>
      </w:r>
      <w:r>
        <w:rPr>
          <w:rFonts w:ascii="Times New Roman" w:eastAsia="Times New Roman" w:hAnsi="Times New Roman" w:cs="Times New Roman"/>
          <w:b/>
          <w:bCs/>
        </w:rPr>
        <w:t xml:space="preserve"> Major Economic Losses</w:t>
      </w:r>
    </w:p>
    <w:p w14:paraId="2BF9221D" w14:textId="0123C3EB" w:rsidR="00DF4D49" w:rsidRPr="00DF4D49" w:rsidRDefault="00DF4D49" w:rsidP="00D96F4E">
      <w:pPr>
        <w:spacing w:before="16" w:after="8" w:line="360" w:lineRule="auto"/>
        <w:ind w:left="238" w:right="238"/>
        <w:rPr>
          <w:rFonts w:ascii="Times New Roman" w:eastAsia="Times New Roman" w:hAnsi="Times New Roman" w:cs="Times New Roman"/>
        </w:rPr>
      </w:pPr>
      <w:r>
        <w:rPr>
          <w:rFonts w:ascii="Times New Roman" w:eastAsia="Times New Roman" w:hAnsi="Times New Roman" w:cs="Times New Roman"/>
          <w:noProof/>
          <w:lang w:eastAsia="en-IN"/>
        </w:rPr>
        <w:drawing>
          <wp:inline distT="0" distB="0" distL="0" distR="0" wp14:anchorId="27520682" wp14:editId="10D06193">
            <wp:extent cx="4427220" cy="1569720"/>
            <wp:effectExtent l="0" t="0" r="1143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eastAsia="Times New Roman" w:hAnsi="Times New Roman" w:cs="Times New Roman"/>
          <w:sz w:val="20"/>
          <w:szCs w:val="20"/>
        </w:rPr>
        <w:t xml:space="preserve">                                            (Source: Primary data)   </w:t>
      </w:r>
    </w:p>
    <w:p w14:paraId="4DFB0D63" w14:textId="0303BF3A"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rPr>
        <w:t>Figure 1 shows the distribution of various economic impacts derived from primary data, highlighting a significant reliance on natural and environmental stability. The most prominent factor is the loss of fish stock, which dominates the chart at 44%, indicating that the depletion of aquatic resources is the primary driver of economic decline in this context. This is followed closely by Increased flood damage at 32%, suggesting that nearly a third of the economic burden is tied to environmental disasters and infrastructure vulnerability. The remaining categories represent a smaller portion of the total impact. "Others" accounts for 12% of the losses, while Loss of tourism income and Loss of firewood/resources each contribute a minor 6%. When viewed holistically, the data reveals that over three-quarters (76%) of the economic losses are concentrated in just two areas: fisheries and flood-related damages. This suggests that the local economy is highly sensitive to ecological health and water management, making it particularly vulnerable to climate-related shifts or unsustainable resource extraction.</w:t>
      </w:r>
    </w:p>
    <w:p w14:paraId="0B4D9686" w14:textId="7EF5E08E" w:rsidR="00DF4D49" w:rsidRDefault="00FE3ABD" w:rsidP="00077924">
      <w:pPr>
        <w:spacing w:before="16" w:after="8" w:line="240" w:lineRule="auto"/>
        <w:ind w:left="238" w:right="23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w:t>
      </w:r>
      <w:r w:rsidR="00C134BB">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r w:rsidR="00DF4D49">
        <w:rPr>
          <w:rFonts w:ascii="Times New Roman" w:eastAsia="Times New Roman" w:hAnsi="Times New Roman" w:cs="Times New Roman"/>
          <w:b/>
          <w:bCs/>
          <w:color w:val="000000"/>
        </w:rPr>
        <w:t>Major threats to mangroves</w:t>
      </w:r>
    </w:p>
    <w:tbl>
      <w:tblPr>
        <w:tblW w:w="9242" w:type="dxa"/>
        <w:tblLayout w:type="fixed"/>
        <w:tblLook w:val="0000" w:firstRow="0" w:lastRow="0" w:firstColumn="0" w:lastColumn="0" w:noHBand="0" w:noVBand="0"/>
      </w:tblPr>
      <w:tblGrid>
        <w:gridCol w:w="1020"/>
        <w:gridCol w:w="3852"/>
        <w:gridCol w:w="2087"/>
        <w:gridCol w:w="2283"/>
      </w:tblGrid>
      <w:tr w:rsidR="00DF4D49" w14:paraId="621FFA35"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3A943DFD" w14:textId="77777777" w:rsidR="00DF4D49" w:rsidRDefault="00DF4D49" w:rsidP="00C134BB">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852"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641AEC4C"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Options</w:t>
            </w:r>
          </w:p>
        </w:tc>
        <w:tc>
          <w:tcPr>
            <w:tcW w:w="2087"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77E81432"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28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1D5BB44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DF4D49" w14:paraId="4DFAF32F"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CEAB1A"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85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686FB35"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Urbanization</w:t>
            </w:r>
          </w:p>
        </w:tc>
        <w:tc>
          <w:tcPr>
            <w:tcW w:w="208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35FF65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w:t>
            </w:r>
          </w:p>
        </w:tc>
        <w:tc>
          <w:tcPr>
            <w:tcW w:w="228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37A82DB"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24.0%</w:t>
            </w:r>
          </w:p>
        </w:tc>
      </w:tr>
      <w:tr w:rsidR="00DF4D49" w14:paraId="29ED5339" w14:textId="77777777" w:rsidTr="00C134BB">
        <w:trPr>
          <w:trHeight w:val="255"/>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5033EF"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85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2E513D8"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Pollution</w:t>
            </w:r>
          </w:p>
        </w:tc>
        <w:tc>
          <w:tcPr>
            <w:tcW w:w="208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19370BE7"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17</w:t>
            </w:r>
          </w:p>
        </w:tc>
        <w:tc>
          <w:tcPr>
            <w:tcW w:w="228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6FD06CDD"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34.0%</w:t>
            </w:r>
          </w:p>
        </w:tc>
      </w:tr>
      <w:tr w:rsidR="00DF4D49" w14:paraId="5904DB8A"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09E6BC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899825E"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Aquaculture (prawn farms)</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42B182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44A7F5D"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DF4D49" w14:paraId="5E5CEE76"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A672549"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20E276D"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Illegal cutting</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40B6C80"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54E0D31"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12.0%</w:t>
            </w:r>
          </w:p>
        </w:tc>
      </w:tr>
      <w:tr w:rsidR="00DF4D49" w14:paraId="0188F311"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E3500A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66F410"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Climate change</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2ADEB26"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522C268"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r w:rsidR="00DF4D49" w14:paraId="6951E8DB"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19123"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6</w:t>
            </w: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189F43C" w14:textId="77777777" w:rsidR="00DF4D49" w:rsidRDefault="00DF4D49" w:rsidP="00C134BB">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Others</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46B853A"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BE2DD56" w14:textId="77777777" w:rsidR="00DF4D49" w:rsidRDefault="00DF4D49" w:rsidP="00C134BB">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8.0%</w:t>
            </w:r>
          </w:p>
        </w:tc>
      </w:tr>
      <w:tr w:rsidR="00DF4D49" w14:paraId="463F1502" w14:textId="77777777" w:rsidTr="00C134BB">
        <w:trPr>
          <w:trHeight w:val="255"/>
        </w:trPr>
        <w:tc>
          <w:tcPr>
            <w:tcW w:w="102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65F17BE" w14:textId="77777777" w:rsidR="00DF4D49" w:rsidRDefault="00DF4D49" w:rsidP="00C134BB">
            <w:pPr>
              <w:spacing w:before="16" w:after="8" w:line="360" w:lineRule="auto"/>
              <w:ind w:left="238" w:right="238"/>
              <w:jc w:val="center"/>
              <w:rPr>
                <w:rFonts w:ascii="Times New Roman" w:eastAsia="Times New Roman" w:hAnsi="Times New Roman" w:cs="Times New Roman"/>
              </w:rPr>
            </w:pPr>
          </w:p>
        </w:tc>
        <w:tc>
          <w:tcPr>
            <w:tcW w:w="385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91E8302" w14:textId="77777777" w:rsidR="00DF4D49" w:rsidRDefault="00DF4D49" w:rsidP="00C134BB">
            <w:pPr>
              <w:spacing w:before="16" w:after="8" w:line="36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87"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29492EE" w14:textId="77777777" w:rsidR="00DF4D49" w:rsidRDefault="00DF4D49" w:rsidP="00C134BB">
            <w:pPr>
              <w:spacing w:before="16" w:after="8" w:line="36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28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8D59EEF" w14:textId="77777777" w:rsidR="00DF4D49" w:rsidRDefault="00DF4D49" w:rsidP="00C134BB">
            <w:pPr>
              <w:keepNext/>
              <w:spacing w:before="16" w:after="8" w:line="36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7D15D3ED" w14:textId="77777777" w:rsidR="00DF4D49" w:rsidRDefault="00DF4D49" w:rsidP="00D96F4E">
      <w:pPr>
        <w:spacing w:before="16" w:after="8" w:line="360" w:lineRule="auto"/>
        <w:ind w:left="238" w:right="238"/>
        <w:rPr>
          <w:rFonts w:ascii="Times New Roman" w:eastAsia="Times New Roman" w:hAnsi="Times New Roman" w:cs="Times New Roman"/>
          <w:sz w:val="20"/>
          <w:szCs w:val="20"/>
        </w:rPr>
      </w:pPr>
      <w:r>
        <w:rPr>
          <w:rFonts w:ascii="Times New Roman" w:eastAsia="Times New Roman" w:hAnsi="Times New Roman" w:cs="Times New Roman"/>
          <w:sz w:val="20"/>
          <w:szCs w:val="20"/>
        </w:rPr>
        <w:t>(Source: Primary data)</w:t>
      </w:r>
    </w:p>
    <w:p w14:paraId="49702202" w14:textId="38E1DCCF"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Table </w:t>
      </w:r>
      <w:r w:rsidR="00C134BB">
        <w:rPr>
          <w:rFonts w:ascii="Times New Roman" w:eastAsia="Times New Roman" w:hAnsi="Times New Roman" w:cs="Times New Roman"/>
        </w:rPr>
        <w:t>2</w:t>
      </w:r>
      <w:r>
        <w:rPr>
          <w:rFonts w:ascii="Times New Roman" w:eastAsia="Times New Roman" w:hAnsi="Times New Roman" w:cs="Times New Roman"/>
        </w:rPr>
        <w:t xml:space="preserve"> shows the respondents opinions regarding the major threats to mangroves. Out of 50 respondents, the highest percentage (34%) identified pollution as the main threat, indicating that contamination of water bodies and surrounding environments is widely perceived as the most serious issue affecting mangrove ecosystems. Urbanization was the second most reported threat, with 24% of the respondents pointing to land development and infrastructure expansion as significant causes of mangrove destruction. Aquaculture (prawn farms) and illegal cutting were each identified by 12% of the respondents, suggesting that human economic activities and unauthorized exploitation also contribute notably to mangrove degradation. Additionally, 10% of the respondents recognized climate change as a threat, reflecting awareness of long-term environmental impacts such as rising sea levels and changing weather patterns. The remaining 8% selected other factors. Overall, the table indicates that human-induced activities, particularly pollution and urbanization, are considered the primary threats to mangroves, highlighting the need for stronger environmental protection and sustainable management practices.</w:t>
      </w:r>
    </w:p>
    <w:p w14:paraId="5E402D2A" w14:textId="3348A439" w:rsidR="00DF4D49" w:rsidRDefault="00FE3ABD"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Table 3</w:t>
      </w:r>
      <w:r w:rsidR="00C134BB">
        <w:rPr>
          <w:rFonts w:ascii="Times New Roman" w:eastAsia="Times New Roman" w:hAnsi="Times New Roman" w:cs="Times New Roman"/>
          <w:b/>
          <w:bCs/>
        </w:rPr>
        <w:t>.</w:t>
      </w:r>
      <w:r>
        <w:rPr>
          <w:rFonts w:ascii="Times New Roman" w:eastAsia="Times New Roman" w:hAnsi="Times New Roman" w:cs="Times New Roman"/>
          <w:b/>
          <w:bCs/>
        </w:rPr>
        <w:t xml:space="preserve"> </w:t>
      </w:r>
      <w:r w:rsidR="00DF4D49">
        <w:rPr>
          <w:rFonts w:ascii="Times New Roman" w:eastAsia="Times New Roman" w:hAnsi="Times New Roman" w:cs="Times New Roman"/>
          <w:b/>
          <w:bCs/>
        </w:rPr>
        <w:t>Causes of mangrove degradation</w:t>
      </w:r>
    </w:p>
    <w:tbl>
      <w:tblPr>
        <w:tblpPr w:leftFromText="180" w:rightFromText="180" w:bottomFromText="160" w:vertAnchor="text" w:tblpY="217"/>
        <w:tblW w:w="9242" w:type="dxa"/>
        <w:tblLayout w:type="fixed"/>
        <w:tblLook w:val="0000" w:firstRow="0" w:lastRow="0" w:firstColumn="0" w:lastColumn="0" w:noHBand="0" w:noVBand="0"/>
      </w:tblPr>
      <w:tblGrid>
        <w:gridCol w:w="988"/>
        <w:gridCol w:w="4139"/>
        <w:gridCol w:w="2036"/>
        <w:gridCol w:w="2079"/>
      </w:tblGrid>
      <w:tr w:rsidR="00DF4D49" w14:paraId="2D44A6D7" w14:textId="77777777" w:rsidTr="00FE3ABD">
        <w:trPr>
          <w:trHeight w:val="255"/>
        </w:trPr>
        <w:tc>
          <w:tcPr>
            <w:tcW w:w="98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5F1198D8" w14:textId="77777777" w:rsidR="00DF4D49" w:rsidRDefault="00DF4D49" w:rsidP="00D96F4E">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4139"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1218896"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Causes of mangrove degradation</w:t>
            </w:r>
          </w:p>
        </w:tc>
        <w:tc>
          <w:tcPr>
            <w:tcW w:w="203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3E81AE78"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079"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100F127B"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DF4D49" w14:paraId="0CDEE49C"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DC15BC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DE99FD4"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Pollution</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6A5620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21</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1AD9FF9"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42.0%</w:t>
            </w:r>
          </w:p>
        </w:tc>
      </w:tr>
      <w:tr w:rsidR="00DF4D49" w14:paraId="45532338"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DF4DD48"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5D9FE3B"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Urbanization</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6FAE69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6C06F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32.0%</w:t>
            </w:r>
          </w:p>
        </w:tc>
      </w:tr>
      <w:tr w:rsidR="00DF4D49" w14:paraId="352D854D"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17AE2C1"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259BD90"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Conversion to aquaculture</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7CA00AC"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B88ABA4"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16.0%</w:t>
            </w:r>
          </w:p>
        </w:tc>
      </w:tr>
      <w:tr w:rsidR="00DF4D49" w14:paraId="496CB3F3"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E5FA2D5"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5F68046"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Natural disasters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CA3CE6C"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3331300"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r w:rsidR="00DF4D49" w14:paraId="39156C24" w14:textId="77777777" w:rsidTr="00FE3ABD">
        <w:trPr>
          <w:trHeight w:val="255"/>
        </w:trPr>
        <w:tc>
          <w:tcPr>
            <w:tcW w:w="9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6A406005" w14:textId="77777777" w:rsidR="00DF4D49" w:rsidRDefault="00DF4D49" w:rsidP="00D96F4E">
            <w:pPr>
              <w:spacing w:before="16" w:after="8" w:line="240" w:lineRule="auto"/>
              <w:ind w:left="238" w:right="238"/>
              <w:jc w:val="center"/>
              <w:rPr>
                <w:rFonts w:ascii="Times New Roman" w:eastAsia="Times New Roman" w:hAnsi="Times New Roman" w:cs="Times New Roman"/>
              </w:rPr>
            </w:pPr>
          </w:p>
        </w:tc>
        <w:tc>
          <w:tcPr>
            <w:tcW w:w="413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2B08B7D" w14:textId="77777777" w:rsidR="00DF4D49" w:rsidRDefault="00DF4D49" w:rsidP="00D96F4E">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9E414ED"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07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E038BC3" w14:textId="77777777" w:rsidR="00DF4D49" w:rsidRDefault="00DF4D49" w:rsidP="00D96F4E">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05E272AE" w14:textId="77777777" w:rsidR="00DF4D49" w:rsidRDefault="00DF4D49" w:rsidP="00077924">
      <w:pPr>
        <w:spacing w:before="16" w:after="8" w:line="240" w:lineRule="auto"/>
        <w:ind w:right="23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(Source: Primary data)    </w:t>
      </w:r>
    </w:p>
    <w:p w14:paraId="39774790" w14:textId="5E7A5470" w:rsidR="00DF4D49" w:rsidRDefault="00DF4D49"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color w:val="000000"/>
        </w:rPr>
        <w:t xml:space="preserve">Table </w:t>
      </w:r>
      <w:r w:rsidR="00FE3ABD">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Pr>
          <w:rFonts w:ascii="Times New Roman" w:eastAsia="Times New Roman" w:hAnsi="Times New Roman" w:cs="Times New Roman"/>
        </w:rPr>
        <w:t>presents the respondents’ views on the main causes of mangrove degradation. Out of 50 respondents, the highest proportion (42%) identified pollution as the primary cause, indicating that waste disposal, industrial discharge, and water contamination are widely recognized as major threats to mangrove ecosystems. Urbanization was the second most reported cause, with 32% of the respondents pointing to land development, construction activities, and expansion of human settlements as significant factors contributing to mangrove loss. Additionally, 16% of the respondents stated that conversion to aquaculture is a cause of degradation, showing awareness that transforming mangrove areas into fish or prawn farms can damage these ecosystems. A smaller percentage (10%) identified natural disasters as a cause, suggesting that while environmental factors like storms and floods play a role, human activities are perceived as more dominant causes. Overall, the table indicates that respondents largely believe mangrove degradation is mainly driven by human-induced factors, especially pollution and urbanization, highlighting the need for better environmental management and conservation measures.</w:t>
      </w:r>
    </w:p>
    <w:p w14:paraId="79D7C748" w14:textId="7BF0BAFE" w:rsidR="00BC5A80" w:rsidRDefault="00FE3ABD" w:rsidP="00077924">
      <w:pPr>
        <w:spacing w:before="16" w:after="8" w:line="240" w:lineRule="auto"/>
        <w:ind w:left="238" w:right="238"/>
        <w:rPr>
          <w:rFonts w:ascii="Times New Roman" w:eastAsia="Times New Roman" w:hAnsi="Times New Roman" w:cs="Times New Roman"/>
          <w:b/>
          <w:bCs/>
        </w:rPr>
      </w:pPr>
      <w:r>
        <w:rPr>
          <w:rFonts w:ascii="Times New Roman" w:eastAsia="Times New Roman" w:hAnsi="Times New Roman" w:cs="Times New Roman"/>
          <w:b/>
          <w:bCs/>
        </w:rPr>
        <w:t xml:space="preserve">Table </w:t>
      </w:r>
      <w:r w:rsidR="00C134BB">
        <w:rPr>
          <w:rFonts w:ascii="Times New Roman" w:eastAsia="Times New Roman" w:hAnsi="Times New Roman" w:cs="Times New Roman"/>
          <w:b/>
          <w:bCs/>
        </w:rPr>
        <w:t>4.</w:t>
      </w:r>
      <w:r>
        <w:rPr>
          <w:rFonts w:ascii="Times New Roman" w:eastAsia="Times New Roman" w:hAnsi="Times New Roman" w:cs="Times New Roman"/>
          <w:b/>
          <w:bCs/>
        </w:rPr>
        <w:t xml:space="preserve"> </w:t>
      </w:r>
      <w:r w:rsidR="00BC5A80">
        <w:rPr>
          <w:rFonts w:ascii="Times New Roman" w:eastAsia="Times New Roman" w:hAnsi="Times New Roman" w:cs="Times New Roman"/>
          <w:b/>
          <w:bCs/>
        </w:rPr>
        <w:t>Groups benefiting from mangrove</w:t>
      </w:r>
      <w:r w:rsidR="00077924">
        <w:rPr>
          <w:rFonts w:ascii="Times New Roman" w:eastAsia="Times New Roman" w:hAnsi="Times New Roman" w:cs="Times New Roman"/>
          <w:b/>
          <w:bCs/>
        </w:rPr>
        <w:t>s</w:t>
      </w:r>
    </w:p>
    <w:tbl>
      <w:tblPr>
        <w:tblpPr w:leftFromText="180" w:rightFromText="180" w:bottomFromText="160" w:vertAnchor="text" w:horzAnchor="margin" w:tblpY="85"/>
        <w:tblW w:w="9242" w:type="dxa"/>
        <w:tblLayout w:type="fixed"/>
        <w:tblLook w:val="0000" w:firstRow="0" w:lastRow="0" w:firstColumn="0" w:lastColumn="0" w:noHBand="0" w:noVBand="0"/>
      </w:tblPr>
      <w:tblGrid>
        <w:gridCol w:w="1271"/>
        <w:gridCol w:w="3602"/>
        <w:gridCol w:w="2036"/>
        <w:gridCol w:w="2333"/>
      </w:tblGrid>
      <w:tr w:rsidR="00FE3ABD" w14:paraId="4A2D3462"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bottom"/>
          </w:tcPr>
          <w:p w14:paraId="73F8A562" w14:textId="77777777" w:rsidR="00FE3ABD" w:rsidRDefault="00FE3ABD" w:rsidP="00FE3ABD">
            <w:pPr>
              <w:spacing w:before="16" w:after="8" w:line="240" w:lineRule="auto"/>
              <w:ind w:left="238" w:right="238"/>
              <w:jc w:val="center"/>
              <w:rPr>
                <w:rFonts w:ascii="Times New Roman" w:eastAsia="Times New Roman" w:hAnsi="Times New Roman" w:cs="Times New Roman"/>
              </w:rPr>
            </w:pPr>
            <w:proofErr w:type="spellStart"/>
            <w:r>
              <w:rPr>
                <w:rFonts w:ascii="Times New Roman" w:eastAsia="Times New Roman" w:hAnsi="Times New Roman" w:cs="Times New Roman"/>
              </w:rPr>
              <w:t>Sl</w:t>
            </w:r>
            <w:proofErr w:type="spellEnd"/>
            <w:r>
              <w:rPr>
                <w:rFonts w:ascii="Times New Roman" w:eastAsia="Times New Roman" w:hAnsi="Times New Roman" w:cs="Times New Roman"/>
              </w:rPr>
              <w:t xml:space="preserve"> No</w:t>
            </w:r>
          </w:p>
        </w:tc>
        <w:tc>
          <w:tcPr>
            <w:tcW w:w="3602"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24ED9558"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xml:space="preserve">Categories </w:t>
            </w:r>
          </w:p>
        </w:tc>
        <w:tc>
          <w:tcPr>
            <w:tcW w:w="2036"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49870472"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No. of respondents</w:t>
            </w:r>
          </w:p>
        </w:tc>
        <w:tc>
          <w:tcPr>
            <w:tcW w:w="2333" w:type="dxa"/>
            <w:tcBorders>
              <w:top w:val="single" w:sz="4" w:space="0" w:color="000000"/>
              <w:left w:val="nil"/>
              <w:bottom w:val="single" w:sz="4" w:space="0" w:color="000000"/>
              <w:right w:val="single" w:sz="4" w:space="0" w:color="000000"/>
            </w:tcBorders>
            <w:shd w:val="clear" w:color="auto" w:fill="DCDCDC"/>
            <w:tcMar>
              <w:top w:w="0" w:type="dxa"/>
              <w:left w:w="108" w:type="dxa"/>
              <w:bottom w:w="0" w:type="dxa"/>
              <w:right w:w="108" w:type="dxa"/>
            </w:tcMar>
            <w:vAlign w:val="bottom"/>
          </w:tcPr>
          <w:p w14:paraId="5BC25B16"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Percentage (%)</w:t>
            </w:r>
          </w:p>
        </w:tc>
      </w:tr>
      <w:tr w:rsidR="00FE3ABD" w14:paraId="07687881"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3F61D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w:t>
            </w:r>
          </w:p>
        </w:tc>
        <w:tc>
          <w:tcPr>
            <w:tcW w:w="36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198CDC4"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Local fishermen</w:t>
            </w:r>
          </w:p>
        </w:tc>
        <w:tc>
          <w:tcPr>
            <w:tcW w:w="20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E1ACA8C"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28</w:t>
            </w:r>
          </w:p>
        </w:tc>
        <w:tc>
          <w:tcPr>
            <w:tcW w:w="23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4D91787"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56.0%</w:t>
            </w:r>
          </w:p>
        </w:tc>
      </w:tr>
      <w:tr w:rsidR="00FE3ABD" w14:paraId="5EC18F78" w14:textId="77777777" w:rsidTr="00FE3ABD">
        <w:trPr>
          <w:trHeight w:val="28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E393E7"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360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2EADD0BF"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Women self-help groups</w:t>
            </w:r>
          </w:p>
        </w:tc>
        <w:tc>
          <w:tcPr>
            <w:tcW w:w="203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5D2E0255"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23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91C53A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4.0%</w:t>
            </w:r>
          </w:p>
        </w:tc>
      </w:tr>
      <w:tr w:rsidR="00FE3ABD" w14:paraId="20EDB03E"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2A9E714"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3</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B12C71B"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Youth and guides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A6D0C4E"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8</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47E00B2"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16.0%</w:t>
            </w:r>
          </w:p>
        </w:tc>
      </w:tr>
      <w:tr w:rsidR="00FE3ABD" w14:paraId="7B35C951"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98EEC8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B13CA42"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Local businesses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143251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7F19D8C"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20.0%</w:t>
            </w:r>
          </w:p>
        </w:tc>
      </w:tr>
      <w:tr w:rsidR="00FE3ABD" w14:paraId="39A531A6" w14:textId="77777777" w:rsidTr="00FE3ABD">
        <w:trPr>
          <w:trHeight w:val="583"/>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97910E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1489434F"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Government bodies</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0E7F0AF"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2</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D095241"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4.0%</w:t>
            </w:r>
          </w:p>
        </w:tc>
      </w:tr>
      <w:tr w:rsidR="00FE3ABD" w14:paraId="71059F15" w14:textId="77777777" w:rsidTr="00FE3ABD">
        <w:trPr>
          <w:trHeight w:val="280"/>
        </w:trPr>
        <w:tc>
          <w:tcPr>
            <w:tcW w:w="127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16E8353"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 </w:t>
            </w:r>
          </w:p>
        </w:tc>
        <w:tc>
          <w:tcPr>
            <w:tcW w:w="3602"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7B0CEB5"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rPr>
              <w:t>Total</w:t>
            </w:r>
          </w:p>
        </w:tc>
        <w:tc>
          <w:tcPr>
            <w:tcW w:w="203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4F6E180"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50</w:t>
            </w:r>
          </w:p>
        </w:tc>
        <w:tc>
          <w:tcPr>
            <w:tcW w:w="2333"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E35CCFA" w14:textId="77777777" w:rsidR="00FE3ABD" w:rsidRDefault="00FE3ABD" w:rsidP="00FE3ABD">
            <w:pPr>
              <w:spacing w:before="16" w:after="8" w:line="240" w:lineRule="auto"/>
              <w:ind w:left="238" w:right="238"/>
              <w:jc w:val="center"/>
              <w:rPr>
                <w:rFonts w:ascii="Times New Roman" w:eastAsia="Times New Roman" w:hAnsi="Times New Roman" w:cs="Times New Roman"/>
              </w:rPr>
            </w:pPr>
            <w:r>
              <w:rPr>
                <w:rFonts w:ascii="Times New Roman" w:eastAsia="Times New Roman" w:hAnsi="Times New Roman" w:cs="Times New Roman"/>
              </w:rPr>
              <w:t>100</w:t>
            </w:r>
          </w:p>
        </w:tc>
      </w:tr>
    </w:tbl>
    <w:p w14:paraId="7FB4EA07" w14:textId="77777777" w:rsidR="00FE3ABD" w:rsidRDefault="00FE3ABD" w:rsidP="00FE3ABD">
      <w:pPr>
        <w:spacing w:before="16" w:after="8" w:line="240" w:lineRule="auto"/>
        <w:ind w:left="238" w:right="238"/>
        <w:rPr>
          <w:rFonts w:ascii="Times New Roman" w:eastAsia="Times New Roman" w:hAnsi="Times New Roman" w:cs="Times New Roman"/>
        </w:rPr>
      </w:pPr>
      <w:r>
        <w:rPr>
          <w:rFonts w:ascii="Times New Roman" w:eastAsia="Times New Roman" w:hAnsi="Times New Roman" w:cs="Times New Roman"/>
          <w:sz w:val="20"/>
          <w:szCs w:val="20"/>
        </w:rPr>
        <w:t>(Source: Primary data)</w:t>
      </w:r>
      <w:r>
        <w:rPr>
          <w:rFonts w:ascii="Times New Roman" w:eastAsia="Times New Roman" w:hAnsi="Times New Roman" w:cs="Times New Roman"/>
        </w:rPr>
        <w:t xml:space="preserve">       </w:t>
      </w:r>
    </w:p>
    <w:p w14:paraId="39E0505F" w14:textId="77777777" w:rsidR="00FE3ABD" w:rsidRDefault="00FE3ABD" w:rsidP="00FE3ABD">
      <w:pPr>
        <w:spacing w:before="16" w:after="8" w:line="240" w:lineRule="auto"/>
        <w:ind w:right="238"/>
        <w:jc w:val="both"/>
        <w:rPr>
          <w:rFonts w:ascii="Times New Roman" w:eastAsia="Times New Roman" w:hAnsi="Times New Roman" w:cs="Times New Roman"/>
        </w:rPr>
      </w:pPr>
    </w:p>
    <w:p w14:paraId="0AF1CB8A" w14:textId="5D80152C" w:rsidR="00BC5A80" w:rsidRDefault="00BC5A8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 xml:space="preserve">Table </w:t>
      </w:r>
      <w:r w:rsidR="00FE3ABD">
        <w:rPr>
          <w:rFonts w:ascii="Times New Roman" w:eastAsia="Times New Roman" w:hAnsi="Times New Roman" w:cs="Times New Roman"/>
        </w:rPr>
        <w:t xml:space="preserve">4 </w:t>
      </w:r>
      <w:r>
        <w:rPr>
          <w:rFonts w:ascii="Times New Roman" w:eastAsia="Times New Roman" w:hAnsi="Times New Roman" w:cs="Times New Roman"/>
        </w:rPr>
        <w:t>highlights the distribution of beneficiaries of mangrove eco-tourism based on primary data from 50 respondents. The findings show that local fishermen are the major beneficiaries, accounting for 56%, indicating that eco-tourism provides alternative income opportunities such as boating, guiding, and tourism-related fishing activities, thereby reducing pressure on mangrove ecosystems. Local businesses make up 20% of the beneficiaries, reflecting the growth of small enterprises like shops, food services, and homestays due to tourism. Youth and guides, representing 16%, indicate that mangrove tourism generates employment opportunities for young people while promoting environmental awareness and conservation practices.</w:t>
      </w:r>
    </w:p>
    <w:p w14:paraId="38293FDC" w14:textId="77777777" w:rsidR="00BC5A80" w:rsidRDefault="00BC5A80" w:rsidP="00D96F4E">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However, the participation of women self-help groups and government bodies remains minimal, with each accounting for only 4%. This limited involvement suggests that women’s economic participation and institutional support in mangrove eco-tourism are still underdeveloped. Overall, the table shows that mangrove eco-tourism primarily benefits local communities, especially fishermen and small businesses, but greater inclusion of women and stronger government involvement are necessary to ensure sustainable and inclusive mangrove conservation and tourism development.</w:t>
      </w:r>
    </w:p>
    <w:p w14:paraId="529DC34C" w14:textId="11C8C9E0" w:rsidR="00BC5A80" w:rsidRPr="00077924" w:rsidRDefault="00FE3ABD" w:rsidP="00D96F4E">
      <w:pPr>
        <w:spacing w:before="16" w:after="8" w:line="36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FINDINGS</w:t>
      </w:r>
    </w:p>
    <w:p w14:paraId="3EC37DFD"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C00184">
        <w:rPr>
          <w:rFonts w:ascii="Times New Roman" w:eastAsia="Times New Roman" w:hAnsi="Times New Roman" w:cs="Times New Roman"/>
        </w:rPr>
        <w:t>A large share of respondents (76%) belongs to the Below Poverty Line (BPL) category, suggesting that mangrove-dependent communities are economically vulnerable and rely on mangrove resources for livelihood support.</w:t>
      </w:r>
    </w:p>
    <w:p w14:paraId="79DE6E8F"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For 86% of respondents, mangrove-related activities contribute less than 40% of monthly income, showing that mangroves function mainly as a supplementary income source.</w:t>
      </w:r>
    </w:p>
    <w:p w14:paraId="007CD8AF"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Fish collection is the most common mangrove-based activity (46%), followed by crab collection (12%), while 26% do not collect any mangrove products, indicating partial dependence on mangrove resources.</w:t>
      </w:r>
    </w:p>
    <w:p w14:paraId="64B3AC64"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Loss of fish stock (44%) and increased flood damage (32%) together account for the major economic losses, highlighting the strong link between mangrove degradation and local economic insecurity.</w:t>
      </w:r>
    </w:p>
    <w:p w14:paraId="7011C117"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high proportion of respondents (80%) agree that mangroves support endangered species, reflecting a positive level of ecological awareness.</w:t>
      </w:r>
    </w:p>
    <w:p w14:paraId="01A49737"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Pollution (34%) and urbanization (24%) are perceived as the major threats to mangrove ecosystems, followed by aquaculture and illegal cutting.</w:t>
      </w:r>
    </w:p>
    <w:p w14:paraId="7F1D0B3D"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38%</w:t>
      </w:r>
      <w:r w:rsidR="00E46488">
        <w:rPr>
          <w:rFonts w:ascii="Times New Roman" w:eastAsia="Times New Roman" w:hAnsi="Times New Roman" w:cs="Times New Roman"/>
        </w:rPr>
        <w:t xml:space="preserve"> of the respondents</w:t>
      </w:r>
      <w:r w:rsidRPr="00E46488">
        <w:rPr>
          <w:rFonts w:ascii="Times New Roman" w:eastAsia="Times New Roman" w:hAnsi="Times New Roman" w:cs="Times New Roman"/>
        </w:rPr>
        <w:t xml:space="preserve"> believe that human activities such as urban development, aquaculture and illegal logging together are responsible for mangrove destruction.</w:t>
      </w:r>
    </w:p>
    <w:p w14:paraId="0B5CF354"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clear majority of respondents (76%) agree that mangrove-based eco-tourism contributes positively to local income.</w:t>
      </w:r>
      <w:r w:rsidR="00E46488">
        <w:rPr>
          <w:rFonts w:ascii="Times New Roman" w:eastAsia="Times New Roman" w:hAnsi="Times New Roman" w:cs="Times New Roman"/>
        </w:rPr>
        <w:t xml:space="preserve"> </w:t>
      </w:r>
      <w:r w:rsidRPr="00E46488">
        <w:rPr>
          <w:rFonts w:ascii="Times New Roman" w:eastAsia="Times New Roman" w:hAnsi="Times New Roman" w:cs="Times New Roman"/>
        </w:rPr>
        <w:t>Boating and kayaking are the most preferred eco-tourism activities (56%), while bird watching and photography receive comparatively low preference.</w:t>
      </w:r>
    </w:p>
    <w:p w14:paraId="20A4E73E"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Natural scenery and biodiversity (44%) and a peaceful environment (30%) are the main motivations for visiting mangrove areas, while educational and adventure motives are limited.</w:t>
      </w:r>
    </w:p>
    <w:p w14:paraId="326D5D4B"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lastRenderedPageBreak/>
        <w:t>Employment opportunities are mainly confined to tourist guides (56%) and boat operators (36%), with very limited scope for conservation and hospitality-related jobs.</w:t>
      </w:r>
    </w:p>
    <w:p w14:paraId="14F59A91"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Lack of awareness is identified as the biggest challenge to mangrove</w:t>
      </w:r>
      <w:r w:rsidR="00E46488">
        <w:rPr>
          <w:rFonts w:ascii="Times New Roman" w:eastAsia="Times New Roman" w:hAnsi="Times New Roman" w:cs="Times New Roman"/>
        </w:rPr>
        <w:t>s</w:t>
      </w:r>
      <w:r w:rsidRPr="00E46488">
        <w:rPr>
          <w:rFonts w:ascii="Times New Roman" w:eastAsia="Times New Roman" w:hAnsi="Times New Roman" w:cs="Times New Roman"/>
        </w:rPr>
        <w:t xml:space="preserve"> (46%), followed by limited </w:t>
      </w:r>
      <w:r w:rsidR="00E46488" w:rsidRPr="00E46488">
        <w:rPr>
          <w:rFonts w:ascii="Times New Roman" w:eastAsia="Times New Roman" w:hAnsi="Times New Roman" w:cs="Times New Roman"/>
        </w:rPr>
        <w:t xml:space="preserve">funding </w:t>
      </w:r>
      <w:r w:rsidR="00E46488">
        <w:rPr>
          <w:rFonts w:ascii="Times New Roman" w:eastAsia="Times New Roman" w:hAnsi="Times New Roman" w:cs="Times New Roman"/>
        </w:rPr>
        <w:t>for its conservation</w:t>
      </w:r>
      <w:r w:rsidR="00E46488" w:rsidRPr="00E46488">
        <w:rPr>
          <w:rFonts w:ascii="Times New Roman" w:eastAsia="Times New Roman" w:hAnsi="Times New Roman" w:cs="Times New Roman"/>
        </w:rPr>
        <w:t xml:space="preserve"> (</w:t>
      </w:r>
      <w:r w:rsidRPr="00E46488">
        <w:rPr>
          <w:rFonts w:ascii="Times New Roman" w:eastAsia="Times New Roman" w:hAnsi="Times New Roman" w:cs="Times New Roman"/>
        </w:rPr>
        <w:t>22%).</w:t>
      </w:r>
    </w:p>
    <w:p w14:paraId="260FE7EC" w14:textId="77777777" w:rsid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 xml:space="preserve">A very large majority of </w:t>
      </w:r>
      <w:r w:rsidR="00E46488" w:rsidRPr="00E46488">
        <w:rPr>
          <w:rFonts w:ascii="Times New Roman" w:eastAsia="Times New Roman" w:hAnsi="Times New Roman" w:cs="Times New Roman"/>
        </w:rPr>
        <w:t xml:space="preserve">the </w:t>
      </w:r>
      <w:r w:rsidRPr="00E46488">
        <w:rPr>
          <w:rFonts w:ascii="Times New Roman" w:eastAsia="Times New Roman" w:hAnsi="Times New Roman" w:cs="Times New Roman"/>
        </w:rPr>
        <w:t>respondents (90%) consider community involvement essential for mangrove conservation, and 78% support an active community role.</w:t>
      </w:r>
    </w:p>
    <w:p w14:paraId="7DB696BE" w14:textId="70D492C8" w:rsidR="00BC5A80" w:rsidRPr="00E46488" w:rsidRDefault="00BC5A80" w:rsidP="00E46488">
      <w:pPr>
        <w:pStyle w:val="ListParagraph"/>
        <w:numPr>
          <w:ilvl w:val="0"/>
          <w:numId w:val="4"/>
        </w:numPr>
        <w:spacing w:before="16" w:after="8" w:line="240" w:lineRule="auto"/>
        <w:ind w:left="238" w:right="238"/>
        <w:jc w:val="both"/>
        <w:rPr>
          <w:rFonts w:ascii="Times New Roman" w:eastAsia="Times New Roman" w:hAnsi="Times New Roman" w:cs="Times New Roman"/>
        </w:rPr>
      </w:pPr>
      <w:r w:rsidRPr="00E46488">
        <w:rPr>
          <w:rFonts w:ascii="Times New Roman" w:eastAsia="Times New Roman" w:hAnsi="Times New Roman" w:cs="Times New Roman"/>
        </w:rPr>
        <w:t>A very high proportion of respondents (92%) support providing incentives to local communities for mangrove protection.</w:t>
      </w:r>
    </w:p>
    <w:p w14:paraId="7BEDEDF6" w14:textId="77777777" w:rsidR="00C134BB" w:rsidRDefault="00C134BB" w:rsidP="00FE3ABD">
      <w:pPr>
        <w:spacing w:before="16" w:after="8" w:line="240" w:lineRule="auto"/>
        <w:ind w:left="238" w:right="238"/>
        <w:jc w:val="both"/>
        <w:rPr>
          <w:rFonts w:ascii="Times New Roman" w:eastAsia="Times New Roman" w:hAnsi="Times New Roman" w:cs="Times New Roman"/>
          <w:b/>
          <w:bCs/>
          <w:sz w:val="28"/>
          <w:szCs w:val="28"/>
        </w:rPr>
      </w:pPr>
    </w:p>
    <w:p w14:paraId="1AD095AB" w14:textId="15B92C87" w:rsidR="00BC5A80" w:rsidRPr="00077924" w:rsidRDefault="00E46488" w:rsidP="00FE3ABD">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 xml:space="preserve">SUGGESTIONS </w:t>
      </w:r>
    </w:p>
    <w:p w14:paraId="3170B25F"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Local community participation should be promoted in mangrove-based ecotourism to generate income and employment opportunities.</w:t>
      </w:r>
    </w:p>
    <w:p w14:paraId="3C6F1843"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Mangrove ecotourism activities should be properly planned and regulated to ensure environmental sustainability.</w:t>
      </w:r>
    </w:p>
    <w:p w14:paraId="5803EBF9"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Awareness programs should be conducted to educate local people about the importance of mangrove conservation.</w:t>
      </w:r>
    </w:p>
    <w:p w14:paraId="5B2C372B" w14:textId="77777777" w:rsid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Human encroachment such as land reclamation, waste disposal, and illegal construction in mangrove areas should be strictly controlled.</w:t>
      </w:r>
    </w:p>
    <w:p w14:paraId="594018E9" w14:textId="0C8B6848" w:rsidR="00BC5A80" w:rsidRPr="00E46488" w:rsidRDefault="00BC5A80" w:rsidP="00E46488">
      <w:pPr>
        <w:pStyle w:val="ListParagraph"/>
        <w:numPr>
          <w:ilvl w:val="0"/>
          <w:numId w:val="4"/>
        </w:numPr>
        <w:spacing w:before="16" w:after="8" w:line="240" w:lineRule="auto"/>
        <w:ind w:right="238"/>
        <w:jc w:val="both"/>
        <w:rPr>
          <w:rFonts w:ascii="Times New Roman" w:eastAsia="Times New Roman" w:hAnsi="Times New Roman" w:cs="Times New Roman"/>
        </w:rPr>
      </w:pPr>
      <w:r w:rsidRPr="00E46488">
        <w:rPr>
          <w:rFonts w:ascii="Times New Roman" w:eastAsia="Times New Roman" w:hAnsi="Times New Roman" w:cs="Times New Roman"/>
        </w:rPr>
        <w:t>Cooperation between local communities and government institutions should be encouraged for effective mangrove conservation.</w:t>
      </w:r>
    </w:p>
    <w:p w14:paraId="5EDBAB05" w14:textId="3CD55D06" w:rsidR="00BC5A80" w:rsidRPr="00077924" w:rsidRDefault="00E46488" w:rsidP="00E46488">
      <w:pPr>
        <w:spacing w:before="16" w:after="8" w:line="240" w:lineRule="auto"/>
        <w:ind w:left="238"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CONCLUSION</w:t>
      </w:r>
    </w:p>
    <w:p w14:paraId="2C3CCF36"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The study concludes that mangrove-based ecotourism has good potential to generate income for the local community while maintaining environmental sustainability. Tourism activities such as boating, bird watching, and nature walks can attract visitors and create employment opportunities for local people. This can improve the economic condition of the community and provide additional sources of livelihood. At the same time, ecotourism helps to increase awareness among tourists and residents about the ecological importance of mangrove forests and the need to protect them.</w:t>
      </w:r>
    </w:p>
    <w:p w14:paraId="33E60FC7"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The study also reveals that mangroves face several challenges mainly due to human encroachment and other human activities. Land reclamation, construction, pollution, and unplanned development have reduced the area of mangrove forests in many regions. These activities disturb the natural habitat of many plants and animals and weaken the ability of mangroves to protect coastal areas from erosion and flooding. Therefore, proper conservation measures are necessary to protect these valuable ecosystems.</w:t>
      </w:r>
    </w:p>
    <w:p w14:paraId="1BF811DF" w14:textId="77777777" w:rsidR="00BC5A80" w:rsidRDefault="00BC5A80" w:rsidP="00FE3ABD">
      <w:pPr>
        <w:spacing w:before="16" w:after="8" w:line="240" w:lineRule="auto"/>
        <w:ind w:left="238" w:right="238"/>
        <w:jc w:val="both"/>
        <w:rPr>
          <w:rFonts w:ascii="Times New Roman" w:eastAsia="Times New Roman" w:hAnsi="Times New Roman" w:cs="Times New Roman"/>
        </w:rPr>
      </w:pPr>
      <w:r>
        <w:rPr>
          <w:rFonts w:ascii="Times New Roman" w:eastAsia="Times New Roman" w:hAnsi="Times New Roman" w:cs="Times New Roman"/>
        </w:rPr>
        <w:t>Furthermore, the study highlights the important role of both the local community and the government in protecting mangrove forests. The participation of local people in conservation activities such as mangrove planting, monitoring, and responsible tourism management can greatly support protection efforts. Government support through environmental policies, awareness programs, and proper management strategies is also essential for the sustainable development of mangrove ecosystems.</w:t>
      </w:r>
    </w:p>
    <w:p w14:paraId="16D263EB" w14:textId="77777777" w:rsidR="00BC5A80" w:rsidRDefault="00BC5A80" w:rsidP="00D96F4E">
      <w:pPr>
        <w:spacing w:before="16" w:after="8" w:line="360" w:lineRule="auto"/>
        <w:ind w:left="238" w:right="238"/>
        <w:jc w:val="both"/>
        <w:rPr>
          <w:rFonts w:ascii="Times New Roman" w:eastAsia="Times New Roman" w:hAnsi="Times New Roman" w:cs="Times New Roman"/>
          <w:b/>
          <w:bCs/>
        </w:rPr>
      </w:pPr>
    </w:p>
    <w:p w14:paraId="0AA4CBC6" w14:textId="13A9208B" w:rsidR="00BC5A80" w:rsidRPr="00077924" w:rsidRDefault="00B85334" w:rsidP="00B85334">
      <w:pPr>
        <w:spacing w:before="16" w:after="8" w:line="360" w:lineRule="auto"/>
        <w:ind w:right="238"/>
        <w:jc w:val="both"/>
        <w:rPr>
          <w:rFonts w:ascii="Times New Roman" w:eastAsia="Times New Roman" w:hAnsi="Times New Roman" w:cs="Times New Roman"/>
          <w:b/>
          <w:bCs/>
          <w:sz w:val="28"/>
          <w:szCs w:val="28"/>
        </w:rPr>
      </w:pPr>
      <w:r w:rsidRPr="00077924">
        <w:rPr>
          <w:rFonts w:ascii="Times New Roman" w:eastAsia="Times New Roman" w:hAnsi="Times New Roman" w:cs="Times New Roman"/>
          <w:b/>
          <w:bCs/>
          <w:sz w:val="28"/>
          <w:szCs w:val="28"/>
        </w:rPr>
        <w:t xml:space="preserve">     </w:t>
      </w:r>
      <w:r w:rsidR="00077924" w:rsidRPr="00077924">
        <w:rPr>
          <w:rFonts w:ascii="Times New Roman" w:eastAsia="Times New Roman" w:hAnsi="Times New Roman" w:cs="Times New Roman"/>
          <w:b/>
          <w:bCs/>
          <w:sz w:val="28"/>
          <w:szCs w:val="28"/>
        </w:rPr>
        <w:t>REFERENCES</w:t>
      </w:r>
    </w:p>
    <w:p w14:paraId="53D1F315" w14:textId="77777777" w:rsidR="00077924" w:rsidRPr="00077924" w:rsidRDefault="00BC5A80" w:rsidP="00C134BB">
      <w:pPr>
        <w:pStyle w:val="ListParagraph"/>
        <w:numPr>
          <w:ilvl w:val="0"/>
          <w:numId w:val="5"/>
        </w:numPr>
        <w:spacing w:before="16" w:after="8" w:line="360" w:lineRule="auto"/>
        <w:ind w:right="238"/>
        <w:jc w:val="both"/>
        <w:rPr>
          <w:b/>
          <w:bCs/>
          <w:sz w:val="20"/>
          <w:szCs w:val="20"/>
        </w:rPr>
      </w:pPr>
      <w:r w:rsidRPr="00077924">
        <w:rPr>
          <w:rFonts w:ascii="Times New Roman" w:eastAsia="Times New Roman" w:hAnsi="Times New Roman" w:cs="Times New Roman"/>
          <w:sz w:val="20"/>
          <w:szCs w:val="20"/>
        </w:rPr>
        <w:t xml:space="preserve">Arun, V. P., &amp; Kumarasamy, D. (2022). Studies on distribution and diversity of true mangroves at </w:t>
      </w:r>
      <w:proofErr w:type="spellStart"/>
      <w:r w:rsidRPr="00077924">
        <w:rPr>
          <w:rFonts w:ascii="Times New Roman" w:eastAsia="Times New Roman" w:hAnsi="Times New Roman" w:cs="Times New Roman"/>
          <w:sz w:val="20"/>
          <w:szCs w:val="20"/>
        </w:rPr>
        <w:t>Vellikkeel</w:t>
      </w:r>
      <w:proofErr w:type="spellEnd"/>
      <w:r w:rsidRPr="00077924">
        <w:rPr>
          <w:rFonts w:ascii="Times New Roman" w:eastAsia="Times New Roman" w:hAnsi="Times New Roman" w:cs="Times New Roman"/>
          <w:sz w:val="20"/>
          <w:szCs w:val="20"/>
        </w:rPr>
        <w:t>, Kannur, Kerala. Indian Journal of Natural Sciences, 13(72), 41741–41745.</w:t>
      </w:r>
    </w:p>
    <w:p w14:paraId="666D8995" w14:textId="6C249E18" w:rsidR="00077924" w:rsidRPr="00077924" w:rsidRDefault="00BC5A80" w:rsidP="00C134BB">
      <w:pPr>
        <w:pStyle w:val="ListParagraph"/>
        <w:numPr>
          <w:ilvl w:val="0"/>
          <w:numId w:val="5"/>
        </w:numPr>
        <w:spacing w:before="16" w:after="8" w:line="360" w:lineRule="auto"/>
        <w:ind w:right="238"/>
        <w:jc w:val="both"/>
        <w:rPr>
          <w:b/>
          <w:bCs/>
          <w:sz w:val="20"/>
          <w:szCs w:val="20"/>
        </w:rPr>
      </w:pPr>
      <w:proofErr w:type="spellStart"/>
      <w:r w:rsidRPr="00077924">
        <w:rPr>
          <w:rFonts w:ascii="Times New Roman" w:eastAsia="Times New Roman" w:hAnsi="Times New Roman" w:cs="Times New Roman"/>
          <w:sz w:val="20"/>
          <w:szCs w:val="20"/>
        </w:rPr>
        <w:lastRenderedPageBreak/>
        <w:t>Badola</w:t>
      </w:r>
      <w:proofErr w:type="spellEnd"/>
      <w:r w:rsidRPr="00077924">
        <w:rPr>
          <w:rFonts w:ascii="Times New Roman" w:eastAsia="Times New Roman" w:hAnsi="Times New Roman" w:cs="Times New Roman"/>
          <w:sz w:val="20"/>
          <w:szCs w:val="20"/>
        </w:rPr>
        <w:t>, R., Barthwal, S., &amp; Hussain, S. A. (2012). Attitudes of local communities towards conservation of mangrove forests: A case study from the east coast of India. Estuarine, Coastal and Shelf Science, 96(1), 188–196.</w:t>
      </w:r>
    </w:p>
    <w:p w14:paraId="6D4E3D99"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Deb Roy, P., &amp; Jayaraman, R. (2012). Economic valuation of mangroves for assessing the livelihood of fisherfolk: A case study in India. In IIFET 2012 Tanzania Proceedings.  International Institute of Fisheries Economics &amp; Trade (IIFET).</w:t>
      </w:r>
    </w:p>
    <w:p w14:paraId="0B28563F"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Grace Mathew, R. </w:t>
      </w:r>
      <w:proofErr w:type="spellStart"/>
      <w:r w:rsidRPr="00077924">
        <w:rPr>
          <w:rFonts w:ascii="Times New Roman" w:eastAsia="Times New Roman" w:hAnsi="Times New Roman" w:cs="Times New Roman"/>
          <w:sz w:val="20"/>
          <w:szCs w:val="20"/>
        </w:rPr>
        <w:t>Jeyabaskaran</w:t>
      </w:r>
      <w:proofErr w:type="spellEnd"/>
      <w:r w:rsidRPr="00077924">
        <w:rPr>
          <w:rFonts w:ascii="Times New Roman" w:eastAsia="Times New Roman" w:hAnsi="Times New Roman" w:cs="Times New Roman"/>
          <w:sz w:val="20"/>
          <w:szCs w:val="20"/>
        </w:rPr>
        <w:t>, &amp; D. Prema. (2010). Mangrove ecosystems in India and their conservation. In Coastal fishery resources of India – conservation and sustainable utilization (pp. 186–196)</w:t>
      </w:r>
    </w:p>
    <w:p w14:paraId="5A9B20F0"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 Hema, M., &amp; Devi, P. I. (2020). Sustainable management of mangroves: Developing a socially acceptable management plan. Journal of Tropical Agriculture, 58(2), 209–218. </w:t>
      </w:r>
    </w:p>
    <w:p w14:paraId="2AE92AEB" w14:textId="77777777" w:rsidR="00077924" w:rsidRP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Karunakaran Prasanna, C., </w:t>
      </w:r>
      <w:proofErr w:type="spellStart"/>
      <w:r w:rsidRPr="00077924">
        <w:rPr>
          <w:rFonts w:ascii="Times New Roman" w:eastAsia="Times New Roman" w:hAnsi="Times New Roman" w:cs="Times New Roman"/>
          <w:sz w:val="20"/>
          <w:szCs w:val="20"/>
        </w:rPr>
        <w:t>Kizhakkekara</w:t>
      </w:r>
      <w:proofErr w:type="spellEnd"/>
      <w:r w:rsidRPr="00077924">
        <w:rPr>
          <w:rFonts w:ascii="Times New Roman" w:eastAsia="Times New Roman" w:hAnsi="Times New Roman" w:cs="Times New Roman"/>
          <w:sz w:val="20"/>
          <w:szCs w:val="20"/>
        </w:rPr>
        <w:t xml:space="preserve"> </w:t>
      </w:r>
      <w:proofErr w:type="spellStart"/>
      <w:r w:rsidRPr="00077924">
        <w:rPr>
          <w:rFonts w:ascii="Times New Roman" w:eastAsia="Times New Roman" w:hAnsi="Times New Roman" w:cs="Times New Roman"/>
          <w:sz w:val="20"/>
          <w:szCs w:val="20"/>
        </w:rPr>
        <w:t>Vannadil</w:t>
      </w:r>
      <w:proofErr w:type="spellEnd"/>
      <w:r w:rsidRPr="00077924">
        <w:rPr>
          <w:rFonts w:ascii="Times New Roman" w:eastAsia="Times New Roman" w:hAnsi="Times New Roman" w:cs="Times New Roman"/>
          <w:sz w:val="20"/>
          <w:szCs w:val="20"/>
        </w:rPr>
        <w:t xml:space="preserve">, P., &amp; </w:t>
      </w:r>
      <w:proofErr w:type="spellStart"/>
      <w:r w:rsidRPr="00077924">
        <w:rPr>
          <w:rFonts w:ascii="Times New Roman" w:eastAsia="Times New Roman" w:hAnsi="Times New Roman" w:cs="Times New Roman"/>
          <w:sz w:val="20"/>
          <w:szCs w:val="20"/>
        </w:rPr>
        <w:t>Pattath</w:t>
      </w:r>
      <w:proofErr w:type="spellEnd"/>
      <w:r w:rsidRPr="00077924">
        <w:rPr>
          <w:rFonts w:ascii="Times New Roman" w:eastAsia="Times New Roman" w:hAnsi="Times New Roman" w:cs="Times New Roman"/>
          <w:sz w:val="20"/>
          <w:szCs w:val="20"/>
        </w:rPr>
        <w:t xml:space="preserve"> </w:t>
      </w:r>
      <w:proofErr w:type="spellStart"/>
      <w:r w:rsidRPr="00077924">
        <w:rPr>
          <w:rFonts w:ascii="Times New Roman" w:eastAsia="Times New Roman" w:hAnsi="Times New Roman" w:cs="Times New Roman"/>
          <w:sz w:val="20"/>
          <w:szCs w:val="20"/>
        </w:rPr>
        <w:t>Ayyappan</w:t>
      </w:r>
      <w:proofErr w:type="spellEnd"/>
      <w:r w:rsidRPr="00077924">
        <w:rPr>
          <w:rFonts w:ascii="Times New Roman" w:eastAsia="Times New Roman" w:hAnsi="Times New Roman" w:cs="Times New Roman"/>
          <w:sz w:val="20"/>
          <w:szCs w:val="20"/>
        </w:rPr>
        <w:t xml:space="preserve">, V. (2020). Wetland conservation and sustainable development in Kerala, India. In W. Leal Filho, A. M. Azul, L. Brandli, P. G. </w:t>
      </w:r>
      <w:proofErr w:type="spellStart"/>
      <w:r w:rsidRPr="00077924">
        <w:rPr>
          <w:rFonts w:ascii="Times New Roman" w:eastAsia="Times New Roman" w:hAnsi="Times New Roman" w:cs="Times New Roman"/>
          <w:sz w:val="20"/>
          <w:szCs w:val="20"/>
        </w:rPr>
        <w:t>Özuyar</w:t>
      </w:r>
      <w:proofErr w:type="spellEnd"/>
      <w:r w:rsidRPr="00077924">
        <w:rPr>
          <w:rFonts w:ascii="Times New Roman" w:eastAsia="Times New Roman" w:hAnsi="Times New Roman" w:cs="Times New Roman"/>
          <w:sz w:val="20"/>
          <w:szCs w:val="20"/>
        </w:rPr>
        <w:t xml:space="preserve">, &amp; T. Wall (Eds.), Life on land: Encyclopaedia of the UN Sustainable Development Goals.      Springer Nature. </w:t>
      </w:r>
      <w:hyperlink r:id="rId10">
        <w:r w:rsidRPr="00077924">
          <w:rPr>
            <w:rFonts w:ascii="Times New Roman" w:eastAsia="Times New Roman" w:hAnsi="Times New Roman" w:cs="Times New Roman"/>
            <w:color w:val="0000FF"/>
            <w:sz w:val="20"/>
            <w:szCs w:val="20"/>
            <w:u w:val="single"/>
          </w:rPr>
          <w:t>https://doi.org/10.1007/978-3-319-71065-5_115-1</w:t>
        </w:r>
      </w:hyperlink>
    </w:p>
    <w:p w14:paraId="53C5907D"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Kathiresan, K. (2018). Mangrove forests of India. Current Science, 114(5), 976–981.</w:t>
      </w:r>
    </w:p>
    <w:p w14:paraId="1CA8C638" w14:textId="77777777" w:rsidR="00077924" w:rsidRDefault="00077924"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 </w:t>
      </w:r>
      <w:r w:rsidR="00BC5A80" w:rsidRPr="00077924">
        <w:rPr>
          <w:rFonts w:ascii="Times New Roman" w:eastAsia="Times New Roman" w:hAnsi="Times New Roman" w:cs="Times New Roman"/>
          <w:sz w:val="20"/>
          <w:szCs w:val="20"/>
        </w:rPr>
        <w:t xml:space="preserve">Krieger, D. J. (2001, March). The economic value of forest ecosystem services: A review. The </w:t>
      </w:r>
      <w:r w:rsidRPr="00077924">
        <w:rPr>
          <w:rFonts w:ascii="Times New Roman" w:eastAsia="Times New Roman" w:hAnsi="Times New Roman" w:cs="Times New Roman"/>
          <w:sz w:val="20"/>
          <w:szCs w:val="20"/>
        </w:rPr>
        <w:t xml:space="preserve">   </w:t>
      </w:r>
      <w:r w:rsidRPr="00077924">
        <w:rPr>
          <w:rFonts w:ascii="Times New Roman" w:eastAsia="Times New Roman" w:hAnsi="Times New Roman" w:cs="Times New Roman"/>
          <w:sz w:val="20"/>
          <w:szCs w:val="20"/>
        </w:rPr>
        <w:br/>
        <w:t xml:space="preserve">     </w:t>
      </w:r>
      <w:r w:rsidR="00BC5A80" w:rsidRPr="00077924">
        <w:rPr>
          <w:rFonts w:ascii="Times New Roman" w:eastAsia="Times New Roman" w:hAnsi="Times New Roman" w:cs="Times New Roman"/>
          <w:sz w:val="20"/>
          <w:szCs w:val="20"/>
        </w:rPr>
        <w:t xml:space="preserve">Wilderness Society. </w:t>
      </w:r>
    </w:p>
    <w:p w14:paraId="20F0943A"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Nayana, N. C. (2024). Economic evaluation of mangrove ecosystem services in Thrissur district [Master's thesis, Kerala Agricultural University]. Faculty of Forestry.</w:t>
      </w:r>
    </w:p>
    <w:p w14:paraId="41EB8EA2"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 Rajan, D. S., &amp; Athira P.V. (2023). An environmental study of the need for rehabilitation and restoration of mangrove ecosystems in Kannur District, Kerala. Journal of Indian Association for Environmental Management, 43(2), 123–135.</w:t>
      </w:r>
    </w:p>
    <w:p w14:paraId="7DB7F8E3"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Ramesh, D. A., Karthi, N., Dhivya, S., </w:t>
      </w:r>
      <w:proofErr w:type="spellStart"/>
      <w:r w:rsidRPr="00077924">
        <w:rPr>
          <w:rFonts w:ascii="Times New Roman" w:eastAsia="Times New Roman" w:hAnsi="Times New Roman" w:cs="Times New Roman"/>
          <w:sz w:val="20"/>
          <w:szCs w:val="20"/>
        </w:rPr>
        <w:t>Infantina</w:t>
      </w:r>
      <w:proofErr w:type="spellEnd"/>
      <w:r w:rsidRPr="00077924">
        <w:rPr>
          <w:rFonts w:ascii="Times New Roman" w:eastAsia="Times New Roman" w:hAnsi="Times New Roman" w:cs="Times New Roman"/>
          <w:sz w:val="20"/>
          <w:szCs w:val="20"/>
        </w:rPr>
        <w:t>, A., &amp; Priya, P. (2022). Economic assessment of mangrove ecosystems’ goods and services of India. Journal of Social Review and Development, 1(2), 42–51.</w:t>
      </w:r>
    </w:p>
    <w:p w14:paraId="65369D78"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 xml:space="preserve">Sarang, K. T. (2020). The attitude of local people towards the conservational importance of mangrove wetland and development, around </w:t>
      </w:r>
      <w:proofErr w:type="spellStart"/>
      <w:r w:rsidRPr="00077924">
        <w:rPr>
          <w:rFonts w:ascii="Times New Roman" w:eastAsia="Times New Roman" w:hAnsi="Times New Roman" w:cs="Times New Roman"/>
          <w:sz w:val="20"/>
          <w:szCs w:val="20"/>
        </w:rPr>
        <w:t>Kavvayi</w:t>
      </w:r>
      <w:proofErr w:type="spellEnd"/>
      <w:r w:rsidRPr="00077924">
        <w:rPr>
          <w:rFonts w:ascii="Times New Roman" w:eastAsia="Times New Roman" w:hAnsi="Times New Roman" w:cs="Times New Roman"/>
          <w:sz w:val="20"/>
          <w:szCs w:val="20"/>
        </w:rPr>
        <w:t xml:space="preserve"> wetland ecosystem, Kerala, India. International Journal of Innovative Research and Advanced Studies (IJIRAS), 7(11).</w:t>
      </w:r>
    </w:p>
    <w:p w14:paraId="72570801"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Sathirathai, S. (1998). Economic valuation of mangroves: Case study of Surat Thani, South of Thailand. EEPSEA Research Report Series, IDRC - Lib. 108378.</w:t>
      </w:r>
    </w:p>
    <w:p w14:paraId="599CBE2B" w14:textId="77777777" w:rsid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r w:rsidRPr="00077924">
        <w:rPr>
          <w:rFonts w:ascii="Times New Roman" w:eastAsia="Times New Roman" w:hAnsi="Times New Roman" w:cs="Times New Roman"/>
          <w:sz w:val="20"/>
          <w:szCs w:val="20"/>
        </w:rPr>
        <w:t>Vaiga, M., &amp; Joseph, S. (2016). Identification of mangrove and mangrove associates in Kannur district of Kerala including their economic-ecological linkages. International Journal of Botany Studies, 1(5), 22–31.</w:t>
      </w:r>
    </w:p>
    <w:p w14:paraId="382693D3" w14:textId="7D20424F" w:rsidR="00BC5A80" w:rsidRPr="00077924" w:rsidRDefault="00BC5A80" w:rsidP="00C134BB">
      <w:pPr>
        <w:pStyle w:val="ListParagraph"/>
        <w:numPr>
          <w:ilvl w:val="0"/>
          <w:numId w:val="5"/>
        </w:numPr>
        <w:tabs>
          <w:tab w:val="left" w:pos="420"/>
        </w:tabs>
        <w:spacing w:before="16" w:after="8" w:line="360" w:lineRule="auto"/>
        <w:ind w:right="238"/>
        <w:jc w:val="both"/>
        <w:rPr>
          <w:rFonts w:ascii="Times New Roman" w:eastAsia="Times New Roman" w:hAnsi="Times New Roman" w:cs="Times New Roman"/>
          <w:sz w:val="20"/>
          <w:szCs w:val="20"/>
        </w:rPr>
      </w:pPr>
      <w:proofErr w:type="spellStart"/>
      <w:r w:rsidRPr="00077924">
        <w:rPr>
          <w:rFonts w:ascii="Times New Roman" w:eastAsia="Times New Roman" w:hAnsi="Times New Roman" w:cs="Times New Roman"/>
          <w:sz w:val="20"/>
          <w:szCs w:val="20"/>
        </w:rPr>
        <w:t>Vidyasagaran</w:t>
      </w:r>
      <w:proofErr w:type="spellEnd"/>
      <w:r w:rsidRPr="00077924">
        <w:rPr>
          <w:rFonts w:ascii="Times New Roman" w:eastAsia="Times New Roman" w:hAnsi="Times New Roman" w:cs="Times New Roman"/>
          <w:sz w:val="20"/>
          <w:szCs w:val="20"/>
        </w:rPr>
        <w:t xml:space="preserve">, K., &amp; </w:t>
      </w:r>
      <w:proofErr w:type="spellStart"/>
      <w:r w:rsidRPr="00077924">
        <w:rPr>
          <w:rFonts w:ascii="Times New Roman" w:eastAsia="Times New Roman" w:hAnsi="Times New Roman" w:cs="Times New Roman"/>
          <w:sz w:val="20"/>
          <w:szCs w:val="20"/>
        </w:rPr>
        <w:t>Madhusoodanan</w:t>
      </w:r>
      <w:proofErr w:type="spellEnd"/>
      <w:r w:rsidRPr="00077924">
        <w:rPr>
          <w:rFonts w:ascii="Times New Roman" w:eastAsia="Times New Roman" w:hAnsi="Times New Roman" w:cs="Times New Roman"/>
          <w:sz w:val="20"/>
          <w:szCs w:val="20"/>
        </w:rPr>
        <w:t xml:space="preserve">, V. K. (2014). Distribution and plant diversity of mangroves in the west coast of Kerala, India. Journal of Biodiversity and Environmental Sciences, 4(5), 38–45   </w:t>
      </w:r>
    </w:p>
    <w:p w14:paraId="6070D9C1" w14:textId="77777777" w:rsidR="00BC5A80" w:rsidRDefault="00BC5A80" w:rsidP="00C134BB">
      <w:pPr>
        <w:spacing w:before="16" w:after="8" w:line="360" w:lineRule="auto"/>
        <w:ind w:left="238" w:right="238"/>
        <w:jc w:val="both"/>
      </w:pPr>
    </w:p>
    <w:p w14:paraId="2136BD18" w14:textId="77777777" w:rsidR="00BC5A80" w:rsidRDefault="00BC5A80" w:rsidP="00D96F4E">
      <w:pPr>
        <w:spacing w:before="16" w:after="8" w:line="360" w:lineRule="auto"/>
        <w:ind w:left="238" w:right="238"/>
        <w:jc w:val="both"/>
      </w:pPr>
    </w:p>
    <w:p w14:paraId="5C7AA8F2" w14:textId="77777777" w:rsidR="00BC5A80" w:rsidRDefault="00BC5A80" w:rsidP="00D96F4E">
      <w:pPr>
        <w:spacing w:before="16" w:after="8" w:line="360" w:lineRule="auto"/>
        <w:ind w:left="238" w:right="238"/>
        <w:jc w:val="both"/>
      </w:pPr>
    </w:p>
    <w:p w14:paraId="4B2631F2" w14:textId="77777777" w:rsidR="00BC5A80" w:rsidRDefault="00BC5A80" w:rsidP="00D96F4E">
      <w:pPr>
        <w:spacing w:before="16" w:after="8" w:line="360" w:lineRule="auto"/>
        <w:ind w:left="238" w:right="238"/>
        <w:jc w:val="both"/>
      </w:pPr>
    </w:p>
    <w:p w14:paraId="08A99D97" w14:textId="77777777" w:rsidR="00BC5A80" w:rsidRDefault="00BC5A80" w:rsidP="00D96F4E">
      <w:pPr>
        <w:spacing w:before="16" w:after="8" w:line="360" w:lineRule="auto"/>
        <w:ind w:left="238" w:right="238"/>
        <w:jc w:val="both"/>
      </w:pPr>
    </w:p>
    <w:p w14:paraId="5F6AECD1" w14:textId="77777777" w:rsidR="00BC5A80" w:rsidRDefault="00BC5A80" w:rsidP="00D96F4E">
      <w:pPr>
        <w:spacing w:before="16" w:after="8" w:line="360" w:lineRule="auto"/>
        <w:ind w:left="238" w:right="238"/>
        <w:jc w:val="both"/>
      </w:pPr>
    </w:p>
    <w:p w14:paraId="783456F5" w14:textId="77777777" w:rsidR="00BC5A80" w:rsidRDefault="00BC5A80" w:rsidP="00D96F4E">
      <w:pPr>
        <w:spacing w:before="16" w:after="8" w:line="360" w:lineRule="auto"/>
        <w:ind w:left="238" w:right="238"/>
        <w:jc w:val="both"/>
      </w:pPr>
    </w:p>
    <w:p w14:paraId="0B59CA36" w14:textId="77777777" w:rsidR="00BC5A80" w:rsidRDefault="00BC5A80" w:rsidP="00D96F4E">
      <w:pPr>
        <w:spacing w:before="16" w:after="8" w:line="360" w:lineRule="auto"/>
        <w:ind w:left="238" w:right="238"/>
        <w:jc w:val="both"/>
      </w:pPr>
    </w:p>
    <w:sectPr w:rsidR="00BC5A80" w:rsidSect="00962F3B">
      <w:pgSz w:w="11906" w:h="16838" w:code="9"/>
      <w:pgMar w:top="1440" w:right="1440" w:bottom="1440" w:left="1440" w:header="13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21730" w14:textId="77777777" w:rsidR="00F85770" w:rsidRDefault="00F85770" w:rsidP="00962F3B">
      <w:pPr>
        <w:spacing w:after="0" w:line="240" w:lineRule="auto"/>
      </w:pPr>
      <w:r>
        <w:separator/>
      </w:r>
    </w:p>
  </w:endnote>
  <w:endnote w:type="continuationSeparator" w:id="0">
    <w:p w14:paraId="2F991D01" w14:textId="77777777" w:rsidR="00F85770" w:rsidRDefault="00F85770" w:rsidP="0096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E8E05" w14:textId="77777777" w:rsidR="00F85770" w:rsidRDefault="00F85770" w:rsidP="00962F3B">
      <w:pPr>
        <w:spacing w:after="0" w:line="240" w:lineRule="auto"/>
      </w:pPr>
      <w:r>
        <w:separator/>
      </w:r>
    </w:p>
  </w:footnote>
  <w:footnote w:type="continuationSeparator" w:id="0">
    <w:p w14:paraId="28F17209" w14:textId="77777777" w:rsidR="00F85770" w:rsidRDefault="00F85770" w:rsidP="00962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6FA1"/>
    <w:multiLevelType w:val="hybridMultilevel"/>
    <w:tmpl w:val="A6440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08970F7"/>
    <w:multiLevelType w:val="hybridMultilevel"/>
    <w:tmpl w:val="83F8220E"/>
    <w:lvl w:ilvl="0" w:tplc="EE2A5CFC">
      <w:start w:val="1"/>
      <w:numFmt w:val="decimal"/>
      <w:lvlText w:val="%1."/>
      <w:lvlJc w:val="left"/>
      <w:pPr>
        <w:ind w:left="598" w:hanging="360"/>
      </w:pPr>
      <w:rPr>
        <w:rFonts w:ascii="Times New Roman" w:eastAsia="Times New Roman" w:hAnsi="Times New Roman" w:cs="Times New Roman" w:hint="default"/>
        <w:b w:val="0"/>
      </w:rPr>
    </w:lvl>
    <w:lvl w:ilvl="1" w:tplc="40090019" w:tentative="1">
      <w:start w:val="1"/>
      <w:numFmt w:val="lowerLetter"/>
      <w:lvlText w:val="%2."/>
      <w:lvlJc w:val="left"/>
      <w:pPr>
        <w:ind w:left="1318" w:hanging="360"/>
      </w:pPr>
    </w:lvl>
    <w:lvl w:ilvl="2" w:tplc="4009001B" w:tentative="1">
      <w:start w:val="1"/>
      <w:numFmt w:val="lowerRoman"/>
      <w:lvlText w:val="%3."/>
      <w:lvlJc w:val="right"/>
      <w:pPr>
        <w:ind w:left="2038" w:hanging="180"/>
      </w:pPr>
    </w:lvl>
    <w:lvl w:ilvl="3" w:tplc="4009000F" w:tentative="1">
      <w:start w:val="1"/>
      <w:numFmt w:val="decimal"/>
      <w:lvlText w:val="%4."/>
      <w:lvlJc w:val="left"/>
      <w:pPr>
        <w:ind w:left="2758" w:hanging="360"/>
      </w:pPr>
    </w:lvl>
    <w:lvl w:ilvl="4" w:tplc="40090019" w:tentative="1">
      <w:start w:val="1"/>
      <w:numFmt w:val="lowerLetter"/>
      <w:lvlText w:val="%5."/>
      <w:lvlJc w:val="left"/>
      <w:pPr>
        <w:ind w:left="3478" w:hanging="360"/>
      </w:pPr>
    </w:lvl>
    <w:lvl w:ilvl="5" w:tplc="4009001B" w:tentative="1">
      <w:start w:val="1"/>
      <w:numFmt w:val="lowerRoman"/>
      <w:lvlText w:val="%6."/>
      <w:lvlJc w:val="right"/>
      <w:pPr>
        <w:ind w:left="4198" w:hanging="180"/>
      </w:pPr>
    </w:lvl>
    <w:lvl w:ilvl="6" w:tplc="4009000F" w:tentative="1">
      <w:start w:val="1"/>
      <w:numFmt w:val="decimal"/>
      <w:lvlText w:val="%7."/>
      <w:lvlJc w:val="left"/>
      <w:pPr>
        <w:ind w:left="4918" w:hanging="360"/>
      </w:pPr>
    </w:lvl>
    <w:lvl w:ilvl="7" w:tplc="40090019" w:tentative="1">
      <w:start w:val="1"/>
      <w:numFmt w:val="lowerLetter"/>
      <w:lvlText w:val="%8."/>
      <w:lvlJc w:val="left"/>
      <w:pPr>
        <w:ind w:left="5638" w:hanging="360"/>
      </w:pPr>
    </w:lvl>
    <w:lvl w:ilvl="8" w:tplc="4009001B" w:tentative="1">
      <w:start w:val="1"/>
      <w:numFmt w:val="lowerRoman"/>
      <w:lvlText w:val="%9."/>
      <w:lvlJc w:val="right"/>
      <w:pPr>
        <w:ind w:left="6358" w:hanging="180"/>
      </w:pPr>
    </w:lvl>
  </w:abstractNum>
  <w:abstractNum w:abstractNumId="2">
    <w:nsid w:val="20C430E5"/>
    <w:multiLevelType w:val="multilevel"/>
    <w:tmpl w:val="09486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708D2085"/>
    <w:multiLevelType w:val="multilevel"/>
    <w:tmpl w:val="DD8493D2"/>
    <w:lvl w:ilvl="0">
      <w:start w:val="1"/>
      <w:numFmt w:val="decimal"/>
      <w:lvlText w:val="%1"/>
      <w:lvlJc w:val="left"/>
      <w:pPr>
        <w:ind w:left="480" w:hanging="480"/>
      </w:pPr>
    </w:lvl>
    <w:lvl w:ilvl="1">
      <w:start w:val="1"/>
      <w:numFmt w:val="decimal"/>
      <w:lvlText w:val="%1.%2"/>
      <w:lvlJc w:val="left"/>
      <w:pPr>
        <w:ind w:left="780" w:hanging="720"/>
      </w:pPr>
      <w:rPr>
        <w:b/>
        <w:bCs/>
        <w:sz w:val="32"/>
        <w:szCs w:val="3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680" w:hanging="144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580" w:hanging="2160"/>
      </w:pPr>
    </w:lvl>
    <w:lvl w:ilvl="8">
      <w:start w:val="1"/>
      <w:numFmt w:val="decimal"/>
      <w:lvlText w:val="%1.%2.%3.%4.%5.%6.%7.%8.%9"/>
      <w:lvlJc w:val="left"/>
      <w:pPr>
        <w:ind w:left="2640" w:hanging="2160"/>
      </w:pPr>
    </w:lvl>
  </w:abstractNum>
  <w:abstractNum w:abstractNumId="4">
    <w:nsid w:val="7B6401AE"/>
    <w:multiLevelType w:val="hybridMultilevel"/>
    <w:tmpl w:val="33CC8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AD"/>
    <w:rsid w:val="00077924"/>
    <w:rsid w:val="0015783C"/>
    <w:rsid w:val="001757A3"/>
    <w:rsid w:val="002025F1"/>
    <w:rsid w:val="00262F00"/>
    <w:rsid w:val="006C02F4"/>
    <w:rsid w:val="006C46B2"/>
    <w:rsid w:val="0073518C"/>
    <w:rsid w:val="008E6FBF"/>
    <w:rsid w:val="00913C50"/>
    <w:rsid w:val="00962F3B"/>
    <w:rsid w:val="0096380A"/>
    <w:rsid w:val="009E3601"/>
    <w:rsid w:val="00A9647B"/>
    <w:rsid w:val="00B024F9"/>
    <w:rsid w:val="00B85334"/>
    <w:rsid w:val="00BC5A80"/>
    <w:rsid w:val="00BD4B3B"/>
    <w:rsid w:val="00C00184"/>
    <w:rsid w:val="00C134BB"/>
    <w:rsid w:val="00C472AD"/>
    <w:rsid w:val="00C80BAD"/>
    <w:rsid w:val="00D96F4E"/>
    <w:rsid w:val="00DF4D49"/>
    <w:rsid w:val="00E456CB"/>
    <w:rsid w:val="00E46488"/>
    <w:rsid w:val="00EB1ABC"/>
    <w:rsid w:val="00F85770"/>
    <w:rsid w:val="00FE3A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50"/>
  </w:style>
  <w:style w:type="paragraph" w:styleId="Heading1">
    <w:name w:val="heading 1"/>
    <w:basedOn w:val="Normal"/>
    <w:next w:val="Normal"/>
    <w:link w:val="Heading1Char"/>
    <w:uiPriority w:val="9"/>
    <w:qFormat/>
    <w:rsid w:val="00C80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AD"/>
    <w:rPr>
      <w:rFonts w:eastAsiaTheme="majorEastAsia" w:cstheme="majorBidi"/>
      <w:color w:val="272727" w:themeColor="text1" w:themeTint="D8"/>
    </w:rPr>
  </w:style>
  <w:style w:type="paragraph" w:styleId="Title">
    <w:name w:val="Title"/>
    <w:basedOn w:val="Normal"/>
    <w:next w:val="Normal"/>
    <w:link w:val="TitleChar"/>
    <w:uiPriority w:val="10"/>
    <w:qFormat/>
    <w:rsid w:val="00C8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AD"/>
    <w:pPr>
      <w:spacing w:before="160"/>
      <w:jc w:val="center"/>
    </w:pPr>
    <w:rPr>
      <w:i/>
      <w:iCs/>
      <w:color w:val="404040" w:themeColor="text1" w:themeTint="BF"/>
    </w:rPr>
  </w:style>
  <w:style w:type="character" w:customStyle="1" w:styleId="QuoteChar">
    <w:name w:val="Quote Char"/>
    <w:basedOn w:val="DefaultParagraphFont"/>
    <w:link w:val="Quote"/>
    <w:uiPriority w:val="29"/>
    <w:rsid w:val="00C80BAD"/>
    <w:rPr>
      <w:i/>
      <w:iCs/>
      <w:color w:val="404040" w:themeColor="text1" w:themeTint="BF"/>
    </w:rPr>
  </w:style>
  <w:style w:type="paragraph" w:styleId="ListParagraph">
    <w:name w:val="List Paragraph"/>
    <w:basedOn w:val="Normal"/>
    <w:uiPriority w:val="34"/>
    <w:qFormat/>
    <w:rsid w:val="00C80BAD"/>
    <w:pPr>
      <w:ind w:left="720"/>
      <w:contextualSpacing/>
    </w:pPr>
  </w:style>
  <w:style w:type="character" w:styleId="IntenseEmphasis">
    <w:name w:val="Intense Emphasis"/>
    <w:basedOn w:val="DefaultParagraphFont"/>
    <w:uiPriority w:val="21"/>
    <w:qFormat/>
    <w:rsid w:val="00C80BAD"/>
    <w:rPr>
      <w:i/>
      <w:iCs/>
      <w:color w:val="2F5496" w:themeColor="accent1" w:themeShade="BF"/>
    </w:rPr>
  </w:style>
  <w:style w:type="paragraph" w:styleId="IntenseQuote">
    <w:name w:val="Intense Quote"/>
    <w:basedOn w:val="Normal"/>
    <w:next w:val="Normal"/>
    <w:link w:val="IntenseQuoteChar"/>
    <w:uiPriority w:val="30"/>
    <w:qFormat/>
    <w:rsid w:val="00C80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BAD"/>
    <w:rPr>
      <w:i/>
      <w:iCs/>
      <w:color w:val="2F5496" w:themeColor="accent1" w:themeShade="BF"/>
    </w:rPr>
  </w:style>
  <w:style w:type="character" w:styleId="IntenseReference">
    <w:name w:val="Intense Reference"/>
    <w:basedOn w:val="DefaultParagraphFont"/>
    <w:uiPriority w:val="32"/>
    <w:qFormat/>
    <w:rsid w:val="00C80BAD"/>
    <w:rPr>
      <w:b/>
      <w:bCs/>
      <w:smallCaps/>
      <w:color w:val="2F5496" w:themeColor="accent1" w:themeShade="BF"/>
      <w:spacing w:val="5"/>
    </w:rPr>
  </w:style>
  <w:style w:type="paragraph" w:styleId="Header">
    <w:name w:val="header"/>
    <w:basedOn w:val="Normal"/>
    <w:link w:val="HeaderChar"/>
    <w:uiPriority w:val="99"/>
    <w:unhideWhenUsed/>
    <w:rsid w:val="00962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F3B"/>
  </w:style>
  <w:style w:type="paragraph" w:styleId="Footer">
    <w:name w:val="footer"/>
    <w:basedOn w:val="Normal"/>
    <w:link w:val="FooterChar"/>
    <w:uiPriority w:val="99"/>
    <w:unhideWhenUsed/>
    <w:rsid w:val="00962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F3B"/>
  </w:style>
  <w:style w:type="paragraph" w:styleId="BalloonText">
    <w:name w:val="Balloon Text"/>
    <w:basedOn w:val="Normal"/>
    <w:link w:val="BalloonTextChar"/>
    <w:uiPriority w:val="99"/>
    <w:semiHidden/>
    <w:unhideWhenUsed/>
    <w:rsid w:val="00963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50"/>
  </w:style>
  <w:style w:type="paragraph" w:styleId="Heading1">
    <w:name w:val="heading 1"/>
    <w:basedOn w:val="Normal"/>
    <w:next w:val="Normal"/>
    <w:link w:val="Heading1Char"/>
    <w:uiPriority w:val="9"/>
    <w:qFormat/>
    <w:rsid w:val="00C80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BAD"/>
    <w:rPr>
      <w:rFonts w:eastAsiaTheme="majorEastAsia" w:cstheme="majorBidi"/>
      <w:color w:val="272727" w:themeColor="text1" w:themeTint="D8"/>
    </w:rPr>
  </w:style>
  <w:style w:type="paragraph" w:styleId="Title">
    <w:name w:val="Title"/>
    <w:basedOn w:val="Normal"/>
    <w:next w:val="Normal"/>
    <w:link w:val="TitleChar"/>
    <w:uiPriority w:val="10"/>
    <w:qFormat/>
    <w:rsid w:val="00C8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BAD"/>
    <w:pPr>
      <w:spacing w:before="160"/>
      <w:jc w:val="center"/>
    </w:pPr>
    <w:rPr>
      <w:i/>
      <w:iCs/>
      <w:color w:val="404040" w:themeColor="text1" w:themeTint="BF"/>
    </w:rPr>
  </w:style>
  <w:style w:type="character" w:customStyle="1" w:styleId="QuoteChar">
    <w:name w:val="Quote Char"/>
    <w:basedOn w:val="DefaultParagraphFont"/>
    <w:link w:val="Quote"/>
    <w:uiPriority w:val="29"/>
    <w:rsid w:val="00C80BAD"/>
    <w:rPr>
      <w:i/>
      <w:iCs/>
      <w:color w:val="404040" w:themeColor="text1" w:themeTint="BF"/>
    </w:rPr>
  </w:style>
  <w:style w:type="paragraph" w:styleId="ListParagraph">
    <w:name w:val="List Paragraph"/>
    <w:basedOn w:val="Normal"/>
    <w:uiPriority w:val="34"/>
    <w:qFormat/>
    <w:rsid w:val="00C80BAD"/>
    <w:pPr>
      <w:ind w:left="720"/>
      <w:contextualSpacing/>
    </w:pPr>
  </w:style>
  <w:style w:type="character" w:styleId="IntenseEmphasis">
    <w:name w:val="Intense Emphasis"/>
    <w:basedOn w:val="DefaultParagraphFont"/>
    <w:uiPriority w:val="21"/>
    <w:qFormat/>
    <w:rsid w:val="00C80BAD"/>
    <w:rPr>
      <w:i/>
      <w:iCs/>
      <w:color w:val="2F5496" w:themeColor="accent1" w:themeShade="BF"/>
    </w:rPr>
  </w:style>
  <w:style w:type="paragraph" w:styleId="IntenseQuote">
    <w:name w:val="Intense Quote"/>
    <w:basedOn w:val="Normal"/>
    <w:next w:val="Normal"/>
    <w:link w:val="IntenseQuoteChar"/>
    <w:uiPriority w:val="30"/>
    <w:qFormat/>
    <w:rsid w:val="00C80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BAD"/>
    <w:rPr>
      <w:i/>
      <w:iCs/>
      <w:color w:val="2F5496" w:themeColor="accent1" w:themeShade="BF"/>
    </w:rPr>
  </w:style>
  <w:style w:type="character" w:styleId="IntenseReference">
    <w:name w:val="Intense Reference"/>
    <w:basedOn w:val="DefaultParagraphFont"/>
    <w:uiPriority w:val="32"/>
    <w:qFormat/>
    <w:rsid w:val="00C80BAD"/>
    <w:rPr>
      <w:b/>
      <w:bCs/>
      <w:smallCaps/>
      <w:color w:val="2F5496" w:themeColor="accent1" w:themeShade="BF"/>
      <w:spacing w:val="5"/>
    </w:rPr>
  </w:style>
  <w:style w:type="paragraph" w:styleId="Header">
    <w:name w:val="header"/>
    <w:basedOn w:val="Normal"/>
    <w:link w:val="HeaderChar"/>
    <w:uiPriority w:val="99"/>
    <w:unhideWhenUsed/>
    <w:rsid w:val="00962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F3B"/>
  </w:style>
  <w:style w:type="paragraph" w:styleId="Footer">
    <w:name w:val="footer"/>
    <w:basedOn w:val="Normal"/>
    <w:link w:val="FooterChar"/>
    <w:uiPriority w:val="99"/>
    <w:unhideWhenUsed/>
    <w:rsid w:val="00962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F3B"/>
  </w:style>
  <w:style w:type="paragraph" w:styleId="BalloonText">
    <w:name w:val="Balloon Text"/>
    <w:basedOn w:val="Normal"/>
    <w:link w:val="BalloonTextChar"/>
    <w:uiPriority w:val="99"/>
    <w:semiHidden/>
    <w:unhideWhenUsed/>
    <w:rsid w:val="00963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978-3-319-71065-5_115-1"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Base%20Form%20(Response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'Q7'!$C$3</c:f>
              <c:strCache>
                <c:ptCount val="1"/>
                <c:pt idx="0">
                  <c:v>Count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BA1-4644-9739-74C052976CC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BA1-4644-9739-74C052976CC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BA1-4644-9739-74C052976CCD}"/>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BA1-4644-9739-74C052976CCD}"/>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BA1-4644-9739-74C052976C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'Q7'!$B$4:$B$8</c:f>
              <c:strCache>
                <c:ptCount val="5"/>
                <c:pt idx="0">
                  <c:v>Increased flood damage</c:v>
                </c:pt>
                <c:pt idx="1">
                  <c:v>Loss of firewood/resources</c:v>
                </c:pt>
                <c:pt idx="2">
                  <c:v>Loss of fish stock</c:v>
                </c:pt>
                <c:pt idx="3">
                  <c:v>Loss of tourism income</c:v>
                </c:pt>
                <c:pt idx="4">
                  <c:v>Others</c:v>
                </c:pt>
              </c:strCache>
            </c:strRef>
          </c:cat>
          <c:val>
            <c:numRef>
              <c:f>'Q7'!$C$4:$C$8</c:f>
              <c:numCache>
                <c:formatCode>General</c:formatCode>
                <c:ptCount val="5"/>
                <c:pt idx="0">
                  <c:v>16</c:v>
                </c:pt>
                <c:pt idx="1">
                  <c:v>3</c:v>
                </c:pt>
                <c:pt idx="2">
                  <c:v>22</c:v>
                </c:pt>
                <c:pt idx="3">
                  <c:v>3</c:v>
                </c:pt>
                <c:pt idx="4">
                  <c:v>6</c:v>
                </c:pt>
              </c:numCache>
            </c:numRef>
          </c:val>
          <c:extLst xmlns:c16r2="http://schemas.microsoft.com/office/drawing/2015/06/chart">
            <c:ext xmlns:c16="http://schemas.microsoft.com/office/drawing/2014/chart" uri="{C3380CC4-5D6E-409C-BE32-E72D297353CC}">
              <c16:uniqueId val="{0000000A-9BA1-4644-9739-74C052976CCD}"/>
            </c:ext>
          </c:extLst>
        </c:ser>
        <c:ser>
          <c:idx val="1"/>
          <c:order val="1"/>
          <c:tx>
            <c:strRef>
              <c:f>'Q7'!$D$3</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C-9BA1-4644-9739-74C052976CC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E-9BA1-4644-9739-74C052976CC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0-9BA1-4644-9739-74C052976CCD}"/>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2-9BA1-4644-9739-74C052976CCD}"/>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4-9BA1-4644-9739-74C052976CC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'Q7'!$B$4:$B$8</c:f>
              <c:strCache>
                <c:ptCount val="5"/>
                <c:pt idx="0">
                  <c:v>Increased flood damage</c:v>
                </c:pt>
                <c:pt idx="1">
                  <c:v>Loss of firewood/resources</c:v>
                </c:pt>
                <c:pt idx="2">
                  <c:v>Loss of fish stock</c:v>
                </c:pt>
                <c:pt idx="3">
                  <c:v>Loss of tourism income</c:v>
                </c:pt>
                <c:pt idx="4">
                  <c:v>Others</c:v>
                </c:pt>
              </c:strCache>
            </c:strRef>
          </c:cat>
          <c:val>
            <c:numRef>
              <c:f>'Q7'!$D$4:$D$8</c:f>
              <c:numCache>
                <c:formatCode>0.0%</c:formatCode>
                <c:ptCount val="5"/>
                <c:pt idx="0">
                  <c:v>0.32</c:v>
                </c:pt>
                <c:pt idx="1">
                  <c:v>0.06</c:v>
                </c:pt>
                <c:pt idx="2">
                  <c:v>0.44</c:v>
                </c:pt>
                <c:pt idx="3">
                  <c:v>0.06</c:v>
                </c:pt>
                <c:pt idx="4">
                  <c:v>0.12</c:v>
                </c:pt>
              </c:numCache>
            </c:numRef>
          </c:val>
          <c:extLst xmlns:c16r2="http://schemas.microsoft.com/office/drawing/2015/06/chart">
            <c:ext xmlns:c16="http://schemas.microsoft.com/office/drawing/2014/chart" uri="{C3380CC4-5D6E-409C-BE32-E72D297353CC}">
              <c16:uniqueId val="{00000015-9BA1-4644-9739-74C052976C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18bbaaf2-13e1-4621-8a32-9201bc468c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qwert</cp:lastModifiedBy>
  <cp:revision>22</cp:revision>
  <dcterms:created xsi:type="dcterms:W3CDTF">2026-04-23T13:31:00Z</dcterms:created>
  <dcterms:modified xsi:type="dcterms:W3CDTF">2026-04-24T15:14:00Z</dcterms:modified>
</cp:coreProperties>
</file>