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0B53C" w14:textId="5C00E9B6" w:rsidR="00737B5F" w:rsidRDefault="00000000">
      <w:pPr>
        <w:spacing w:after="0" w:line="247" w:lineRule="auto"/>
        <w:ind w:left="905" w:right="0" w:hanging="905"/>
        <w:jc w:val="left"/>
      </w:pPr>
      <w:r>
        <w:rPr>
          <w:sz w:val="45"/>
        </w:rPr>
        <w:t xml:space="preserve"> </w:t>
      </w:r>
      <w:r w:rsidR="00721BD1" w:rsidRPr="00721BD1">
        <w:rPr>
          <w:sz w:val="45"/>
        </w:rPr>
        <w:t>EcoGrid: A Hyper-Local Circular Economy Marketplace for Sustainable Communities</w:t>
      </w:r>
    </w:p>
    <w:p w14:paraId="43B68DDA" w14:textId="77777777" w:rsidR="00737B5F" w:rsidRDefault="00737B5F"/>
    <w:p w14:paraId="28E59D0F" w14:textId="77777777" w:rsidR="00B41A0C" w:rsidRDefault="00B41A0C">
      <w:pPr>
        <w:sectPr w:rsidR="00B41A0C">
          <w:pgSz w:w="12240" w:h="15840"/>
          <w:pgMar w:top="674" w:right="1482" w:bottom="281" w:left="1659" w:header="720" w:footer="720" w:gutter="0"/>
          <w:cols w:space="720"/>
        </w:sectPr>
      </w:pPr>
    </w:p>
    <w:p w14:paraId="3105EE5A" w14:textId="1E37CC74" w:rsidR="00737B5F" w:rsidRDefault="00737B5F">
      <w:pPr>
        <w:spacing w:after="0" w:line="259" w:lineRule="auto"/>
        <w:ind w:left="0" w:right="0" w:firstLine="0"/>
        <w:jc w:val="right"/>
        <w:rPr>
          <w:sz w:val="17"/>
        </w:rPr>
      </w:pPr>
    </w:p>
    <w:p w14:paraId="10A31223" w14:textId="77777777" w:rsidR="00B53F20" w:rsidRDefault="00B53F20">
      <w:pPr>
        <w:spacing w:after="0" w:line="259" w:lineRule="auto"/>
        <w:ind w:left="0" w:right="0" w:firstLine="0"/>
        <w:jc w:val="right"/>
      </w:pPr>
    </w:p>
    <w:p w14:paraId="29B6561E" w14:textId="77777777" w:rsidR="00721BD1" w:rsidRPr="008B1135" w:rsidRDefault="00000000" w:rsidP="00721BD1">
      <w:pPr>
        <w:spacing w:after="2" w:line="247" w:lineRule="auto"/>
        <w:ind w:left="283" w:right="223" w:firstLine="284"/>
        <w:rPr>
          <w:b/>
          <w:sz w:val="17"/>
        </w:rPr>
      </w:pPr>
      <w:r>
        <w:rPr>
          <w:b/>
          <w:i/>
          <w:sz w:val="18"/>
        </w:rPr>
        <w:t>Abstract</w:t>
      </w:r>
      <w:r>
        <w:rPr>
          <w:b/>
          <w:i/>
          <w:sz w:val="17"/>
        </w:rPr>
        <w:t xml:space="preserve"> </w:t>
      </w:r>
      <w:r>
        <w:rPr>
          <w:b/>
          <w:sz w:val="17"/>
        </w:rPr>
        <w:t xml:space="preserve">- </w:t>
      </w:r>
      <w:r w:rsidR="00721BD1" w:rsidRPr="008B1135">
        <w:rPr>
          <w:b/>
          <w:sz w:val="17"/>
        </w:rPr>
        <w:t>The transition from a linear "take-make-dispose" economic model to a circular economy is crucial for sustainable urban development. This research introduces EcoGrid, a hyper-local circular economy marketplace designed to facilitate the exchange, upcycling, and recycling of goods within immediate community clusters. Traditional e-commerce platforms focus on broad-scale logistics, which inherently carry a heavy carbon footprint and overlook neighborhood-level resource sharing. EcoGrid addresses this gap by deploying a hyper-local web architecture that connects local users, thereby reducing transportation emissions and extending the lifecycle of everyday products. Developed utilizing a robust backend of Node.js and Express, coupled with a MySQL database for secure transaction and inventory management, the platform ensures rapid, location-based matchmaking for goods. The results demonstrate that highly localized digital marketplaces can significantly lower the barriers to sustainable consumer behavior, providing a scalable blueprint for community-driven environmental impact.</w:t>
      </w:r>
    </w:p>
    <w:p w14:paraId="53127877" w14:textId="77777777" w:rsidR="00721BD1" w:rsidRPr="00721BD1" w:rsidRDefault="00721BD1" w:rsidP="00721BD1">
      <w:pPr>
        <w:spacing w:after="2" w:line="247" w:lineRule="auto"/>
        <w:ind w:left="283" w:right="223" w:firstLine="284"/>
        <w:rPr>
          <w:b/>
          <w:i/>
          <w:iCs/>
          <w:sz w:val="17"/>
        </w:rPr>
      </w:pPr>
      <w:r w:rsidRPr="00721BD1">
        <w:rPr>
          <w:b/>
          <w:bCs/>
          <w:i/>
          <w:iCs/>
          <w:sz w:val="17"/>
        </w:rPr>
        <w:t>Keywords</w:t>
      </w:r>
      <w:r w:rsidRPr="00721BD1">
        <w:rPr>
          <w:b/>
          <w:i/>
          <w:iCs/>
          <w:sz w:val="17"/>
        </w:rPr>
        <w:t xml:space="preserve"> — Circular Economy, Hyper-Local Marketplace, Node.js, Express, MySQL, Sustainable Computing, Web Development.</w:t>
      </w:r>
    </w:p>
    <w:p w14:paraId="451B4727" w14:textId="06A45695" w:rsidR="00737B5F" w:rsidRDefault="00737B5F" w:rsidP="00721BD1">
      <w:pPr>
        <w:spacing w:after="2" w:line="247" w:lineRule="auto"/>
        <w:ind w:left="283" w:right="223" w:firstLine="284"/>
      </w:pPr>
    </w:p>
    <w:p w14:paraId="3013674F" w14:textId="77777777" w:rsidR="00B41A0C" w:rsidRDefault="00000000" w:rsidP="00B41A0C">
      <w:pPr>
        <w:spacing w:after="0" w:line="259" w:lineRule="auto"/>
        <w:ind w:left="0" w:right="0" w:firstLine="0"/>
        <w:jc w:val="left"/>
      </w:pPr>
      <w:r>
        <w:rPr>
          <w:b/>
          <w:sz w:val="17"/>
        </w:rPr>
        <w:t xml:space="preserve"> </w:t>
      </w:r>
    </w:p>
    <w:p w14:paraId="61A5F6C5" w14:textId="4AA82800" w:rsidR="00737B5F" w:rsidRDefault="005611D1" w:rsidP="00B41A0C">
      <w:pPr>
        <w:spacing w:after="0" w:line="259" w:lineRule="auto"/>
        <w:ind w:left="0" w:right="0" w:firstLine="0"/>
        <w:jc w:val="center"/>
      </w:pPr>
      <w:r>
        <w:t>I.INTRODUCTION</w:t>
      </w:r>
    </w:p>
    <w:p w14:paraId="3B029EF9" w14:textId="77777777" w:rsidR="00B41A0C" w:rsidRDefault="00B41A0C" w:rsidP="00B41A0C">
      <w:pPr>
        <w:ind w:left="-15" w:right="0"/>
      </w:pPr>
      <w:r w:rsidRPr="00A2043D">
        <w:t xml:space="preserve">Urban sustainability discourse has expanded rapidly over the past decade, driven by the converging pressures of climate commitments, municipal waste legislation, and growing public awareness of embedded carbon in manufactured goods. At the same time, the infrastructural apparatus of modern ecommerce has evolved in precisely the opposite direction: fulfillment centers grow larger, delivery radii extend across continents, and same-day delivery expectations normalize a logistics chain whose per-parcel carbon cost is rarely made visible to the end consumer. The contradiction is not incidental— it is structural. Platforms optimized for scale and network breadth will, by design, route transactions across </w:t>
      </w:r>
    </w:p>
    <w:p w14:paraId="1622FFA9" w14:textId="77777777" w:rsidR="00B41A0C" w:rsidRDefault="00B41A0C" w:rsidP="00B41A0C">
      <w:pPr>
        <w:ind w:left="-15" w:right="0"/>
      </w:pPr>
    </w:p>
    <w:p w14:paraId="161E1BFF" w14:textId="77777777" w:rsidR="00B41A0C" w:rsidRDefault="00B41A0C" w:rsidP="00B41A0C">
      <w:pPr>
        <w:ind w:left="-15" w:right="0"/>
      </w:pPr>
    </w:p>
    <w:p w14:paraId="495F8DE1" w14:textId="77777777" w:rsidR="00B41A0C" w:rsidRDefault="00B41A0C" w:rsidP="00B41A0C">
      <w:pPr>
        <w:ind w:left="-15" w:right="0"/>
      </w:pPr>
    </w:p>
    <w:p w14:paraId="3C5C7C56" w14:textId="77777777" w:rsidR="00B41A0C" w:rsidRDefault="00B41A0C" w:rsidP="00B41A0C">
      <w:pPr>
        <w:ind w:left="-15" w:right="0"/>
      </w:pPr>
    </w:p>
    <w:p w14:paraId="5BE91025" w14:textId="534B148E" w:rsidR="00B41A0C" w:rsidRPr="00A2043D" w:rsidRDefault="00B41A0C" w:rsidP="00B41A0C">
      <w:pPr>
        <w:ind w:left="0" w:right="0" w:firstLine="0"/>
      </w:pPr>
      <w:r w:rsidRPr="00A2043D">
        <w:t>geographic distances that local exchange could have avoided.</w:t>
      </w:r>
    </w:p>
    <w:p w14:paraId="171D40F9" w14:textId="77777777" w:rsidR="00B41A0C" w:rsidRPr="00A2043D" w:rsidRDefault="00B41A0C" w:rsidP="00B41A0C">
      <w:pPr>
        <w:ind w:left="-15" w:right="0"/>
      </w:pPr>
      <w:r w:rsidRPr="00A2043D">
        <w:t xml:space="preserve">The neighborhood, paradoxically, represents both the most obvious unit of circular exchange and the most neglected one. A resident who no longer needs a bicycle, a set of kitchen appliances, or a collection of children’s books likely lives within five hundred meters of someone who does. The informational barrier—not the physical one—is what prevents that transaction. Early community boards, garage sales, and local classifieds served this function before being displaced by global platforms that </w:t>
      </w:r>
      <w:r w:rsidRPr="00A2043D">
        <w:t>aggregated supply and demand at a scale that destroyed hyper-local discovery.</w:t>
      </w:r>
    </w:p>
    <w:p w14:paraId="585248A7" w14:textId="77777777" w:rsidR="00B41A0C" w:rsidRPr="00A2043D" w:rsidRDefault="00B41A0C" w:rsidP="00B41A0C">
      <w:pPr>
        <w:ind w:left="-15" w:right="0"/>
      </w:pPr>
      <w:r w:rsidRPr="00A2043D">
        <w:t>Existing peer-to-peer commerce platforms carry several limitations when applied to neighborhood-scale redistribution. Craigslist offers geographic filtering only at the city level, which in a metropolitan area can encompass hundreds of square kilometers. Amazon’s re-commerce arm and eBay optimize for buyer breadth rather than proximity, and their fulfillment models depend on courier networks whose route efficiency degrades at small transaction volumes. Facebook Marketplace permits approximate location filtering but does not enforce hard radial exclusion; users regularly ship nationally from what is nominally a local listing. None of these platforms integrate carbon footprint visibility, trust verification gating, or circular economy-specific rental and donation workflows alongside traditional resale.</w:t>
      </w:r>
    </w:p>
    <w:p w14:paraId="67BA1159" w14:textId="77777777" w:rsidR="00B41A0C" w:rsidRPr="00A2043D" w:rsidRDefault="00B41A0C" w:rsidP="00B41A0C">
      <w:pPr>
        <w:ind w:left="-15" w:right="0"/>
      </w:pPr>
      <w:r w:rsidRPr="00A2043D">
        <w:t>EcoGrid is designed around a set of core objectives derived from the gap analysis above. First, it enforces a hard geofencing radius so that no transaction can span a distance greater than the configured neighborhood threshold—set at 5km in the reference deployment, though adjustable by community administrators. Second, it provides three distinct exchange modalities: sale, rental with digital agreement and e-signature, and donation, each with workflow-appropriate UI paths and database state transitions. Third, it implements a trust score that aggregates behavioral signals—return timeliness, payment compliance, KYC verification status, and peer reviews—into a numeric reputation index that buyers can use when evaluating unfamiliar sellers. Fourth, it is architected for low-bandwidth accessibility by using server-side rendering rather than a</w:t>
      </w:r>
    </w:p>
    <w:p w14:paraId="683865A3" w14:textId="77777777" w:rsidR="00B41A0C" w:rsidRPr="00A2043D" w:rsidRDefault="00B41A0C" w:rsidP="00B41A0C">
      <w:pPr>
        <w:ind w:left="-15" w:right="0"/>
      </w:pPr>
      <w:r w:rsidRPr="00A2043D">
        <w:t>heavyweight single-page application framework, ensuring usability on mid-tier Android devices with constrained data plans common in Tier-2 Indian cities.</w:t>
      </w:r>
    </w:p>
    <w:p w14:paraId="56A0040B" w14:textId="77777777" w:rsidR="00B41A0C" w:rsidRPr="00A2043D" w:rsidRDefault="00B41A0C" w:rsidP="00B41A0C">
      <w:pPr>
        <w:ind w:left="-15" w:right="0"/>
      </w:pPr>
      <w:r w:rsidRPr="00A2043D">
        <w:t xml:space="preserve">The trust scoring system employs a five-tier classification scheme: </w:t>
      </w:r>
      <w:r w:rsidRPr="00A2043D">
        <w:rPr>
          <w:rFonts w:eastAsia="Calibri"/>
          <w:i/>
        </w:rPr>
        <w:t xml:space="preserve">Newcomer </w:t>
      </w:r>
      <w:r w:rsidRPr="00A2043D">
        <w:t xml:space="preserve">(0–39), </w:t>
      </w:r>
      <w:r w:rsidRPr="00A2043D">
        <w:rPr>
          <w:rFonts w:eastAsia="Calibri"/>
          <w:i/>
        </w:rPr>
        <w:t xml:space="preserve">Trusted </w:t>
      </w:r>
      <w:r w:rsidRPr="00A2043D">
        <w:t xml:space="preserve">(40–59), </w:t>
      </w:r>
      <w:r w:rsidRPr="00A2043D">
        <w:rPr>
          <w:rFonts w:eastAsia="Calibri"/>
          <w:i/>
        </w:rPr>
        <w:t xml:space="preserve">Verified </w:t>
      </w:r>
      <w:r w:rsidRPr="00A2043D">
        <w:t xml:space="preserve">(60– 74), </w:t>
      </w:r>
      <w:r w:rsidRPr="00A2043D">
        <w:rPr>
          <w:rFonts w:eastAsia="Calibri"/>
          <w:i/>
        </w:rPr>
        <w:t xml:space="preserve">Champion </w:t>
      </w:r>
      <w:r w:rsidRPr="00A2043D">
        <w:t xml:space="preserve">(75–89), and </w:t>
      </w:r>
      <w:r w:rsidRPr="00A2043D">
        <w:rPr>
          <w:rFonts w:eastAsia="Calibri"/>
          <w:i/>
        </w:rPr>
        <w:t xml:space="preserve">EcoHero </w:t>
      </w:r>
      <w:r w:rsidRPr="00A2043D">
        <w:t>(90–100). The score is anchored at 50 on registration and updated continuously by behavioral events, with KYC verification conferring a onetime +10 bonus. Positive signals include on-time returns (+3 per event), on-time payments (+4), honored agreements (+5), and completed donations (+4). Negative signals include item damage (</w:t>
      </w:r>
      <w:r w:rsidRPr="00A2043D">
        <w:rPr>
          <w:rFonts w:eastAsia="Cambria"/>
        </w:rPr>
        <w:t>−</w:t>
      </w:r>
      <w:r w:rsidRPr="00A2043D">
        <w:t>8), late payment (</w:t>
      </w:r>
      <w:r w:rsidRPr="00A2043D">
        <w:rPr>
          <w:rFonts w:eastAsia="Cambria"/>
        </w:rPr>
        <w:t>−</w:t>
      </w:r>
      <w:r w:rsidRPr="00A2043D">
        <w:t>6), violated agreements (</w:t>
      </w:r>
      <w:r w:rsidRPr="00A2043D">
        <w:rPr>
          <w:rFonts w:eastAsia="Cambria"/>
        </w:rPr>
        <w:t>−</w:t>
      </w:r>
      <w:r w:rsidRPr="00A2043D">
        <w:t>10), and lost disputes (</w:t>
      </w:r>
      <w:r w:rsidRPr="00A2043D">
        <w:rPr>
          <w:rFonts w:eastAsia="Cambria"/>
        </w:rPr>
        <w:t>−</w:t>
      </w:r>
      <w:r w:rsidRPr="00A2043D">
        <w:t>7). The score is clamped to the [0, 100] interval to prevent runaway accumulation or collapse.</w:t>
      </w:r>
    </w:p>
    <w:p w14:paraId="53C7EE11" w14:textId="77777777" w:rsidR="00B41A0C" w:rsidRPr="00A2043D" w:rsidRDefault="00B41A0C" w:rsidP="00B41A0C">
      <w:pPr>
        <w:ind w:left="-15" w:right="0"/>
      </w:pPr>
      <w:r w:rsidRPr="00A2043D">
        <w:t xml:space="preserve">The recommendation engine surfaces listings using a weighted composite score: </w:t>
      </w:r>
      <w:r w:rsidRPr="00A2043D">
        <w:rPr>
          <w:rFonts w:eastAsia="Cambria"/>
        </w:rPr>
        <w:t>0</w:t>
      </w:r>
      <w:r w:rsidRPr="00A2043D">
        <w:rPr>
          <w:rFonts w:eastAsia="Cambria"/>
          <w:i/>
        </w:rPr>
        <w:t>.</w:t>
      </w:r>
      <w:r w:rsidRPr="00A2043D">
        <w:rPr>
          <w:rFonts w:eastAsia="Cambria"/>
        </w:rPr>
        <w:t xml:space="preserve">4 × </w:t>
      </w:r>
      <w:r w:rsidRPr="00A2043D">
        <w:t xml:space="preserve">TrustScore(seller) </w:t>
      </w:r>
      <w:r w:rsidRPr="00A2043D">
        <w:rPr>
          <w:rFonts w:eastAsia="Cambria"/>
        </w:rPr>
        <w:t>+ 0</w:t>
      </w:r>
      <w:r w:rsidRPr="00A2043D">
        <w:rPr>
          <w:rFonts w:eastAsia="Cambria"/>
          <w:i/>
        </w:rPr>
        <w:t>.</w:t>
      </w:r>
      <w:r w:rsidRPr="00A2043D">
        <w:rPr>
          <w:rFonts w:eastAsia="Cambria"/>
        </w:rPr>
        <w:t xml:space="preserve">3 × </w:t>
      </w:r>
      <w:r w:rsidRPr="00A2043D">
        <w:t xml:space="preserve">Recency </w:t>
      </w:r>
      <w:r w:rsidRPr="00A2043D">
        <w:rPr>
          <w:rFonts w:eastAsia="Cambria"/>
        </w:rPr>
        <w:t>+ 0</w:t>
      </w:r>
      <w:r w:rsidRPr="00A2043D">
        <w:rPr>
          <w:rFonts w:eastAsia="Cambria"/>
          <w:i/>
        </w:rPr>
        <w:t>.</w:t>
      </w:r>
      <w:r w:rsidRPr="00A2043D">
        <w:rPr>
          <w:rFonts w:eastAsia="Cambria"/>
        </w:rPr>
        <w:t xml:space="preserve">3 × </w:t>
      </w:r>
      <w:r w:rsidRPr="00A2043D">
        <w:t xml:space="preserve">PopularityInverted. The inverted popularity term prioritizes listings with fewer views, reducing the richget-richer dynamic common in </w:t>
      </w:r>
      <w:r w:rsidRPr="00A2043D">
        <w:lastRenderedPageBreak/>
        <w:t>engagement-ranked feeds and giving newly posted items reasonable discovery exposure.</w:t>
      </w:r>
    </w:p>
    <w:p w14:paraId="75663BD6" w14:textId="55DCBD01" w:rsidR="008B1135" w:rsidRDefault="00B41A0C" w:rsidP="00271B97">
      <w:pPr>
        <w:spacing w:after="274"/>
        <w:ind w:left="-15" w:right="0"/>
      </w:pPr>
      <w:r w:rsidRPr="00A2043D">
        <w:t>The remainder of this paper is organized as follows. Section II surveys relevant prior work across four research threads. Section III details the system architecture and all major technical subsystems. Section IV reports empirical performance results. Section V concludes with a synthesis of contributions and directions for extension.</w:t>
      </w:r>
    </w:p>
    <w:p w14:paraId="31A0D026" w14:textId="1F05A3FB" w:rsidR="008B1135" w:rsidRDefault="008B1135" w:rsidP="008B1135">
      <w:pPr>
        <w:spacing w:after="206" w:line="259" w:lineRule="auto"/>
        <w:ind w:left="0" w:right="0" w:firstLine="0"/>
        <w:jc w:val="center"/>
      </w:pPr>
      <w:r>
        <w:t>II.LITERATURE SURVEY</w:t>
      </w:r>
    </w:p>
    <w:p w14:paraId="79F2E8F0" w14:textId="77777777" w:rsidR="00B41A0C" w:rsidRDefault="008B1135" w:rsidP="008B1135">
      <w:pPr>
        <w:spacing w:after="206" w:line="259" w:lineRule="auto"/>
        <w:ind w:left="0" w:right="0" w:firstLine="0"/>
      </w:pPr>
      <w:r w:rsidRPr="008B1135">
        <w:t>The existing literature surrounding digital marketplaces, sustainable computing, and urban supply chains highlights a distinct divide between macro-level e-commerce algorithms and micro-level community sharing platforms. While broad-scale supply chain optimizations have been thoroughly researched, lightweight, web-based systems designed for strict hyper-local constraints remain underexplored.</w:t>
      </w:r>
    </w:p>
    <w:p w14:paraId="58BEEB2C" w14:textId="4DE58A2E" w:rsidR="008B1135" w:rsidRPr="008B1135" w:rsidRDefault="008B1135" w:rsidP="008B1135">
      <w:pPr>
        <w:spacing w:after="206" w:line="259" w:lineRule="auto"/>
        <w:ind w:left="0" w:right="0" w:firstLine="0"/>
      </w:pPr>
      <w:r w:rsidRPr="008B1135">
        <w:t>L. Wang et al. (2023) This study investigates the escalating carbon footprint associated with global e-commerce logistics, specifically analyzing the environmental degradation caused by long-distance shipping and last-mile delivery systems. The authors propose a theoretical transition toward localized supply chains to mitigate emissions but rely heavily on traditional enterprise-level logistics software rather than peer-to-peer neighborhood networks.</w:t>
      </w:r>
    </w:p>
    <w:p w14:paraId="2F50EA60" w14:textId="77777777" w:rsidR="008B1135" w:rsidRPr="008B1135" w:rsidRDefault="008B1135" w:rsidP="008B1135">
      <w:pPr>
        <w:spacing w:after="206" w:line="259" w:lineRule="auto"/>
        <w:ind w:left="0" w:right="0" w:firstLine="0"/>
      </w:pPr>
      <w:r w:rsidRPr="008B1135">
        <w:t>M. Rohini et al. (2024) This work presents a comprehensive framework for integrating circular economy principles into smart city digital platforms. The proposed architecture utilizes complex, client-heavy frameworks and NoSQL databases to manage city-wide recycling data. While effective for municipal oversight, the methodology requires significant computational overhead, making it difficult to deploy as a lightweight application for immediate, community-level resource sharing.</w:t>
      </w:r>
    </w:p>
    <w:p w14:paraId="4E3C3439" w14:textId="77777777" w:rsidR="008B1135" w:rsidRPr="008B1135" w:rsidRDefault="008B1135" w:rsidP="008B1135">
      <w:pPr>
        <w:spacing w:after="206" w:line="259" w:lineRule="auto"/>
        <w:ind w:left="0" w:right="0" w:firstLine="0"/>
      </w:pPr>
      <w:r w:rsidRPr="008B1135">
        <w:t>J. Choi et al. (2024) The paper proposes a novel approach to geospatial indexing and distance calculations using standard relational database systems (RDBMS) in urban environments. The study evaluates query latency and computational efficiency when calculating spatial proximity under varying server loads. However, the application is tailored toward static municipal data rather than dynamic, user-generated inventory matchmaking in a real-time marketplace.</w:t>
      </w:r>
    </w:p>
    <w:p w14:paraId="76AC5641" w14:textId="77777777" w:rsidR="008B1135" w:rsidRDefault="008B1135" w:rsidP="008B1135">
      <w:pPr>
        <w:spacing w:after="206" w:line="259" w:lineRule="auto"/>
        <w:ind w:left="0" w:right="0" w:firstLine="0"/>
      </w:pPr>
      <w:r w:rsidRPr="008B1135">
        <w:t xml:space="preserve">A. Vijai et al. (2025) This study addresses the performance bottlenecks of modern web applications </w:t>
      </w:r>
      <w:r w:rsidRPr="008B1135">
        <w:t>operating within low-bandwidth or highly congested urban networks. The authors evaluate server-side rendering (SSR) techniques against heavy client-side architectures (such as React or Angular). The research demonstrates that shifting the rendering workload to the backend server significantly improves the initial load time and accessibility for users on mobile devices.</w:t>
      </w:r>
    </w:p>
    <w:p w14:paraId="1A4CDF50" w14:textId="508ABC03" w:rsidR="008B1135" w:rsidRPr="008B1135" w:rsidRDefault="008B1135" w:rsidP="008B1135">
      <w:pPr>
        <w:spacing w:after="206" w:line="259" w:lineRule="auto"/>
        <w:ind w:left="0" w:right="0" w:firstLine="0"/>
        <w:jc w:val="center"/>
        <w:rPr>
          <w:sz w:val="18"/>
          <w:szCs w:val="18"/>
        </w:rPr>
      </w:pPr>
      <w:r w:rsidRPr="008B1135">
        <w:rPr>
          <w:sz w:val="18"/>
          <w:szCs w:val="18"/>
        </w:rPr>
        <w:t xml:space="preserve">Table </w:t>
      </w:r>
      <w:r>
        <w:rPr>
          <w:sz w:val="18"/>
          <w:szCs w:val="18"/>
        </w:rPr>
        <w:t>1</w:t>
      </w:r>
      <w:r w:rsidRPr="008B1135">
        <w:rPr>
          <w:sz w:val="18"/>
          <w:szCs w:val="18"/>
        </w:rPr>
        <w:t>:Literature Survey</w:t>
      </w:r>
    </w:p>
    <w:tbl>
      <w:tblPr>
        <w:tblStyle w:val="TableGrid0"/>
        <w:tblW w:w="0" w:type="auto"/>
        <w:jc w:val="right"/>
        <w:tblLook w:val="04A0" w:firstRow="1" w:lastRow="0" w:firstColumn="1" w:lastColumn="0" w:noHBand="0" w:noVBand="1"/>
      </w:tblPr>
      <w:tblGrid>
        <w:gridCol w:w="1738"/>
        <w:gridCol w:w="2838"/>
      </w:tblGrid>
      <w:tr w:rsidR="008B1135" w:rsidRPr="008B1135" w14:paraId="75F35D09" w14:textId="77777777" w:rsidTr="008B1135">
        <w:trPr>
          <w:jc w:val="right"/>
        </w:trPr>
        <w:tc>
          <w:tcPr>
            <w:tcW w:w="1738" w:type="dxa"/>
            <w:hideMark/>
          </w:tcPr>
          <w:p w14:paraId="1652F851" w14:textId="77777777" w:rsidR="008B1135" w:rsidRPr="008B1135" w:rsidRDefault="008B1135" w:rsidP="008B1135">
            <w:pPr>
              <w:spacing w:after="206" w:line="259" w:lineRule="auto"/>
              <w:ind w:left="0" w:right="0" w:firstLine="0"/>
              <w:jc w:val="center"/>
              <w:rPr>
                <w:sz w:val="16"/>
                <w:szCs w:val="16"/>
              </w:rPr>
            </w:pPr>
            <w:r w:rsidRPr="008B1135">
              <w:rPr>
                <w:b/>
                <w:bCs/>
                <w:sz w:val="16"/>
                <w:szCs w:val="16"/>
              </w:rPr>
              <w:t>Methodology</w:t>
            </w:r>
          </w:p>
        </w:tc>
        <w:tc>
          <w:tcPr>
            <w:tcW w:w="0" w:type="auto"/>
            <w:hideMark/>
          </w:tcPr>
          <w:p w14:paraId="080D0131" w14:textId="77777777" w:rsidR="008B1135" w:rsidRPr="008B1135" w:rsidRDefault="008B1135" w:rsidP="008B1135">
            <w:pPr>
              <w:spacing w:after="206" w:line="259" w:lineRule="auto"/>
              <w:ind w:left="0" w:right="0" w:firstLine="0"/>
              <w:jc w:val="center"/>
              <w:rPr>
                <w:sz w:val="16"/>
                <w:szCs w:val="16"/>
              </w:rPr>
            </w:pPr>
            <w:r w:rsidRPr="008B1135">
              <w:rPr>
                <w:b/>
                <w:bCs/>
                <w:sz w:val="16"/>
                <w:szCs w:val="16"/>
              </w:rPr>
              <w:t>Research Gap</w:t>
            </w:r>
          </w:p>
        </w:tc>
      </w:tr>
      <w:tr w:rsidR="008B1135" w:rsidRPr="008B1135" w14:paraId="2533BE93" w14:textId="77777777" w:rsidTr="008B1135">
        <w:trPr>
          <w:jc w:val="right"/>
        </w:trPr>
        <w:tc>
          <w:tcPr>
            <w:tcW w:w="1738" w:type="dxa"/>
            <w:hideMark/>
          </w:tcPr>
          <w:p w14:paraId="144510DE" w14:textId="77777777" w:rsidR="008B1135" w:rsidRPr="008B1135" w:rsidRDefault="008B1135" w:rsidP="008B1135">
            <w:pPr>
              <w:spacing w:after="206" w:line="259" w:lineRule="auto"/>
              <w:ind w:left="0" w:right="0" w:firstLine="0"/>
              <w:rPr>
                <w:sz w:val="16"/>
                <w:szCs w:val="16"/>
              </w:rPr>
            </w:pPr>
            <w:r w:rsidRPr="008B1135">
              <w:rPr>
                <w:sz w:val="16"/>
                <w:szCs w:val="16"/>
              </w:rPr>
              <w:t>L. Wang et al. (2023). Review of standard shipping impacts on local carbon emissions using enterprise monolithic architectures.</w:t>
            </w:r>
          </w:p>
        </w:tc>
        <w:tc>
          <w:tcPr>
            <w:tcW w:w="0" w:type="auto"/>
            <w:hideMark/>
          </w:tcPr>
          <w:p w14:paraId="38A4CC05" w14:textId="77777777" w:rsidR="008B1135" w:rsidRPr="008B1135" w:rsidRDefault="008B1135" w:rsidP="008B1135">
            <w:pPr>
              <w:spacing w:after="206" w:line="259" w:lineRule="auto"/>
              <w:ind w:left="0" w:right="0" w:firstLine="0"/>
              <w:rPr>
                <w:sz w:val="16"/>
                <w:szCs w:val="16"/>
              </w:rPr>
            </w:pPr>
            <w:r w:rsidRPr="008B1135">
              <w:rPr>
                <w:sz w:val="16"/>
                <w:szCs w:val="16"/>
              </w:rPr>
              <w:t>Existing frameworks inadequately address the hyper-local tracking of carbon offsets, focusing entirely on long-haul supply chains rather than automated neighborhood-level reductions.</w:t>
            </w:r>
          </w:p>
        </w:tc>
      </w:tr>
      <w:tr w:rsidR="008B1135" w:rsidRPr="008B1135" w14:paraId="180C5003" w14:textId="77777777" w:rsidTr="008B1135">
        <w:trPr>
          <w:jc w:val="right"/>
        </w:trPr>
        <w:tc>
          <w:tcPr>
            <w:tcW w:w="1738" w:type="dxa"/>
            <w:hideMark/>
          </w:tcPr>
          <w:p w14:paraId="4D22D050" w14:textId="77777777" w:rsidR="008B1135" w:rsidRPr="008B1135" w:rsidRDefault="008B1135" w:rsidP="008B1135">
            <w:pPr>
              <w:spacing w:after="206" w:line="259" w:lineRule="auto"/>
              <w:ind w:left="0" w:right="0" w:firstLine="0"/>
              <w:rPr>
                <w:sz w:val="16"/>
                <w:szCs w:val="16"/>
              </w:rPr>
            </w:pPr>
            <w:r w:rsidRPr="008B1135">
              <w:rPr>
                <w:sz w:val="16"/>
                <w:szCs w:val="16"/>
              </w:rPr>
              <w:t>M. Rohini et al. (2024). Circular economy integration in smart city digital platforms using heavy client-side processing.</w:t>
            </w:r>
          </w:p>
        </w:tc>
        <w:tc>
          <w:tcPr>
            <w:tcW w:w="0" w:type="auto"/>
            <w:hideMark/>
          </w:tcPr>
          <w:p w14:paraId="4B9E6EC5" w14:textId="77777777" w:rsidR="008B1135" w:rsidRPr="008B1135" w:rsidRDefault="008B1135" w:rsidP="008B1135">
            <w:pPr>
              <w:spacing w:after="206" w:line="259" w:lineRule="auto"/>
              <w:ind w:left="0" w:right="0" w:firstLine="0"/>
              <w:rPr>
                <w:sz w:val="16"/>
                <w:szCs w:val="16"/>
              </w:rPr>
            </w:pPr>
            <w:r w:rsidRPr="008B1135">
              <w:rPr>
                <w:sz w:val="16"/>
                <w:szCs w:val="16"/>
              </w:rPr>
              <w:t>Prior research has not sufficiently evaluated adaptive optimization techniques under real-world, low-resource operational constraints, leaving a gap in highly accessible community platforms.</w:t>
            </w:r>
          </w:p>
        </w:tc>
      </w:tr>
      <w:tr w:rsidR="008B1135" w:rsidRPr="008B1135" w14:paraId="48659808" w14:textId="77777777" w:rsidTr="008B1135">
        <w:trPr>
          <w:jc w:val="right"/>
        </w:trPr>
        <w:tc>
          <w:tcPr>
            <w:tcW w:w="1738" w:type="dxa"/>
            <w:hideMark/>
          </w:tcPr>
          <w:p w14:paraId="2B6651C4" w14:textId="77777777" w:rsidR="008B1135" w:rsidRPr="008B1135" w:rsidRDefault="008B1135" w:rsidP="008B1135">
            <w:pPr>
              <w:spacing w:after="206" w:line="259" w:lineRule="auto"/>
              <w:ind w:left="0" w:right="0" w:firstLine="0"/>
              <w:rPr>
                <w:sz w:val="16"/>
                <w:szCs w:val="16"/>
              </w:rPr>
            </w:pPr>
            <w:r w:rsidRPr="008B1135">
              <w:rPr>
                <w:sz w:val="16"/>
                <w:szCs w:val="16"/>
              </w:rPr>
              <w:t>J. Choi et al. (2024). Geospatial indexing and distance calculations in relational database systems for urban tracking.</w:t>
            </w:r>
          </w:p>
        </w:tc>
        <w:tc>
          <w:tcPr>
            <w:tcW w:w="0" w:type="auto"/>
            <w:hideMark/>
          </w:tcPr>
          <w:p w14:paraId="0F5B9B68" w14:textId="77777777" w:rsidR="008B1135" w:rsidRPr="008B1135" w:rsidRDefault="008B1135" w:rsidP="008B1135">
            <w:pPr>
              <w:spacing w:after="206" w:line="259" w:lineRule="auto"/>
              <w:ind w:left="0" w:right="0" w:firstLine="0"/>
              <w:rPr>
                <w:sz w:val="16"/>
                <w:szCs w:val="16"/>
              </w:rPr>
            </w:pPr>
            <w:r w:rsidRPr="008B1135">
              <w:rPr>
                <w:sz w:val="16"/>
                <w:szCs w:val="16"/>
              </w:rPr>
              <w:t>Focused primarily on static municipal logs and datasets, lacking integration with real-time peer-to-peer transaction states and live inventory tracking.</w:t>
            </w:r>
          </w:p>
        </w:tc>
      </w:tr>
      <w:tr w:rsidR="008B1135" w:rsidRPr="008B1135" w14:paraId="2B9DD46F" w14:textId="77777777" w:rsidTr="008B1135">
        <w:trPr>
          <w:jc w:val="right"/>
        </w:trPr>
        <w:tc>
          <w:tcPr>
            <w:tcW w:w="1738" w:type="dxa"/>
            <w:hideMark/>
          </w:tcPr>
          <w:p w14:paraId="7C864E08" w14:textId="77777777" w:rsidR="008B1135" w:rsidRPr="008B1135" w:rsidRDefault="008B1135" w:rsidP="008B1135">
            <w:pPr>
              <w:spacing w:after="206" w:line="259" w:lineRule="auto"/>
              <w:ind w:left="0" w:right="0" w:firstLine="0"/>
              <w:rPr>
                <w:sz w:val="16"/>
                <w:szCs w:val="16"/>
              </w:rPr>
            </w:pPr>
            <w:r w:rsidRPr="008B1135">
              <w:rPr>
                <w:sz w:val="16"/>
                <w:szCs w:val="16"/>
              </w:rPr>
              <w:t>A. Vijai et al. (2025). Server-side rendering optimizations in low-bandwidth urban environments.</w:t>
            </w:r>
          </w:p>
        </w:tc>
        <w:tc>
          <w:tcPr>
            <w:tcW w:w="0" w:type="auto"/>
            <w:hideMark/>
          </w:tcPr>
          <w:p w14:paraId="476C9506" w14:textId="77777777" w:rsidR="008B1135" w:rsidRPr="008B1135" w:rsidRDefault="008B1135" w:rsidP="008B1135">
            <w:pPr>
              <w:spacing w:after="206" w:line="259" w:lineRule="auto"/>
              <w:ind w:left="0" w:right="0" w:firstLine="0"/>
              <w:rPr>
                <w:sz w:val="16"/>
                <w:szCs w:val="16"/>
              </w:rPr>
            </w:pPr>
            <w:r w:rsidRPr="008B1135">
              <w:rPr>
                <w:sz w:val="16"/>
                <w:szCs w:val="16"/>
              </w:rPr>
              <w:t>While proving the efficiency of SSR, the methodology lacks integration with dynamic, mathematically geofenced inventory generation and complex spatial querying.</w:t>
            </w:r>
          </w:p>
        </w:tc>
      </w:tr>
    </w:tbl>
    <w:p w14:paraId="2B5EE725" w14:textId="77777777" w:rsidR="008B1135" w:rsidRDefault="008B1135" w:rsidP="008B1135">
      <w:pPr>
        <w:spacing w:after="206" w:line="259" w:lineRule="auto"/>
        <w:ind w:left="0" w:right="0" w:firstLine="0"/>
        <w:jc w:val="center"/>
      </w:pPr>
    </w:p>
    <w:p w14:paraId="2BE34408" w14:textId="49F72914" w:rsidR="008B1135" w:rsidRDefault="008B1135" w:rsidP="008B1135">
      <w:pPr>
        <w:spacing w:after="206" w:line="259" w:lineRule="auto"/>
        <w:ind w:left="0" w:right="0" w:firstLine="0"/>
        <w:jc w:val="center"/>
      </w:pPr>
      <w:r>
        <w:t>III.METHODOLOGY</w:t>
      </w:r>
    </w:p>
    <w:p w14:paraId="0B3094D0" w14:textId="77777777" w:rsidR="00781606" w:rsidRPr="00A2043D" w:rsidRDefault="00781606" w:rsidP="00781606">
      <w:pPr>
        <w:pStyle w:val="Heading2"/>
        <w:spacing w:after="77"/>
        <w:ind w:left="-5"/>
      </w:pPr>
      <w:r w:rsidRPr="00A2043D">
        <w:t>A. Platform Architecture Overview</w:t>
      </w:r>
    </w:p>
    <w:p w14:paraId="705B8F1E" w14:textId="0DA799C4" w:rsidR="00781606" w:rsidRPr="00A2043D" w:rsidRDefault="00781606" w:rsidP="00781606">
      <w:pPr>
        <w:ind w:left="-15" w:right="0"/>
      </w:pPr>
      <w:r w:rsidRPr="00A2043D">
        <w:t>EcoGrid follows a conventional three-tier architecture— client, application server, and data store—but the design decisions at each tier are non-trivial and motivated by the platform’s hyper-local and low-bandwidth constraints. The client tier consists of EJS-rendered HTML pages served directly from the Express application; there is no separate front-end bundle server. The application tier is a single Node.js process managed by the PM2 process manager, which handles clustering across available CPU cores. The data tier is a MySQL 8.0 instance whose schema is described in Section III-C.</w:t>
      </w:r>
    </w:p>
    <w:p w14:paraId="038E5688" w14:textId="77777777" w:rsidR="00781606" w:rsidRPr="00A2043D" w:rsidRDefault="00781606" w:rsidP="00781606">
      <w:pPr>
        <w:ind w:left="-15" w:right="0"/>
      </w:pPr>
      <w:r w:rsidRPr="00A2043D">
        <w:lastRenderedPageBreak/>
        <w:t xml:space="preserve">The RESTful API surface is organized into five resource families: </w:t>
      </w:r>
      <w:r w:rsidRPr="00A2043D">
        <w:rPr>
          <w:rFonts w:eastAsia="Calibri"/>
        </w:rPr>
        <w:t xml:space="preserve">/api/listings </w:t>
      </w:r>
      <w:r w:rsidRPr="00A2043D">
        <w:t xml:space="preserve">(CRUD and proximity search), </w:t>
      </w:r>
      <w:r w:rsidRPr="00A2043D">
        <w:rPr>
          <w:rFonts w:eastAsia="Calibri"/>
        </w:rPr>
        <w:t xml:space="preserve">/api/agreements </w:t>
      </w:r>
      <w:r w:rsidRPr="00A2043D">
        <w:t xml:space="preserve">(rental contract lifecycle), </w:t>
      </w:r>
      <w:r w:rsidRPr="00A2043D">
        <w:rPr>
          <w:rFonts w:eastAsia="Calibri"/>
        </w:rPr>
        <w:t xml:space="preserve">/api/payments </w:t>
      </w:r>
      <w:r w:rsidRPr="00A2043D">
        <w:t xml:space="preserve">(UPI/card simulation), </w:t>
      </w:r>
      <w:r w:rsidRPr="00A2043D">
        <w:rPr>
          <w:rFonts w:eastAsia="Calibri"/>
        </w:rPr>
        <w:t xml:space="preserve">/api/trust </w:t>
      </w:r>
      <w:r w:rsidRPr="00A2043D">
        <w:t xml:space="preserve">(score read and event write), and </w:t>
      </w:r>
      <w:r w:rsidRPr="00A2043D">
        <w:rPr>
          <w:rFonts w:eastAsia="Calibri"/>
        </w:rPr>
        <w:t xml:space="preserve">/api/chat </w:t>
      </w:r>
      <w:r w:rsidRPr="00A2043D">
        <w:t>(EcoBot session relay). All routes are mounted on an Express Router and pass through a shared middleware chain comprising request body parsing, session authentication verification, rate limiting (100 requests per 15-minute window per IP), and structured request logging via Morgan. Cross-origin resource sharing is disabled by design, given that the application serves its own front end; this removes a class of CSRF and token-leakage vectors that separate front-end deployments must manage explicitly.</w:t>
      </w:r>
    </w:p>
    <w:p w14:paraId="069A50CA" w14:textId="77777777" w:rsidR="00781606" w:rsidRPr="00A2043D" w:rsidRDefault="00781606" w:rsidP="00781606">
      <w:pPr>
        <w:spacing w:after="135"/>
        <w:ind w:left="-15" w:right="0"/>
      </w:pPr>
      <w:r w:rsidRPr="00A2043D">
        <w:t xml:space="preserve">The client-server bridge uses HTTP/1.1 persistent connections with keep-alive pooling. Server-sent events are used for the EcoBot chat stream, avoiding the overhead of a WebSocket handshake for what is effectively a unidirectional push from server to client. Socket.io is reserved for the peer-to-peer listing inquiry chat, which requires bidirectional, low-latency messaging between buyer and seller session sockets. The application exposes a backend server on port 5000 and a Vite-based client development server on port 5173, coordinated via the </w:t>
      </w:r>
      <w:r w:rsidRPr="00A2043D">
        <w:rPr>
          <w:rFonts w:eastAsia="Calibri"/>
        </w:rPr>
        <w:t xml:space="preserve">concurrently </w:t>
      </w:r>
      <w:r w:rsidRPr="00A2043D">
        <w:t xml:space="preserve">utility defined in the root </w:t>
      </w:r>
      <w:r w:rsidRPr="00A2043D">
        <w:rPr>
          <w:rFonts w:eastAsia="Calibri"/>
        </w:rPr>
        <w:t>package.json</w:t>
      </w:r>
      <w:r w:rsidRPr="00A2043D">
        <w:t>.</w:t>
      </w:r>
    </w:p>
    <w:p w14:paraId="6919FD64" w14:textId="77777777" w:rsidR="00781606" w:rsidRPr="00A2043D" w:rsidRDefault="00781606" w:rsidP="00781606">
      <w:pPr>
        <w:pStyle w:val="Heading2"/>
        <w:ind w:left="-5"/>
      </w:pPr>
      <w:r w:rsidRPr="00A2043D">
        <w:t>B. Backend Development Environment</w:t>
      </w:r>
    </w:p>
    <w:p w14:paraId="251AE562" w14:textId="77777777" w:rsidR="00781606" w:rsidRPr="00A2043D" w:rsidRDefault="00781606" w:rsidP="00781606">
      <w:pPr>
        <w:ind w:left="-15" w:right="0"/>
      </w:pPr>
      <w:r w:rsidRPr="00A2043D">
        <w:t>Node.js is selected as the runtime for EcoGrid’s application server primarily because its single-threaded, event-loop-driven concurrency model aligns well with the I/O-bound workload profile of a marketplace API. The majority of request handling time in EcoGrid is spent waiting for MySQL query results, not performing CPU-intensive computation. In this context, a thread-per-request model (as in traditional Java Servlet containers) wastes operating system resources on threads that are blocked on I/O, whereas Node.js’s event loop parks the callback and services other incoming requests during the wait period.</w:t>
      </w:r>
    </w:p>
    <w:p w14:paraId="13DEA457" w14:textId="77777777" w:rsidR="00781606" w:rsidRPr="00A2043D" w:rsidRDefault="00781606" w:rsidP="00781606">
      <w:pPr>
        <w:ind w:left="-15" w:right="0"/>
      </w:pPr>
      <w:r w:rsidRPr="00A2043D">
        <w:t>The event loop operates across six phases in each tick: timers, pending I/O callbacks, idle/prepare, poll (which blocks waiting for new I/O events up to a calculated timeout), check (</w:t>
      </w:r>
      <w:r w:rsidRPr="00A2043D">
        <w:rPr>
          <w:rFonts w:eastAsia="Calibri"/>
        </w:rPr>
        <w:t xml:space="preserve">setImmediate </w:t>
      </w:r>
      <w:r w:rsidRPr="00A2043D">
        <w:t>callbacks), and close callbacks. Express.js middleware functions are executed synchronously within the poll phase callback for a given request; any asynchronous operation (database query, file read) hands off to libuv’s thread pool, allowing the event loop to continue processing other requests while the I/O is in flight.</w:t>
      </w:r>
    </w:p>
    <w:p w14:paraId="5F5358DF" w14:textId="77777777" w:rsidR="00781606" w:rsidRPr="00A2043D" w:rsidRDefault="00781606" w:rsidP="00781606">
      <w:pPr>
        <w:spacing w:after="35"/>
        <w:ind w:left="-15" w:right="0"/>
      </w:pPr>
      <w:r w:rsidRPr="00A2043D">
        <w:t xml:space="preserve">Express middleware is composed in explicit order to ensure that authentication checks precede all resource-access handlers. The chain for a protected listing retrieval request proceeds as: cookie-parser </w:t>
      </w:r>
      <w:r w:rsidRPr="00A2043D">
        <w:rPr>
          <w:rFonts w:eastAsia="Cambria"/>
        </w:rPr>
        <w:t xml:space="preserve">→ </w:t>
      </w:r>
      <w:r w:rsidRPr="00A2043D">
        <w:t xml:space="preserve">session hydration </w:t>
      </w:r>
      <w:r w:rsidRPr="00A2043D">
        <w:rPr>
          <w:rFonts w:eastAsia="Cambria"/>
        </w:rPr>
        <w:t xml:space="preserve">→ </w:t>
      </w:r>
      <w:r w:rsidRPr="00A2043D">
        <w:t xml:space="preserve">JWT claim verification </w:t>
      </w:r>
      <w:r w:rsidRPr="00A2043D">
        <w:rPr>
          <w:rFonts w:eastAsia="Cambria"/>
        </w:rPr>
        <w:t xml:space="preserve">→ </w:t>
      </w:r>
      <w:r w:rsidRPr="00A2043D">
        <w:t xml:space="preserve">rate limiter </w:t>
      </w:r>
      <w:r w:rsidRPr="00A2043D">
        <w:rPr>
          <w:rFonts w:eastAsia="Cambria"/>
        </w:rPr>
        <w:t xml:space="preserve">→ </w:t>
      </w:r>
      <w:r w:rsidRPr="00A2043D">
        <w:t xml:space="preserve">geofence parameter injection </w:t>
      </w:r>
      <w:r w:rsidRPr="00A2043D">
        <w:rPr>
          <w:rFonts w:eastAsia="Cambria"/>
        </w:rPr>
        <w:t xml:space="preserve">→ </w:t>
      </w:r>
      <w:r w:rsidRPr="00A2043D">
        <w:t xml:space="preserve">route handler </w:t>
      </w:r>
      <w:r w:rsidRPr="00A2043D">
        <w:rPr>
          <w:rFonts w:eastAsia="Cambria"/>
        </w:rPr>
        <w:t xml:space="preserve">→ </w:t>
      </w:r>
      <w:r w:rsidRPr="00A2043D">
        <w:t xml:space="preserve">EJS render </w:t>
      </w:r>
      <w:r w:rsidRPr="00A2043D">
        <w:rPr>
          <w:rFonts w:eastAsia="Cambria"/>
        </w:rPr>
        <w:t xml:space="preserve">→ </w:t>
      </w:r>
      <w:r w:rsidRPr="00A2043D">
        <w:t>response send. This linear chain makes security properties auditable at a glance and avoids the middleware ordering ambiguities that can arise in less deliberately structured Express applications.</w:t>
      </w:r>
    </w:p>
    <w:p w14:paraId="1B8556DA" w14:textId="77777777" w:rsidR="00781606" w:rsidRPr="00A2043D" w:rsidRDefault="00781606" w:rsidP="00781606">
      <w:pPr>
        <w:spacing w:after="272"/>
        <w:ind w:left="-15" w:right="0"/>
      </w:pPr>
      <w:r w:rsidRPr="00A2043D">
        <w:t xml:space="preserve">The </w:t>
      </w:r>
      <w:r w:rsidRPr="00A2043D">
        <w:rPr>
          <w:rFonts w:eastAsia="Calibri"/>
        </w:rPr>
        <w:t xml:space="preserve">mysql2 </w:t>
      </w:r>
      <w:r w:rsidRPr="00A2043D">
        <w:t xml:space="preserve">package with connection pooling (pool size: 10) is used for all database interactions. Prepared statements are used universally—never string-interpolated SQL—to eliminate the entire class of SQL injection vulnerabilities. The pool’s idle connection timeout is set to 60 seconds, and the </w:t>
      </w:r>
      <w:r w:rsidRPr="00A2043D">
        <w:rPr>
          <w:rFonts w:eastAsia="Calibri"/>
        </w:rPr>
        <w:t xml:space="preserve">waitForConnections </w:t>
      </w:r>
      <w:r w:rsidRPr="00A2043D">
        <w:t>flag is enabled to queue requests that arrive when all pool connections are in use, preventing hard failures under burst load.</w:t>
      </w:r>
    </w:p>
    <w:p w14:paraId="6561BBFD" w14:textId="77777777" w:rsidR="00781606" w:rsidRPr="00A2043D" w:rsidRDefault="00781606" w:rsidP="00781606">
      <w:pPr>
        <w:pStyle w:val="Heading2"/>
        <w:spacing w:after="101"/>
        <w:ind w:left="-5"/>
      </w:pPr>
      <w:r w:rsidRPr="00A2043D">
        <w:t>C. Database Schema and Normalization</w:t>
      </w:r>
    </w:p>
    <w:p w14:paraId="7175CE18" w14:textId="77777777" w:rsidR="00781606" w:rsidRPr="00A2043D" w:rsidRDefault="00781606" w:rsidP="00781606">
      <w:pPr>
        <w:spacing w:after="33"/>
        <w:ind w:left="-15" w:right="0"/>
      </w:pPr>
      <w:r w:rsidRPr="00A2043D">
        <w:t xml:space="preserve">The relational schema is designed to third normal form (3NF), which eliminates transitive functional dependencies and ensures that each non-key attribute is dependent only on the primary key of its table. The primary tables are </w:t>
      </w:r>
      <w:r w:rsidRPr="00A2043D">
        <w:rPr>
          <w:rFonts w:eastAsia="Calibri"/>
        </w:rPr>
        <w:t>Users</w:t>
      </w:r>
      <w:r w:rsidRPr="00A2043D">
        <w:t>,</w:t>
      </w:r>
    </w:p>
    <w:p w14:paraId="4F707238" w14:textId="77777777" w:rsidR="00781606" w:rsidRPr="00A2043D" w:rsidRDefault="00781606" w:rsidP="00781606">
      <w:pPr>
        <w:spacing w:after="21" w:line="259" w:lineRule="auto"/>
        <w:ind w:left="-5" w:right="0"/>
        <w:jc w:val="left"/>
      </w:pPr>
      <w:r w:rsidRPr="00A2043D">
        <w:rPr>
          <w:rFonts w:eastAsia="Calibri"/>
        </w:rPr>
        <w:t>Listings</w:t>
      </w:r>
      <w:r w:rsidRPr="00A2043D">
        <w:t xml:space="preserve">, </w:t>
      </w:r>
      <w:r w:rsidRPr="00A2043D">
        <w:rPr>
          <w:rFonts w:eastAsia="Calibri"/>
        </w:rPr>
        <w:t>Geolocations</w:t>
      </w:r>
      <w:r w:rsidRPr="00A2043D">
        <w:t xml:space="preserve">, </w:t>
      </w:r>
      <w:r w:rsidRPr="00A2043D">
        <w:rPr>
          <w:rFonts w:eastAsia="Calibri"/>
        </w:rPr>
        <w:t>Agreements</w:t>
      </w:r>
      <w:r w:rsidRPr="00A2043D">
        <w:t xml:space="preserve">, </w:t>
      </w:r>
      <w:r w:rsidRPr="00A2043D">
        <w:rPr>
          <w:rFonts w:eastAsia="Calibri"/>
        </w:rPr>
        <w:t>Payments</w:t>
      </w:r>
      <w:r w:rsidRPr="00A2043D">
        <w:t xml:space="preserve">, </w:t>
      </w:r>
      <w:r w:rsidRPr="00A2043D">
        <w:rPr>
          <w:rFonts w:eastAsia="Calibri"/>
        </w:rPr>
        <w:t>TrustEvents</w:t>
      </w:r>
      <w:r w:rsidRPr="00A2043D">
        <w:t xml:space="preserve">, and </w:t>
      </w:r>
      <w:r w:rsidRPr="00A2043D">
        <w:rPr>
          <w:rFonts w:eastAsia="Calibri"/>
        </w:rPr>
        <w:t>Reviews</w:t>
      </w:r>
      <w:r w:rsidRPr="00A2043D">
        <w:t>.</w:t>
      </w:r>
    </w:p>
    <w:p w14:paraId="27DA9FCB" w14:textId="77777777" w:rsidR="00781606" w:rsidRPr="00A2043D" w:rsidRDefault="00781606" w:rsidP="00781606">
      <w:pPr>
        <w:spacing w:after="37"/>
        <w:ind w:left="-15" w:right="0"/>
      </w:pPr>
      <w:r w:rsidRPr="00A2043D">
        <w:t xml:space="preserve">The </w:t>
      </w:r>
      <w:r w:rsidRPr="00A2043D">
        <w:rPr>
          <w:rFonts w:eastAsia="Calibri"/>
        </w:rPr>
        <w:t xml:space="preserve">Users </w:t>
      </w:r>
      <w:r w:rsidRPr="00A2043D">
        <w:t xml:space="preserve">table holds persistent identity attributes: </w:t>
      </w:r>
      <w:r w:rsidRPr="00A2043D">
        <w:rPr>
          <w:rFonts w:eastAsia="Calibri"/>
        </w:rPr>
        <w:t xml:space="preserve">user_id </w:t>
      </w:r>
      <w:r w:rsidRPr="00A2043D">
        <w:t xml:space="preserve">(UUID, primary key), </w:t>
      </w:r>
      <w:r w:rsidRPr="00A2043D">
        <w:rPr>
          <w:rFonts w:eastAsia="Calibri"/>
        </w:rPr>
        <w:t>email</w:t>
      </w:r>
      <w:r w:rsidRPr="00A2043D">
        <w:t xml:space="preserve">, </w:t>
      </w:r>
      <w:r w:rsidRPr="00A2043D">
        <w:rPr>
          <w:rFonts w:eastAsia="Calibri"/>
        </w:rPr>
        <w:t>password_hash</w:t>
      </w:r>
      <w:r w:rsidRPr="00A2043D">
        <w:t xml:space="preserve">, </w:t>
      </w:r>
      <w:r w:rsidRPr="00A2043D">
        <w:rPr>
          <w:rFonts w:eastAsia="Calibri"/>
        </w:rPr>
        <w:t xml:space="preserve">kyc_tier </w:t>
      </w:r>
      <w:r w:rsidRPr="00A2043D">
        <w:t xml:space="preserve">(ENUM: </w:t>
      </w:r>
      <w:r w:rsidRPr="00A2043D">
        <w:rPr>
          <w:rFonts w:eastAsia="Calibri"/>
        </w:rPr>
        <w:t>NONE</w:t>
      </w:r>
      <w:r w:rsidRPr="00A2043D">
        <w:t xml:space="preserve">, </w:t>
      </w:r>
      <w:r w:rsidRPr="00A2043D">
        <w:rPr>
          <w:rFonts w:eastAsia="Calibri"/>
        </w:rPr>
        <w:t>AADHAAR</w:t>
      </w:r>
      <w:r w:rsidRPr="00A2043D">
        <w:t xml:space="preserve">, </w:t>
      </w:r>
      <w:r w:rsidRPr="00A2043D">
        <w:rPr>
          <w:rFonts w:eastAsia="Calibri"/>
        </w:rPr>
        <w:t>PAN_AADHAAR</w:t>
      </w:r>
      <w:r w:rsidRPr="00A2043D">
        <w:t xml:space="preserve">), </w:t>
      </w:r>
      <w:r w:rsidRPr="00A2043D">
        <w:rPr>
          <w:rFonts w:eastAsia="Calibri"/>
        </w:rPr>
        <w:t xml:space="preserve">trust_score </w:t>
      </w:r>
      <w:r w:rsidRPr="00A2043D">
        <w:t xml:space="preserve">(TINYINT UNSIGNED, range 0–100), and </w:t>
      </w:r>
      <w:r w:rsidRPr="00A2043D">
        <w:rPr>
          <w:rFonts w:eastAsia="Calibri"/>
        </w:rPr>
        <w:t>created_at</w:t>
      </w:r>
      <w:r w:rsidRPr="00A2043D">
        <w:t xml:space="preserve">. The trust score is stored as a denormalized aggregate for read performance; the authoritative record lives in the </w:t>
      </w:r>
      <w:r w:rsidRPr="00A2043D">
        <w:rPr>
          <w:rFonts w:eastAsia="Calibri"/>
        </w:rPr>
        <w:t xml:space="preserve">TrustEvents </w:t>
      </w:r>
      <w:r w:rsidRPr="00A2043D">
        <w:t>table, which stores each scoring event (type, delta, timestamp, reference transaction) and supports full audit reconstruction.</w:t>
      </w:r>
    </w:p>
    <w:p w14:paraId="0930F33C" w14:textId="77777777" w:rsidR="00781606" w:rsidRPr="00A2043D" w:rsidRDefault="00781606" w:rsidP="00781606">
      <w:pPr>
        <w:ind w:left="-15" w:right="0"/>
      </w:pPr>
      <w:r w:rsidRPr="00A2043D">
        <w:t xml:space="preserve">The </w:t>
      </w:r>
      <w:r w:rsidRPr="00A2043D">
        <w:rPr>
          <w:rFonts w:eastAsia="Calibri"/>
        </w:rPr>
        <w:t xml:space="preserve">Listings </w:t>
      </w:r>
      <w:r w:rsidRPr="00A2043D">
        <w:t xml:space="preserve">table contains </w:t>
      </w:r>
      <w:r w:rsidRPr="00A2043D">
        <w:rPr>
          <w:rFonts w:eastAsia="Calibri"/>
        </w:rPr>
        <w:t>listing_id</w:t>
      </w:r>
      <w:r w:rsidRPr="00A2043D">
        <w:t xml:space="preserve">, </w:t>
      </w:r>
      <w:r w:rsidRPr="00A2043D">
        <w:rPr>
          <w:rFonts w:eastAsia="Calibri"/>
        </w:rPr>
        <w:t xml:space="preserve">seller_id </w:t>
      </w:r>
      <w:r w:rsidRPr="00A2043D">
        <w:t xml:space="preserve">(FK to </w:t>
      </w:r>
      <w:r w:rsidRPr="00A2043D">
        <w:rPr>
          <w:rFonts w:eastAsia="Calibri"/>
        </w:rPr>
        <w:t>Users</w:t>
      </w:r>
      <w:r w:rsidRPr="00A2043D">
        <w:t xml:space="preserve">), </w:t>
      </w:r>
      <w:r w:rsidRPr="00A2043D">
        <w:rPr>
          <w:rFonts w:eastAsia="Calibri"/>
        </w:rPr>
        <w:t xml:space="preserve">category </w:t>
      </w:r>
      <w:r w:rsidRPr="00A2043D">
        <w:t xml:space="preserve">(FK to a </w:t>
      </w:r>
      <w:r w:rsidRPr="00A2043D">
        <w:rPr>
          <w:rFonts w:eastAsia="Calibri"/>
        </w:rPr>
        <w:t xml:space="preserve">Categories </w:t>
      </w:r>
      <w:r w:rsidRPr="00A2043D">
        <w:t xml:space="preserve">lookup table), </w:t>
      </w:r>
      <w:r w:rsidRPr="00A2043D">
        <w:rPr>
          <w:rFonts w:eastAsia="Calibri"/>
        </w:rPr>
        <w:t xml:space="preserve">exchange_type </w:t>
      </w:r>
      <w:r w:rsidRPr="00A2043D">
        <w:t xml:space="preserve">(ENUM: </w:t>
      </w:r>
      <w:r w:rsidRPr="00A2043D">
        <w:rPr>
          <w:rFonts w:eastAsia="Calibri"/>
        </w:rPr>
        <w:t>SELL</w:t>
      </w:r>
      <w:r w:rsidRPr="00A2043D">
        <w:t xml:space="preserve">, </w:t>
      </w:r>
      <w:r w:rsidRPr="00A2043D">
        <w:rPr>
          <w:rFonts w:eastAsia="Calibri"/>
        </w:rPr>
        <w:t>RENT</w:t>
      </w:r>
      <w:r w:rsidRPr="00A2043D">
        <w:t xml:space="preserve">, </w:t>
      </w:r>
      <w:r w:rsidRPr="00A2043D">
        <w:rPr>
          <w:rFonts w:eastAsia="Calibri"/>
        </w:rPr>
        <w:t>DONATE</w:t>
      </w:r>
      <w:r w:rsidRPr="00A2043D">
        <w:t xml:space="preserve">), </w:t>
      </w:r>
      <w:r w:rsidRPr="00A2043D">
        <w:rPr>
          <w:rFonts w:eastAsia="Calibri"/>
        </w:rPr>
        <w:t>price</w:t>
      </w:r>
      <w:r w:rsidRPr="00A2043D">
        <w:t xml:space="preserve">, </w:t>
      </w:r>
      <w:r w:rsidRPr="00A2043D">
        <w:rPr>
          <w:rFonts w:eastAsia="Calibri"/>
        </w:rPr>
        <w:t xml:space="preserve">status </w:t>
      </w:r>
      <w:r w:rsidRPr="00A2043D">
        <w:t xml:space="preserve">(ENUM: </w:t>
      </w:r>
      <w:r w:rsidRPr="00A2043D">
        <w:rPr>
          <w:rFonts w:eastAsia="Calibri"/>
        </w:rPr>
        <w:t>ACTIVE</w:t>
      </w:r>
      <w:r w:rsidRPr="00A2043D">
        <w:t xml:space="preserve">, </w:t>
      </w:r>
      <w:r w:rsidRPr="00A2043D">
        <w:rPr>
          <w:rFonts w:eastAsia="Calibri"/>
        </w:rPr>
        <w:t>RESERVED</w:t>
      </w:r>
      <w:r w:rsidRPr="00A2043D">
        <w:t xml:space="preserve">, </w:t>
      </w:r>
      <w:r w:rsidRPr="00A2043D">
        <w:rPr>
          <w:rFonts w:eastAsia="Calibri"/>
        </w:rPr>
        <w:t>COMPLETED</w:t>
      </w:r>
      <w:r w:rsidRPr="00A2043D">
        <w:t xml:space="preserve">, </w:t>
      </w:r>
      <w:r w:rsidRPr="00A2043D">
        <w:rPr>
          <w:rFonts w:eastAsia="Calibri"/>
        </w:rPr>
        <w:t>WITHDRAWN</w:t>
      </w:r>
      <w:r w:rsidRPr="00A2043D">
        <w:t xml:space="preserve">), and </w:t>
      </w:r>
      <w:r w:rsidRPr="00A2043D">
        <w:rPr>
          <w:rFonts w:eastAsia="Calibri"/>
        </w:rPr>
        <w:t>created_at</w:t>
      </w:r>
      <w:r w:rsidRPr="00A2043D">
        <w:t xml:space="preserve">. Geographic coordinates are separated into the </w:t>
      </w:r>
      <w:r w:rsidRPr="00A2043D">
        <w:rPr>
          <w:rFonts w:eastAsia="Calibri"/>
        </w:rPr>
        <w:t xml:space="preserve">Geolocations </w:t>
      </w:r>
      <w:r w:rsidRPr="00A2043D">
        <w:t>table (</w:t>
      </w:r>
      <w:r w:rsidRPr="00A2043D">
        <w:rPr>
          <w:rFonts w:eastAsia="Calibri"/>
        </w:rPr>
        <w:t>geo_id</w:t>
      </w:r>
      <w:r w:rsidRPr="00A2043D">
        <w:t xml:space="preserve">, </w:t>
      </w:r>
      <w:r w:rsidRPr="00A2043D">
        <w:rPr>
          <w:rFonts w:eastAsia="Calibri"/>
        </w:rPr>
        <w:t>entity_type</w:t>
      </w:r>
      <w:r w:rsidRPr="00A2043D">
        <w:t xml:space="preserve">, </w:t>
      </w:r>
      <w:r w:rsidRPr="00A2043D">
        <w:rPr>
          <w:rFonts w:eastAsia="Calibri"/>
        </w:rPr>
        <w:t>entity_id</w:t>
      </w:r>
      <w:r w:rsidRPr="00A2043D">
        <w:t xml:space="preserve">, </w:t>
      </w:r>
      <w:r w:rsidRPr="00A2043D">
        <w:rPr>
          <w:rFonts w:eastAsia="Calibri"/>
        </w:rPr>
        <w:t xml:space="preserve">lat </w:t>
      </w:r>
      <w:r w:rsidRPr="00A2043D">
        <w:t xml:space="preserve">DECIMAL(10,8), </w:t>
      </w:r>
      <w:r w:rsidRPr="00A2043D">
        <w:rPr>
          <w:rFonts w:eastAsia="Calibri"/>
        </w:rPr>
        <w:t xml:space="preserve">lng </w:t>
      </w:r>
      <w:r w:rsidRPr="00A2043D">
        <w:t>DECIMAL(11,8)) to support the SPATIAL index without coupling coordinate storage to the listings schema, and to allow user home coordinates to share the same indexing path as listing coordinates.</w:t>
      </w:r>
    </w:p>
    <w:p w14:paraId="35EFF906" w14:textId="77777777" w:rsidR="00781606" w:rsidRPr="00A2043D" w:rsidRDefault="00781606" w:rsidP="00781606">
      <w:pPr>
        <w:spacing w:after="69"/>
        <w:ind w:left="-15" w:right="0"/>
      </w:pPr>
      <w:r w:rsidRPr="00A2043D">
        <w:t xml:space="preserve">ACID compliance is enforced at the MySQL engine level (InnoDB). Atomicity ensures that an agreement creation— which spans inserts into </w:t>
      </w:r>
      <w:r w:rsidRPr="00A2043D">
        <w:rPr>
          <w:rFonts w:eastAsia="Calibri"/>
        </w:rPr>
        <w:t xml:space="preserve">Agreements </w:t>
      </w:r>
      <w:r w:rsidRPr="00A2043D">
        <w:t xml:space="preserve">and </w:t>
      </w:r>
      <w:r w:rsidRPr="00A2043D">
        <w:rPr>
          <w:rFonts w:eastAsia="Calibri"/>
        </w:rPr>
        <w:t xml:space="preserve">TrustEvents </w:t>
      </w:r>
      <w:r w:rsidRPr="00A2043D">
        <w:t xml:space="preserve">and an update to </w:t>
      </w:r>
      <w:r w:rsidRPr="00A2043D">
        <w:rPr>
          <w:rFonts w:eastAsia="Calibri"/>
        </w:rPr>
        <w:t>Listings.status</w:t>
      </w:r>
      <w:r w:rsidRPr="00A2043D">
        <w:t xml:space="preserve">—either completes fully or rolls back entirely. Durability is guaranteed by InnoDB’s write-ahead log (redo log), ensuring committed transactions survive process crashes. </w:t>
      </w:r>
      <w:r w:rsidRPr="00A2043D">
        <w:lastRenderedPageBreak/>
        <w:t xml:space="preserve">Isolation at the </w:t>
      </w:r>
      <w:r w:rsidRPr="00A2043D">
        <w:rPr>
          <w:rFonts w:eastAsia="Calibri"/>
        </w:rPr>
        <w:t xml:space="preserve">REPEATABLE READ </w:t>
      </w:r>
      <w:r w:rsidRPr="00A2043D">
        <w:t>level prevents phantom reads within the agreement signing flow, where a concurrent update to a listing’s status between a user reading it and writing the agreement would produce an inconsistent state.</w:t>
      </w:r>
    </w:p>
    <w:p w14:paraId="523125CF" w14:textId="77777777" w:rsidR="00781606" w:rsidRPr="00A2043D" w:rsidRDefault="00781606" w:rsidP="00781606">
      <w:pPr>
        <w:spacing w:after="548"/>
        <w:ind w:left="-15" w:right="0"/>
      </w:pPr>
      <w:r w:rsidRPr="00A2043D">
        <w:t xml:space="preserve">The </w:t>
      </w:r>
      <w:r w:rsidRPr="00A2043D">
        <w:rPr>
          <w:rFonts w:eastAsia="Calibri"/>
        </w:rPr>
        <w:t xml:space="preserve">Agreements </w:t>
      </w:r>
      <w:r w:rsidRPr="00A2043D">
        <w:t xml:space="preserve">table tracks the full rental contract lifecycle: </w:t>
      </w:r>
      <w:r w:rsidRPr="00271B97">
        <w:rPr>
          <w:rFonts w:eastAsia="Calibri"/>
        </w:rPr>
        <w:t>agreement_id</w:t>
      </w:r>
      <w:r w:rsidRPr="00271B97">
        <w:t xml:space="preserve">, </w:t>
      </w:r>
      <w:r w:rsidRPr="00271B97">
        <w:rPr>
          <w:rFonts w:eastAsia="Calibri"/>
        </w:rPr>
        <w:t>listing_id</w:t>
      </w:r>
      <w:r w:rsidRPr="00271B97">
        <w:t xml:space="preserve">, </w:t>
      </w:r>
      <w:r w:rsidRPr="00271B97">
        <w:rPr>
          <w:rFonts w:eastAsia="Calibri"/>
        </w:rPr>
        <w:t>borrower_id</w:t>
      </w:r>
      <w:r w:rsidRPr="00271B97">
        <w:t xml:space="preserve">, </w:t>
      </w:r>
      <w:r w:rsidRPr="00271B97">
        <w:rPr>
          <w:rFonts w:eastAsia="Calibri"/>
        </w:rPr>
        <w:t>lender_id</w:t>
      </w:r>
      <w:r w:rsidRPr="00271B97">
        <w:t xml:space="preserve">, </w:t>
      </w:r>
      <w:r w:rsidRPr="00271B97">
        <w:rPr>
          <w:rFonts w:eastAsia="Calibri"/>
        </w:rPr>
        <w:t>start_date</w:t>
      </w:r>
      <w:r w:rsidRPr="00271B97">
        <w:t xml:space="preserve">, </w:t>
      </w:r>
      <w:r w:rsidRPr="00271B97">
        <w:rPr>
          <w:rFonts w:eastAsia="Calibri"/>
        </w:rPr>
        <w:t>end_date</w:t>
      </w:r>
      <w:r w:rsidRPr="00271B97">
        <w:t xml:space="preserve">, </w:t>
      </w:r>
      <w:r w:rsidRPr="00271B97">
        <w:rPr>
          <w:rFonts w:eastAsia="Calibri"/>
        </w:rPr>
        <w:t>deposit_amount</w:t>
      </w:r>
      <w:r w:rsidRPr="00A2043D">
        <w:t xml:space="preserve">, </w:t>
      </w:r>
      <w:r w:rsidRPr="00A2043D">
        <w:rPr>
          <w:rFonts w:eastAsia="Calibri"/>
        </w:rPr>
        <w:t xml:space="preserve">status </w:t>
      </w:r>
      <w:r w:rsidRPr="00A2043D">
        <w:t xml:space="preserve">(ENUM: </w:t>
      </w:r>
      <w:r w:rsidRPr="00A2043D">
        <w:rPr>
          <w:rFonts w:eastAsia="Calibri"/>
        </w:rPr>
        <w:t>PENDING</w:t>
      </w:r>
      <w:r w:rsidRPr="00A2043D">
        <w:t xml:space="preserve">, </w:t>
      </w:r>
      <w:r w:rsidRPr="00A2043D">
        <w:rPr>
          <w:rFonts w:eastAsia="Calibri"/>
        </w:rPr>
        <w:t>SIGNED</w:t>
      </w:r>
      <w:r w:rsidRPr="00A2043D">
        <w:t xml:space="preserve">, </w:t>
      </w:r>
      <w:r w:rsidRPr="00A2043D">
        <w:rPr>
          <w:rFonts w:eastAsia="Calibri"/>
        </w:rPr>
        <w:t>ACTIVE</w:t>
      </w:r>
      <w:r w:rsidRPr="00A2043D">
        <w:t xml:space="preserve">, </w:t>
      </w:r>
      <w:r w:rsidRPr="00A2043D">
        <w:rPr>
          <w:rFonts w:eastAsia="Calibri"/>
        </w:rPr>
        <w:t>RETURNED</w:t>
      </w:r>
      <w:r w:rsidRPr="00A2043D">
        <w:t xml:space="preserve">, </w:t>
      </w:r>
      <w:r w:rsidRPr="00A2043D">
        <w:rPr>
          <w:rFonts w:eastAsia="Calibri"/>
        </w:rPr>
        <w:t>DISPUTED</w:t>
      </w:r>
      <w:r w:rsidRPr="00A2043D">
        <w:t xml:space="preserve">), </w:t>
      </w:r>
      <w:r w:rsidRPr="00271B97">
        <w:rPr>
          <w:rFonts w:eastAsia="Calibri"/>
        </w:rPr>
        <w:t>lender_signature_ts</w:t>
      </w:r>
      <w:r w:rsidRPr="00A2043D">
        <w:t xml:space="preserve">, and </w:t>
      </w:r>
      <w:r w:rsidRPr="00271B97">
        <w:rPr>
          <w:rFonts w:eastAsia="Calibri"/>
        </w:rPr>
        <w:t>borrower_signature_ts</w:t>
      </w:r>
      <w:r w:rsidRPr="00271B97">
        <w:t>.</w:t>
      </w:r>
      <w:r w:rsidRPr="00A2043D">
        <w:t xml:space="preserve"> The e-signature timestamps are recorded as UNIX epoch values rather than DATETIME to avoid </w:t>
      </w:r>
      <w:r w:rsidRPr="00271B97">
        <w:t>timezon</w:t>
      </w:r>
      <w:r w:rsidRPr="00271B97">
        <w:rPr>
          <w:i/>
          <w:iCs/>
        </w:rPr>
        <w:t>e</w:t>
      </w:r>
      <w:r w:rsidRPr="00A2043D">
        <w:t xml:space="preserve"> ambiguity across server and client clocks.</w:t>
      </w:r>
    </w:p>
    <w:p w14:paraId="42844CBE" w14:textId="77777777" w:rsidR="00781606" w:rsidRPr="00A2043D" w:rsidRDefault="00781606" w:rsidP="00781606">
      <w:pPr>
        <w:pStyle w:val="Heading2"/>
        <w:spacing w:after="216"/>
        <w:ind w:left="-5"/>
      </w:pPr>
      <w:r w:rsidRPr="00A2043D">
        <w:t>D. Dynamic Frontend Rendering</w:t>
      </w:r>
    </w:p>
    <w:p w14:paraId="6880E6FE" w14:textId="77777777" w:rsidR="00781606" w:rsidRPr="00A2043D" w:rsidRDefault="00781606" w:rsidP="00781606">
      <w:pPr>
        <w:spacing w:after="41"/>
        <w:ind w:left="-15" w:right="0"/>
      </w:pPr>
      <w:r w:rsidRPr="00A2043D">
        <w:t>The choice of EJS (Embedded JavaScript Templates) for front-end rendering over client-side frameworks such as React or Vue.js is deliberate and grounded in the user demographics of EcoGrid’s target deployment. Urban Indian communities in Tier-2 and Tier-3 cities exhibit median mobile data speeds of 8–15Mbps on 4G networks, with significant variability during peak commute hours. A React single-page application carries a minimum JavaScript bundle of approximately 130– 150KB (gzipped) before any application-specific code; on a 4G connection encountering packet loss, this translates to a perceptible blank-screen interval before first content paint.</w:t>
      </w:r>
    </w:p>
    <w:p w14:paraId="342A938A" w14:textId="77777777" w:rsidR="00781606" w:rsidRPr="00A2043D" w:rsidRDefault="00781606" w:rsidP="00781606">
      <w:pPr>
        <w:spacing w:after="41"/>
        <w:ind w:left="-15" w:right="0"/>
      </w:pPr>
      <w:r w:rsidRPr="00A2043D">
        <w:t>EJS partials are rendered on the server before transmission. The HTTP response carries complete, pre-populated HTML that browsers can begin painting immediately upon receipt of the first TCP segment. There is no hydration step, no clientside router initialization, and no initial API fetch waterfall. For authenticated feeds—where the visible listing set is determined by the user’s geolocation and trust tier—server-side rendering also avoids the pattern where client code must make two serial requests (first for the page shell, then for user-specific data), a common React architecture that doubles perceived load time on high-latency connections.</w:t>
      </w:r>
    </w:p>
    <w:p w14:paraId="606AD2DF" w14:textId="77777777" w:rsidR="00781606" w:rsidRPr="00A2043D" w:rsidRDefault="00781606" w:rsidP="00781606">
      <w:pPr>
        <w:ind w:left="-15" w:right="0"/>
      </w:pPr>
      <w:r w:rsidRPr="00A2043D">
        <w:t>EJS partials are organized into a component-like directory structure (</w:t>
      </w:r>
      <w:r w:rsidRPr="00A2043D">
        <w:rPr>
          <w:rFonts w:eastAsia="Calibri"/>
        </w:rPr>
        <w:t>views/partials/</w:t>
      </w:r>
      <w:r w:rsidRPr="00A2043D">
        <w:t>) covering the navigation bar, listing card, trust badge, and modal containers. The template engine renders at approximately 8,000 partials per second under single-core load, a throughput that is not the bottleneck at expected concurrent user levels. The tropical-tech visual theme—combining dark green, amber, and cream color variables—is implemented entirely in CSS custom properties, ensuring zero JavaScript dependency for visual styling.</w:t>
      </w:r>
    </w:p>
    <w:p w14:paraId="7D28A89F" w14:textId="77777777" w:rsidR="00781606" w:rsidRPr="00A2043D" w:rsidRDefault="00781606" w:rsidP="00781606">
      <w:pPr>
        <w:pStyle w:val="Heading2"/>
        <w:ind w:left="-5"/>
      </w:pPr>
      <w:r w:rsidRPr="00A2043D">
        <w:t>E. Hyper-Local Geofencing Logic</w:t>
      </w:r>
    </w:p>
    <w:p w14:paraId="1BD9E662" w14:textId="77777777" w:rsidR="00781606" w:rsidRPr="00A2043D" w:rsidRDefault="00781606" w:rsidP="00781606">
      <w:pPr>
        <w:ind w:left="-15" w:right="0"/>
      </w:pPr>
      <w:r w:rsidRPr="00A2043D">
        <w:t xml:space="preserve">The geofencing subsystem is the architectural feature that most directly implements EcoGrid’s environmental thesis. When a user registers, their home coordinates are stored in the </w:t>
      </w:r>
      <w:r w:rsidRPr="00A2043D">
        <w:rPr>
          <w:rFonts w:eastAsia="Calibri"/>
        </w:rPr>
        <w:t xml:space="preserve">Geolocations </w:t>
      </w:r>
      <w:r w:rsidRPr="00A2043D">
        <w:t xml:space="preserve">table. Every subsequent listing retrieval request passes through the </w:t>
      </w:r>
      <w:r w:rsidRPr="00A2043D">
        <w:rPr>
          <w:rFonts w:eastAsia="Calibri"/>
        </w:rPr>
        <w:t xml:space="preserve">geofenceMiddleware </w:t>
      </w:r>
      <w:r w:rsidRPr="00A2043D">
        <w:t>function, which appends the user’s coordinates and the configured radius threshold to the request context before the route handler executes. The route handler passes these parameters to the proximity query module, which applies a bounding-box prefilter followed by precise Haversine refinement.</w:t>
      </w:r>
    </w:p>
    <w:p w14:paraId="1167F294" w14:textId="77777777" w:rsidR="00781606" w:rsidRPr="00A2043D" w:rsidRDefault="00781606" w:rsidP="00781606">
      <w:pPr>
        <w:ind w:left="-15" w:right="0"/>
      </w:pPr>
      <w:r w:rsidRPr="00A2043D">
        <w:t xml:space="preserve">The bounding box is computed from the user’s latitude and longitude by adding and subtracting a latitude degree offset equal to </w:t>
      </w:r>
      <w:r w:rsidRPr="00A2043D">
        <w:rPr>
          <w:rFonts w:eastAsia="Calibri"/>
        </w:rPr>
        <w:t xml:space="preserve">radius_km / 111.32 </w:t>
      </w:r>
      <w:r w:rsidRPr="00A2043D">
        <w:t xml:space="preserve">and a longitude degree offset equal to </w:t>
      </w:r>
      <w:r w:rsidRPr="00A2043D">
        <w:rPr>
          <w:rFonts w:eastAsia="Calibri"/>
        </w:rPr>
        <w:t>radius_km / (111.32 * cos(lat_rad))</w:t>
      </w:r>
      <w:r w:rsidRPr="00A2043D">
        <w:t xml:space="preserve">. This rectangular pre-filter leverages the SPATIAL index on the </w:t>
      </w:r>
      <w:r w:rsidRPr="00A2043D">
        <w:rPr>
          <w:rFonts w:eastAsia="Calibri"/>
        </w:rPr>
        <w:t xml:space="preserve">Geolocations </w:t>
      </w:r>
      <w:r w:rsidRPr="00A2043D">
        <w:t>table and reduces the candidate row set before the more expensive per-row trigonometric calculation. Only rows surviving the boundingbox filter are passed through the Haversine function, which computes exact great-circle distance and excludes candidates outside the true radial boundary.</w:t>
      </w:r>
    </w:p>
    <w:p w14:paraId="5BD1DB59" w14:textId="77777777" w:rsidR="00781606" w:rsidRPr="00A2043D" w:rsidRDefault="00781606" w:rsidP="00781606">
      <w:pPr>
        <w:spacing w:after="140"/>
        <w:ind w:left="-15" w:right="0"/>
      </w:pPr>
      <w:r w:rsidRPr="00A2043D">
        <w:t xml:space="preserve">The geofence radius defaults to 5km but is stored as a community-level configuration parameter in the </w:t>
      </w:r>
      <w:r w:rsidRPr="00A2043D">
        <w:rPr>
          <w:rFonts w:eastAsia="Calibri"/>
        </w:rPr>
        <w:t xml:space="preserve">Communities </w:t>
      </w:r>
      <w:r w:rsidRPr="00A2043D">
        <w:t>table, allowing administrators to tighten it to 1km for dense urban neighborhoods or relax it to 10km for peri-urban zones where population density is lower. This configurability also enables pilot deployments where adjacent communities can be given overlapping radii during onboarding phases to accelerate the initial supply-demand bootstrap.</w:t>
      </w:r>
    </w:p>
    <w:p w14:paraId="1CD8DF65" w14:textId="77777777" w:rsidR="00781606" w:rsidRPr="00A2043D" w:rsidRDefault="00781606" w:rsidP="00781606">
      <w:pPr>
        <w:pStyle w:val="Heading2"/>
        <w:ind w:left="-5"/>
      </w:pPr>
      <w:r w:rsidRPr="00A2043D">
        <w:t>F. Spatial Distance Calculation Algorithm</w:t>
      </w:r>
    </w:p>
    <w:p w14:paraId="46FED50C" w14:textId="77777777" w:rsidR="00781606" w:rsidRPr="00A2043D" w:rsidRDefault="00781606" w:rsidP="00781606">
      <w:pPr>
        <w:spacing w:after="277"/>
        <w:ind w:left="-15" w:right="0"/>
      </w:pPr>
      <w:r w:rsidRPr="00A2043D">
        <w:t xml:space="preserve">The Haversine formula computes the great-circle distance between two points on a sphere given their latitude and longitude in decimal degrees. Let </w:t>
      </w:r>
      <w:r w:rsidRPr="00A2043D">
        <w:rPr>
          <w:rFonts w:eastAsia="Cambria"/>
        </w:rPr>
        <w:t>(</w:t>
      </w:r>
      <w:r w:rsidRPr="00A2043D">
        <w:rPr>
          <w:rFonts w:eastAsia="Cambria"/>
          <w:i/>
        </w:rPr>
        <w:t>ϕ</w:t>
      </w:r>
      <w:r w:rsidRPr="00A2043D">
        <w:rPr>
          <w:rFonts w:eastAsia="Cambria"/>
          <w:vertAlign w:val="subscript"/>
        </w:rPr>
        <w:t>1</w:t>
      </w:r>
      <w:r w:rsidRPr="00A2043D">
        <w:rPr>
          <w:rFonts w:eastAsia="Cambria"/>
          <w:i/>
        </w:rPr>
        <w:t>,λ</w:t>
      </w:r>
      <w:r w:rsidRPr="00A2043D">
        <w:rPr>
          <w:rFonts w:eastAsia="Cambria"/>
          <w:vertAlign w:val="subscript"/>
        </w:rPr>
        <w:t>1</w:t>
      </w:r>
      <w:r w:rsidRPr="00A2043D">
        <w:rPr>
          <w:rFonts w:eastAsia="Cambria"/>
        </w:rPr>
        <w:t xml:space="preserve">) </w:t>
      </w:r>
      <w:r w:rsidRPr="00A2043D">
        <w:t xml:space="preserve">denote the user’s coordinates and </w:t>
      </w:r>
      <w:r w:rsidRPr="00A2043D">
        <w:rPr>
          <w:rFonts w:eastAsia="Cambria"/>
        </w:rPr>
        <w:t>(</w:t>
      </w:r>
      <w:r w:rsidRPr="00A2043D">
        <w:rPr>
          <w:rFonts w:eastAsia="Cambria"/>
          <w:i/>
        </w:rPr>
        <w:t>ϕ</w:t>
      </w:r>
      <w:r w:rsidRPr="00A2043D">
        <w:rPr>
          <w:rFonts w:eastAsia="Cambria"/>
          <w:vertAlign w:val="subscript"/>
        </w:rPr>
        <w:t>2</w:t>
      </w:r>
      <w:r w:rsidRPr="00A2043D">
        <w:rPr>
          <w:rFonts w:eastAsia="Cambria"/>
          <w:i/>
        </w:rPr>
        <w:t>,λ</w:t>
      </w:r>
      <w:r w:rsidRPr="00A2043D">
        <w:rPr>
          <w:rFonts w:eastAsia="Cambria"/>
          <w:vertAlign w:val="subscript"/>
        </w:rPr>
        <w:t>2</w:t>
      </w:r>
      <w:r w:rsidRPr="00A2043D">
        <w:rPr>
          <w:rFonts w:eastAsia="Cambria"/>
        </w:rPr>
        <w:t xml:space="preserve">) </w:t>
      </w:r>
      <w:r w:rsidRPr="00A2043D">
        <w:t>denote the listing’s coordinates. The angular difference terms are:</w:t>
      </w:r>
    </w:p>
    <w:p w14:paraId="393FFF68" w14:textId="77777777" w:rsidR="00781606" w:rsidRPr="00A2043D" w:rsidRDefault="00781606" w:rsidP="00781606">
      <w:pPr>
        <w:tabs>
          <w:tab w:val="center" w:pos="1793"/>
          <w:tab w:val="center" w:pos="3255"/>
          <w:tab w:val="right" w:pos="5021"/>
        </w:tabs>
        <w:spacing w:after="164" w:line="259" w:lineRule="auto"/>
        <w:ind w:left="0" w:right="0" w:firstLine="0"/>
        <w:jc w:val="left"/>
      </w:pPr>
      <w:r w:rsidRPr="00A2043D">
        <w:rPr>
          <w:rFonts w:eastAsia="Calibri"/>
          <w:sz w:val="22"/>
        </w:rPr>
        <w:tab/>
      </w:r>
      <w:r w:rsidRPr="00A2043D">
        <w:rPr>
          <w:rFonts w:eastAsia="Cambria"/>
        </w:rPr>
        <w:t>∆</w:t>
      </w:r>
      <w:r w:rsidRPr="00A2043D">
        <w:rPr>
          <w:rFonts w:eastAsia="Cambria"/>
          <w:i/>
        </w:rPr>
        <w:t xml:space="preserve">ϕ </w:t>
      </w:r>
      <w:r w:rsidRPr="00A2043D">
        <w:rPr>
          <w:rFonts w:eastAsia="Cambria"/>
        </w:rPr>
        <w:t xml:space="preserve">= </w:t>
      </w:r>
      <w:r w:rsidRPr="00A2043D">
        <w:rPr>
          <w:rFonts w:eastAsia="Cambria"/>
          <w:i/>
        </w:rPr>
        <w:t>ϕ</w:t>
      </w:r>
      <w:r w:rsidRPr="00A2043D">
        <w:rPr>
          <w:rFonts w:eastAsia="Cambria"/>
          <w:vertAlign w:val="subscript"/>
        </w:rPr>
        <w:t xml:space="preserve">2 </w:t>
      </w:r>
      <w:r w:rsidRPr="00A2043D">
        <w:rPr>
          <w:rFonts w:eastAsia="Cambria"/>
        </w:rPr>
        <w:t xml:space="preserve">− </w:t>
      </w:r>
      <w:r w:rsidRPr="00A2043D">
        <w:rPr>
          <w:rFonts w:eastAsia="Cambria"/>
          <w:i/>
        </w:rPr>
        <w:t>ϕ</w:t>
      </w:r>
      <w:r w:rsidRPr="00A2043D">
        <w:rPr>
          <w:rFonts w:eastAsia="Cambria"/>
          <w:vertAlign w:val="subscript"/>
        </w:rPr>
        <w:t>1</w:t>
      </w:r>
      <w:r w:rsidRPr="00A2043D">
        <w:rPr>
          <w:rFonts w:eastAsia="Cambria"/>
          <w:i/>
        </w:rPr>
        <w:t>,</w:t>
      </w:r>
      <w:r w:rsidRPr="00A2043D">
        <w:rPr>
          <w:rFonts w:eastAsia="Cambria"/>
          <w:i/>
        </w:rPr>
        <w:tab/>
      </w:r>
      <w:r w:rsidRPr="00A2043D">
        <w:rPr>
          <w:rFonts w:eastAsia="Cambria"/>
        </w:rPr>
        <w:t>∆</w:t>
      </w:r>
      <w:r w:rsidRPr="00A2043D">
        <w:rPr>
          <w:rFonts w:eastAsia="Cambria"/>
          <w:i/>
        </w:rPr>
        <w:t xml:space="preserve">λ </w:t>
      </w:r>
      <w:r w:rsidRPr="00A2043D">
        <w:rPr>
          <w:rFonts w:eastAsia="Cambria"/>
        </w:rPr>
        <w:t xml:space="preserve">= </w:t>
      </w:r>
      <w:r w:rsidRPr="00A2043D">
        <w:rPr>
          <w:rFonts w:eastAsia="Cambria"/>
          <w:i/>
        </w:rPr>
        <w:t>λ</w:t>
      </w:r>
      <w:r w:rsidRPr="00A2043D">
        <w:rPr>
          <w:rFonts w:eastAsia="Cambria"/>
          <w:vertAlign w:val="subscript"/>
        </w:rPr>
        <w:t xml:space="preserve">2 </w:t>
      </w:r>
      <w:r w:rsidRPr="00A2043D">
        <w:rPr>
          <w:rFonts w:eastAsia="Cambria"/>
        </w:rPr>
        <w:t xml:space="preserve">− </w:t>
      </w:r>
      <w:r w:rsidRPr="00A2043D">
        <w:rPr>
          <w:rFonts w:eastAsia="Cambria"/>
          <w:i/>
        </w:rPr>
        <w:t>λ</w:t>
      </w:r>
      <w:r w:rsidRPr="00A2043D">
        <w:rPr>
          <w:rFonts w:eastAsia="Cambria"/>
          <w:vertAlign w:val="subscript"/>
        </w:rPr>
        <w:t>1</w:t>
      </w:r>
      <w:r w:rsidRPr="00A2043D">
        <w:rPr>
          <w:rFonts w:eastAsia="Cambria"/>
          <w:vertAlign w:val="subscript"/>
        </w:rPr>
        <w:tab/>
      </w:r>
      <w:r w:rsidRPr="00A2043D">
        <w:t>(1)</w:t>
      </w:r>
    </w:p>
    <w:p w14:paraId="7615A281" w14:textId="7B58C375" w:rsidR="00781606" w:rsidRPr="00A2043D" w:rsidRDefault="00781606" w:rsidP="00781606">
      <w:pPr>
        <w:spacing w:after="120" w:line="216" w:lineRule="auto"/>
        <w:ind w:right="0" w:firstLine="173"/>
        <w:jc w:val="left"/>
      </w:pPr>
      <w:r w:rsidRPr="00A2043D">
        <w:t xml:space="preserve">The central angle </w:t>
      </w:r>
      <w:r w:rsidRPr="00A2043D">
        <w:rPr>
          <w:rFonts w:eastAsia="Cambria"/>
          <w:i/>
        </w:rPr>
        <w:t xml:space="preserve">c </w:t>
      </w:r>
      <w:r w:rsidRPr="00A2043D">
        <w:t>is given by:</w:t>
      </w:r>
    </w:p>
    <w:p w14:paraId="370835F6" w14:textId="5ABE586F" w:rsidR="00781606" w:rsidRPr="00A2043D" w:rsidRDefault="00781606" w:rsidP="00781606">
      <w:pPr>
        <w:numPr>
          <w:ilvl w:val="0"/>
          <w:numId w:val="2"/>
        </w:numPr>
        <w:spacing w:after="110" w:line="259" w:lineRule="auto"/>
        <w:ind w:right="-7" w:hanging="183"/>
        <w:jc w:val="right"/>
      </w:pPr>
      <w:r w:rsidRPr="00A2043D">
        <w:rPr>
          <w:noProof/>
        </w:rPr>
        <w:drawing>
          <wp:inline distT="0" distB="0" distL="0" distR="0" wp14:anchorId="6A9C2F4E" wp14:editId="04CFC50A">
            <wp:extent cx="1496568" cy="164592"/>
            <wp:effectExtent l="0" t="0" r="0" b="0"/>
            <wp:docPr id="19872" name="Picture 19872"/>
            <wp:cNvGraphicFramePr/>
            <a:graphic xmlns:a="http://schemas.openxmlformats.org/drawingml/2006/main">
              <a:graphicData uri="http://schemas.openxmlformats.org/drawingml/2006/picture">
                <pic:pic xmlns:pic="http://schemas.openxmlformats.org/drawingml/2006/picture">
                  <pic:nvPicPr>
                    <pic:cNvPr id="19872" name="Picture 19872"/>
                    <pic:cNvPicPr/>
                  </pic:nvPicPr>
                  <pic:blipFill>
                    <a:blip r:embed="rId6"/>
                    <a:stretch>
                      <a:fillRect/>
                    </a:stretch>
                  </pic:blipFill>
                  <pic:spPr>
                    <a:xfrm>
                      <a:off x="0" y="0"/>
                      <a:ext cx="1496568" cy="164592"/>
                    </a:xfrm>
                    <a:prstGeom prst="rect">
                      <a:avLst/>
                    </a:prstGeom>
                  </pic:spPr>
                </pic:pic>
              </a:graphicData>
            </a:graphic>
          </wp:inline>
        </w:drawing>
      </w:r>
      <w:r w:rsidRPr="00A2043D">
        <w:tab/>
        <w:t>(</w:t>
      </w:r>
      <w:r>
        <w:t>2</w:t>
      </w:r>
      <w:r w:rsidRPr="00A2043D">
        <w:t>)</w:t>
      </w:r>
    </w:p>
    <w:p w14:paraId="510AE506" w14:textId="77777777" w:rsidR="00781606" w:rsidRPr="00A2043D" w:rsidRDefault="00781606" w:rsidP="00781606">
      <w:pPr>
        <w:spacing w:after="266"/>
        <w:ind w:left="199" w:right="0" w:firstLine="0"/>
      </w:pPr>
      <w:r w:rsidRPr="00A2043D">
        <w:t xml:space="preserve">And the distance </w:t>
      </w:r>
      <w:r w:rsidRPr="00A2043D">
        <w:rPr>
          <w:rFonts w:eastAsia="Cambria"/>
          <w:i/>
        </w:rPr>
        <w:t xml:space="preserve">d </w:t>
      </w:r>
      <w:r w:rsidRPr="00A2043D">
        <w:t>in kilometers is:</w:t>
      </w:r>
    </w:p>
    <w:p w14:paraId="2A00FC09" w14:textId="4570CBD9" w:rsidR="00781606" w:rsidRPr="00A2043D" w:rsidRDefault="00781606" w:rsidP="00781606">
      <w:pPr>
        <w:numPr>
          <w:ilvl w:val="0"/>
          <w:numId w:val="2"/>
        </w:numPr>
        <w:spacing w:after="158" w:line="259" w:lineRule="auto"/>
        <w:ind w:right="-7" w:hanging="183"/>
        <w:jc w:val="right"/>
      </w:pPr>
      <w:r w:rsidRPr="00A2043D">
        <w:rPr>
          <w:rFonts w:eastAsia="Cambria"/>
        </w:rPr>
        <w:t xml:space="preserve">= </w:t>
      </w:r>
      <w:r w:rsidRPr="00A2043D">
        <w:rPr>
          <w:rFonts w:eastAsia="Cambria"/>
          <w:b/>
        </w:rPr>
        <w:t xml:space="preserve">R </w:t>
      </w:r>
      <w:r w:rsidRPr="00A2043D">
        <w:rPr>
          <w:rFonts w:eastAsia="Cambria"/>
        </w:rPr>
        <w:t xml:space="preserve">· </w:t>
      </w:r>
      <w:r w:rsidRPr="00A2043D">
        <w:rPr>
          <w:rFonts w:eastAsia="Cambria"/>
          <w:b/>
        </w:rPr>
        <w:t>c</w:t>
      </w:r>
      <w:r w:rsidRPr="00A2043D">
        <w:rPr>
          <w:rFonts w:eastAsia="Cambria"/>
          <w:b/>
        </w:rPr>
        <w:tab/>
      </w:r>
      <w:r w:rsidRPr="00A2043D">
        <w:t>(</w:t>
      </w:r>
      <w:r>
        <w:t>3</w:t>
      </w:r>
      <w:r w:rsidRPr="00A2043D">
        <w:t>)</w:t>
      </w:r>
    </w:p>
    <w:p w14:paraId="02D1AB7B" w14:textId="77777777" w:rsidR="00781606" w:rsidRPr="00A2043D" w:rsidRDefault="00781606" w:rsidP="00781606">
      <w:pPr>
        <w:ind w:left="-15" w:right="0"/>
      </w:pPr>
      <w:r w:rsidRPr="00A2043D">
        <w:t xml:space="preserve">where </w:t>
      </w:r>
      <w:r w:rsidRPr="00A2043D">
        <w:rPr>
          <w:rFonts w:eastAsia="Cambria"/>
          <w:i/>
        </w:rPr>
        <w:t xml:space="preserve">R </w:t>
      </w:r>
      <w:r w:rsidRPr="00A2043D">
        <w:rPr>
          <w:rFonts w:eastAsia="Cambria"/>
        </w:rPr>
        <w:t>= 6</w:t>
      </w:r>
      <w:r w:rsidRPr="00A2043D">
        <w:rPr>
          <w:rFonts w:eastAsia="Cambria"/>
          <w:i/>
        </w:rPr>
        <w:t>,</w:t>
      </w:r>
      <w:r w:rsidRPr="00A2043D">
        <w:rPr>
          <w:rFonts w:eastAsia="Cambria"/>
        </w:rPr>
        <w:t>371</w:t>
      </w:r>
      <w:r w:rsidRPr="00A2043D">
        <w:t xml:space="preserve">km is the mean Earth radius. A listing is included in the user’s feed if and only if </w:t>
      </w:r>
      <w:r w:rsidRPr="00A2043D">
        <w:rPr>
          <w:rFonts w:eastAsia="Cambria"/>
          <w:i/>
        </w:rPr>
        <w:t xml:space="preserve">d </w:t>
      </w:r>
      <w:r w:rsidRPr="00A2043D">
        <w:rPr>
          <w:rFonts w:eastAsia="Cambria"/>
        </w:rPr>
        <w:t xml:space="preserve">≤ </w:t>
      </w:r>
      <w:r w:rsidRPr="00A2043D">
        <w:rPr>
          <w:rFonts w:eastAsia="Cambria"/>
          <w:i/>
        </w:rPr>
        <w:t>r</w:t>
      </w:r>
      <w:r w:rsidRPr="00A2043D">
        <w:rPr>
          <w:vertAlign w:val="subscript"/>
        </w:rPr>
        <w:t>community</w:t>
      </w:r>
      <w:r w:rsidRPr="00A2043D">
        <w:t xml:space="preserve">, where </w:t>
      </w:r>
      <w:r w:rsidRPr="00A2043D">
        <w:rPr>
          <w:rFonts w:eastAsia="Cambria"/>
          <w:i/>
        </w:rPr>
        <w:t>r</w:t>
      </w:r>
      <w:r w:rsidRPr="00A2043D">
        <w:rPr>
          <w:vertAlign w:val="subscript"/>
        </w:rPr>
        <w:t xml:space="preserve">community </w:t>
      </w:r>
      <w:r w:rsidRPr="00A2043D">
        <w:t>is the radius configured for the user’s registered community.</w:t>
      </w:r>
    </w:p>
    <w:p w14:paraId="40AC48BA" w14:textId="77777777" w:rsidR="00781606" w:rsidRPr="00A2043D" w:rsidRDefault="00781606" w:rsidP="00781606">
      <w:pPr>
        <w:spacing w:after="243"/>
        <w:ind w:left="-15" w:right="0"/>
      </w:pPr>
      <w:r w:rsidRPr="00A2043D">
        <w:lastRenderedPageBreak/>
        <w:t xml:space="preserve">The implementation uses pre-converted radian values to avoid redundant </w:t>
      </w:r>
      <w:r w:rsidRPr="00A2043D">
        <w:rPr>
          <w:rFonts w:eastAsia="Calibri"/>
        </w:rPr>
        <w:t xml:space="preserve">Math.PI/180 </w:t>
      </w:r>
      <w:r w:rsidRPr="00A2043D">
        <w:t>multiplications per row. At 5,000 candidate rows post-bounding-box filter, the Haversine loop executes in under 3ms on a single Node.js worker thread.</w:t>
      </w:r>
    </w:p>
    <w:p w14:paraId="2C6EE682" w14:textId="77777777" w:rsidR="00781606" w:rsidRPr="00A2043D" w:rsidRDefault="00781606" w:rsidP="00781606">
      <w:pPr>
        <w:pStyle w:val="Heading2"/>
        <w:spacing w:after="89"/>
        <w:ind w:left="-5"/>
      </w:pPr>
      <w:r w:rsidRPr="00A2043D">
        <w:t>G. Security and Authentication Flow</w:t>
      </w:r>
    </w:p>
    <w:p w14:paraId="358DD907" w14:textId="77777777" w:rsidR="00781606" w:rsidRPr="00A2043D" w:rsidRDefault="00781606" w:rsidP="00781606">
      <w:pPr>
        <w:spacing w:after="39"/>
        <w:ind w:left="-15" w:right="0"/>
      </w:pPr>
      <w:r w:rsidRPr="00A2043D">
        <w:t xml:space="preserve">User passwords are hashed using bcrypt with a work factor of 12 before storage. Bcrypt’s adaptive cost function means that as compute hardware improves, the work factor can be increased without changing the algorithm or the stored hash format, preserving forward resistance against offline bruteforce attacks on the </w:t>
      </w:r>
      <w:r w:rsidRPr="00A2043D">
        <w:rPr>
          <w:rFonts w:eastAsia="Calibri"/>
        </w:rPr>
        <w:t xml:space="preserve">Users </w:t>
      </w:r>
      <w:r w:rsidRPr="00A2043D">
        <w:t>table.</w:t>
      </w:r>
    </w:p>
    <w:p w14:paraId="1DCBA62E" w14:textId="77777777" w:rsidR="00781606" w:rsidRPr="00A2043D" w:rsidRDefault="00781606" w:rsidP="00781606">
      <w:pPr>
        <w:ind w:left="-15" w:right="0"/>
      </w:pPr>
      <w:r w:rsidRPr="00A2043D">
        <w:t xml:space="preserve">Session tokens are generated using </w:t>
      </w:r>
      <w:r w:rsidRPr="00A2043D">
        <w:rPr>
          <w:rFonts w:eastAsia="Calibri"/>
        </w:rPr>
        <w:t xml:space="preserve">crypto.randomBytes(32) </w:t>
      </w:r>
      <w:r w:rsidRPr="00A2043D">
        <w:t xml:space="preserve">and stored server-side in the session table, with only a session ID transmitted to the client. The session ID cookie is set with the </w:t>
      </w:r>
      <w:r w:rsidRPr="00A2043D">
        <w:rPr>
          <w:rFonts w:eastAsia="Calibri"/>
        </w:rPr>
        <w:t xml:space="preserve">HttpOnly </w:t>
      </w:r>
      <w:r w:rsidRPr="00A2043D">
        <w:t xml:space="preserve">flag (preventing JavaScript access), the </w:t>
      </w:r>
      <w:r w:rsidRPr="00A2043D">
        <w:rPr>
          <w:rFonts w:eastAsia="Calibri"/>
        </w:rPr>
        <w:t xml:space="preserve">Secure </w:t>
      </w:r>
      <w:r w:rsidRPr="00A2043D">
        <w:t xml:space="preserve">flag (transmitting only over TLS), and </w:t>
      </w:r>
      <w:r w:rsidRPr="00A2043D">
        <w:rPr>
          <w:rFonts w:eastAsia="Calibri"/>
        </w:rPr>
        <w:t xml:space="preserve">SameSite=Lax </w:t>
      </w:r>
      <w:r w:rsidRPr="00A2043D">
        <w:t>(mitigating cross-site request forgery from third-party navigations). This session architecture was preferred over stateless JWT for EcoGrid because it allows immediate token invalidation on logout or account suspension—a property that stateless JWT cannot provide without a server-side token blacklist.</w:t>
      </w:r>
    </w:p>
    <w:p w14:paraId="28B2F4E0" w14:textId="77777777" w:rsidR="00781606" w:rsidRPr="00A2043D" w:rsidRDefault="00781606" w:rsidP="00781606">
      <w:pPr>
        <w:spacing w:after="243"/>
        <w:ind w:left="-15" w:right="0"/>
      </w:pPr>
      <w:r w:rsidRPr="00A2043D">
        <w:t xml:space="preserve">KYC registration follows a four-step onboarding flow: basic profile creation, document type selection (Aadhaar only, or Aadhaar plus PAN), document number entry with format validation, and OTP verification against a simulated verification service. KYC tier is stored as an ENUM on the </w:t>
      </w:r>
      <w:r w:rsidRPr="00A2043D">
        <w:rPr>
          <w:rFonts w:eastAsia="Calibri"/>
        </w:rPr>
        <w:t xml:space="preserve">Users </w:t>
      </w:r>
      <w:r w:rsidRPr="00A2043D">
        <w:t xml:space="preserve">table and is factored into the trust score computation as a one-time +10 bonus. Input validation on all API routes uses the </w:t>
      </w:r>
      <w:r w:rsidRPr="00A2043D">
        <w:rPr>
          <w:rFonts w:eastAsia="Calibri"/>
        </w:rPr>
        <w:t xml:space="preserve">express-validator </w:t>
      </w:r>
      <w:r w:rsidRPr="00A2043D">
        <w:t>middleware library, with schema-level constraints (type, length, format regex) declared adjacently to the route definitions for maintainability.</w:t>
      </w:r>
    </w:p>
    <w:p w14:paraId="7468F7C2" w14:textId="77777777" w:rsidR="00781606" w:rsidRPr="00A2043D" w:rsidRDefault="00781606" w:rsidP="00781606">
      <w:pPr>
        <w:pStyle w:val="Heading2"/>
        <w:spacing w:after="89"/>
        <w:ind w:left="-5"/>
      </w:pPr>
      <w:r w:rsidRPr="00A2043D">
        <w:t>H. Metric Evaluation</w:t>
      </w:r>
    </w:p>
    <w:p w14:paraId="79F5CB21" w14:textId="77777777" w:rsidR="00781606" w:rsidRPr="00A2043D" w:rsidRDefault="00781606" w:rsidP="00781606">
      <w:pPr>
        <w:spacing w:after="155"/>
        <w:ind w:left="-15" w:right="0"/>
      </w:pPr>
      <w:r w:rsidRPr="00A2043D">
        <w:t xml:space="preserve">Geographic matchmaking accuracy is evaluated by framing hyper-local retrieval as a binary classification problem: each listing in the database is either correctly included (true positive) or correctly excluded (true negative) from a given user’s feed, or incorrectly handled (false positive: listing outside radius included; false negative: listing inside radius excluded). </w:t>
      </w:r>
      <w:r w:rsidRPr="00A2043D">
        <w:rPr>
          <w:rFonts w:eastAsia="Calibri"/>
        </w:rPr>
        <w:t xml:space="preserve">Accuracy </w:t>
      </w:r>
      <w:r w:rsidRPr="00A2043D">
        <w:t>measures the overall correctness rate:</w:t>
      </w:r>
    </w:p>
    <w:p w14:paraId="657EA25A" w14:textId="77777777" w:rsidR="00781606" w:rsidRPr="00781606" w:rsidRDefault="00781606" w:rsidP="00781606">
      <w:pPr>
        <w:spacing w:after="0" w:line="259" w:lineRule="auto"/>
        <w:ind w:left="1212" w:right="0"/>
        <w:jc w:val="center"/>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TN</w:t>
      </w:r>
    </w:p>
    <w:p w14:paraId="46275027" w14:textId="79C46178" w:rsidR="00781606" w:rsidRPr="00781606" w:rsidRDefault="00781606" w:rsidP="00781606">
      <w:pPr>
        <w:tabs>
          <w:tab w:val="center" w:pos="1454"/>
          <w:tab w:val="center" w:pos="3155"/>
          <w:tab w:val="right" w:pos="5021"/>
        </w:tabs>
        <w:spacing w:after="0" w:line="259" w:lineRule="auto"/>
        <w:ind w:left="0" w:right="-15" w:firstLine="0"/>
        <w:jc w:val="left"/>
        <w:rPr>
          <w:sz w:val="16"/>
          <w:szCs w:val="16"/>
        </w:rPr>
      </w:pPr>
      <w:r w:rsidRPr="00781606">
        <w:rPr>
          <w:rFonts w:eastAsia="Calibri"/>
          <w:sz w:val="16"/>
          <w:szCs w:val="16"/>
        </w:rPr>
        <w:tab/>
      </w:r>
      <w:r w:rsidRPr="00781606">
        <w:rPr>
          <w:rFonts w:eastAsia="Cambria"/>
          <w:b/>
          <w:sz w:val="16"/>
          <w:szCs w:val="16"/>
        </w:rPr>
        <w:t xml:space="preserve">Accuracy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31C6D438" wp14:editId="45A6AB17">
                <wp:extent cx="1193800" cy="45719"/>
                <wp:effectExtent l="0" t="0" r="0" b="0"/>
                <wp:docPr id="15617" name="Group 15617"/>
                <wp:cNvGraphicFramePr/>
                <a:graphic xmlns:a="http://schemas.openxmlformats.org/drawingml/2006/main">
                  <a:graphicData uri="http://schemas.microsoft.com/office/word/2010/wordprocessingGroup">
                    <wpg:wgp>
                      <wpg:cNvGrpSpPr/>
                      <wpg:grpSpPr>
                        <a:xfrm>
                          <a:off x="0" y="0"/>
                          <a:ext cx="1193800" cy="45719"/>
                          <a:chOff x="0" y="0"/>
                          <a:chExt cx="1276147" cy="5055"/>
                        </a:xfrm>
                      </wpg:grpSpPr>
                      <wps:wsp>
                        <wps:cNvPr id="903" name="Shape 903"/>
                        <wps:cNvSpPr/>
                        <wps:spPr>
                          <a:xfrm>
                            <a:off x="0" y="0"/>
                            <a:ext cx="1276147" cy="0"/>
                          </a:xfrm>
                          <a:custGeom>
                            <a:avLst/>
                            <a:gdLst/>
                            <a:ahLst/>
                            <a:cxnLst/>
                            <a:rect l="0" t="0" r="0" b="0"/>
                            <a:pathLst>
                              <a:path w="1276147">
                                <a:moveTo>
                                  <a:pt x="0" y="0"/>
                                </a:moveTo>
                                <a:lnTo>
                                  <a:pt x="1276147"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C007F1" id="Group 15617" o:spid="_x0000_s1026" style="width:94pt;height:3.6pt;mso-position-horizontal-relative:char;mso-position-vertical-relative:line" coordsize="127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">
                <v:shape id="Shape 903" o:spid="_x0000_s1027" style="position:absolute;width:12761;height:0;visibility:visible;mso-wrap-style:square;v-text-anchor:top" coordsize="1276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" path="m,l1276147,e" filled="f" strokeweight=".14042mm">
                  <v:stroke miterlimit="83231f" joinstyle="miter"/>
                  <v:path arrowok="t" textboxrect="0,0,1276147,0"/>
                </v:shape>
                <w10:anchorlock/>
              </v:group>
            </w:pict>
          </mc:Fallback>
        </mc:AlternateContent>
      </w:r>
      <w:r w:rsidRPr="00781606">
        <w:rPr>
          <w:sz w:val="16"/>
          <w:szCs w:val="16"/>
        </w:rPr>
        <w:tab/>
        <w:t>(</w:t>
      </w:r>
      <w:r>
        <w:rPr>
          <w:sz w:val="16"/>
          <w:szCs w:val="16"/>
        </w:rPr>
        <w:t>4</w:t>
      </w:r>
      <w:r w:rsidRPr="00781606">
        <w:rPr>
          <w:sz w:val="16"/>
          <w:szCs w:val="16"/>
        </w:rPr>
        <w:t>)</w:t>
      </w:r>
    </w:p>
    <w:p w14:paraId="6D3AD2DD" w14:textId="77777777" w:rsidR="00781606" w:rsidRPr="00781606" w:rsidRDefault="00781606" w:rsidP="00781606">
      <w:pPr>
        <w:spacing w:after="187" w:line="216" w:lineRule="auto"/>
        <w:ind w:left="2117" w:right="0"/>
        <w:jc w:val="left"/>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 xml:space="preserve">TN </w:t>
      </w:r>
      <w:r w:rsidRPr="00781606">
        <w:rPr>
          <w:rFonts w:eastAsia="Cambria"/>
          <w:sz w:val="16"/>
          <w:szCs w:val="16"/>
        </w:rPr>
        <w:t xml:space="preserve">+ </w:t>
      </w:r>
      <w:r w:rsidRPr="00781606">
        <w:rPr>
          <w:rFonts w:eastAsia="Cambria"/>
          <w:b/>
          <w:sz w:val="16"/>
          <w:szCs w:val="16"/>
        </w:rPr>
        <w:t xml:space="preserve">FP </w:t>
      </w:r>
      <w:r w:rsidRPr="00781606">
        <w:rPr>
          <w:rFonts w:eastAsia="Cambria"/>
          <w:sz w:val="16"/>
          <w:szCs w:val="16"/>
        </w:rPr>
        <w:t xml:space="preserve">+ </w:t>
      </w:r>
      <w:r w:rsidRPr="00781606">
        <w:rPr>
          <w:rFonts w:eastAsia="Cambria"/>
          <w:b/>
          <w:sz w:val="16"/>
          <w:szCs w:val="16"/>
        </w:rPr>
        <w:t>FN</w:t>
      </w:r>
    </w:p>
    <w:p w14:paraId="04B85B4E" w14:textId="77777777" w:rsidR="00781606" w:rsidRPr="00A2043D" w:rsidRDefault="00781606" w:rsidP="00781606">
      <w:pPr>
        <w:spacing w:after="127"/>
        <w:ind w:left="-15" w:right="0"/>
      </w:pPr>
      <w:r w:rsidRPr="00A2043D">
        <w:rPr>
          <w:rFonts w:eastAsia="Calibri"/>
        </w:rPr>
        <w:t xml:space="preserve">Recall </w:t>
      </w:r>
      <w:r w:rsidRPr="00A2043D">
        <w:t>(also called sensitivity) measures the fraction of genuinely nearby listings that are successfully retrieved:</w:t>
      </w:r>
    </w:p>
    <w:p w14:paraId="2F936BEB" w14:textId="77777777" w:rsidR="00781606" w:rsidRPr="00781606" w:rsidRDefault="00781606" w:rsidP="00781606">
      <w:pPr>
        <w:spacing w:after="0" w:line="259" w:lineRule="auto"/>
        <w:ind w:left="1212" w:right="318"/>
        <w:jc w:val="center"/>
        <w:rPr>
          <w:sz w:val="16"/>
          <w:szCs w:val="16"/>
        </w:rPr>
      </w:pPr>
      <w:r w:rsidRPr="00781606">
        <w:rPr>
          <w:rFonts w:eastAsia="Cambria"/>
          <w:b/>
          <w:sz w:val="16"/>
          <w:szCs w:val="16"/>
        </w:rPr>
        <w:t>TP</w:t>
      </w:r>
    </w:p>
    <w:p w14:paraId="559882DA" w14:textId="0295F1CB" w:rsidR="00781606" w:rsidRDefault="00781606" w:rsidP="00781606">
      <w:pPr>
        <w:spacing w:after="187" w:line="216" w:lineRule="auto"/>
        <w:ind w:left="2511" w:right="0" w:hanging="907"/>
        <w:jc w:val="left"/>
        <w:rPr>
          <w:sz w:val="16"/>
          <w:szCs w:val="16"/>
        </w:rPr>
      </w:pPr>
      <w:r w:rsidRPr="00781606">
        <w:rPr>
          <w:rFonts w:eastAsia="Cambria"/>
          <w:b/>
          <w:sz w:val="16"/>
          <w:szCs w:val="16"/>
        </w:rPr>
        <w:t xml:space="preserve">Recall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23B4215A" wp14:editId="50704BBE">
                <wp:extent cx="560756" cy="5055"/>
                <wp:effectExtent l="0" t="0" r="0" b="0"/>
                <wp:docPr id="15618" name="Group 15618"/>
                <wp:cNvGraphicFramePr/>
                <a:graphic xmlns:a="http://schemas.openxmlformats.org/drawingml/2006/main">
                  <a:graphicData uri="http://schemas.microsoft.com/office/word/2010/wordprocessingGroup">
                    <wpg:wgp>
                      <wpg:cNvGrpSpPr/>
                      <wpg:grpSpPr>
                        <a:xfrm>
                          <a:off x="0" y="0"/>
                          <a:ext cx="560756" cy="5055"/>
                          <a:chOff x="0" y="0"/>
                          <a:chExt cx="560756" cy="5055"/>
                        </a:xfrm>
                      </wpg:grpSpPr>
                      <wps:wsp>
                        <wps:cNvPr id="918" name="Shape 918"/>
                        <wps:cNvSpPr/>
                        <wps:spPr>
                          <a:xfrm>
                            <a:off x="0" y="0"/>
                            <a:ext cx="560756" cy="0"/>
                          </a:xfrm>
                          <a:custGeom>
                            <a:avLst/>
                            <a:gdLst/>
                            <a:ahLst/>
                            <a:cxnLst/>
                            <a:rect l="0" t="0" r="0" b="0"/>
                            <a:pathLst>
                              <a:path w="560756">
                                <a:moveTo>
                                  <a:pt x="0" y="0"/>
                                </a:moveTo>
                                <a:lnTo>
                                  <a:pt x="56075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35392A" id="Group 15618" o:spid="_x0000_s1026" style="width:44.15pt;height:.4pt;mso-position-horizontal-relative:char;mso-position-vertical-relative:line" coordsize="5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">
                <v:shape id="Shape 918" o:spid="_x0000_s1027" style="position:absolute;width:5607;height:0;visibility:visible;mso-wrap-style:square;v-text-anchor:top" coordsize="560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" path="m,l560756,e" filled="f" strokeweight=".14042mm">
                  <v:stroke miterlimit="83231f" joinstyle="miter"/>
                  <v:path arrowok="t" textboxrect="0,0,560756,0"/>
                </v:shape>
                <w10:anchorlock/>
              </v:group>
            </w:pict>
          </mc:Fallback>
        </mc:AlternateContent>
      </w:r>
      <w:r w:rsidRPr="00781606">
        <w:rPr>
          <w:sz w:val="16"/>
          <w:szCs w:val="16"/>
        </w:rPr>
        <w:tab/>
      </w:r>
      <w:r>
        <w:rPr>
          <w:sz w:val="16"/>
          <w:szCs w:val="16"/>
        </w:rPr>
        <w:tab/>
      </w:r>
      <w:r w:rsidRPr="00781606">
        <w:rPr>
          <w:sz w:val="16"/>
          <w:szCs w:val="16"/>
        </w:rPr>
        <w:t>(</w:t>
      </w:r>
      <w:r>
        <w:rPr>
          <w:sz w:val="16"/>
          <w:szCs w:val="16"/>
        </w:rPr>
        <w:t>5</w:t>
      </w:r>
      <w:r w:rsidRPr="00781606">
        <w:rPr>
          <w:sz w:val="16"/>
          <w:szCs w:val="16"/>
        </w:rPr>
        <w:t xml:space="preserve">) </w:t>
      </w:r>
    </w:p>
    <w:p w14:paraId="459FF322" w14:textId="2F75CF25" w:rsidR="00781606" w:rsidRPr="00781606" w:rsidRDefault="00781606" w:rsidP="00781606">
      <w:pPr>
        <w:spacing w:after="187" w:line="216" w:lineRule="auto"/>
        <w:ind w:left="2511" w:right="0" w:firstLine="0"/>
        <w:jc w:val="left"/>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FN</w:t>
      </w:r>
    </w:p>
    <w:p w14:paraId="243F343F" w14:textId="77777777" w:rsidR="00781606" w:rsidRPr="00A2043D" w:rsidRDefault="00781606" w:rsidP="00781606">
      <w:pPr>
        <w:spacing w:after="127"/>
        <w:ind w:left="-15" w:right="0"/>
      </w:pPr>
      <w:r w:rsidRPr="00A2043D">
        <w:rPr>
          <w:rFonts w:eastAsia="Calibri"/>
        </w:rPr>
        <w:t xml:space="preserve">Precision </w:t>
      </w:r>
      <w:r w:rsidRPr="00A2043D">
        <w:t>measures the fraction of retrieved listings that are genuinely within radius:</w:t>
      </w:r>
    </w:p>
    <w:p w14:paraId="27C42703" w14:textId="77777777" w:rsidR="00781606" w:rsidRPr="00781606" w:rsidRDefault="00781606" w:rsidP="00781606">
      <w:pPr>
        <w:spacing w:after="0" w:line="259" w:lineRule="auto"/>
        <w:ind w:left="1212" w:right="18"/>
        <w:jc w:val="center"/>
        <w:rPr>
          <w:sz w:val="16"/>
          <w:szCs w:val="16"/>
        </w:rPr>
      </w:pPr>
      <w:r w:rsidRPr="00781606">
        <w:rPr>
          <w:rFonts w:eastAsia="Cambria"/>
          <w:b/>
          <w:sz w:val="16"/>
          <w:szCs w:val="16"/>
        </w:rPr>
        <w:t>TP</w:t>
      </w:r>
    </w:p>
    <w:p w14:paraId="372FC2E3" w14:textId="672C78F8" w:rsidR="00781606" w:rsidRDefault="00781606" w:rsidP="00781606">
      <w:pPr>
        <w:spacing w:after="187" w:line="216" w:lineRule="auto"/>
        <w:ind w:left="2672" w:right="0" w:hanging="1207"/>
        <w:jc w:val="left"/>
        <w:rPr>
          <w:sz w:val="16"/>
          <w:szCs w:val="16"/>
        </w:rPr>
      </w:pPr>
      <w:r w:rsidRPr="00781606">
        <w:rPr>
          <w:rFonts w:eastAsia="Cambria"/>
          <w:b/>
          <w:sz w:val="16"/>
          <w:szCs w:val="16"/>
        </w:rPr>
        <w:t xml:space="preserve">Precision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7F168DE3" wp14:editId="1F4E43D0">
                <wp:extent cx="546341" cy="5055"/>
                <wp:effectExtent l="0" t="0" r="0" b="0"/>
                <wp:docPr id="15619" name="Group 15619"/>
                <wp:cNvGraphicFramePr/>
                <a:graphic xmlns:a="http://schemas.openxmlformats.org/drawingml/2006/main">
                  <a:graphicData uri="http://schemas.microsoft.com/office/word/2010/wordprocessingGroup">
                    <wpg:wgp>
                      <wpg:cNvGrpSpPr/>
                      <wpg:grpSpPr>
                        <a:xfrm>
                          <a:off x="0" y="0"/>
                          <a:ext cx="546341" cy="5055"/>
                          <a:chOff x="0" y="0"/>
                          <a:chExt cx="546341" cy="5055"/>
                        </a:xfrm>
                      </wpg:grpSpPr>
                      <wps:wsp>
                        <wps:cNvPr id="929" name="Shape 929"/>
                        <wps:cNvSpPr/>
                        <wps:spPr>
                          <a:xfrm>
                            <a:off x="0" y="0"/>
                            <a:ext cx="546341" cy="0"/>
                          </a:xfrm>
                          <a:custGeom>
                            <a:avLst/>
                            <a:gdLst/>
                            <a:ahLst/>
                            <a:cxnLst/>
                            <a:rect l="0" t="0" r="0" b="0"/>
                            <a:pathLst>
                              <a:path w="546341">
                                <a:moveTo>
                                  <a:pt x="0" y="0"/>
                                </a:moveTo>
                                <a:lnTo>
                                  <a:pt x="546341"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BDC13E" id="Group 15619" o:spid="_x0000_s1026" style="width:43pt;height:.4pt;mso-position-horizontal-relative:char;mso-position-vertical-relative:line" coordsize="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">
                <v:shape id="Shape 929" o:spid="_x0000_s1027" style="position:absolute;width:5463;height:0;visibility:visible;mso-wrap-style:square;v-text-anchor:top" coordsize="546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" path="m,l546341,e" filled="f" strokeweight=".14042mm">
                  <v:stroke miterlimit="83231f" joinstyle="miter"/>
                  <v:path arrowok="t" textboxrect="0,0,546341,0"/>
                </v:shape>
                <w10:anchorlock/>
              </v:group>
            </w:pict>
          </mc:Fallback>
        </mc:AlternateContent>
      </w:r>
      <w:r w:rsidRPr="00781606">
        <w:rPr>
          <w:sz w:val="16"/>
          <w:szCs w:val="16"/>
        </w:rPr>
        <w:tab/>
      </w:r>
      <w:r>
        <w:rPr>
          <w:sz w:val="16"/>
          <w:szCs w:val="16"/>
        </w:rPr>
        <w:tab/>
      </w:r>
      <w:r w:rsidRPr="00781606">
        <w:rPr>
          <w:sz w:val="16"/>
          <w:szCs w:val="16"/>
        </w:rPr>
        <w:t>(</w:t>
      </w:r>
      <w:r>
        <w:rPr>
          <w:sz w:val="16"/>
          <w:szCs w:val="16"/>
        </w:rPr>
        <w:t>6</w:t>
      </w:r>
      <w:r w:rsidRPr="00781606">
        <w:rPr>
          <w:sz w:val="16"/>
          <w:szCs w:val="16"/>
        </w:rPr>
        <w:t xml:space="preserve">) </w:t>
      </w:r>
    </w:p>
    <w:p w14:paraId="2B195490" w14:textId="5782276F" w:rsidR="00781606" w:rsidRPr="00781606" w:rsidRDefault="00781606" w:rsidP="00781606">
      <w:pPr>
        <w:spacing w:after="187" w:line="216" w:lineRule="auto"/>
        <w:ind w:left="2672" w:right="0" w:firstLine="0"/>
        <w:jc w:val="left"/>
        <w:rPr>
          <w:sz w:val="16"/>
          <w:szCs w:val="16"/>
        </w:rPr>
      </w:pPr>
      <w:r w:rsidRPr="00781606">
        <w:rPr>
          <w:rFonts w:eastAsia="Cambria"/>
          <w:b/>
          <w:sz w:val="16"/>
          <w:szCs w:val="16"/>
        </w:rPr>
        <w:t xml:space="preserve">TP </w:t>
      </w:r>
      <w:r w:rsidRPr="00781606">
        <w:rPr>
          <w:rFonts w:eastAsia="Cambria"/>
          <w:sz w:val="16"/>
          <w:szCs w:val="16"/>
        </w:rPr>
        <w:t xml:space="preserve">+ </w:t>
      </w:r>
      <w:r w:rsidRPr="00781606">
        <w:rPr>
          <w:rFonts w:eastAsia="Cambria"/>
          <w:b/>
          <w:sz w:val="16"/>
          <w:szCs w:val="16"/>
        </w:rPr>
        <w:t>FP</w:t>
      </w:r>
    </w:p>
    <w:p w14:paraId="05CDF42E" w14:textId="77777777" w:rsidR="00781606" w:rsidRPr="00A2043D" w:rsidRDefault="00781606" w:rsidP="00781606">
      <w:pPr>
        <w:spacing w:after="64"/>
        <w:ind w:left="-15" w:right="0"/>
      </w:pPr>
      <w:r w:rsidRPr="00A2043D">
        <w:rPr>
          <w:rFonts w:eastAsia="Calibri"/>
        </w:rPr>
        <w:t xml:space="preserve">F1 Score </w:t>
      </w:r>
      <w:r w:rsidRPr="00A2043D">
        <w:t>is the harmonic mean of precision and recall, providing a single metric that penalizes both false inclusions and false exclusions:</w:t>
      </w:r>
    </w:p>
    <w:p w14:paraId="491D3059" w14:textId="77777777" w:rsidR="00781606" w:rsidRPr="00781606" w:rsidRDefault="00781606" w:rsidP="00781606">
      <w:pPr>
        <w:spacing w:after="0" w:line="259" w:lineRule="auto"/>
        <w:ind w:left="1212" w:right="419"/>
        <w:jc w:val="center"/>
        <w:rPr>
          <w:sz w:val="16"/>
          <w:szCs w:val="16"/>
        </w:rPr>
      </w:pPr>
      <w:r w:rsidRPr="00781606">
        <w:rPr>
          <w:rFonts w:eastAsia="Cambria"/>
          <w:b/>
          <w:sz w:val="16"/>
          <w:szCs w:val="16"/>
        </w:rPr>
        <w:t xml:space="preserve">Precision </w:t>
      </w:r>
      <w:r w:rsidRPr="00781606">
        <w:rPr>
          <w:rFonts w:eastAsia="Cambria"/>
          <w:sz w:val="16"/>
          <w:szCs w:val="16"/>
        </w:rPr>
        <w:t xml:space="preserve">× </w:t>
      </w:r>
      <w:r w:rsidRPr="00781606">
        <w:rPr>
          <w:rFonts w:eastAsia="Cambria"/>
          <w:b/>
          <w:sz w:val="16"/>
          <w:szCs w:val="16"/>
        </w:rPr>
        <w:t>Recall</w:t>
      </w:r>
    </w:p>
    <w:p w14:paraId="7FD4A38A" w14:textId="4B18A5EA" w:rsidR="00781606" w:rsidRPr="00781606" w:rsidRDefault="00781606" w:rsidP="00781606">
      <w:pPr>
        <w:tabs>
          <w:tab w:val="center" w:pos="1575"/>
          <w:tab w:val="center" w:pos="2945"/>
          <w:tab w:val="right" w:pos="5021"/>
        </w:tabs>
        <w:spacing w:after="0" w:line="259" w:lineRule="auto"/>
        <w:ind w:left="0" w:right="-15" w:firstLine="0"/>
        <w:jc w:val="left"/>
        <w:rPr>
          <w:sz w:val="16"/>
          <w:szCs w:val="16"/>
        </w:rPr>
      </w:pPr>
      <w:r w:rsidRPr="00781606">
        <w:rPr>
          <w:rFonts w:eastAsia="Calibri"/>
          <w:sz w:val="16"/>
          <w:szCs w:val="16"/>
        </w:rPr>
        <w:tab/>
      </w:r>
      <w:r w:rsidRPr="00781606">
        <w:rPr>
          <w:rFonts w:eastAsia="Cambria"/>
          <w:b/>
          <w:sz w:val="16"/>
          <w:szCs w:val="16"/>
        </w:rPr>
        <w:t xml:space="preserve">F1 </w:t>
      </w:r>
      <w:r w:rsidRPr="00781606">
        <w:rPr>
          <w:rFonts w:eastAsia="Cambria"/>
          <w:sz w:val="16"/>
          <w:szCs w:val="16"/>
        </w:rPr>
        <w:t xml:space="preserve">= </w:t>
      </w:r>
      <w:r w:rsidRPr="00781606">
        <w:rPr>
          <w:rFonts w:eastAsia="Cambria"/>
          <w:b/>
          <w:sz w:val="16"/>
          <w:szCs w:val="16"/>
        </w:rPr>
        <w:t xml:space="preserve">2 </w:t>
      </w:r>
      <w:r w:rsidRPr="00781606">
        <w:rPr>
          <w:rFonts w:eastAsia="Cambria"/>
          <w:sz w:val="16"/>
          <w:szCs w:val="16"/>
        </w:rPr>
        <w:t>·</w:t>
      </w:r>
      <w:r w:rsidRPr="00781606">
        <w:rPr>
          <w:rFonts w:eastAsia="Cambria"/>
          <w:sz w:val="16"/>
          <w:szCs w:val="16"/>
        </w:rPr>
        <w:tab/>
      </w:r>
      <w:r w:rsidRPr="00781606">
        <w:rPr>
          <w:noProof/>
          <w:sz w:val="16"/>
          <w:szCs w:val="16"/>
        </w:rPr>
        <mc:AlternateContent>
          <mc:Choice Requires="wpg">
            <w:drawing>
              <wp:inline distT="0" distB="0" distL="0" distR="0" wp14:anchorId="188C5044" wp14:editId="59F0020A">
                <wp:extent cx="1129246" cy="5055"/>
                <wp:effectExtent l="0" t="0" r="0" b="0"/>
                <wp:docPr id="15620" name="Group 15620"/>
                <wp:cNvGraphicFramePr/>
                <a:graphic xmlns:a="http://schemas.openxmlformats.org/drawingml/2006/main">
                  <a:graphicData uri="http://schemas.microsoft.com/office/word/2010/wordprocessingGroup">
                    <wpg:wgp>
                      <wpg:cNvGrpSpPr/>
                      <wpg:grpSpPr>
                        <a:xfrm>
                          <a:off x="0" y="0"/>
                          <a:ext cx="1129246" cy="5055"/>
                          <a:chOff x="0" y="0"/>
                          <a:chExt cx="1129246" cy="5055"/>
                        </a:xfrm>
                      </wpg:grpSpPr>
                      <wps:wsp>
                        <wps:cNvPr id="945" name="Shape 945"/>
                        <wps:cNvSpPr/>
                        <wps:spPr>
                          <a:xfrm>
                            <a:off x="0" y="0"/>
                            <a:ext cx="1129246" cy="0"/>
                          </a:xfrm>
                          <a:custGeom>
                            <a:avLst/>
                            <a:gdLst/>
                            <a:ahLst/>
                            <a:cxnLst/>
                            <a:rect l="0" t="0" r="0" b="0"/>
                            <a:pathLst>
                              <a:path w="1129246">
                                <a:moveTo>
                                  <a:pt x="0" y="0"/>
                                </a:moveTo>
                                <a:lnTo>
                                  <a:pt x="1129246"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2C936B" id="Group 15620" o:spid="_x0000_s1026" style="width:88.9pt;height:.4pt;mso-position-horizontal-relative:char;mso-position-vertical-relative:line" coordsize="112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">
                <v:shape id="Shape 945" o:spid="_x0000_s1027" style="position:absolute;width:11292;height:0;visibility:visible;mso-wrap-style:square;v-text-anchor:top" coordsize="1129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" path="m,l1129246,e" filled="f" strokeweight=".14042mm">
                  <v:stroke miterlimit="83231f" joinstyle="miter"/>
                  <v:path arrowok="t" textboxrect="0,0,1129246,0"/>
                </v:shape>
                <w10:anchorlock/>
              </v:group>
            </w:pict>
          </mc:Fallback>
        </mc:AlternateContent>
      </w:r>
      <w:r w:rsidRPr="00781606">
        <w:rPr>
          <w:sz w:val="16"/>
          <w:szCs w:val="16"/>
        </w:rPr>
        <w:tab/>
        <w:t>(</w:t>
      </w:r>
      <w:r>
        <w:rPr>
          <w:sz w:val="16"/>
          <w:szCs w:val="16"/>
        </w:rPr>
        <w:t>7</w:t>
      </w:r>
      <w:r w:rsidRPr="00781606">
        <w:rPr>
          <w:sz w:val="16"/>
          <w:szCs w:val="16"/>
        </w:rPr>
        <w:t>)</w:t>
      </w:r>
    </w:p>
    <w:p w14:paraId="1B92E3D7" w14:textId="77777777" w:rsidR="00781606" w:rsidRPr="00781606" w:rsidRDefault="00781606" w:rsidP="00781606">
      <w:pPr>
        <w:spacing w:after="61" w:line="259" w:lineRule="auto"/>
        <w:ind w:left="1212" w:right="419"/>
        <w:jc w:val="center"/>
        <w:rPr>
          <w:sz w:val="16"/>
          <w:szCs w:val="16"/>
        </w:rPr>
      </w:pPr>
      <w:r w:rsidRPr="00781606">
        <w:rPr>
          <w:rFonts w:eastAsia="Cambria"/>
          <w:b/>
          <w:sz w:val="16"/>
          <w:szCs w:val="16"/>
        </w:rPr>
        <w:t xml:space="preserve">Precision </w:t>
      </w:r>
      <w:r w:rsidRPr="00781606">
        <w:rPr>
          <w:rFonts w:eastAsia="Cambria"/>
          <w:sz w:val="16"/>
          <w:szCs w:val="16"/>
        </w:rPr>
        <w:t xml:space="preserve">+ </w:t>
      </w:r>
      <w:r w:rsidRPr="00781606">
        <w:rPr>
          <w:rFonts w:eastAsia="Cambria"/>
          <w:b/>
          <w:sz w:val="16"/>
          <w:szCs w:val="16"/>
        </w:rPr>
        <w:t>Recall</w:t>
      </w:r>
    </w:p>
    <w:p w14:paraId="6D3B6893" w14:textId="77777777" w:rsidR="00781606" w:rsidRPr="00A2043D" w:rsidRDefault="00781606" w:rsidP="00781606">
      <w:pPr>
        <w:spacing w:after="154"/>
        <w:ind w:left="-15" w:right="0"/>
      </w:pPr>
      <w:r w:rsidRPr="00A2043D">
        <w:t>These metrics are computed over a held-out test partition of 1,000 synthetic listing-user pairs, where ground-truth labels are derived from geodetically verified coordinate pairs rather than from the Haversine implementation itself.</w:t>
      </w:r>
    </w:p>
    <w:p w14:paraId="1B27B575" w14:textId="77777777" w:rsidR="00781606" w:rsidRPr="00A2043D" w:rsidRDefault="00781606" w:rsidP="00781606">
      <w:pPr>
        <w:pStyle w:val="Heading2"/>
        <w:ind w:left="-5"/>
      </w:pPr>
      <w:r w:rsidRPr="00A2043D">
        <w:t>I. Selective Structure, Processing and Evaluation</w:t>
      </w:r>
    </w:p>
    <w:p w14:paraId="5D690C43" w14:textId="77777777" w:rsidR="00781606" w:rsidRPr="00A2043D" w:rsidRDefault="00781606" w:rsidP="00781606">
      <w:pPr>
        <w:ind w:left="-15" w:right="0"/>
      </w:pPr>
      <w:r w:rsidRPr="00A2043D">
        <w:t xml:space="preserve">The evaluation methodology employs a simulated coordinate testing phase to validate the geofencing logic independent of real-world address data. A grid of synthetic user coordinates is generated at 100-meter intervals across a 12km </w:t>
      </w:r>
      <w:r w:rsidRPr="00A2043D">
        <w:rPr>
          <w:rFonts w:eastAsia="Cambria"/>
        </w:rPr>
        <w:t xml:space="preserve">× </w:t>
      </w:r>
      <w:r w:rsidRPr="00A2043D">
        <w:t>12km bounding box centered on a reference point in Pune, Maharashtra (latitude 18.5204</w:t>
      </w:r>
      <w:r w:rsidRPr="00A2043D">
        <w:rPr>
          <w:rFonts w:eastAsia="Cambria"/>
          <w:vertAlign w:val="superscript"/>
        </w:rPr>
        <w:t>◦</w:t>
      </w:r>
      <w:r w:rsidRPr="00A2043D">
        <w:t>N, longitude 73.8567</w:t>
      </w:r>
      <w:r w:rsidRPr="00A2043D">
        <w:rPr>
          <w:rFonts w:eastAsia="Cambria"/>
          <w:vertAlign w:val="superscript"/>
        </w:rPr>
        <w:t>◦</w:t>
      </w:r>
      <w:r w:rsidRPr="00A2043D">
        <w:t>E). For each synthetic user, a set of listing coordinates is generated at known distances from 0.5km to 10km in 0.5km increments, providing 20 distance classes per user and enabling granular assessment of boundary behavior around the 5km threshold.</w:t>
      </w:r>
    </w:p>
    <w:p w14:paraId="2208607A" w14:textId="77777777" w:rsidR="00781606" w:rsidRPr="00A2043D" w:rsidRDefault="00781606" w:rsidP="00781606">
      <w:pPr>
        <w:ind w:left="-15" w:right="0"/>
      </w:pPr>
      <w:r w:rsidRPr="00A2043D">
        <w:t>The test harness instruments the geofence middleware to record, for each query, the pre-filter candidate count, the postHaversine inclusion count, and the delta against the groundtruth label set. Boundary cases—listings whose true distance falls within 50m of the 5km threshold—are analyzed separately, as floating-point precision in DECIMAL(10,8) coordinate storage introduces sub-meter rounding that can produce a 0.001% boundary misclassification rate. This is acknowledged as an acceptable tolerance for a marketplace application, where the practical consequence of a boundary misclassification is the inclusion or exclusion of a listing at 4.999km versus 5.001km from the user, a difference imperceptible in any real exchange scenario.</w:t>
      </w:r>
    </w:p>
    <w:p w14:paraId="3669DEA5" w14:textId="77777777" w:rsidR="00781606" w:rsidRPr="00A2043D" w:rsidRDefault="00781606" w:rsidP="00781606">
      <w:pPr>
        <w:spacing w:after="154"/>
        <w:ind w:left="-15" w:right="0"/>
      </w:pPr>
      <w:r w:rsidRPr="00A2043D">
        <w:t xml:space="preserve">The simulated testing phase also validates the recommendation scoring pipeline. For each synthetic user, the top-10 retrieved listings are scored using the composite recommendation formula, and the rank-ordering is compared against a ground-truth ordering </w:t>
      </w:r>
      <w:r w:rsidRPr="00A2043D">
        <w:lastRenderedPageBreak/>
        <w:t>derived from direct arithmetic computation outside the application stack. Spearman’s rank correlation coefficient across 500 user-query pairs is 0.99, confirming that the application-layer scoring implementation is arithmetically consistent with the reference formula.</w:t>
      </w:r>
    </w:p>
    <w:p w14:paraId="168F2DDF" w14:textId="77777777" w:rsidR="00781606" w:rsidRPr="00A2043D" w:rsidRDefault="00781606" w:rsidP="00781606">
      <w:pPr>
        <w:pStyle w:val="Heading2"/>
        <w:ind w:left="-5"/>
      </w:pPr>
      <w:r w:rsidRPr="00A2043D">
        <w:t>J. Pseudocode</w:t>
      </w:r>
    </w:p>
    <w:p w14:paraId="0DDF73E5" w14:textId="77777777" w:rsidR="00781606" w:rsidRPr="00A2043D" w:rsidRDefault="00781606" w:rsidP="00781606">
      <w:pPr>
        <w:spacing w:after="169"/>
        <w:ind w:left="-15" w:right="0"/>
      </w:pPr>
      <w:r w:rsidRPr="00A2043D">
        <w:t>Algorithm 1 presents the geofenced inventory retrieval procedure in pseudocode.</w:t>
      </w:r>
    </w:p>
    <w:p w14:paraId="75A8F7AF" w14:textId="77777777" w:rsidR="008B1135" w:rsidRPr="008B1135" w:rsidRDefault="008B1135" w:rsidP="008B1135">
      <w:pPr>
        <w:spacing w:after="206" w:line="259" w:lineRule="auto"/>
        <w:ind w:left="0" w:right="0" w:firstLine="0"/>
        <w:jc w:val="center"/>
        <w:rPr>
          <w:szCs w:val="20"/>
        </w:rPr>
      </w:pPr>
    </w:p>
    <w:p w14:paraId="0FE4D32F" w14:textId="7DA9C3E4" w:rsidR="008B1135" w:rsidRDefault="008B1135" w:rsidP="008B1135">
      <w:pPr>
        <w:spacing w:after="206" w:line="259" w:lineRule="auto"/>
        <w:ind w:left="0" w:right="0" w:firstLine="0"/>
        <w:jc w:val="center"/>
        <w:rPr>
          <w:szCs w:val="20"/>
        </w:rPr>
      </w:pPr>
      <w:r w:rsidRPr="008B1135">
        <w:rPr>
          <w:szCs w:val="20"/>
        </w:rPr>
        <w:t>IV.RESULT</w:t>
      </w:r>
    </w:p>
    <w:p w14:paraId="70C2D22C" w14:textId="77777777" w:rsidR="00C24AB2" w:rsidRPr="00A2043D" w:rsidRDefault="00C24AB2" w:rsidP="00C24AB2">
      <w:pPr>
        <w:pStyle w:val="Heading2"/>
        <w:ind w:left="-5"/>
      </w:pPr>
      <w:r w:rsidRPr="00A2043D">
        <w:t>A. API Latency and Server Load Analysis</w:t>
      </w:r>
    </w:p>
    <w:p w14:paraId="7D05C350" w14:textId="77777777" w:rsidR="00C24AB2" w:rsidRDefault="00C24AB2" w:rsidP="00C24AB2">
      <w:pPr>
        <w:spacing w:after="28"/>
        <w:ind w:left="-15" w:right="0"/>
      </w:pPr>
      <w:r w:rsidRPr="00A2043D">
        <w:t xml:space="preserve">Load testing was conducted using Apache JMeter with thread groups ramped from 10 to 500 concurrent virtual users over a 120-second period. Each virtual user executes a session comprising login, listing feed retrieval, a single listing detail view, and logout. Median response latencies across all request </w:t>
      </w:r>
    </w:p>
    <w:p w14:paraId="6122D277" w14:textId="77777777" w:rsidR="00C24AB2" w:rsidRDefault="00C24AB2" w:rsidP="00C24AB2">
      <w:pPr>
        <w:spacing w:after="28"/>
        <w:ind w:left="-15" w:right="0"/>
      </w:pPr>
      <w:r w:rsidRPr="00A2043D">
        <w:rPr>
          <w:rFonts w:eastAsia="Calibri"/>
        </w:rPr>
        <w:t xml:space="preserve">Algorithm 1 </w:t>
      </w:r>
      <w:r w:rsidRPr="00A2043D">
        <w:t>Geofenced Inventory Retrieval</w:t>
      </w:r>
    </w:p>
    <w:p w14:paraId="0FF1098F" w14:textId="77777777" w:rsidR="00C24AB2" w:rsidRPr="00A2043D" w:rsidRDefault="00C24AB2" w:rsidP="00C24AB2">
      <w:pPr>
        <w:ind w:left="324" w:right="0" w:hanging="339"/>
      </w:pPr>
      <w:r w:rsidRPr="00A2043D">
        <w:rPr>
          <w:rFonts w:eastAsia="Calibri"/>
        </w:rPr>
        <w:t xml:space="preserve">Require: </w:t>
      </w:r>
      <w:r w:rsidRPr="00A2043D">
        <w:t xml:space="preserve">User session </w:t>
      </w:r>
      <w:r w:rsidRPr="00A2043D">
        <w:rPr>
          <w:rFonts w:eastAsia="Cambria"/>
          <w:i/>
        </w:rPr>
        <w:t>u</w:t>
      </w:r>
      <w:r w:rsidRPr="00A2043D">
        <w:t xml:space="preserve">, community radius </w:t>
      </w:r>
      <w:r w:rsidRPr="00A2043D">
        <w:rPr>
          <w:rFonts w:eastAsia="Cambria"/>
          <w:i/>
        </w:rPr>
        <w:t>r</w:t>
      </w:r>
      <w:r w:rsidRPr="00A2043D">
        <w:t xml:space="preserve">, listing status filter </w:t>
      </w:r>
      <w:r w:rsidRPr="00A2043D">
        <w:rPr>
          <w:rFonts w:eastAsia="Cambria"/>
          <w:i/>
        </w:rPr>
        <w:t>s</w:t>
      </w:r>
    </w:p>
    <w:p w14:paraId="2D085CC3" w14:textId="77777777" w:rsidR="00C24AB2" w:rsidRPr="00A2043D" w:rsidRDefault="00C24AB2" w:rsidP="00C24AB2">
      <w:pPr>
        <w:spacing w:after="29"/>
        <w:ind w:left="-15" w:right="0" w:firstLine="0"/>
      </w:pPr>
      <w:r w:rsidRPr="00A2043D">
        <w:rPr>
          <w:rFonts w:eastAsia="Calibri"/>
        </w:rPr>
        <w:t xml:space="preserve">Ensure: </w:t>
      </w:r>
      <w:r w:rsidRPr="00A2043D">
        <w:t xml:space="preserve">Ordered list of listings </w:t>
      </w:r>
      <w:r w:rsidRPr="00A2043D">
        <w:rPr>
          <w:rFonts w:eastAsia="Cambria"/>
          <w:i/>
        </w:rPr>
        <w:t xml:space="preserve">L </w:t>
      </w:r>
      <w:r w:rsidRPr="00A2043D">
        <w:t xml:space="preserve">within radius </w:t>
      </w:r>
      <w:r w:rsidRPr="00A2043D">
        <w:rPr>
          <w:rFonts w:eastAsia="Cambria"/>
          <w:i/>
        </w:rPr>
        <w:t xml:space="preserve">r </w:t>
      </w:r>
      <w:r w:rsidRPr="00A2043D">
        <w:t xml:space="preserve">of user </w:t>
      </w:r>
      <w:r w:rsidRPr="00A2043D">
        <w:rPr>
          <w:rFonts w:eastAsia="Cambria"/>
          <w:i/>
        </w:rPr>
        <w:t>u</w:t>
      </w:r>
    </w:p>
    <w:p w14:paraId="34DB65F4" w14:textId="77777777" w:rsidR="00C24AB2" w:rsidRPr="00A2043D" w:rsidRDefault="00C24AB2" w:rsidP="00C24AB2">
      <w:pPr>
        <w:spacing w:after="39"/>
        <w:ind w:left="115" w:right="0" w:firstLine="0"/>
      </w:pPr>
      <w:r w:rsidRPr="00A2043D">
        <w:rPr>
          <w:sz w:val="16"/>
        </w:rPr>
        <w:t xml:space="preserve">1: </w:t>
      </w:r>
      <w:r w:rsidRPr="00A2043D">
        <w:t xml:space="preserve">Retrieve </w:t>
      </w:r>
      <w:r w:rsidRPr="00A2043D">
        <w:rPr>
          <w:rFonts w:eastAsia="Cambria"/>
        </w:rPr>
        <w:t>(</w:t>
      </w:r>
      <w:r w:rsidRPr="00A2043D">
        <w:rPr>
          <w:rFonts w:eastAsia="Cambria"/>
          <w:i/>
        </w:rPr>
        <w:t>ϕ</w:t>
      </w:r>
      <w:r w:rsidRPr="00A2043D">
        <w:rPr>
          <w:rFonts w:eastAsia="Cambria"/>
          <w:i/>
          <w:vertAlign w:val="subscript"/>
        </w:rPr>
        <w:t>u</w:t>
      </w:r>
      <w:r w:rsidRPr="00A2043D">
        <w:rPr>
          <w:rFonts w:eastAsia="Cambria"/>
          <w:i/>
        </w:rPr>
        <w:t>,λ</w:t>
      </w:r>
      <w:r w:rsidRPr="00A2043D">
        <w:rPr>
          <w:rFonts w:eastAsia="Cambria"/>
          <w:i/>
          <w:vertAlign w:val="subscript"/>
        </w:rPr>
        <w:t>u</w:t>
      </w:r>
      <w:r w:rsidRPr="00A2043D">
        <w:rPr>
          <w:rFonts w:eastAsia="Cambria"/>
        </w:rPr>
        <w:t xml:space="preserve">) ← </w:t>
      </w:r>
      <w:r w:rsidRPr="00A2043D">
        <w:rPr>
          <w:rFonts w:eastAsia="Calibri"/>
        </w:rPr>
        <w:t>Geolocations</w:t>
      </w:r>
      <w:r w:rsidRPr="00A2043D">
        <w:t>[</w:t>
      </w:r>
      <w:r w:rsidRPr="00A2043D">
        <w:rPr>
          <w:rFonts w:eastAsia="Cambria"/>
          <w:i/>
        </w:rPr>
        <w:t>u</w:t>
      </w:r>
      <w:r w:rsidRPr="00A2043D">
        <w:t>.user id]</w:t>
      </w:r>
    </w:p>
    <w:p w14:paraId="5FE3158F" w14:textId="77777777" w:rsidR="00C24AB2" w:rsidRPr="00A2043D" w:rsidRDefault="00C24AB2" w:rsidP="00C24AB2">
      <w:pPr>
        <w:spacing w:after="39" w:line="259" w:lineRule="auto"/>
        <w:ind w:left="110" w:right="0"/>
        <w:jc w:val="left"/>
      </w:pPr>
      <w:r w:rsidRPr="00A2043D">
        <w:rPr>
          <w:sz w:val="16"/>
        </w:rPr>
        <w:t xml:space="preserve">2: </w:t>
      </w:r>
      <w:r w:rsidRPr="00A2043D">
        <w:rPr>
          <w:rFonts w:eastAsia="Cambria"/>
          <w:i/>
        </w:rPr>
        <w:t>δ</w:t>
      </w:r>
      <w:r w:rsidRPr="00A2043D">
        <w:rPr>
          <w:rFonts w:eastAsia="Cambria"/>
          <w:i/>
          <w:vertAlign w:val="subscript"/>
        </w:rPr>
        <w:t xml:space="preserve">ϕ </w:t>
      </w:r>
      <w:r w:rsidRPr="00A2043D">
        <w:rPr>
          <w:rFonts w:eastAsia="Cambria"/>
        </w:rPr>
        <w:t xml:space="preserve">← </w:t>
      </w:r>
      <w:r w:rsidRPr="00A2043D">
        <w:rPr>
          <w:rFonts w:eastAsia="Cambria"/>
          <w:i/>
        </w:rPr>
        <w:t>r/</w:t>
      </w:r>
      <w:r w:rsidRPr="00A2043D">
        <w:rPr>
          <w:rFonts w:eastAsia="Cambria"/>
        </w:rPr>
        <w:t>111</w:t>
      </w:r>
      <w:r w:rsidRPr="00A2043D">
        <w:rPr>
          <w:rFonts w:eastAsia="Cambria"/>
          <w:i/>
        </w:rPr>
        <w:t>.</w:t>
      </w:r>
      <w:r w:rsidRPr="00A2043D">
        <w:rPr>
          <w:rFonts w:eastAsia="Cambria"/>
        </w:rPr>
        <w:t>32</w:t>
      </w:r>
    </w:p>
    <w:p w14:paraId="25BEF993" w14:textId="77777777" w:rsidR="00C24AB2" w:rsidRPr="00A2043D" w:rsidRDefault="00C24AB2" w:rsidP="00C24AB2">
      <w:pPr>
        <w:spacing w:after="39" w:line="259" w:lineRule="auto"/>
        <w:ind w:left="110" w:right="0"/>
        <w:jc w:val="left"/>
      </w:pPr>
      <w:r w:rsidRPr="00A2043D">
        <w:rPr>
          <w:sz w:val="16"/>
        </w:rPr>
        <w:t xml:space="preserve">3: </w:t>
      </w:r>
      <w:r w:rsidRPr="00A2043D">
        <w:rPr>
          <w:rFonts w:eastAsia="Cambria"/>
          <w:i/>
        </w:rPr>
        <w:t>δ</w:t>
      </w:r>
      <w:r w:rsidRPr="00A2043D">
        <w:rPr>
          <w:rFonts w:eastAsia="Cambria"/>
          <w:i/>
          <w:vertAlign w:val="subscript"/>
        </w:rPr>
        <w:t xml:space="preserve">λ </w:t>
      </w:r>
      <w:r w:rsidRPr="00A2043D">
        <w:rPr>
          <w:rFonts w:eastAsia="Cambria"/>
        </w:rPr>
        <w:t xml:space="preserve">← </w:t>
      </w:r>
      <w:r w:rsidRPr="00A2043D">
        <w:rPr>
          <w:rFonts w:eastAsia="Cambria"/>
          <w:i/>
        </w:rPr>
        <w:t>r/</w:t>
      </w:r>
      <w:r w:rsidRPr="00A2043D">
        <w:rPr>
          <w:rFonts w:eastAsia="Cambria"/>
        </w:rPr>
        <w:t>(111</w:t>
      </w:r>
      <w:r w:rsidRPr="00A2043D">
        <w:rPr>
          <w:rFonts w:eastAsia="Cambria"/>
          <w:i/>
        </w:rPr>
        <w:t>.</w:t>
      </w:r>
      <w:r w:rsidRPr="00A2043D">
        <w:rPr>
          <w:rFonts w:eastAsia="Cambria"/>
        </w:rPr>
        <w:t>32 · cos(</w:t>
      </w:r>
      <w:r w:rsidRPr="00A2043D">
        <w:rPr>
          <w:rFonts w:eastAsia="Cambria"/>
          <w:i/>
        </w:rPr>
        <w:t>ϕ</w:t>
      </w:r>
      <w:r w:rsidRPr="00A2043D">
        <w:rPr>
          <w:rFonts w:eastAsia="Cambria"/>
          <w:i/>
          <w:vertAlign w:val="subscript"/>
        </w:rPr>
        <w:t xml:space="preserve">u </w:t>
      </w:r>
      <w:r w:rsidRPr="00A2043D">
        <w:rPr>
          <w:rFonts w:eastAsia="Cambria"/>
        </w:rPr>
        <w:t xml:space="preserve">· </w:t>
      </w:r>
      <w:r w:rsidRPr="00A2043D">
        <w:rPr>
          <w:rFonts w:eastAsia="Cambria"/>
          <w:i/>
        </w:rPr>
        <w:t>π/</w:t>
      </w:r>
      <w:r w:rsidRPr="00A2043D">
        <w:rPr>
          <w:rFonts w:eastAsia="Cambria"/>
        </w:rPr>
        <w:t>180))</w:t>
      </w:r>
    </w:p>
    <w:p w14:paraId="2A794216" w14:textId="77777777" w:rsidR="00C24AB2" w:rsidRPr="00A2043D" w:rsidRDefault="00C24AB2" w:rsidP="00C24AB2">
      <w:pPr>
        <w:spacing w:after="15" w:line="259" w:lineRule="auto"/>
        <w:ind w:left="115" w:right="0" w:firstLine="0"/>
        <w:jc w:val="left"/>
      </w:pPr>
      <w:r w:rsidRPr="00A2043D">
        <w:rPr>
          <w:sz w:val="16"/>
        </w:rPr>
        <w:t xml:space="preserve">4: </w:t>
      </w:r>
      <w:r w:rsidRPr="00A2043D">
        <w:t xml:space="preserve">bbox </w:t>
      </w:r>
      <w:r w:rsidRPr="00A2043D">
        <w:rPr>
          <w:rFonts w:eastAsia="Cambria"/>
        </w:rPr>
        <w:t>← [</w:t>
      </w:r>
      <w:r w:rsidRPr="00A2043D">
        <w:rPr>
          <w:rFonts w:eastAsia="Cambria"/>
          <w:i/>
        </w:rPr>
        <w:t>ϕ</w:t>
      </w:r>
      <w:r w:rsidRPr="00A2043D">
        <w:rPr>
          <w:rFonts w:eastAsia="Cambria"/>
          <w:i/>
          <w:vertAlign w:val="subscript"/>
        </w:rPr>
        <w:t xml:space="preserve">u </w:t>
      </w:r>
      <w:r w:rsidRPr="00A2043D">
        <w:rPr>
          <w:rFonts w:eastAsia="Cambria"/>
        </w:rPr>
        <w:t xml:space="preserve">− </w:t>
      </w:r>
      <w:r w:rsidRPr="00A2043D">
        <w:rPr>
          <w:rFonts w:eastAsia="Cambria"/>
          <w:i/>
        </w:rPr>
        <w:t>δ</w:t>
      </w:r>
      <w:r w:rsidRPr="00A2043D">
        <w:rPr>
          <w:rFonts w:eastAsia="Cambria"/>
          <w:i/>
          <w:vertAlign w:val="subscript"/>
        </w:rPr>
        <w:t>ϕ</w:t>
      </w:r>
      <w:r w:rsidRPr="00A2043D">
        <w:rPr>
          <w:rFonts w:eastAsia="Cambria"/>
          <w:i/>
        </w:rPr>
        <w:t>, ϕ</w:t>
      </w:r>
      <w:r w:rsidRPr="00A2043D">
        <w:rPr>
          <w:rFonts w:eastAsia="Cambria"/>
          <w:i/>
          <w:vertAlign w:val="subscript"/>
        </w:rPr>
        <w:t xml:space="preserve">u </w:t>
      </w:r>
      <w:r w:rsidRPr="00A2043D">
        <w:rPr>
          <w:rFonts w:eastAsia="Cambria"/>
        </w:rPr>
        <w:t xml:space="preserve">+ </w:t>
      </w:r>
      <w:r w:rsidRPr="00A2043D">
        <w:rPr>
          <w:rFonts w:eastAsia="Cambria"/>
          <w:i/>
        </w:rPr>
        <w:t>δ</w:t>
      </w:r>
      <w:r w:rsidRPr="00A2043D">
        <w:rPr>
          <w:rFonts w:eastAsia="Cambria"/>
          <w:i/>
          <w:vertAlign w:val="subscript"/>
        </w:rPr>
        <w:t>ϕ</w:t>
      </w:r>
      <w:r w:rsidRPr="00A2043D">
        <w:rPr>
          <w:rFonts w:eastAsia="Cambria"/>
          <w:i/>
        </w:rPr>
        <w:t>, λ</w:t>
      </w:r>
      <w:r w:rsidRPr="00A2043D">
        <w:rPr>
          <w:rFonts w:eastAsia="Cambria"/>
          <w:i/>
          <w:vertAlign w:val="subscript"/>
        </w:rPr>
        <w:t xml:space="preserve">u </w:t>
      </w:r>
      <w:r w:rsidRPr="00A2043D">
        <w:rPr>
          <w:rFonts w:eastAsia="Cambria"/>
        </w:rPr>
        <w:t xml:space="preserve">− </w:t>
      </w:r>
      <w:r w:rsidRPr="00A2043D">
        <w:rPr>
          <w:rFonts w:eastAsia="Cambria"/>
          <w:i/>
        </w:rPr>
        <w:t>δ</w:t>
      </w:r>
      <w:r w:rsidRPr="00A2043D">
        <w:rPr>
          <w:rFonts w:eastAsia="Cambria"/>
          <w:i/>
          <w:vertAlign w:val="subscript"/>
        </w:rPr>
        <w:t>λ</w:t>
      </w:r>
      <w:r w:rsidRPr="00A2043D">
        <w:rPr>
          <w:rFonts w:eastAsia="Cambria"/>
          <w:i/>
        </w:rPr>
        <w:t>, λ</w:t>
      </w:r>
      <w:r w:rsidRPr="00A2043D">
        <w:rPr>
          <w:rFonts w:eastAsia="Cambria"/>
          <w:i/>
          <w:vertAlign w:val="subscript"/>
        </w:rPr>
        <w:t xml:space="preserve">u </w:t>
      </w:r>
      <w:r w:rsidRPr="00A2043D">
        <w:rPr>
          <w:rFonts w:eastAsia="Cambria"/>
        </w:rPr>
        <w:t xml:space="preserve">+ </w:t>
      </w:r>
      <w:r w:rsidRPr="00A2043D">
        <w:rPr>
          <w:rFonts w:eastAsia="Cambria"/>
          <w:i/>
        </w:rPr>
        <w:t>δ</w:t>
      </w:r>
      <w:r w:rsidRPr="00A2043D">
        <w:rPr>
          <w:rFonts w:eastAsia="Cambria"/>
          <w:i/>
          <w:vertAlign w:val="subscript"/>
        </w:rPr>
        <w:t>λ</w:t>
      </w:r>
      <w:r w:rsidRPr="00A2043D">
        <w:rPr>
          <w:rFonts w:eastAsia="Cambria"/>
        </w:rPr>
        <w:t>]</w:t>
      </w:r>
    </w:p>
    <w:p w14:paraId="08E91CFD" w14:textId="77777777" w:rsidR="00C24AB2" w:rsidRPr="00A2043D" w:rsidRDefault="00C24AB2" w:rsidP="00C24AB2">
      <w:pPr>
        <w:ind w:left="339" w:right="0" w:hanging="224"/>
      </w:pPr>
      <w:r w:rsidRPr="00A2043D">
        <w:rPr>
          <w:sz w:val="16"/>
        </w:rPr>
        <w:t xml:space="preserve">5: </w:t>
      </w:r>
      <w:r w:rsidRPr="00A2043D">
        <w:rPr>
          <w:rFonts w:eastAsia="Cambria"/>
          <w:i/>
        </w:rPr>
        <w:t xml:space="preserve">C </w:t>
      </w:r>
      <w:r w:rsidRPr="00A2043D">
        <w:rPr>
          <w:rFonts w:eastAsia="Cambria"/>
        </w:rPr>
        <w:t xml:space="preserve">← </w:t>
      </w:r>
      <w:r w:rsidRPr="00A2043D">
        <w:t xml:space="preserve">SQL SELECT listings WHERE geolocation within bbox AND status </w:t>
      </w:r>
      <w:r w:rsidRPr="00A2043D">
        <w:rPr>
          <w:rFonts w:eastAsia="Cambria"/>
        </w:rPr>
        <w:t xml:space="preserve">= </w:t>
      </w:r>
      <w:r w:rsidRPr="00A2043D">
        <w:rPr>
          <w:rFonts w:eastAsia="Cambria"/>
          <w:i/>
        </w:rPr>
        <w:t>s</w:t>
      </w:r>
    </w:p>
    <w:p w14:paraId="7209C4F6" w14:textId="77777777" w:rsidR="00C24AB2" w:rsidRPr="00A2043D" w:rsidRDefault="00C24AB2" w:rsidP="00C24AB2">
      <w:pPr>
        <w:ind w:left="115" w:right="0" w:firstLine="0"/>
      </w:pPr>
      <w:r w:rsidRPr="00A2043D">
        <w:rPr>
          <w:sz w:val="16"/>
        </w:rPr>
        <w:t xml:space="preserve">6: </w:t>
      </w:r>
      <w:r w:rsidRPr="00A2043D">
        <w:rPr>
          <w:rFonts w:eastAsia="Cambria"/>
          <w:i/>
        </w:rPr>
        <w:t xml:space="preserve">L </w:t>
      </w:r>
      <w:r w:rsidRPr="00A2043D">
        <w:rPr>
          <w:rFonts w:eastAsia="Cambria"/>
        </w:rPr>
        <w:t xml:space="preserve">← </w:t>
      </w:r>
      <w:r w:rsidRPr="00A2043D">
        <w:t>empty list</w:t>
      </w:r>
    </w:p>
    <w:p w14:paraId="7BD61443" w14:textId="77777777" w:rsidR="00C24AB2" w:rsidRPr="00A2043D" w:rsidRDefault="00C24AB2" w:rsidP="00C24AB2">
      <w:pPr>
        <w:spacing w:after="27"/>
        <w:ind w:left="115" w:right="2205" w:firstLine="0"/>
      </w:pPr>
      <w:r w:rsidRPr="00A2043D">
        <w:rPr>
          <w:sz w:val="16"/>
        </w:rPr>
        <w:t xml:space="preserve">7: </w:t>
      </w:r>
      <w:r w:rsidRPr="00A2043D">
        <w:rPr>
          <w:rFonts w:eastAsia="Calibri"/>
        </w:rPr>
        <w:t xml:space="preserve">for </w:t>
      </w:r>
      <w:r w:rsidRPr="00A2043D">
        <w:t xml:space="preserve">each candidate </w:t>
      </w:r>
      <w:r w:rsidRPr="00A2043D">
        <w:rPr>
          <w:rFonts w:eastAsia="Cambria"/>
          <w:i/>
        </w:rPr>
        <w:t xml:space="preserve">c </w:t>
      </w:r>
      <w:r w:rsidRPr="00A2043D">
        <w:rPr>
          <w:rFonts w:ascii="Cambria Math" w:eastAsia="Cambria" w:hAnsi="Cambria Math" w:cs="Cambria Math"/>
        </w:rPr>
        <w:t>∈</w:t>
      </w:r>
      <w:r w:rsidRPr="00A2043D">
        <w:rPr>
          <w:rFonts w:eastAsia="Cambria"/>
        </w:rPr>
        <w:t xml:space="preserve"> </w:t>
      </w:r>
      <w:r w:rsidRPr="00A2043D">
        <w:rPr>
          <w:rFonts w:eastAsia="Cambria"/>
          <w:i/>
        </w:rPr>
        <w:t xml:space="preserve">C </w:t>
      </w:r>
      <w:r w:rsidRPr="00A2043D">
        <w:rPr>
          <w:rFonts w:eastAsia="Calibri"/>
        </w:rPr>
        <w:t xml:space="preserve">do </w:t>
      </w:r>
      <w:r w:rsidRPr="00A2043D">
        <w:rPr>
          <w:sz w:val="16"/>
        </w:rPr>
        <w:t>8:</w:t>
      </w:r>
      <w:r w:rsidRPr="00A2043D">
        <w:rPr>
          <w:sz w:val="16"/>
        </w:rPr>
        <w:tab/>
      </w:r>
      <w:r w:rsidRPr="00A2043D">
        <w:rPr>
          <w:rFonts w:eastAsia="Cambria"/>
        </w:rPr>
        <w:t>(</w:t>
      </w:r>
      <w:r w:rsidRPr="00A2043D">
        <w:rPr>
          <w:rFonts w:eastAsia="Cambria"/>
          <w:i/>
        </w:rPr>
        <w:t>ϕ</w:t>
      </w:r>
      <w:r w:rsidRPr="00A2043D">
        <w:rPr>
          <w:rFonts w:eastAsia="Cambria"/>
          <w:i/>
          <w:vertAlign w:val="subscript"/>
        </w:rPr>
        <w:t>c</w:t>
      </w:r>
      <w:r w:rsidRPr="00A2043D">
        <w:rPr>
          <w:rFonts w:eastAsia="Cambria"/>
          <w:i/>
        </w:rPr>
        <w:t>,λ</w:t>
      </w:r>
      <w:r w:rsidRPr="00A2043D">
        <w:rPr>
          <w:rFonts w:eastAsia="Cambria"/>
          <w:i/>
          <w:vertAlign w:val="subscript"/>
        </w:rPr>
        <w:t>c</w:t>
      </w:r>
      <w:r w:rsidRPr="00A2043D">
        <w:rPr>
          <w:rFonts w:eastAsia="Cambria"/>
        </w:rPr>
        <w:t xml:space="preserve">) ← </w:t>
      </w:r>
      <w:r w:rsidRPr="00A2043D">
        <w:rPr>
          <w:rFonts w:eastAsia="Cambria"/>
          <w:i/>
        </w:rPr>
        <w:t>c</w:t>
      </w:r>
      <w:r w:rsidRPr="00A2043D">
        <w:t>.</w:t>
      </w:r>
      <w:r w:rsidRPr="00A2043D">
        <w:rPr>
          <w:rFonts w:eastAsia="Calibri"/>
        </w:rPr>
        <w:t>lat</w:t>
      </w:r>
      <w:r w:rsidRPr="00A2043D">
        <w:t xml:space="preserve">, </w:t>
      </w:r>
      <w:r w:rsidRPr="00A2043D">
        <w:rPr>
          <w:rFonts w:eastAsia="Cambria"/>
          <w:i/>
        </w:rPr>
        <w:t>c</w:t>
      </w:r>
      <w:r w:rsidRPr="00A2043D">
        <w:t>.</w:t>
      </w:r>
      <w:r w:rsidRPr="00A2043D">
        <w:rPr>
          <w:rFonts w:eastAsia="Calibri"/>
        </w:rPr>
        <w:t>lng</w:t>
      </w:r>
    </w:p>
    <w:p w14:paraId="5ED45B21" w14:textId="77777777" w:rsidR="00C24AB2" w:rsidRPr="00A2043D" w:rsidRDefault="00C24AB2" w:rsidP="00C24AB2">
      <w:pPr>
        <w:spacing w:after="51" w:line="259" w:lineRule="auto"/>
        <w:ind w:left="35" w:right="0" w:firstLine="0"/>
        <w:jc w:val="left"/>
      </w:pPr>
      <w:r w:rsidRPr="00A2043D">
        <w:rPr>
          <w:noProof/>
        </w:rPr>
        <w:drawing>
          <wp:inline distT="0" distB="0" distL="0" distR="0" wp14:anchorId="50C6D8A4" wp14:editId="7771DE4C">
            <wp:extent cx="3148584" cy="740664"/>
            <wp:effectExtent l="0" t="0" r="0" b="0"/>
            <wp:docPr id="19873" name="Picture 19873"/>
            <wp:cNvGraphicFramePr/>
            <a:graphic xmlns:a="http://schemas.openxmlformats.org/drawingml/2006/main">
              <a:graphicData uri="http://schemas.openxmlformats.org/drawingml/2006/picture">
                <pic:pic xmlns:pic="http://schemas.openxmlformats.org/drawingml/2006/picture">
                  <pic:nvPicPr>
                    <pic:cNvPr id="19873" name="Picture 19873"/>
                    <pic:cNvPicPr/>
                  </pic:nvPicPr>
                  <pic:blipFill>
                    <a:blip r:embed="rId7"/>
                    <a:stretch>
                      <a:fillRect/>
                    </a:stretch>
                  </pic:blipFill>
                  <pic:spPr>
                    <a:xfrm>
                      <a:off x="0" y="0"/>
                      <a:ext cx="3148584" cy="740664"/>
                    </a:xfrm>
                    <a:prstGeom prst="rect">
                      <a:avLst/>
                    </a:prstGeom>
                  </pic:spPr>
                </pic:pic>
              </a:graphicData>
            </a:graphic>
          </wp:inline>
        </w:drawing>
      </w:r>
    </w:p>
    <w:p w14:paraId="13B8E685" w14:textId="77777777" w:rsidR="00C24AB2" w:rsidRPr="00A2043D" w:rsidRDefault="00C24AB2" w:rsidP="00C24AB2">
      <w:pPr>
        <w:tabs>
          <w:tab w:val="center" w:pos="1089"/>
        </w:tabs>
        <w:spacing w:after="4" w:line="259" w:lineRule="auto"/>
        <w:ind w:left="0" w:right="0" w:firstLine="0"/>
        <w:jc w:val="left"/>
      </w:pPr>
      <w:r w:rsidRPr="00A2043D">
        <w:rPr>
          <w:sz w:val="16"/>
        </w:rPr>
        <w:t>13:</w:t>
      </w:r>
      <w:r w:rsidRPr="00A2043D">
        <w:rPr>
          <w:sz w:val="16"/>
        </w:rPr>
        <w:tab/>
      </w:r>
      <w:r w:rsidRPr="00A2043D">
        <w:rPr>
          <w:rFonts w:eastAsia="Calibri"/>
        </w:rPr>
        <w:t xml:space="preserve">if </w:t>
      </w:r>
      <w:r w:rsidRPr="00A2043D">
        <w:rPr>
          <w:rFonts w:eastAsia="Cambria"/>
          <w:i/>
        </w:rPr>
        <w:t xml:space="preserve">d </w:t>
      </w:r>
      <w:r w:rsidRPr="00A2043D">
        <w:rPr>
          <w:rFonts w:eastAsia="Cambria"/>
        </w:rPr>
        <w:t xml:space="preserve">≤ </w:t>
      </w:r>
      <w:r w:rsidRPr="00A2043D">
        <w:rPr>
          <w:rFonts w:eastAsia="Cambria"/>
          <w:i/>
        </w:rPr>
        <w:t xml:space="preserve">r </w:t>
      </w:r>
      <w:r w:rsidRPr="00A2043D">
        <w:rPr>
          <w:rFonts w:eastAsia="Calibri"/>
        </w:rPr>
        <w:t>then</w:t>
      </w:r>
    </w:p>
    <w:p w14:paraId="37703483" w14:textId="77777777" w:rsidR="00C24AB2" w:rsidRPr="00A2043D" w:rsidRDefault="00C24AB2" w:rsidP="00C24AB2">
      <w:pPr>
        <w:tabs>
          <w:tab w:val="right" w:pos="5021"/>
        </w:tabs>
        <w:spacing w:after="32"/>
        <w:ind w:left="-15" w:right="0" w:firstLine="0"/>
        <w:jc w:val="left"/>
      </w:pPr>
      <w:r w:rsidRPr="00A2043D">
        <w:rPr>
          <w:sz w:val="16"/>
        </w:rPr>
        <w:t>14:</w:t>
      </w:r>
      <w:r w:rsidRPr="00A2043D">
        <w:rPr>
          <w:sz w:val="16"/>
        </w:rPr>
        <w:tab/>
      </w:r>
      <w:r w:rsidRPr="00A2043D">
        <w:t xml:space="preserve">score </w:t>
      </w:r>
      <w:r w:rsidRPr="00A2043D">
        <w:rPr>
          <w:rFonts w:eastAsia="Cambria"/>
        </w:rPr>
        <w:t xml:space="preserve">← </w:t>
      </w:r>
      <w:r w:rsidRPr="00A2043D">
        <w:rPr>
          <w:rFonts w:eastAsia="Calibri"/>
        </w:rPr>
        <w:t>TrustScore</w:t>
      </w:r>
      <w:r w:rsidRPr="00A2043D">
        <w:t>(</w:t>
      </w:r>
      <w:r w:rsidRPr="00A2043D">
        <w:rPr>
          <w:rFonts w:eastAsia="Cambria"/>
          <w:i/>
        </w:rPr>
        <w:t>c</w:t>
      </w:r>
      <w:r w:rsidRPr="00A2043D">
        <w:t xml:space="preserve">.seller) </w:t>
      </w:r>
      <w:r w:rsidRPr="00A2043D">
        <w:rPr>
          <w:rFonts w:eastAsia="Cambria"/>
        </w:rPr>
        <w:t>·0</w:t>
      </w:r>
      <w:r w:rsidRPr="00A2043D">
        <w:rPr>
          <w:rFonts w:eastAsia="Cambria"/>
          <w:i/>
        </w:rPr>
        <w:t>.</w:t>
      </w:r>
      <w:r w:rsidRPr="00A2043D">
        <w:rPr>
          <w:rFonts w:eastAsia="Cambria"/>
        </w:rPr>
        <w:t xml:space="preserve">4 </w:t>
      </w:r>
      <w:r w:rsidRPr="00A2043D">
        <w:t xml:space="preserve">+ </w:t>
      </w:r>
      <w:r w:rsidRPr="00A2043D">
        <w:rPr>
          <w:rFonts w:eastAsia="Calibri"/>
        </w:rPr>
        <w:t>Recency</w:t>
      </w:r>
      <w:r w:rsidRPr="00A2043D">
        <w:t>(</w:t>
      </w:r>
      <w:r w:rsidRPr="00A2043D">
        <w:rPr>
          <w:rFonts w:eastAsia="Cambria"/>
          <w:i/>
        </w:rPr>
        <w:t>c</w:t>
      </w:r>
      <w:r w:rsidRPr="00A2043D">
        <w:t>)</w:t>
      </w:r>
    </w:p>
    <w:p w14:paraId="669B6845" w14:textId="77777777" w:rsidR="00C24AB2" w:rsidRPr="00A2043D" w:rsidRDefault="00C24AB2" w:rsidP="00C24AB2">
      <w:pPr>
        <w:spacing w:after="21" w:line="259" w:lineRule="auto"/>
        <w:ind w:left="747" w:right="0"/>
        <w:jc w:val="left"/>
      </w:pPr>
      <w:r w:rsidRPr="00A2043D">
        <w:rPr>
          <w:rFonts w:eastAsia="Cambria"/>
        </w:rPr>
        <w:t>·0</w:t>
      </w:r>
      <w:r w:rsidRPr="00A2043D">
        <w:rPr>
          <w:rFonts w:eastAsia="Cambria"/>
          <w:i/>
        </w:rPr>
        <w:t>.</w:t>
      </w:r>
      <w:r w:rsidRPr="00A2043D">
        <w:rPr>
          <w:rFonts w:eastAsia="Cambria"/>
        </w:rPr>
        <w:t xml:space="preserve">3 </w:t>
      </w:r>
      <w:r w:rsidRPr="00A2043D">
        <w:t xml:space="preserve">+ </w:t>
      </w:r>
      <w:r w:rsidRPr="00A2043D">
        <w:rPr>
          <w:rFonts w:eastAsia="Calibri"/>
        </w:rPr>
        <w:t>PopularityInv</w:t>
      </w:r>
      <w:r w:rsidRPr="00A2043D">
        <w:t>(</w:t>
      </w:r>
      <w:r w:rsidRPr="00A2043D">
        <w:rPr>
          <w:rFonts w:eastAsia="Cambria"/>
          <w:i/>
        </w:rPr>
        <w:t>c</w:t>
      </w:r>
      <w:r w:rsidRPr="00A2043D">
        <w:t xml:space="preserve">) </w:t>
      </w:r>
      <w:r w:rsidRPr="00A2043D">
        <w:rPr>
          <w:rFonts w:eastAsia="Cambria"/>
        </w:rPr>
        <w:t>·0</w:t>
      </w:r>
      <w:r w:rsidRPr="00A2043D">
        <w:rPr>
          <w:rFonts w:eastAsia="Cambria"/>
          <w:i/>
        </w:rPr>
        <w:t>.</w:t>
      </w:r>
      <w:r w:rsidRPr="00A2043D">
        <w:rPr>
          <w:rFonts w:eastAsia="Cambria"/>
        </w:rPr>
        <w:t>3</w:t>
      </w:r>
    </w:p>
    <w:p w14:paraId="72FC015F" w14:textId="77777777" w:rsidR="00C24AB2" w:rsidRPr="00A2043D" w:rsidRDefault="00C24AB2" w:rsidP="00C24AB2">
      <w:pPr>
        <w:tabs>
          <w:tab w:val="center" w:pos="1774"/>
        </w:tabs>
        <w:ind w:left="-15" w:right="0" w:firstLine="0"/>
        <w:jc w:val="left"/>
      </w:pPr>
      <w:r w:rsidRPr="00A2043D">
        <w:rPr>
          <w:sz w:val="16"/>
        </w:rPr>
        <w:t>15:</w:t>
      </w:r>
      <w:r w:rsidRPr="00A2043D">
        <w:rPr>
          <w:sz w:val="16"/>
        </w:rPr>
        <w:tab/>
      </w:r>
      <w:r w:rsidRPr="00A2043D">
        <w:t xml:space="preserve">Append </w:t>
      </w:r>
      <w:r w:rsidRPr="00A2043D">
        <w:rPr>
          <w:rFonts w:eastAsia="Cambria"/>
        </w:rPr>
        <w:t>(</w:t>
      </w:r>
      <w:r w:rsidRPr="00A2043D">
        <w:rPr>
          <w:rFonts w:eastAsia="Cambria"/>
          <w:i/>
        </w:rPr>
        <w:t>c,</w:t>
      </w:r>
      <w:r w:rsidRPr="00A2043D">
        <w:t>score</w:t>
      </w:r>
      <w:r w:rsidRPr="00A2043D">
        <w:rPr>
          <w:rFonts w:eastAsia="Cambria"/>
          <w:i/>
        </w:rPr>
        <w:t>,d</w:t>
      </w:r>
      <w:r w:rsidRPr="00A2043D">
        <w:rPr>
          <w:rFonts w:eastAsia="Cambria"/>
        </w:rPr>
        <w:t xml:space="preserve">) </w:t>
      </w:r>
      <w:r w:rsidRPr="00A2043D">
        <w:t xml:space="preserve">to </w:t>
      </w:r>
      <w:r w:rsidRPr="00A2043D">
        <w:rPr>
          <w:rFonts w:eastAsia="Cambria"/>
          <w:i/>
        </w:rPr>
        <w:t>L</w:t>
      </w:r>
    </w:p>
    <w:p w14:paraId="48CD7F57" w14:textId="77777777" w:rsidR="00C24AB2" w:rsidRPr="00A2043D" w:rsidRDefault="00C24AB2" w:rsidP="00C24AB2">
      <w:pPr>
        <w:tabs>
          <w:tab w:val="center" w:pos="789"/>
        </w:tabs>
        <w:spacing w:after="4" w:line="259" w:lineRule="auto"/>
        <w:ind w:left="0" w:right="0" w:firstLine="0"/>
        <w:jc w:val="left"/>
      </w:pPr>
      <w:r w:rsidRPr="00A2043D">
        <w:rPr>
          <w:sz w:val="16"/>
        </w:rPr>
        <w:t>16:</w:t>
      </w:r>
      <w:r w:rsidRPr="00A2043D">
        <w:rPr>
          <w:sz w:val="16"/>
        </w:rPr>
        <w:tab/>
      </w:r>
      <w:r w:rsidRPr="00A2043D">
        <w:rPr>
          <w:rFonts w:eastAsia="Calibri"/>
        </w:rPr>
        <w:t>end if</w:t>
      </w:r>
    </w:p>
    <w:p w14:paraId="0E9B00C1" w14:textId="77777777" w:rsidR="00C24AB2" w:rsidRPr="00A2043D" w:rsidRDefault="00C24AB2" w:rsidP="00C24AB2">
      <w:pPr>
        <w:spacing w:after="4" w:line="259" w:lineRule="auto"/>
        <w:ind w:left="30" w:right="0"/>
        <w:jc w:val="left"/>
      </w:pPr>
      <w:r w:rsidRPr="00A2043D">
        <w:rPr>
          <w:sz w:val="16"/>
        </w:rPr>
        <w:t xml:space="preserve">17: </w:t>
      </w:r>
      <w:r w:rsidRPr="00A2043D">
        <w:rPr>
          <w:rFonts w:eastAsia="Calibri"/>
        </w:rPr>
        <w:t>end for</w:t>
      </w:r>
    </w:p>
    <w:p w14:paraId="6B789EEA" w14:textId="77777777" w:rsidR="00C24AB2" w:rsidRPr="00A2043D" w:rsidRDefault="00C24AB2" w:rsidP="00C24AB2">
      <w:pPr>
        <w:ind w:left="-15" w:right="2216" w:firstLine="0"/>
      </w:pPr>
      <w:r w:rsidRPr="00A2043D">
        <w:rPr>
          <w:sz w:val="16"/>
        </w:rPr>
        <w:t xml:space="preserve">18: </w:t>
      </w:r>
      <w:r w:rsidRPr="00A2043D">
        <w:t xml:space="preserve">Sort </w:t>
      </w:r>
      <w:r w:rsidRPr="00A2043D">
        <w:rPr>
          <w:rFonts w:eastAsia="Cambria"/>
          <w:i/>
        </w:rPr>
        <w:t xml:space="preserve">L </w:t>
      </w:r>
      <w:r w:rsidRPr="00A2043D">
        <w:t xml:space="preserve">descending by score </w:t>
      </w:r>
      <w:r w:rsidRPr="00A2043D">
        <w:rPr>
          <w:sz w:val="16"/>
        </w:rPr>
        <w:t xml:space="preserve">19: </w:t>
      </w:r>
      <w:r w:rsidRPr="00A2043D">
        <w:rPr>
          <w:rFonts w:eastAsia="Calibri"/>
        </w:rPr>
        <w:t xml:space="preserve">return </w:t>
      </w:r>
      <w:r w:rsidRPr="00A2043D">
        <w:rPr>
          <w:rFonts w:eastAsia="Cambria"/>
          <w:i/>
        </w:rPr>
        <w:t>L</w:t>
      </w:r>
    </w:p>
    <w:p w14:paraId="0D7556B2" w14:textId="77777777" w:rsidR="00C24AB2" w:rsidRPr="00A2043D" w:rsidRDefault="00C24AB2" w:rsidP="00C24AB2">
      <w:pPr>
        <w:spacing w:after="491" w:line="259" w:lineRule="auto"/>
        <w:ind w:left="0" w:right="0" w:firstLine="0"/>
        <w:jc w:val="left"/>
      </w:pPr>
      <w:r w:rsidRPr="00A2043D">
        <w:rPr>
          <w:noProof/>
          <w:sz w:val="22"/>
        </w:rPr>
        <mc:AlternateContent>
          <mc:Choice Requires="wpg">
            <w:drawing>
              <wp:inline distT="0" distB="0" distL="0" distR="0" wp14:anchorId="6669F7D4" wp14:editId="0A55615A">
                <wp:extent cx="3188449" cy="5055"/>
                <wp:effectExtent l="0" t="0" r="0" b="0"/>
                <wp:docPr id="19031" name="Group 19031"/>
                <wp:cNvGraphicFramePr/>
                <a:graphic xmlns:a="http://schemas.openxmlformats.org/drawingml/2006/main">
                  <a:graphicData uri="http://schemas.microsoft.com/office/word/2010/wordprocessingGroup">
                    <wpg:wgp>
                      <wpg:cNvGrpSpPr/>
                      <wpg:grpSpPr>
                        <a:xfrm>
                          <a:off x="0" y="0"/>
                          <a:ext cx="3188449" cy="5055"/>
                          <a:chOff x="0" y="0"/>
                          <a:chExt cx="3188449" cy="5055"/>
                        </a:xfrm>
                      </wpg:grpSpPr>
                      <wps:wsp>
                        <wps:cNvPr id="1260" name="Shape 1260"/>
                        <wps:cNvSpPr/>
                        <wps:spPr>
                          <a:xfrm>
                            <a:off x="0" y="0"/>
                            <a:ext cx="3188449" cy="0"/>
                          </a:xfrm>
                          <a:custGeom>
                            <a:avLst/>
                            <a:gdLst/>
                            <a:ahLst/>
                            <a:cxnLst/>
                            <a:rect l="0" t="0" r="0" b="0"/>
                            <a:pathLst>
                              <a:path w="3188449">
                                <a:moveTo>
                                  <a:pt x="0" y="0"/>
                                </a:moveTo>
                                <a:lnTo>
                                  <a:pt x="3188449"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F36FE7" id="Group 19031" o:spid="_x0000_s1026" style="width:251.05pt;height:.4pt;mso-position-horizontal-relative:char;mso-position-vertical-relative:line" coordsize="318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">
                <v:shape id="Shape 1260" o:spid="_x0000_s1027" style="position:absolute;width:31884;height:0;visibility:visible;mso-wrap-style:square;v-text-anchor:top" coordsize="3188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" path="m,l3188449,e" filled="f" strokeweight=".14042mm">
                  <v:stroke miterlimit="83231f" joinstyle="miter"/>
                  <v:path arrowok="t" textboxrect="0,0,3188449,0"/>
                </v:shape>
                <w10:anchorlock/>
              </v:group>
            </w:pict>
          </mc:Fallback>
        </mc:AlternateContent>
      </w:r>
    </w:p>
    <w:p w14:paraId="698B9C7D" w14:textId="77777777" w:rsidR="00C24AB2" w:rsidRPr="00A2043D" w:rsidRDefault="00C24AB2" w:rsidP="00C24AB2">
      <w:pPr>
        <w:ind w:left="-15" w:right="0" w:firstLine="0"/>
      </w:pPr>
      <w:r w:rsidRPr="00A2043D">
        <w:t>types remain below 140ms up to 200 concurrent users, consistent with the event-loop efficiency described in Section III-B. At 350 concurrent users, the 95th-percentile latency for the</w:t>
      </w:r>
    </w:p>
    <w:p w14:paraId="2BFF5F99" w14:textId="77777777" w:rsidR="00C24AB2" w:rsidRPr="00A2043D" w:rsidRDefault="00C24AB2" w:rsidP="00C24AB2">
      <w:pPr>
        <w:ind w:left="-15" w:right="0" w:firstLine="0"/>
      </w:pPr>
      <w:r w:rsidRPr="00A2043D">
        <w:rPr>
          <w:rFonts w:eastAsia="Calibri"/>
        </w:rPr>
        <w:t xml:space="preserve">GET /api/listings/nearby </w:t>
      </w:r>
      <w:r w:rsidRPr="00A2043D">
        <w:t>endpoint rises to 310ms, attributable primarily to MySQL connection pool saturation (pool size 10); increasing the pool size to 20 reduces this to 198ms, suggesting that connection pool configuration is the primary scalability lever at this concurrency level.</w:t>
      </w:r>
    </w:p>
    <w:p w14:paraId="7F03318B" w14:textId="77777777" w:rsidR="00C24AB2" w:rsidRPr="00A2043D" w:rsidRDefault="00C24AB2" w:rsidP="00C24AB2">
      <w:pPr>
        <w:spacing w:after="166"/>
        <w:ind w:left="-15" w:right="0"/>
      </w:pPr>
      <w:r w:rsidRPr="00A2043D">
        <w:t>CPU utilization on a single-core virtual machine instance remains below 45% at 200 concurrent users during the listing feed retrieval path, confirming that the Haversine loop is not a bottleneck. Memory consumption is stable at approximately 180MB resident set size under sustained load, with no observable heap growth over a 30-minute soak test, ruling out the common class of async callback closure leaks in long-running Node.js processes.</w:t>
      </w:r>
    </w:p>
    <w:p w14:paraId="38908DD8" w14:textId="77777777" w:rsidR="00C24AB2" w:rsidRPr="00A2043D" w:rsidRDefault="00C24AB2" w:rsidP="00C24AB2">
      <w:pPr>
        <w:pStyle w:val="Heading2"/>
        <w:ind w:left="-5"/>
      </w:pPr>
      <w:r w:rsidRPr="00A2043D">
        <w:t>B. Database Query Optimization</w:t>
      </w:r>
    </w:p>
    <w:p w14:paraId="1D7A414B" w14:textId="4174AC7A" w:rsidR="00271B97" w:rsidRPr="00271B97" w:rsidRDefault="00C24AB2" w:rsidP="00271B97">
      <w:pPr>
        <w:ind w:left="-15" w:right="0"/>
      </w:pPr>
      <w:r w:rsidRPr="00A2043D">
        <w:t xml:space="preserve">The MySQL query execution plan for the proximity search, obtained via </w:t>
      </w:r>
      <w:r w:rsidRPr="00A2043D">
        <w:rPr>
          <w:rFonts w:eastAsia="Calibri"/>
        </w:rPr>
        <w:t>EXPLAIN ANALYZE</w:t>
      </w:r>
      <w:r w:rsidRPr="00A2043D">
        <w:t xml:space="preserve">, confirms that the bounding-box pre-filter uses the SPATIAL index on </w:t>
      </w:r>
      <w:r w:rsidRPr="00A2043D">
        <w:rPr>
          <w:rFonts w:eastAsia="Calibri"/>
        </w:rPr>
        <w:t>Geolocations</w:t>
      </w:r>
      <w:r w:rsidRPr="00A2043D">
        <w:t xml:space="preserve">, scanning an average of 82 index leaf pages per query on the 5,000-listing test dataset. Without the SPATIAL index, the same query performs a full table scan of 5,000 rows per request. At 200 concurrent requests per second, this difference translates to a reduction in aggregate I/O from approximately </w:t>
      </w:r>
      <w:r w:rsidRPr="00A2043D">
        <w:rPr>
          <w:rFonts w:eastAsia="Cambria"/>
        </w:rPr>
        <w:t>10</w:t>
      </w:r>
      <w:r w:rsidRPr="00A2043D">
        <w:rPr>
          <w:rFonts w:eastAsia="Cambria"/>
          <w:vertAlign w:val="superscript"/>
        </w:rPr>
        <w:t xml:space="preserve">6 </w:t>
      </w:r>
      <w:r w:rsidRPr="00A2043D">
        <w:t xml:space="preserve">row reads per second to roughly </w:t>
      </w:r>
      <w:r w:rsidRPr="00A2043D">
        <w:rPr>
          <w:rFonts w:eastAsia="Cambria"/>
        </w:rPr>
        <w:t>1</w:t>
      </w:r>
      <w:r w:rsidRPr="00A2043D">
        <w:rPr>
          <w:rFonts w:eastAsia="Cambria"/>
          <w:i/>
        </w:rPr>
        <w:t>.</w:t>
      </w:r>
      <w:r w:rsidRPr="00A2043D">
        <w:rPr>
          <w:rFonts w:eastAsia="Cambria"/>
        </w:rPr>
        <w:t>6×10</w:t>
      </w:r>
      <w:r w:rsidRPr="00A2043D">
        <w:rPr>
          <w:rFonts w:eastAsia="Cambria"/>
          <w:vertAlign w:val="superscript"/>
        </w:rPr>
        <w:t>4</w:t>
      </w:r>
      <w:r w:rsidR="00271B97">
        <w:rPr>
          <w:rFonts w:eastAsia="Cambria"/>
          <w:vertAlign w:val="superscript"/>
        </w:rPr>
        <w:t xml:space="preserve"> </w:t>
      </w:r>
    </w:p>
    <w:p w14:paraId="1C9E641F" w14:textId="691E10BA" w:rsidR="00C24AB2" w:rsidRPr="00A2043D" w:rsidRDefault="00C24AB2" w:rsidP="00271B97">
      <w:pPr>
        <w:ind w:left="-15" w:right="0"/>
        <w:jc w:val="center"/>
      </w:pPr>
      <w:r>
        <w:rPr>
          <w:noProof/>
        </w:rPr>
        <w:drawing>
          <wp:inline distT="0" distB="0" distL="0" distR="0" wp14:anchorId="08846B4D" wp14:editId="5654B809">
            <wp:extent cx="2904067" cy="2854214"/>
            <wp:effectExtent l="0" t="0" r="0" b="3810"/>
            <wp:docPr id="12922806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80649" name="Picture 1292280649"/>
                    <pic:cNvPicPr/>
                  </pic:nvPicPr>
                  <pic:blipFill rotWithShape="1">
                    <a:blip r:embed="rId8" cstate="print">
                      <a:extLst>
                        <a:ext uri="{28A0092B-C50C-407E-A947-70E740481C1C}">
                          <a14:useLocalDpi xmlns:a14="http://schemas.microsoft.com/office/drawing/2010/main" val="0"/>
                        </a:ext>
                      </a:extLst>
                    </a:blip>
                    <a:srcRect t="-2884" r="50528" b="13751"/>
                    <a:stretch>
                      <a:fillRect/>
                    </a:stretch>
                  </pic:blipFill>
                  <pic:spPr bwMode="auto">
                    <a:xfrm>
                      <a:off x="0" y="0"/>
                      <a:ext cx="2937650" cy="2887220"/>
                    </a:xfrm>
                    <a:prstGeom prst="rect">
                      <a:avLst/>
                    </a:prstGeom>
                    <a:ln>
                      <a:noFill/>
                    </a:ln>
                    <a:extLst>
                      <a:ext uri="{53640926-AAD7-44D8-BBD7-CCE9431645EC}">
                        <a14:shadowObscured xmlns:a14="http://schemas.microsoft.com/office/drawing/2010/main"/>
                      </a:ext>
                    </a:extLst>
                  </pic:spPr>
                </pic:pic>
              </a:graphicData>
            </a:graphic>
          </wp:inline>
        </w:drawing>
      </w:r>
    </w:p>
    <w:p w14:paraId="0373CC23" w14:textId="77777777" w:rsidR="00C24AB2" w:rsidRPr="00A2043D" w:rsidRDefault="00C24AB2" w:rsidP="00C24AB2">
      <w:pPr>
        <w:spacing w:after="433" w:line="234" w:lineRule="auto"/>
        <w:ind w:left="0" w:right="-15" w:firstLine="0"/>
      </w:pPr>
      <w:r w:rsidRPr="00870805">
        <w:rPr>
          <w:i/>
          <w:iCs/>
          <w:sz w:val="16"/>
        </w:rPr>
        <w:t>Fig. 1. API response latency curves across three primary endpoints as concurrent user count scales from 10 to 500</w:t>
      </w:r>
      <w:r w:rsidRPr="00A2043D">
        <w:rPr>
          <w:sz w:val="16"/>
        </w:rPr>
        <w:t>.</w:t>
      </w:r>
    </w:p>
    <w:p w14:paraId="0C6B0A26" w14:textId="77777777" w:rsidR="00C24AB2" w:rsidRPr="00A2043D" w:rsidRDefault="00C24AB2" w:rsidP="00C24AB2">
      <w:pPr>
        <w:spacing w:after="26"/>
        <w:ind w:left="-15" w:right="0"/>
      </w:pPr>
      <w:r w:rsidRPr="00A2043D">
        <w:lastRenderedPageBreak/>
        <w:t xml:space="preserve">Composite indexes on </w:t>
      </w:r>
      <w:r w:rsidRPr="00A2043D">
        <w:rPr>
          <w:rFonts w:eastAsia="Calibri"/>
        </w:rPr>
        <w:t xml:space="preserve">Listings(status, category, created_at) </w:t>
      </w:r>
      <w:r w:rsidRPr="00A2043D">
        <w:t xml:space="preserve">are used to accelerate filter combinations on the front-page feed. The </w:t>
      </w:r>
      <w:r w:rsidRPr="00A2043D">
        <w:rPr>
          <w:rFonts w:eastAsia="Calibri"/>
        </w:rPr>
        <w:t xml:space="preserve">EXPLAIN </w:t>
      </w:r>
      <w:r w:rsidRPr="00A2043D">
        <w:t xml:space="preserve">output confirms index usage for the most common query pattern: active listings, user-specified category, ordered by recency. This avoids a filesort operation that would otherwise dominate query time at table sizes above approximately 50,000 rows. The compound index key ordering follows selectivity: </w:t>
      </w:r>
      <w:r w:rsidRPr="00A2043D">
        <w:rPr>
          <w:rFonts w:eastAsia="Calibri"/>
        </w:rPr>
        <w:t xml:space="preserve">status </w:t>
      </w:r>
      <w:r w:rsidRPr="00A2043D">
        <w:t>first (low cardinality, high selectivity</w:t>
      </w:r>
    </w:p>
    <w:p w14:paraId="01710676" w14:textId="77777777" w:rsidR="00C24AB2" w:rsidRPr="00A2043D" w:rsidRDefault="00C24AB2" w:rsidP="00C24AB2">
      <w:pPr>
        <w:spacing w:after="113"/>
        <w:ind w:left="-15" w:right="0" w:firstLine="0"/>
      </w:pPr>
      <w:r w:rsidRPr="00A2043D">
        <w:t xml:space="preserve">for </w:t>
      </w:r>
      <w:r w:rsidRPr="00A2043D">
        <w:rPr>
          <w:rFonts w:eastAsia="Calibri"/>
        </w:rPr>
        <w:t xml:space="preserve">ACTIVE </w:t>
      </w:r>
      <w:r w:rsidRPr="00A2043D">
        <w:t xml:space="preserve">filter), </w:t>
      </w:r>
      <w:r w:rsidRPr="00A2043D">
        <w:rPr>
          <w:rFonts w:eastAsia="Calibri"/>
        </w:rPr>
        <w:t xml:space="preserve">category </w:t>
      </w:r>
      <w:r w:rsidRPr="00A2043D">
        <w:t xml:space="preserve">second (12 values), and </w:t>
      </w:r>
      <w:r w:rsidRPr="00A2043D">
        <w:rPr>
          <w:rFonts w:eastAsia="Calibri"/>
        </w:rPr>
        <w:t xml:space="preserve">created_at </w:t>
      </w:r>
      <w:r w:rsidRPr="00A2043D">
        <w:t>last (used only for ordering after filtering).</w:t>
      </w:r>
    </w:p>
    <w:p w14:paraId="68118840" w14:textId="77777777" w:rsidR="00C24AB2" w:rsidRPr="00A2043D" w:rsidRDefault="00C24AB2" w:rsidP="00C24AB2">
      <w:pPr>
        <w:pStyle w:val="Heading2"/>
        <w:ind w:left="-5"/>
      </w:pPr>
      <w:r w:rsidRPr="00A2043D">
        <w:t>C. Geographic Matchmaking Accuracy</w:t>
      </w:r>
    </w:p>
    <w:p w14:paraId="08EFE13D" w14:textId="75A09648" w:rsidR="00271B97" w:rsidRPr="00271B97" w:rsidRDefault="00C24AB2" w:rsidP="00271B97">
      <w:pPr>
        <w:spacing w:after="1112" w:line="240" w:lineRule="auto"/>
        <w:ind w:left="-15" w:right="0"/>
        <w:rPr>
          <w:noProof/>
          <w:sz w:val="16"/>
        </w:rPr>
      </w:pPr>
      <w:r w:rsidRPr="00A2043D">
        <w:t>Over the held-out test partition of 1,000 synthetic listinguser pairs, the geofencing subsystem achieves a geographic matchmaking accuracy of 97.3%, precision of 96.8%, recall of 97.9%, and F1 score of 97.3%. The 2.7% error rate is concentrated in boundary cases within 50m of the 5km threshold and in cases where the bounding box pre-filter produces false positives that the Haversine refinement must correct. No false negatives are observed outside the boundary zone, meaning the system does not inadvertently exclude listings that are genuinely within radius—the more consequential failure mode for user experience.</w:t>
      </w:r>
      <w:r w:rsidRPr="00C24AB2">
        <w:rPr>
          <w:noProof/>
          <w:sz w:val="16"/>
        </w:rPr>
        <w:t xml:space="preserve"> </w:t>
      </w:r>
      <w:r>
        <w:rPr>
          <w:noProof/>
          <w:sz w:val="16"/>
        </w:rPr>
        <w:drawing>
          <wp:inline distT="0" distB="0" distL="0" distR="0" wp14:anchorId="3D9C09CB" wp14:editId="44A3ADF0">
            <wp:extent cx="2699694" cy="2497666"/>
            <wp:effectExtent l="0" t="0" r="5715" b="0"/>
            <wp:docPr id="1164588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88698" name="Picture 1164588698"/>
                    <pic:cNvPicPr/>
                  </pic:nvPicPr>
                  <pic:blipFill rotWithShape="1">
                    <a:blip r:embed="rId9" cstate="print">
                      <a:extLst>
                        <a:ext uri="{28A0092B-C50C-407E-A947-70E740481C1C}">
                          <a14:useLocalDpi xmlns:a14="http://schemas.microsoft.com/office/drawing/2010/main" val="0"/>
                        </a:ext>
                      </a:extLst>
                    </a:blip>
                    <a:srcRect l="50189" b="13253"/>
                    <a:stretch>
                      <a:fillRect/>
                    </a:stretch>
                  </pic:blipFill>
                  <pic:spPr bwMode="auto">
                    <a:xfrm>
                      <a:off x="0" y="0"/>
                      <a:ext cx="2708154" cy="2505493"/>
                    </a:xfrm>
                    <a:prstGeom prst="rect">
                      <a:avLst/>
                    </a:prstGeom>
                    <a:ln>
                      <a:noFill/>
                    </a:ln>
                    <a:extLst>
                      <a:ext uri="{53640926-AAD7-44D8-BBD7-CCE9431645EC}">
                        <a14:shadowObscured xmlns:a14="http://schemas.microsoft.com/office/drawing/2010/main"/>
                      </a:ext>
                    </a:extLst>
                  </pic:spPr>
                </pic:pic>
              </a:graphicData>
            </a:graphic>
          </wp:inline>
        </w:drawing>
      </w:r>
    </w:p>
    <w:p w14:paraId="4D57C3A2" w14:textId="0BF66E5F" w:rsidR="00C24AB2" w:rsidRPr="00870805" w:rsidRDefault="00C24AB2" w:rsidP="00271B97">
      <w:pPr>
        <w:spacing w:after="1112" w:line="240" w:lineRule="auto"/>
        <w:ind w:left="-15" w:right="0"/>
        <w:jc w:val="center"/>
        <w:rPr>
          <w:i/>
          <w:iCs/>
        </w:rPr>
      </w:pPr>
      <w:r w:rsidRPr="00870805">
        <w:rPr>
          <w:i/>
          <w:iCs/>
          <w:sz w:val="16"/>
        </w:rPr>
        <w:t xml:space="preserve">Fig. 2. Spatial distribution of included and excluded listings relative to the 5km geofence </w:t>
      </w:r>
      <w:r w:rsidRPr="00271B97">
        <w:rPr>
          <w:i/>
          <w:iCs/>
          <w:sz w:val="16"/>
        </w:rPr>
        <w:t>boundary around</w:t>
      </w:r>
      <w:r w:rsidRPr="00870805">
        <w:rPr>
          <w:i/>
          <w:iCs/>
          <w:sz w:val="16"/>
        </w:rPr>
        <w:t xml:space="preserve"> a reference user coordinate </w:t>
      </w:r>
    </w:p>
    <w:p w14:paraId="3AF8FBF6" w14:textId="77777777" w:rsidR="00C24AB2" w:rsidRPr="00A2043D" w:rsidRDefault="00C24AB2" w:rsidP="00C24AB2">
      <w:pPr>
        <w:pStyle w:val="Heading2"/>
        <w:ind w:left="-5"/>
      </w:pPr>
      <w:r w:rsidRPr="00A2043D">
        <w:t>D. Implementation Results</w:t>
      </w:r>
    </w:p>
    <w:p w14:paraId="7CE6EB99" w14:textId="77777777" w:rsidR="00C24AB2" w:rsidRPr="00A2043D" w:rsidRDefault="00C24AB2" w:rsidP="00C24AB2">
      <w:pPr>
        <w:spacing w:after="197"/>
        <w:ind w:left="-15" w:right="0"/>
      </w:pPr>
      <w:r w:rsidRPr="00A2043D">
        <w:t>Table II summarizes the performance profile of the selected architecture across four concurrency levels.</w:t>
      </w:r>
    </w:p>
    <w:p w14:paraId="41E9479D" w14:textId="77777777" w:rsidR="00C24AB2" w:rsidRPr="00A2043D" w:rsidRDefault="00C24AB2" w:rsidP="00C24AB2">
      <w:pPr>
        <w:pStyle w:val="Heading1"/>
      </w:pPr>
      <w:r w:rsidRPr="00A2043D">
        <w:t>TABLE II</w:t>
      </w:r>
    </w:p>
    <w:p w14:paraId="2D6D35C4" w14:textId="77777777" w:rsidR="00C24AB2" w:rsidRPr="00A2043D" w:rsidRDefault="00C24AB2" w:rsidP="00C24AB2">
      <w:pPr>
        <w:spacing w:after="0" w:line="259" w:lineRule="auto"/>
        <w:ind w:left="0" w:right="0" w:firstLine="0"/>
        <w:jc w:val="center"/>
      </w:pPr>
      <w:r w:rsidRPr="00A2043D">
        <w:rPr>
          <w:sz w:val="16"/>
        </w:rPr>
        <w:t>P</w:t>
      </w:r>
      <w:r w:rsidRPr="00A2043D">
        <w:rPr>
          <w:sz w:val="13"/>
        </w:rPr>
        <w:t xml:space="preserve">ERFORMANCE OF THE </w:t>
      </w:r>
      <w:r w:rsidRPr="00A2043D">
        <w:rPr>
          <w:sz w:val="16"/>
        </w:rPr>
        <w:t>S</w:t>
      </w:r>
      <w:r w:rsidRPr="00A2043D">
        <w:rPr>
          <w:sz w:val="13"/>
        </w:rPr>
        <w:t xml:space="preserve">ELECTED </w:t>
      </w:r>
      <w:r w:rsidRPr="00A2043D">
        <w:rPr>
          <w:sz w:val="16"/>
        </w:rPr>
        <w:t>A</w:t>
      </w:r>
      <w:r w:rsidRPr="00A2043D">
        <w:rPr>
          <w:sz w:val="13"/>
        </w:rPr>
        <w:t>RCHITECTURE</w:t>
      </w:r>
    </w:p>
    <w:tbl>
      <w:tblPr>
        <w:tblStyle w:val="TableGrid"/>
        <w:tblW w:w="4039" w:type="dxa"/>
        <w:tblInd w:w="491" w:type="dxa"/>
        <w:tblCellMar>
          <w:top w:w="18" w:type="dxa"/>
          <w:right w:w="115" w:type="dxa"/>
        </w:tblCellMar>
        <w:tblLook w:val="04A0" w:firstRow="1" w:lastRow="0" w:firstColumn="1" w:lastColumn="0" w:noHBand="0" w:noVBand="1"/>
      </w:tblPr>
      <w:tblGrid>
        <w:gridCol w:w="1157"/>
        <w:gridCol w:w="948"/>
        <w:gridCol w:w="1106"/>
        <w:gridCol w:w="828"/>
      </w:tblGrid>
      <w:tr w:rsidR="00C24AB2" w:rsidRPr="00A2043D" w14:paraId="4889D05F" w14:textId="77777777" w:rsidTr="00302E89">
        <w:trPr>
          <w:trHeight w:val="645"/>
        </w:trPr>
        <w:tc>
          <w:tcPr>
            <w:tcW w:w="1157" w:type="dxa"/>
            <w:tcBorders>
              <w:top w:val="single" w:sz="6" w:space="0" w:color="000000"/>
              <w:left w:val="nil"/>
              <w:bottom w:val="single" w:sz="4" w:space="0" w:color="000000"/>
              <w:right w:val="nil"/>
            </w:tcBorders>
          </w:tcPr>
          <w:p w14:paraId="51B470FA" w14:textId="77777777" w:rsidR="00C24AB2" w:rsidRPr="00A2043D" w:rsidRDefault="00C24AB2" w:rsidP="00302E89">
            <w:pPr>
              <w:spacing w:after="0" w:line="259" w:lineRule="auto"/>
              <w:ind w:left="199" w:right="0" w:hanging="91"/>
              <w:jc w:val="left"/>
            </w:pPr>
            <w:r w:rsidRPr="00A2043D">
              <w:rPr>
                <w:rFonts w:eastAsia="Calibri"/>
                <w:sz w:val="16"/>
              </w:rPr>
              <w:t>Concurrent Requests</w:t>
            </w:r>
          </w:p>
        </w:tc>
        <w:tc>
          <w:tcPr>
            <w:tcW w:w="948" w:type="dxa"/>
            <w:tcBorders>
              <w:top w:val="single" w:sz="6" w:space="0" w:color="000000"/>
              <w:left w:val="nil"/>
              <w:bottom w:val="single" w:sz="4" w:space="0" w:color="000000"/>
              <w:right w:val="nil"/>
            </w:tcBorders>
          </w:tcPr>
          <w:p w14:paraId="125EF952" w14:textId="77777777" w:rsidR="00C24AB2" w:rsidRPr="00A2043D" w:rsidRDefault="00C24AB2" w:rsidP="00302E89">
            <w:pPr>
              <w:spacing w:after="0" w:line="259" w:lineRule="auto"/>
              <w:ind w:left="2" w:right="0" w:hanging="2"/>
              <w:jc w:val="left"/>
            </w:pPr>
            <w:r w:rsidRPr="00A2043D">
              <w:rPr>
                <w:rFonts w:eastAsia="Calibri"/>
                <w:sz w:val="16"/>
              </w:rPr>
              <w:t>DB Query Time (ms)</w:t>
            </w:r>
          </w:p>
        </w:tc>
        <w:tc>
          <w:tcPr>
            <w:tcW w:w="1106" w:type="dxa"/>
            <w:tcBorders>
              <w:top w:val="single" w:sz="6" w:space="0" w:color="000000"/>
              <w:left w:val="nil"/>
              <w:bottom w:val="single" w:sz="4" w:space="0" w:color="000000"/>
              <w:right w:val="nil"/>
            </w:tcBorders>
          </w:tcPr>
          <w:p w14:paraId="608F71BD" w14:textId="77777777" w:rsidR="00C24AB2" w:rsidRPr="00A2043D" w:rsidRDefault="00C24AB2" w:rsidP="00302E89">
            <w:pPr>
              <w:spacing w:after="0" w:line="259" w:lineRule="auto"/>
              <w:ind w:left="64" w:right="0" w:hanging="64"/>
              <w:jc w:val="left"/>
            </w:pPr>
            <w:r w:rsidRPr="00A2043D">
              <w:rPr>
                <w:rFonts w:eastAsia="Calibri"/>
                <w:sz w:val="16"/>
              </w:rPr>
              <w:t>EJS Render Time (ms)</w:t>
            </w:r>
          </w:p>
        </w:tc>
        <w:tc>
          <w:tcPr>
            <w:tcW w:w="828" w:type="dxa"/>
            <w:tcBorders>
              <w:top w:val="single" w:sz="6" w:space="0" w:color="000000"/>
              <w:left w:val="nil"/>
              <w:bottom w:val="single" w:sz="4" w:space="0" w:color="000000"/>
              <w:right w:val="nil"/>
            </w:tcBorders>
          </w:tcPr>
          <w:p w14:paraId="7A0B4D47" w14:textId="77777777" w:rsidR="00C24AB2" w:rsidRPr="00A2043D" w:rsidRDefault="00C24AB2" w:rsidP="00302E89">
            <w:pPr>
              <w:spacing w:after="0" w:line="259" w:lineRule="auto"/>
              <w:ind w:left="102" w:right="0" w:firstLine="0"/>
              <w:jc w:val="left"/>
            </w:pPr>
            <w:r w:rsidRPr="00A2043D">
              <w:rPr>
                <w:rFonts w:eastAsia="Calibri"/>
                <w:sz w:val="16"/>
              </w:rPr>
              <w:t>Match</w:t>
            </w:r>
          </w:p>
          <w:p w14:paraId="1EA09308" w14:textId="77777777" w:rsidR="00C24AB2" w:rsidRPr="00A2043D" w:rsidRDefault="00C24AB2" w:rsidP="00302E89">
            <w:pPr>
              <w:spacing w:after="0" w:line="259" w:lineRule="auto"/>
              <w:ind w:left="0" w:right="0" w:firstLine="0"/>
              <w:jc w:val="left"/>
            </w:pPr>
            <w:r w:rsidRPr="00A2043D">
              <w:rPr>
                <w:rFonts w:eastAsia="Calibri"/>
                <w:sz w:val="16"/>
              </w:rPr>
              <w:t>Accuracy</w:t>
            </w:r>
          </w:p>
          <w:p w14:paraId="113565A9" w14:textId="77777777" w:rsidR="00C24AB2" w:rsidRPr="00A2043D" w:rsidRDefault="00C24AB2" w:rsidP="00302E89">
            <w:pPr>
              <w:spacing w:after="0" w:line="259" w:lineRule="auto"/>
              <w:ind w:left="190" w:right="0" w:firstLine="0"/>
              <w:jc w:val="left"/>
            </w:pPr>
            <w:r w:rsidRPr="00A2043D">
              <w:rPr>
                <w:rFonts w:eastAsia="Calibri"/>
                <w:sz w:val="16"/>
              </w:rPr>
              <w:t>(%)</w:t>
            </w:r>
          </w:p>
        </w:tc>
      </w:tr>
      <w:tr w:rsidR="00C24AB2" w:rsidRPr="00A2043D" w14:paraId="3B1468DC" w14:textId="77777777" w:rsidTr="00302E89">
        <w:trPr>
          <w:trHeight w:val="242"/>
        </w:trPr>
        <w:tc>
          <w:tcPr>
            <w:tcW w:w="1157" w:type="dxa"/>
            <w:tcBorders>
              <w:top w:val="single" w:sz="4" w:space="0" w:color="000000"/>
              <w:left w:val="nil"/>
              <w:bottom w:val="nil"/>
              <w:right w:val="nil"/>
            </w:tcBorders>
          </w:tcPr>
          <w:p w14:paraId="6A0BAD64" w14:textId="77777777" w:rsidR="00C24AB2" w:rsidRPr="00A2043D" w:rsidRDefault="00C24AB2" w:rsidP="00302E89">
            <w:pPr>
              <w:spacing w:after="0" w:line="259" w:lineRule="auto"/>
              <w:ind w:left="425" w:right="0" w:firstLine="0"/>
              <w:jc w:val="left"/>
            </w:pPr>
            <w:r w:rsidRPr="00A2043D">
              <w:rPr>
                <w:sz w:val="16"/>
              </w:rPr>
              <w:t>50</w:t>
            </w:r>
          </w:p>
        </w:tc>
        <w:tc>
          <w:tcPr>
            <w:tcW w:w="948" w:type="dxa"/>
            <w:tcBorders>
              <w:top w:val="single" w:sz="4" w:space="0" w:color="000000"/>
              <w:left w:val="nil"/>
              <w:bottom w:val="nil"/>
              <w:right w:val="nil"/>
            </w:tcBorders>
          </w:tcPr>
          <w:p w14:paraId="5D07D036" w14:textId="77777777" w:rsidR="00C24AB2" w:rsidRPr="00A2043D" w:rsidRDefault="00C24AB2" w:rsidP="00302E89">
            <w:pPr>
              <w:spacing w:after="0" w:line="259" w:lineRule="auto"/>
              <w:ind w:left="278" w:right="0" w:firstLine="0"/>
              <w:jc w:val="left"/>
            </w:pPr>
            <w:r w:rsidRPr="00A2043D">
              <w:rPr>
                <w:sz w:val="16"/>
              </w:rPr>
              <w:t>12</w:t>
            </w:r>
          </w:p>
        </w:tc>
        <w:tc>
          <w:tcPr>
            <w:tcW w:w="1106" w:type="dxa"/>
            <w:tcBorders>
              <w:top w:val="single" w:sz="4" w:space="0" w:color="000000"/>
              <w:left w:val="nil"/>
              <w:bottom w:val="nil"/>
              <w:right w:val="nil"/>
            </w:tcBorders>
          </w:tcPr>
          <w:p w14:paraId="0FCB7D43" w14:textId="77777777" w:rsidR="00C24AB2" w:rsidRPr="00A2043D" w:rsidRDefault="00C24AB2" w:rsidP="00302E89">
            <w:pPr>
              <w:spacing w:after="0" w:line="259" w:lineRule="auto"/>
              <w:ind w:left="380" w:right="0" w:firstLine="0"/>
              <w:jc w:val="left"/>
            </w:pPr>
            <w:r w:rsidRPr="00A2043D">
              <w:rPr>
                <w:sz w:val="16"/>
              </w:rPr>
              <w:t>8</w:t>
            </w:r>
          </w:p>
        </w:tc>
        <w:tc>
          <w:tcPr>
            <w:tcW w:w="828" w:type="dxa"/>
            <w:tcBorders>
              <w:top w:val="single" w:sz="4" w:space="0" w:color="000000"/>
              <w:left w:val="nil"/>
              <w:bottom w:val="nil"/>
              <w:right w:val="nil"/>
            </w:tcBorders>
          </w:tcPr>
          <w:p w14:paraId="0C913E6C" w14:textId="77777777" w:rsidR="00C24AB2" w:rsidRPr="00A2043D" w:rsidRDefault="00C24AB2" w:rsidP="00302E89">
            <w:pPr>
              <w:spacing w:after="0" w:line="259" w:lineRule="auto"/>
              <w:ind w:left="184" w:right="0" w:firstLine="0"/>
              <w:jc w:val="left"/>
            </w:pPr>
            <w:r w:rsidRPr="00A2043D">
              <w:rPr>
                <w:sz w:val="16"/>
              </w:rPr>
              <w:t>97.3</w:t>
            </w:r>
          </w:p>
        </w:tc>
      </w:tr>
      <w:tr w:rsidR="00C24AB2" w:rsidRPr="00A2043D" w14:paraId="7EA7134E" w14:textId="77777777" w:rsidTr="00302E89">
        <w:trPr>
          <w:trHeight w:val="179"/>
        </w:trPr>
        <w:tc>
          <w:tcPr>
            <w:tcW w:w="1157" w:type="dxa"/>
            <w:tcBorders>
              <w:top w:val="nil"/>
              <w:left w:val="nil"/>
              <w:bottom w:val="nil"/>
              <w:right w:val="nil"/>
            </w:tcBorders>
          </w:tcPr>
          <w:p w14:paraId="19079F88" w14:textId="77777777" w:rsidR="00C24AB2" w:rsidRPr="00A2043D" w:rsidRDefault="00C24AB2" w:rsidP="00302E89">
            <w:pPr>
              <w:spacing w:after="0" w:line="259" w:lineRule="auto"/>
              <w:ind w:left="385" w:right="0" w:firstLine="0"/>
              <w:jc w:val="left"/>
            </w:pPr>
            <w:r w:rsidRPr="00A2043D">
              <w:rPr>
                <w:sz w:val="16"/>
              </w:rPr>
              <w:t>100</w:t>
            </w:r>
          </w:p>
        </w:tc>
        <w:tc>
          <w:tcPr>
            <w:tcW w:w="948" w:type="dxa"/>
            <w:tcBorders>
              <w:top w:val="nil"/>
              <w:left w:val="nil"/>
              <w:bottom w:val="nil"/>
              <w:right w:val="nil"/>
            </w:tcBorders>
          </w:tcPr>
          <w:p w14:paraId="547FF58D" w14:textId="77777777" w:rsidR="00C24AB2" w:rsidRPr="00A2043D" w:rsidRDefault="00C24AB2" w:rsidP="00302E89">
            <w:pPr>
              <w:spacing w:after="0" w:line="259" w:lineRule="auto"/>
              <w:ind w:left="278" w:right="0" w:firstLine="0"/>
              <w:jc w:val="left"/>
            </w:pPr>
            <w:r w:rsidRPr="00A2043D">
              <w:rPr>
                <w:sz w:val="16"/>
              </w:rPr>
              <w:t>15</w:t>
            </w:r>
          </w:p>
        </w:tc>
        <w:tc>
          <w:tcPr>
            <w:tcW w:w="1106" w:type="dxa"/>
            <w:tcBorders>
              <w:top w:val="nil"/>
              <w:left w:val="nil"/>
              <w:bottom w:val="nil"/>
              <w:right w:val="nil"/>
            </w:tcBorders>
          </w:tcPr>
          <w:p w14:paraId="4BFC178F" w14:textId="77777777" w:rsidR="00C24AB2" w:rsidRPr="00A2043D" w:rsidRDefault="00C24AB2" w:rsidP="00302E89">
            <w:pPr>
              <w:spacing w:after="0" w:line="259" w:lineRule="auto"/>
              <w:ind w:left="380" w:right="0" w:firstLine="0"/>
              <w:jc w:val="left"/>
            </w:pPr>
            <w:r w:rsidRPr="00A2043D">
              <w:rPr>
                <w:sz w:val="16"/>
              </w:rPr>
              <w:t>9</w:t>
            </w:r>
          </w:p>
        </w:tc>
        <w:tc>
          <w:tcPr>
            <w:tcW w:w="828" w:type="dxa"/>
            <w:tcBorders>
              <w:top w:val="nil"/>
              <w:left w:val="nil"/>
              <w:bottom w:val="nil"/>
              <w:right w:val="nil"/>
            </w:tcBorders>
          </w:tcPr>
          <w:p w14:paraId="2120B406" w14:textId="77777777" w:rsidR="00C24AB2" w:rsidRPr="00A2043D" w:rsidRDefault="00C24AB2" w:rsidP="00302E89">
            <w:pPr>
              <w:spacing w:after="0" w:line="259" w:lineRule="auto"/>
              <w:ind w:left="184" w:right="0" w:firstLine="0"/>
              <w:jc w:val="left"/>
            </w:pPr>
            <w:r w:rsidRPr="00A2043D">
              <w:rPr>
                <w:sz w:val="16"/>
              </w:rPr>
              <w:t>97.3</w:t>
            </w:r>
          </w:p>
        </w:tc>
      </w:tr>
      <w:tr w:rsidR="00C24AB2" w:rsidRPr="00A2043D" w14:paraId="0F2A01C7" w14:textId="77777777" w:rsidTr="00302E89">
        <w:trPr>
          <w:trHeight w:val="179"/>
        </w:trPr>
        <w:tc>
          <w:tcPr>
            <w:tcW w:w="1157" w:type="dxa"/>
            <w:tcBorders>
              <w:top w:val="nil"/>
              <w:left w:val="nil"/>
              <w:bottom w:val="nil"/>
              <w:right w:val="nil"/>
            </w:tcBorders>
          </w:tcPr>
          <w:p w14:paraId="6A9CA253" w14:textId="77777777" w:rsidR="00C24AB2" w:rsidRPr="00A2043D" w:rsidRDefault="00C24AB2" w:rsidP="00302E89">
            <w:pPr>
              <w:spacing w:after="0" w:line="259" w:lineRule="auto"/>
              <w:ind w:left="385" w:right="0" w:firstLine="0"/>
              <w:jc w:val="left"/>
            </w:pPr>
            <w:r w:rsidRPr="00A2043D">
              <w:rPr>
                <w:sz w:val="16"/>
              </w:rPr>
              <w:t>200</w:t>
            </w:r>
          </w:p>
        </w:tc>
        <w:tc>
          <w:tcPr>
            <w:tcW w:w="948" w:type="dxa"/>
            <w:tcBorders>
              <w:top w:val="nil"/>
              <w:left w:val="nil"/>
              <w:bottom w:val="nil"/>
              <w:right w:val="nil"/>
            </w:tcBorders>
          </w:tcPr>
          <w:p w14:paraId="160C4842" w14:textId="77777777" w:rsidR="00C24AB2" w:rsidRPr="00A2043D" w:rsidRDefault="00C24AB2" w:rsidP="00302E89">
            <w:pPr>
              <w:spacing w:after="0" w:line="259" w:lineRule="auto"/>
              <w:ind w:left="278" w:right="0" w:firstLine="0"/>
              <w:jc w:val="left"/>
            </w:pPr>
            <w:r w:rsidRPr="00A2043D">
              <w:rPr>
                <w:sz w:val="16"/>
              </w:rPr>
              <w:t>18</w:t>
            </w:r>
          </w:p>
        </w:tc>
        <w:tc>
          <w:tcPr>
            <w:tcW w:w="1106" w:type="dxa"/>
            <w:tcBorders>
              <w:top w:val="nil"/>
              <w:left w:val="nil"/>
              <w:bottom w:val="nil"/>
              <w:right w:val="nil"/>
            </w:tcBorders>
          </w:tcPr>
          <w:p w14:paraId="703CDA59" w14:textId="77777777" w:rsidR="00C24AB2" w:rsidRPr="00A2043D" w:rsidRDefault="00C24AB2" w:rsidP="00302E89">
            <w:pPr>
              <w:spacing w:after="0" w:line="259" w:lineRule="auto"/>
              <w:ind w:left="340" w:right="0" w:firstLine="0"/>
              <w:jc w:val="left"/>
            </w:pPr>
            <w:r w:rsidRPr="00A2043D">
              <w:rPr>
                <w:sz w:val="16"/>
              </w:rPr>
              <w:t>11</w:t>
            </w:r>
          </w:p>
        </w:tc>
        <w:tc>
          <w:tcPr>
            <w:tcW w:w="828" w:type="dxa"/>
            <w:tcBorders>
              <w:top w:val="nil"/>
              <w:left w:val="nil"/>
              <w:bottom w:val="nil"/>
              <w:right w:val="nil"/>
            </w:tcBorders>
          </w:tcPr>
          <w:p w14:paraId="69918862" w14:textId="77777777" w:rsidR="00C24AB2" w:rsidRPr="00A2043D" w:rsidRDefault="00C24AB2" w:rsidP="00302E89">
            <w:pPr>
              <w:spacing w:after="0" w:line="259" w:lineRule="auto"/>
              <w:ind w:left="184" w:right="0" w:firstLine="0"/>
              <w:jc w:val="left"/>
            </w:pPr>
            <w:r w:rsidRPr="00A2043D">
              <w:rPr>
                <w:sz w:val="16"/>
              </w:rPr>
              <w:t>97.3</w:t>
            </w:r>
          </w:p>
        </w:tc>
      </w:tr>
      <w:tr w:rsidR="00C24AB2" w:rsidRPr="00A2043D" w14:paraId="27682FF8" w14:textId="77777777" w:rsidTr="00302E89">
        <w:trPr>
          <w:trHeight w:val="224"/>
        </w:trPr>
        <w:tc>
          <w:tcPr>
            <w:tcW w:w="1157" w:type="dxa"/>
            <w:tcBorders>
              <w:top w:val="nil"/>
              <w:left w:val="nil"/>
              <w:bottom w:val="single" w:sz="6" w:space="0" w:color="000000"/>
              <w:right w:val="nil"/>
            </w:tcBorders>
          </w:tcPr>
          <w:p w14:paraId="5992F187" w14:textId="77777777" w:rsidR="00C24AB2" w:rsidRPr="00A2043D" w:rsidRDefault="00C24AB2" w:rsidP="00302E89">
            <w:pPr>
              <w:spacing w:after="0" w:line="259" w:lineRule="auto"/>
              <w:ind w:left="385" w:right="0" w:firstLine="0"/>
              <w:jc w:val="left"/>
            </w:pPr>
            <w:r w:rsidRPr="00A2043D">
              <w:rPr>
                <w:sz w:val="16"/>
              </w:rPr>
              <w:t>350</w:t>
            </w:r>
          </w:p>
        </w:tc>
        <w:tc>
          <w:tcPr>
            <w:tcW w:w="948" w:type="dxa"/>
            <w:tcBorders>
              <w:top w:val="nil"/>
              <w:left w:val="nil"/>
              <w:bottom w:val="single" w:sz="6" w:space="0" w:color="000000"/>
              <w:right w:val="nil"/>
            </w:tcBorders>
          </w:tcPr>
          <w:p w14:paraId="7548B7C2" w14:textId="77777777" w:rsidR="00C24AB2" w:rsidRPr="00A2043D" w:rsidRDefault="00C24AB2" w:rsidP="00302E89">
            <w:pPr>
              <w:spacing w:after="0" w:line="259" w:lineRule="auto"/>
              <w:ind w:left="278" w:right="0" w:firstLine="0"/>
              <w:jc w:val="left"/>
            </w:pPr>
            <w:r w:rsidRPr="00A2043D">
              <w:rPr>
                <w:sz w:val="16"/>
              </w:rPr>
              <w:t>31</w:t>
            </w:r>
          </w:p>
        </w:tc>
        <w:tc>
          <w:tcPr>
            <w:tcW w:w="1106" w:type="dxa"/>
            <w:tcBorders>
              <w:top w:val="nil"/>
              <w:left w:val="nil"/>
              <w:bottom w:val="single" w:sz="6" w:space="0" w:color="000000"/>
              <w:right w:val="nil"/>
            </w:tcBorders>
          </w:tcPr>
          <w:p w14:paraId="01BE8704" w14:textId="77777777" w:rsidR="00C24AB2" w:rsidRPr="00A2043D" w:rsidRDefault="00C24AB2" w:rsidP="00302E89">
            <w:pPr>
              <w:spacing w:after="0" w:line="259" w:lineRule="auto"/>
              <w:ind w:left="340" w:right="0" w:firstLine="0"/>
              <w:jc w:val="left"/>
            </w:pPr>
            <w:r w:rsidRPr="00A2043D">
              <w:rPr>
                <w:sz w:val="16"/>
              </w:rPr>
              <w:t>14</w:t>
            </w:r>
          </w:p>
        </w:tc>
        <w:tc>
          <w:tcPr>
            <w:tcW w:w="828" w:type="dxa"/>
            <w:tcBorders>
              <w:top w:val="nil"/>
              <w:left w:val="nil"/>
              <w:bottom w:val="single" w:sz="6" w:space="0" w:color="000000"/>
              <w:right w:val="nil"/>
            </w:tcBorders>
          </w:tcPr>
          <w:p w14:paraId="054E498C" w14:textId="77777777" w:rsidR="00C24AB2" w:rsidRPr="00A2043D" w:rsidRDefault="00C24AB2" w:rsidP="00302E89">
            <w:pPr>
              <w:spacing w:after="0" w:line="259" w:lineRule="auto"/>
              <w:ind w:left="184" w:right="0" w:firstLine="0"/>
              <w:jc w:val="left"/>
            </w:pPr>
            <w:r w:rsidRPr="00A2043D">
              <w:rPr>
                <w:sz w:val="16"/>
              </w:rPr>
              <w:t>97.1</w:t>
            </w:r>
          </w:p>
        </w:tc>
      </w:tr>
    </w:tbl>
    <w:p w14:paraId="4215B565" w14:textId="77777777" w:rsidR="00271B97" w:rsidRDefault="00C24AB2" w:rsidP="00271B97">
      <w:pPr>
        <w:spacing w:after="99"/>
        <w:ind w:left="-15" w:right="0"/>
      </w:pPr>
      <w:r w:rsidRPr="00A2043D">
        <w:t>DB query time includes bounding-box filtering, Haversine loop, and result serialization. EJS render time covers partial hydration, trust badge computation, and HTTP response write. Match accuracy remains stable across concurrency levels, confirming that the geofencing logic is unaffected by race conditions or query plan variability under load. The slight accuracy degradation at 350 concurrent requests (97.1% vs. 97.3%) is attributable to a single test run where connection pool queuing introduced a stale coordinate cache read; this is not consistently reproduced across three independent repetitions at that concurrency level.</w:t>
      </w:r>
    </w:p>
    <w:p w14:paraId="10ED06D1" w14:textId="0587B41F" w:rsidR="008B1135" w:rsidRPr="00271B97" w:rsidRDefault="008B1135" w:rsidP="00271B97">
      <w:pPr>
        <w:spacing w:after="99"/>
        <w:ind w:left="-15" w:right="0"/>
        <w:jc w:val="center"/>
      </w:pPr>
      <w:r>
        <w:rPr>
          <w:szCs w:val="20"/>
        </w:rPr>
        <w:t>V.CONCLUSION</w:t>
      </w:r>
    </w:p>
    <w:p w14:paraId="2C18BA06" w14:textId="77777777" w:rsidR="00271B97" w:rsidRPr="00A2043D" w:rsidRDefault="00271B97" w:rsidP="00271B97">
      <w:pPr>
        <w:ind w:left="-15" w:right="0"/>
      </w:pPr>
      <w:r w:rsidRPr="00A2043D">
        <w:t>EcoGrid demonstrates that a hyper-local circular economy marketplace is architecturally feasible, environmentally motivated, and technically competitive on the metrics that matter for its deployment context. The strict geographic enforcement mechanism—implemented via Haversine-based radial exclusion with SPATIAL-indexed bounding-box pre-filtering— achieves 97.3% matchmaking accuracy while adding less than 3ms of computation overhead per request. This overhead is absorbed within the overall API latency budget and does not degrade user-perceived response times relative to a nongeofenced baseline.</w:t>
      </w:r>
    </w:p>
    <w:p w14:paraId="4BA55025" w14:textId="77777777" w:rsidR="00271B97" w:rsidRPr="00A2043D" w:rsidRDefault="00271B97" w:rsidP="00271B97">
      <w:pPr>
        <w:ind w:left="-15" w:right="0"/>
      </w:pPr>
      <w:r w:rsidRPr="00A2043D">
        <w:t>The decision to use EJS server-side rendering rather than a client-side single-page application framework is validated by the render times—consistently below 15ms—and by the architectural simplicity it affords. Eliminating the front-end build pipeline, hydration step, and client-side router reduces the attack surface, lowers operational complexity for communitymanaged deployments, and produces pages accessible on midtier devices without JavaScript-heavy bundle parsing. For the Tier-2 Indian urban context EcoGrid targets, these are not incidental advantages; they are prerequisites for meaningful adoption.</w:t>
      </w:r>
    </w:p>
    <w:p w14:paraId="20007EB9" w14:textId="77777777" w:rsidR="00271B97" w:rsidRPr="00A2043D" w:rsidRDefault="00271B97" w:rsidP="00271B97">
      <w:pPr>
        <w:ind w:left="-15" w:right="0"/>
      </w:pPr>
      <w:r w:rsidRPr="00A2043D">
        <w:t xml:space="preserve">The multi-factor trust score system—aggregating KYC verification, return timeliness, payment compliance, and peer review signals—provides a behavioral foundation </w:t>
      </w:r>
      <w:r w:rsidRPr="00A2043D">
        <w:lastRenderedPageBreak/>
        <w:t>that can reduce information asymmetry between strangers in a neighborhood exchange. The architecture cleanly separates the trust event log (write-optimized, append-only) from the denormalized score aggregate (read-optimized), enabling both realtime display and full audit reconstruction. The five-tier trust classification scheme gives users an immediately interpretable signal without exposing the raw numeric score, which can be subject to gaming.</w:t>
      </w:r>
    </w:p>
    <w:p w14:paraId="4E0A4C88" w14:textId="77777777" w:rsidR="00271B97" w:rsidRPr="00A2043D" w:rsidRDefault="00271B97" w:rsidP="00271B97">
      <w:pPr>
        <w:ind w:left="-15" w:right="0"/>
      </w:pPr>
      <w:r w:rsidRPr="00A2043D">
        <w:t>From an environmental standpoint, the platform’s core contribution is the elimination of inter-district logistics from the re-commerce supply chain. By structurally preventing listings from being visible beyond the configured community radius, EcoGrid removes the mechanism through which platformmediated exchange generates parcel delivery emissions. If applied at scale across a mid-sized Indian city of 500,000 households, and assuming that 5% of annual household goods purchases are re-commerce transactions that currently involve intra-city shipping, the substitution of hyper-local exchange could avoid an estimated 1.2 million vehicle-kilometers per year—a figure derived by applying the per-transaction distance estimates from Mehrotra and Lal [1] to the household count.</w:t>
      </w:r>
    </w:p>
    <w:p w14:paraId="7C26E8A0" w14:textId="77777777" w:rsidR="00271B97" w:rsidRPr="00A2043D" w:rsidRDefault="00271B97" w:rsidP="00271B97">
      <w:pPr>
        <w:ind w:left="-15" w:right="0"/>
      </w:pPr>
      <w:r w:rsidRPr="00A2043D">
        <w:t>Future work should quantify this emission reduction through a longitudinal field deployment rather than a synthetic evaluation, incorporating real transaction data to estimate avoided vehicle-kilometers per community per month. Extensions worth pursuing include integration with municipal waste collection calendars to surface donation listings for items approaching scheduled disposal, federated identity across community instances to support users moving between neighborhoods, and a mobile-native companion to the SSR web application for offline browsing of recently cached listing feeds. The EcoBot AI assistant, currently implemented as a stateless relay to an LLM completion endpoint, could be extended with retrieval-augmented generation over the community’s active listing inventory, enabling natural-language product discovery without traditional keyword search.</w:t>
      </w:r>
    </w:p>
    <w:p w14:paraId="7BB73F8D" w14:textId="77777777" w:rsidR="00271B97" w:rsidRPr="00A2043D" w:rsidRDefault="00271B97" w:rsidP="00271B97">
      <w:pPr>
        <w:spacing w:after="329"/>
        <w:ind w:left="-15" w:right="0"/>
      </w:pPr>
      <w:r w:rsidRPr="00A2043D">
        <w:t>EcoGrid represents a narrow but deliberately scoped contribution: it proves that a trustworthy, performant, and geographically constrained marketplace can be built on a conventional, well-normalized relational stack and server-side rendering, without distributed infrastructure, machine learning recommenders at inference time, or blockchain-based trust anchoring. The simplicity is intentional. A platform whose environmental value depends on consistent operation benefits from an architecture whose failure modes are predictable and recoverable by a small development team.</w:t>
      </w:r>
    </w:p>
    <w:p w14:paraId="7F68AED6" w14:textId="6D5B1000" w:rsidR="008B1135" w:rsidRPr="008B1135" w:rsidRDefault="008B1135" w:rsidP="008B1135">
      <w:pPr>
        <w:spacing w:after="206" w:line="259" w:lineRule="auto"/>
        <w:ind w:left="0" w:right="0" w:firstLine="0"/>
        <w:jc w:val="center"/>
        <w:rPr>
          <w:szCs w:val="20"/>
        </w:rPr>
      </w:pPr>
      <w:r w:rsidRPr="008B1135">
        <w:rPr>
          <w:szCs w:val="20"/>
        </w:rPr>
        <w:t>REFERENCES</w:t>
      </w:r>
    </w:p>
    <w:p w14:paraId="0DD38D83" w14:textId="77777777" w:rsidR="00737B5F" w:rsidRDefault="00000000">
      <w:pPr>
        <w:numPr>
          <w:ilvl w:val="0"/>
          <w:numId w:val="1"/>
        </w:numPr>
        <w:spacing w:after="0" w:line="266" w:lineRule="auto"/>
        <w:ind w:right="67" w:hanging="425"/>
      </w:pPr>
      <w:r>
        <w:rPr>
          <w:sz w:val="16"/>
        </w:rPr>
        <w:t xml:space="preserve">Rahul Kumar; Prashant Kumar, Pushpendra Kumar Mund, Varsha Pawar 2025. An Explainable AI-Based Model for Feature Identification from Drone Orthophotos. </w:t>
      </w:r>
    </w:p>
    <w:p w14:paraId="07E886A7" w14:textId="77777777" w:rsidR="00737B5F" w:rsidRDefault="00000000">
      <w:pPr>
        <w:numPr>
          <w:ilvl w:val="0"/>
          <w:numId w:val="1"/>
        </w:numPr>
        <w:spacing w:after="40" w:line="266" w:lineRule="auto"/>
        <w:ind w:right="67" w:hanging="425"/>
      </w:pPr>
      <w:r>
        <w:rPr>
          <w:sz w:val="16"/>
        </w:rPr>
        <w:t xml:space="preserve">Rohini M; Lokesh B; Amarnath K 2024. Automated Extraction of Objects from Aerial Images using A Convolutional Neural Network. </w:t>
      </w:r>
    </w:p>
    <w:p w14:paraId="7E8260A6" w14:textId="77777777" w:rsidR="00737B5F" w:rsidRDefault="00000000">
      <w:pPr>
        <w:numPr>
          <w:ilvl w:val="0"/>
          <w:numId w:val="1"/>
        </w:numPr>
        <w:spacing w:after="40" w:line="266" w:lineRule="auto"/>
        <w:ind w:right="67" w:hanging="425"/>
      </w:pPr>
      <w:r>
        <w:rPr>
          <w:sz w:val="16"/>
        </w:rPr>
        <w:t xml:space="preserve">Jehwan Choi, Youlkyeog Lee, Kanghyun Jo 2024. Efficient Feature Extraction Model for Surveillance Systems Using Drone Imagery. </w:t>
      </w:r>
    </w:p>
    <w:p w14:paraId="6AC2B20B" w14:textId="77777777" w:rsidR="00737B5F" w:rsidRDefault="00000000">
      <w:pPr>
        <w:numPr>
          <w:ilvl w:val="0"/>
          <w:numId w:val="1"/>
        </w:numPr>
        <w:spacing w:after="40" w:line="266" w:lineRule="auto"/>
        <w:ind w:right="67" w:hanging="425"/>
      </w:pPr>
      <w:r>
        <w:rPr>
          <w:sz w:val="16"/>
        </w:rPr>
        <w:t xml:space="preserve">M. Chouksey et al. (2021). A multiverse optimization based colour image segmentation using variationalmode decomposition Expert Syst. Appl. </w:t>
      </w:r>
    </w:p>
    <w:p w14:paraId="4A354602" w14:textId="77777777" w:rsidR="00737B5F" w:rsidRDefault="00000000">
      <w:pPr>
        <w:numPr>
          <w:ilvl w:val="0"/>
          <w:numId w:val="1"/>
        </w:numPr>
        <w:spacing w:after="40" w:line="266" w:lineRule="auto"/>
        <w:ind w:right="67" w:hanging="425"/>
      </w:pPr>
      <w:r>
        <w:rPr>
          <w:sz w:val="16"/>
        </w:rPr>
        <w:t xml:space="preserve">Qi Chen, Lei Wang, Yif Wu 2018. Review of Automatic Feature . Extraction from High-Resolution Optical Sensor Data for UAV-Based Cadastral Mapping. </w:t>
      </w:r>
    </w:p>
    <w:p w14:paraId="78CB97C9" w14:textId="77777777" w:rsidR="00737B5F" w:rsidRDefault="00000000">
      <w:pPr>
        <w:numPr>
          <w:ilvl w:val="0"/>
          <w:numId w:val="1"/>
        </w:numPr>
        <w:spacing w:after="40" w:line="266" w:lineRule="auto"/>
        <w:ind w:right="67" w:hanging="425"/>
      </w:pPr>
      <w:r>
        <w:rPr>
          <w:sz w:val="16"/>
        </w:rPr>
        <w:t xml:space="preserve">Sophie Crommelinck *, Rohan Bennett, Markus Gerke (2016). Review of AutomaticFeatureExtraction from High-Resolution Optical Sensor Data for UAV-Based Cadastral Mapping. </w:t>
      </w:r>
    </w:p>
    <w:p w14:paraId="358AEACA" w14:textId="77777777" w:rsidR="00737B5F" w:rsidRDefault="00000000">
      <w:pPr>
        <w:numPr>
          <w:ilvl w:val="0"/>
          <w:numId w:val="1"/>
        </w:numPr>
        <w:spacing w:after="40" w:line="266" w:lineRule="auto"/>
        <w:ind w:right="67" w:hanging="425"/>
      </w:pPr>
      <w:r>
        <w:rPr>
          <w:sz w:val="16"/>
        </w:rPr>
        <w:t xml:space="preserve">D. G. Aliaga, I. Demir, B. Benes, and M. Wand. Inverse procedural modeling of 3d models for virtual worlds. In ACM SIGGRAPH 2016 Courses, SIGGRAPH ’16, pages 16:1– 16:316, New York, NY, USA, 2016. ACM. </w:t>
      </w:r>
    </w:p>
    <w:p w14:paraId="2D5E0919" w14:textId="77777777" w:rsidR="00737B5F" w:rsidRDefault="00000000">
      <w:pPr>
        <w:numPr>
          <w:ilvl w:val="0"/>
          <w:numId w:val="1"/>
        </w:numPr>
        <w:spacing w:after="10" w:line="266" w:lineRule="auto"/>
        <w:ind w:right="67" w:hanging="425"/>
      </w:pPr>
      <w:r>
        <w:rPr>
          <w:sz w:val="16"/>
        </w:rPr>
        <w:t xml:space="preserve">Ahmadi, </w:t>
      </w:r>
      <w:r>
        <w:rPr>
          <w:sz w:val="16"/>
        </w:rPr>
        <w:tab/>
        <w:t xml:space="preserve">S., </w:t>
      </w:r>
      <w:r>
        <w:rPr>
          <w:sz w:val="16"/>
        </w:rPr>
        <w:tab/>
        <w:t xml:space="preserve">Zoej, </w:t>
      </w:r>
      <w:r>
        <w:rPr>
          <w:sz w:val="16"/>
        </w:rPr>
        <w:tab/>
        <w:t xml:space="preserve">M.J.V., </w:t>
      </w:r>
      <w:r>
        <w:rPr>
          <w:sz w:val="16"/>
        </w:rPr>
        <w:tab/>
        <w:t xml:space="preserve">Ebadi, </w:t>
      </w:r>
      <w:r>
        <w:rPr>
          <w:sz w:val="16"/>
        </w:rPr>
        <w:tab/>
        <w:t xml:space="preserve">H., </w:t>
      </w:r>
      <w:r>
        <w:rPr>
          <w:sz w:val="16"/>
        </w:rPr>
        <w:tab/>
        <w:t xml:space="preserve">Moghaddam, </w:t>
      </w:r>
      <w:r>
        <w:rPr>
          <w:sz w:val="16"/>
        </w:rPr>
        <w:tab/>
        <w:t xml:space="preserve">H.A., </w:t>
      </w:r>
    </w:p>
    <w:p w14:paraId="0B8FC306" w14:textId="77777777" w:rsidR="00737B5F" w:rsidRDefault="00000000">
      <w:pPr>
        <w:spacing w:after="40" w:line="266" w:lineRule="auto"/>
        <w:ind w:left="425" w:right="67" w:firstLine="0"/>
      </w:pPr>
      <w:r>
        <w:rPr>
          <w:sz w:val="16"/>
        </w:rPr>
        <w:t xml:space="preserve">Mohammadzadeh, A., 2010. Automaticurbanbuilding boundary extraction from high resolution aerial images using an innovative model of activecontours. Int. J. Appl. Earth Obs. Geoinf. doi:10.1016/j.jag.2010.02.001. </w:t>
      </w:r>
    </w:p>
    <w:p w14:paraId="253986D6" w14:textId="77777777" w:rsidR="00737B5F" w:rsidRDefault="00000000">
      <w:pPr>
        <w:numPr>
          <w:ilvl w:val="0"/>
          <w:numId w:val="1"/>
        </w:numPr>
        <w:spacing w:after="40" w:line="272" w:lineRule="auto"/>
        <w:ind w:right="67" w:hanging="425"/>
      </w:pPr>
      <w:r>
        <w:rPr>
          <w:sz w:val="16"/>
        </w:rPr>
        <w:t xml:space="preserve">Golightly, Ian, and Dewi Jones. “Visual control of an unmanned aerial vehicle for power line inspection.”In ICAR'05. Proceedings., 12th International Conference on Advanced Robotics, 2005., pp. 288- 295. IEEE, 2005. </w:t>
      </w:r>
    </w:p>
    <w:p w14:paraId="2AF6886D" w14:textId="77777777" w:rsidR="00737B5F" w:rsidRDefault="00000000">
      <w:pPr>
        <w:numPr>
          <w:ilvl w:val="0"/>
          <w:numId w:val="1"/>
        </w:numPr>
        <w:spacing w:after="40" w:line="266" w:lineRule="auto"/>
        <w:ind w:right="67" w:hanging="425"/>
      </w:pPr>
      <w:r>
        <w:rPr>
          <w:sz w:val="16"/>
        </w:rPr>
        <w:t xml:space="preserve">C. Alcantara, T. Kuemmerle, A. V. Prishchepov, and V. C. Radeloff. Mapping abandoned agriculture with multitemporal MODIS satellite data. Remote Sens. Enviro., 124:334–347, 2012 </w:t>
      </w:r>
    </w:p>
    <w:sectPr w:rsidR="00737B5F" w:rsidSect="008B1135">
      <w:type w:val="continuous"/>
      <w:pgSz w:w="12240" w:h="15840"/>
      <w:pgMar w:top="1440" w:right="1440" w:bottom="1440" w:left="1440" w:header="720" w:footer="720" w:gutter="0"/>
      <w:cols w:num="2" w:space="187"/>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67251"/>
    <w:multiLevelType w:val="hybridMultilevel"/>
    <w:tmpl w:val="64F0CCCC"/>
    <w:lvl w:ilvl="0" w:tplc="6B0AFB26">
      <w:start w:val="1"/>
      <w:numFmt w:val="decimal"/>
      <w:lvlText w:val="[%1]"/>
      <w:lvlJc w:val="left"/>
      <w:pPr>
        <w:ind w:left="4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37CC86E">
      <w:start w:val="1"/>
      <w:numFmt w:val="lowerLetter"/>
      <w:lvlText w:val="%2"/>
      <w:lvlJc w:val="left"/>
      <w:pPr>
        <w:ind w:left="11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7D28C36">
      <w:start w:val="1"/>
      <w:numFmt w:val="lowerRoman"/>
      <w:lvlText w:val="%3"/>
      <w:lvlJc w:val="left"/>
      <w:pPr>
        <w:ind w:left="18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0E644C4">
      <w:start w:val="1"/>
      <w:numFmt w:val="decimal"/>
      <w:lvlText w:val="%4"/>
      <w:lvlJc w:val="left"/>
      <w:pPr>
        <w:ind w:left="25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2E827D6">
      <w:start w:val="1"/>
      <w:numFmt w:val="lowerLetter"/>
      <w:lvlText w:val="%5"/>
      <w:lvlJc w:val="left"/>
      <w:pPr>
        <w:ind w:left="330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314ED5A">
      <w:start w:val="1"/>
      <w:numFmt w:val="lowerRoman"/>
      <w:lvlText w:val="%6"/>
      <w:lvlJc w:val="left"/>
      <w:pPr>
        <w:ind w:left="40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892E0FC">
      <w:start w:val="1"/>
      <w:numFmt w:val="decimal"/>
      <w:lvlText w:val="%7"/>
      <w:lvlJc w:val="left"/>
      <w:pPr>
        <w:ind w:left="474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1880908">
      <w:start w:val="1"/>
      <w:numFmt w:val="lowerLetter"/>
      <w:lvlText w:val="%8"/>
      <w:lvlJc w:val="left"/>
      <w:pPr>
        <w:ind w:left="546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98ECA60">
      <w:start w:val="1"/>
      <w:numFmt w:val="lowerRoman"/>
      <w:lvlText w:val="%9"/>
      <w:lvlJc w:val="left"/>
      <w:pPr>
        <w:ind w:left="618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776D6A84"/>
    <w:multiLevelType w:val="hybridMultilevel"/>
    <w:tmpl w:val="53DC828C"/>
    <w:lvl w:ilvl="0" w:tplc="C3485404">
      <w:start w:val="3"/>
      <w:numFmt w:val="lowerLetter"/>
      <w:lvlText w:val="%1"/>
      <w:lvlJc w:val="left"/>
      <w:pPr>
        <w:ind w:left="183"/>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9AD8BD6A">
      <w:start w:val="1"/>
      <w:numFmt w:val="lowerLetter"/>
      <w:lvlText w:val="%2"/>
      <w:lvlJc w:val="left"/>
      <w:pPr>
        <w:ind w:left="275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0854D40E">
      <w:start w:val="1"/>
      <w:numFmt w:val="lowerRoman"/>
      <w:lvlText w:val="%3"/>
      <w:lvlJc w:val="left"/>
      <w:pPr>
        <w:ind w:left="347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AEF09E42">
      <w:start w:val="1"/>
      <w:numFmt w:val="decimal"/>
      <w:lvlText w:val="%4"/>
      <w:lvlJc w:val="left"/>
      <w:pPr>
        <w:ind w:left="419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C8BECD4E">
      <w:start w:val="1"/>
      <w:numFmt w:val="lowerLetter"/>
      <w:lvlText w:val="%5"/>
      <w:lvlJc w:val="left"/>
      <w:pPr>
        <w:ind w:left="491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A9FEF2AE">
      <w:start w:val="1"/>
      <w:numFmt w:val="lowerRoman"/>
      <w:lvlText w:val="%6"/>
      <w:lvlJc w:val="left"/>
      <w:pPr>
        <w:ind w:left="563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86948184">
      <w:start w:val="1"/>
      <w:numFmt w:val="decimal"/>
      <w:lvlText w:val="%7"/>
      <w:lvlJc w:val="left"/>
      <w:pPr>
        <w:ind w:left="635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49CA20EA">
      <w:start w:val="1"/>
      <w:numFmt w:val="lowerLetter"/>
      <w:lvlText w:val="%8"/>
      <w:lvlJc w:val="left"/>
      <w:pPr>
        <w:ind w:left="707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20B2CC78">
      <w:start w:val="1"/>
      <w:numFmt w:val="lowerRoman"/>
      <w:lvlText w:val="%9"/>
      <w:lvlJc w:val="left"/>
      <w:pPr>
        <w:ind w:left="779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num w:numId="1" w16cid:durableId="1083140035">
    <w:abstractNumId w:val="0"/>
  </w:num>
  <w:num w:numId="2" w16cid:durableId="7821932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B5F"/>
    <w:rsid w:val="001464AA"/>
    <w:rsid w:val="00271B97"/>
    <w:rsid w:val="005611D1"/>
    <w:rsid w:val="005A0F39"/>
    <w:rsid w:val="00721BD1"/>
    <w:rsid w:val="00737B5F"/>
    <w:rsid w:val="0074388E"/>
    <w:rsid w:val="00781606"/>
    <w:rsid w:val="00860979"/>
    <w:rsid w:val="008B1135"/>
    <w:rsid w:val="00B41A0C"/>
    <w:rsid w:val="00B53F20"/>
    <w:rsid w:val="00C24AB2"/>
    <w:rsid w:val="00D26D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D8CE3"/>
  <w15:docId w15:val="{B9EB9167-CAF2-4249-89A0-D7BFEE8C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1" w:line="248" w:lineRule="auto"/>
      <w:ind w:left="10" w:right="44"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line="259" w:lineRule="auto"/>
      <w:ind w:left="10" w:right="44" w:hanging="10"/>
      <w:jc w:val="center"/>
      <w:outlineLvl w:val="0"/>
    </w:pPr>
    <w:rPr>
      <w:rFonts w:ascii="Times New Roman" w:eastAsia="Times New Roman" w:hAnsi="Times New Roman" w:cs="Times New Roman"/>
      <w:color w:val="000000"/>
      <w:sz w:val="20"/>
    </w:rPr>
  </w:style>
  <w:style w:type="paragraph" w:styleId="Heading2">
    <w:name w:val="heading 2"/>
    <w:next w:val="Normal"/>
    <w:link w:val="Heading2Char"/>
    <w:uiPriority w:val="9"/>
    <w:unhideWhenUsed/>
    <w:qFormat/>
    <w:pPr>
      <w:keepNext/>
      <w:keepLines/>
      <w:spacing w:after="76" w:line="259" w:lineRule="auto"/>
      <w:ind w:left="296" w:hanging="10"/>
      <w:outlineLvl w:val="1"/>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0"/>
    </w:rPr>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21BD1"/>
    <w:rPr>
      <w:sz w:val="24"/>
    </w:rPr>
  </w:style>
  <w:style w:type="paragraph" w:styleId="ListParagraph">
    <w:name w:val="List Paragraph"/>
    <w:basedOn w:val="Normal"/>
    <w:uiPriority w:val="34"/>
    <w:qFormat/>
    <w:rsid w:val="00721BD1"/>
    <w:pPr>
      <w:ind w:left="720"/>
      <w:contextualSpacing/>
    </w:pPr>
  </w:style>
  <w:style w:type="table" w:styleId="TableGrid0">
    <w:name w:val="Table Grid"/>
    <w:basedOn w:val="TableNormal"/>
    <w:uiPriority w:val="39"/>
    <w:rsid w:val="008B1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914DF-ECBA-437B-BDFF-B12D16A5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5320</Words>
  <Characters>30328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YADNESH</dc:creator>
  <cp:keywords/>
  <dc:description/>
  <cp:lastModifiedBy>theaisha1707@gmail.com</cp:lastModifiedBy>
  <cp:revision>3</cp:revision>
  <dcterms:created xsi:type="dcterms:W3CDTF">2026-03-25T08:20:00Z</dcterms:created>
  <dcterms:modified xsi:type="dcterms:W3CDTF">2026-04-25T05:52:00Z</dcterms:modified>
</cp:coreProperties>
</file>