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9AD98" w14:textId="5BF44406" w:rsidR="006C2738" w:rsidRPr="00391186" w:rsidRDefault="000511E7" w:rsidP="00391186">
      <w:pPr>
        <w:spacing w:before="480" w:after="80" w:line="360" w:lineRule="auto"/>
        <w:jc w:val="center"/>
        <w:rPr>
          <w:rFonts w:ascii="Times New Roman" w:hAnsi="Times New Roman" w:cs="Times New Roman"/>
          <w:sz w:val="24"/>
          <w:szCs w:val="24"/>
        </w:rPr>
      </w:pPr>
      <w:bookmarkStart w:id="0" w:name="_GoBack"/>
      <w:bookmarkEnd w:id="0"/>
      <w:r w:rsidRPr="00391186">
        <w:rPr>
          <w:rFonts w:ascii="Times New Roman" w:hAnsi="Times New Roman" w:cs="Times New Roman"/>
          <w:sz w:val="24"/>
          <w:szCs w:val="24"/>
        </w:rPr>
        <w:t>EXOSOME-BASED DRUG DELIVERY SYSTEMS:</w:t>
      </w:r>
    </w:p>
    <w:p w14:paraId="06B14B60" w14:textId="40BD1C24" w:rsidR="006C2738" w:rsidRPr="00391186" w:rsidRDefault="000511E7" w:rsidP="00391186">
      <w:pPr>
        <w:spacing w:after="240" w:line="360" w:lineRule="auto"/>
        <w:jc w:val="center"/>
        <w:rPr>
          <w:rFonts w:ascii="Times New Roman" w:hAnsi="Times New Roman" w:cs="Times New Roman"/>
          <w:sz w:val="24"/>
          <w:szCs w:val="24"/>
        </w:rPr>
      </w:pPr>
      <w:r w:rsidRPr="00391186">
        <w:rPr>
          <w:rFonts w:ascii="Times New Roman" w:hAnsi="Times New Roman" w:cs="Times New Roman"/>
          <w:sz w:val="24"/>
          <w:szCs w:val="24"/>
        </w:rPr>
        <w:t>EMERGING FRONTIERS IN TARGETED NANOMEDICINE</w:t>
      </w:r>
    </w:p>
    <w:p w14:paraId="5AA5614D" w14:textId="77777777" w:rsidR="006C2738" w:rsidRPr="00391186" w:rsidRDefault="000511E7" w:rsidP="00391186">
      <w:pPr>
        <w:pStyle w:val="ListParagraph"/>
        <w:spacing w:line="360" w:lineRule="auto"/>
        <w:rPr>
          <w:rFonts w:ascii="Times New Roman" w:hAnsi="Times New Roman" w:cs="Times New Roman"/>
        </w:rPr>
      </w:pPr>
      <w:r w:rsidRPr="00391186">
        <w:rPr>
          <w:rFonts w:ascii="Times New Roman" w:hAnsi="Times New Roman" w:cs="Times New Roman"/>
          <w:sz w:val="28"/>
          <w:szCs w:val="28"/>
        </w:rPr>
        <w:t xml:space="preserve">  ABSTRACT</w:t>
      </w:r>
    </w:p>
    <w:p w14:paraId="1592AABE" w14:textId="77777777" w:rsidR="006C2738" w:rsidRPr="00391186" w:rsidRDefault="000511E7" w:rsidP="00391186">
      <w:pPr>
        <w:pStyle w:val="ListParagraph"/>
        <w:spacing w:line="360" w:lineRule="auto"/>
        <w:rPr>
          <w:rFonts w:ascii="Times New Roman" w:hAnsi="Times New Roman" w:cs="Times New Roman"/>
        </w:rPr>
      </w:pPr>
      <w:r w:rsidRPr="00391186">
        <w:rPr>
          <w:rFonts w:ascii="Times New Roman" w:hAnsi="Times New Roman" w:cs="Times New Roman"/>
        </w:rPr>
        <w:t xml:space="preserve">Exosomes are nanoscale extracellular vesicles (EVs) ranging from 30 to 150 nm in diameter, naturally secreted by virtually all cell types. </w:t>
      </w:r>
      <w:r w:rsidRPr="00391186">
        <w:rPr>
          <w:rFonts w:ascii="Times New Roman" w:hAnsi="Times New Roman" w:cs="Times New Roman"/>
          <w:sz w:val="16"/>
          <w:szCs w:val="16"/>
          <w:vertAlign w:val="superscript"/>
        </w:rPr>
        <w:t>[1,7]</w:t>
      </w:r>
      <w:r w:rsidRPr="00391186">
        <w:rPr>
          <w:rFonts w:ascii="Times New Roman" w:hAnsi="Times New Roman" w:cs="Times New Roman"/>
        </w:rPr>
        <w:t xml:space="preserve"> Their inherent biocompatibility, low immunogenicity, ability to cross biological barriers such as the blood-brain barrier (BBB), and intrinsic cell-homing properties have generated remarkable interest in their application as next-generation drug delivery </w:t>
      </w:r>
      <w:r w:rsidRPr="00391186">
        <w:rPr>
          <w:rFonts w:ascii="Times New Roman" w:hAnsi="Times New Roman" w:cs="Times New Roman"/>
        </w:rPr>
        <w:t xml:space="preserve">vehicles. </w:t>
      </w:r>
      <w:r w:rsidRPr="00391186">
        <w:rPr>
          <w:rFonts w:ascii="Times New Roman" w:hAnsi="Times New Roman" w:cs="Times New Roman"/>
          <w:sz w:val="16"/>
          <w:szCs w:val="16"/>
          <w:vertAlign w:val="superscript"/>
        </w:rPr>
        <w:t>[13,24]</w:t>
      </w:r>
      <w:r w:rsidRPr="00391186">
        <w:rPr>
          <w:rFonts w:ascii="Times New Roman" w:hAnsi="Times New Roman" w:cs="Times New Roman"/>
        </w:rPr>
        <w:t xml:space="preserve"> Unlike synthetic nanocarriers, exosomes possess a lipid bilayer membrane enriched with functional proteins, cholesterol, sphingomyelin, and unique surface ligands that facilitate cell recognition and uptake. </w:t>
      </w:r>
      <w:r w:rsidRPr="00391186">
        <w:rPr>
          <w:rFonts w:ascii="Times New Roman" w:hAnsi="Times New Roman" w:cs="Times New Roman"/>
          <w:sz w:val="16"/>
          <w:szCs w:val="16"/>
          <w:vertAlign w:val="superscript"/>
        </w:rPr>
        <w:t>[6,8]</w:t>
      </w:r>
      <w:r w:rsidRPr="00391186">
        <w:rPr>
          <w:rFonts w:ascii="Times New Roman" w:hAnsi="Times New Roman" w:cs="Times New Roman"/>
        </w:rPr>
        <w:t xml:space="preserve"> This review comprehensiv</w:t>
      </w:r>
      <w:r w:rsidRPr="00391186">
        <w:rPr>
          <w:rFonts w:ascii="Times New Roman" w:hAnsi="Times New Roman" w:cs="Times New Roman"/>
        </w:rPr>
        <w:t>ely covers the biogenesis, composition, and isolation of exosomes; engineering strategies including surface functionalization and drug loading methods; their application in cancer therapy, neurological disorders, cardiovascular diseases, and inflammatory c</w:t>
      </w:r>
      <w:r w:rsidRPr="00391186">
        <w:rPr>
          <w:rFonts w:ascii="Times New Roman" w:hAnsi="Times New Roman" w:cs="Times New Roman"/>
        </w:rPr>
        <w:t xml:space="preserve">onditions; clinical trials underway; regulatory considerations; and future perspectives of exosome-based drug delivery systems. </w:t>
      </w:r>
      <w:r w:rsidRPr="00391186">
        <w:rPr>
          <w:rFonts w:ascii="Times New Roman" w:hAnsi="Times New Roman" w:cs="Times New Roman"/>
          <w:sz w:val="16"/>
          <w:szCs w:val="16"/>
          <w:vertAlign w:val="superscript"/>
        </w:rPr>
        <w:t>[1,28]</w:t>
      </w:r>
    </w:p>
    <w:p w14:paraId="36ACFC10" w14:textId="77777777" w:rsidR="006C2738" w:rsidRPr="00391186" w:rsidRDefault="000511E7" w:rsidP="00391186">
      <w:pPr>
        <w:pStyle w:val="ListParagraph"/>
        <w:spacing w:line="360" w:lineRule="auto"/>
        <w:rPr>
          <w:rFonts w:ascii="Times New Roman" w:hAnsi="Times New Roman" w:cs="Times New Roman"/>
        </w:rPr>
      </w:pPr>
      <w:r w:rsidRPr="00391186">
        <w:rPr>
          <w:rFonts w:ascii="Times New Roman" w:hAnsi="Times New Roman" w:cs="Times New Roman"/>
        </w:rPr>
        <w:t xml:space="preserve">Keywords: </w:t>
      </w:r>
      <w:r w:rsidRPr="00391186">
        <w:rPr>
          <w:rFonts w:ascii="Times New Roman" w:hAnsi="Times New Roman" w:cs="Times New Roman"/>
          <w:i/>
          <w:iCs/>
        </w:rPr>
        <w:t>Exosomes, Extracellular Vesicles, Drug Delivery, Nanomedicine, Blood-Brain Barrier, Cancer Therapy, Targeted De</w:t>
      </w:r>
      <w:r w:rsidRPr="00391186">
        <w:rPr>
          <w:rFonts w:ascii="Times New Roman" w:hAnsi="Times New Roman" w:cs="Times New Roman"/>
          <w:i/>
          <w:iCs/>
        </w:rPr>
        <w:t>livery, Biogenesis, Surface Engineering, Clinical Translation</w:t>
      </w:r>
    </w:p>
    <w:p w14:paraId="4D73FD48" w14:textId="75C88978" w:rsidR="00391186" w:rsidRDefault="000511E7" w:rsidP="00391186">
      <w:pPr>
        <w:pStyle w:val="Heading1"/>
        <w:numPr>
          <w:ilvl w:val="0"/>
          <w:numId w:val="3"/>
        </w:numPr>
        <w:pBdr>
          <w:bottom w:val="single" w:sz="6" w:space="4" w:color="2E75B6"/>
        </w:pBdr>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INTRODUCTION</w:t>
      </w:r>
    </w:p>
    <w:p w14:paraId="58F92D95" w14:textId="13C6D206" w:rsidR="006C2738" w:rsidRPr="00391186" w:rsidRDefault="000511E7" w:rsidP="00391186">
      <w:pPr>
        <w:pStyle w:val="Heading1"/>
        <w:pBdr>
          <w:bottom w:val="single" w:sz="6" w:space="4" w:color="2E75B6"/>
        </w:pBdr>
        <w:spacing w:line="360" w:lineRule="auto"/>
        <w:ind w:left="720"/>
        <w:rPr>
          <w:rFonts w:ascii="Times New Roman" w:hAnsi="Times New Roman" w:cs="Times New Roman"/>
          <w:b w:val="0"/>
          <w:bCs w:val="0"/>
          <w:color w:val="auto"/>
        </w:rPr>
      </w:pPr>
      <w:r w:rsidRPr="00391186">
        <w:rPr>
          <w:rFonts w:ascii="Times New Roman" w:hAnsi="Times New Roman" w:cs="Times New Roman"/>
          <w:b w:val="0"/>
          <w:bCs w:val="0"/>
          <w:color w:val="auto"/>
          <w:sz w:val="22"/>
          <w:szCs w:val="22"/>
        </w:rPr>
        <w:t>The landscape of drug delivery has undergone a paradigm shift in the past two decades. Traditional pharmaceutical formulations often suffer from systemic toxicity, non-specific dist</w:t>
      </w:r>
      <w:r w:rsidRPr="00391186">
        <w:rPr>
          <w:rFonts w:ascii="Times New Roman" w:hAnsi="Times New Roman" w:cs="Times New Roman"/>
          <w:b w:val="0"/>
          <w:bCs w:val="0"/>
          <w:color w:val="auto"/>
          <w:sz w:val="22"/>
          <w:szCs w:val="22"/>
        </w:rPr>
        <w:t xml:space="preserve">ribution, rapid clearance, and poor cellular uptake. </w:t>
      </w:r>
      <w:r w:rsidRPr="00391186">
        <w:rPr>
          <w:rFonts w:ascii="Times New Roman" w:hAnsi="Times New Roman" w:cs="Times New Roman"/>
          <w:b w:val="0"/>
          <w:bCs w:val="0"/>
          <w:color w:val="auto"/>
          <w:sz w:val="16"/>
          <w:szCs w:val="16"/>
          <w:vertAlign w:val="superscript"/>
        </w:rPr>
        <w:t>[13]</w:t>
      </w:r>
      <w:r w:rsidRPr="00391186">
        <w:rPr>
          <w:rFonts w:ascii="Times New Roman" w:hAnsi="Times New Roman" w:cs="Times New Roman"/>
          <w:b w:val="0"/>
          <w:bCs w:val="0"/>
          <w:color w:val="auto"/>
          <w:sz w:val="22"/>
          <w:szCs w:val="22"/>
        </w:rPr>
        <w:t xml:space="preserve"> Nanocarrier-based drug delivery systems — liposomes, polymeric nanoparticles, dendrimers, and inorganic nanoparticles — emerged as promising alternatives, yet many face challenges including immune r</w:t>
      </w:r>
      <w:r w:rsidRPr="00391186">
        <w:rPr>
          <w:rFonts w:ascii="Times New Roman" w:hAnsi="Times New Roman" w:cs="Times New Roman"/>
          <w:b w:val="0"/>
          <w:bCs w:val="0"/>
          <w:color w:val="auto"/>
          <w:sz w:val="22"/>
          <w:szCs w:val="22"/>
        </w:rPr>
        <w:t xml:space="preserve">ecognition, instability in biological fluids, and toxicity concerns. </w:t>
      </w:r>
      <w:r w:rsidRPr="00391186">
        <w:rPr>
          <w:rFonts w:ascii="Times New Roman" w:hAnsi="Times New Roman" w:cs="Times New Roman"/>
          <w:b w:val="0"/>
          <w:bCs w:val="0"/>
          <w:color w:val="auto"/>
          <w:sz w:val="16"/>
          <w:szCs w:val="16"/>
          <w:vertAlign w:val="superscript"/>
        </w:rPr>
        <w:t>[24]</w:t>
      </w:r>
      <w:r w:rsidRPr="00391186">
        <w:rPr>
          <w:rFonts w:ascii="Times New Roman" w:hAnsi="Times New Roman" w:cs="Times New Roman"/>
          <w:b w:val="0"/>
          <w:bCs w:val="0"/>
          <w:color w:val="auto"/>
          <w:sz w:val="22"/>
          <w:szCs w:val="22"/>
        </w:rPr>
        <w:t xml:space="preserve"> Against this backdrop, nature itself has offered an elegant solution in the form of extracellular vesicles (EVs), and specifically exosomes.</w:t>
      </w:r>
    </w:p>
    <w:p w14:paraId="6A5698CC"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Exosomes were first described in 1983 by Pan and Johnstone during reticulocyte differentiation, where small membrane vesicles were observed to be released into the extracellular space. </w:t>
      </w:r>
      <w:r w:rsidRPr="00391186">
        <w:rPr>
          <w:rFonts w:ascii="Times New Roman" w:hAnsi="Times New Roman" w:cs="Times New Roman"/>
          <w:sz w:val="16"/>
          <w:szCs w:val="16"/>
          <w:vertAlign w:val="superscript"/>
        </w:rPr>
        <w:t>[2]</w:t>
      </w:r>
      <w:r w:rsidRPr="00391186">
        <w:rPr>
          <w:rFonts w:ascii="Times New Roman" w:hAnsi="Times New Roman" w:cs="Times New Roman"/>
        </w:rPr>
        <w:t xml:space="preserve"> For nearly two decades, these vesicles were regarded as cellular wa</w:t>
      </w:r>
      <w:r w:rsidRPr="00391186">
        <w:rPr>
          <w:rFonts w:ascii="Times New Roman" w:hAnsi="Times New Roman" w:cs="Times New Roman"/>
        </w:rPr>
        <w:t xml:space="preserve">ste products. </w:t>
      </w:r>
      <w:r w:rsidRPr="00391186">
        <w:rPr>
          <w:rFonts w:ascii="Times New Roman" w:hAnsi="Times New Roman" w:cs="Times New Roman"/>
          <w:sz w:val="16"/>
          <w:szCs w:val="16"/>
          <w:vertAlign w:val="superscript"/>
        </w:rPr>
        <w:t>[5]</w:t>
      </w:r>
      <w:r w:rsidRPr="00391186">
        <w:rPr>
          <w:rFonts w:ascii="Times New Roman" w:hAnsi="Times New Roman" w:cs="Times New Roman"/>
        </w:rPr>
        <w:t xml:space="preserve"> The paradigm changed dramatically in 2007 when Valadi et al. demonstrated that exosomes could transfer functional mRNA and microRNA between cells — revealing a sophisticated intercellular communication network. </w:t>
      </w:r>
      <w:r w:rsidRPr="00391186">
        <w:rPr>
          <w:rFonts w:ascii="Times New Roman" w:hAnsi="Times New Roman" w:cs="Times New Roman"/>
          <w:sz w:val="16"/>
          <w:szCs w:val="16"/>
          <w:vertAlign w:val="superscript"/>
        </w:rPr>
        <w:t>[3]</w:t>
      </w:r>
      <w:r w:rsidRPr="00391186">
        <w:rPr>
          <w:rFonts w:ascii="Times New Roman" w:hAnsi="Times New Roman" w:cs="Times New Roman"/>
        </w:rPr>
        <w:t xml:space="preserve"> Today, exosomes are rec</w:t>
      </w:r>
      <w:r w:rsidRPr="00391186">
        <w:rPr>
          <w:rFonts w:ascii="Times New Roman" w:hAnsi="Times New Roman" w:cs="Times New Roman"/>
        </w:rPr>
        <w:t xml:space="preserve">ognized as key mediators of cell-to-cell communication in both physiological and pathological processes. </w:t>
      </w:r>
      <w:r w:rsidRPr="00391186">
        <w:rPr>
          <w:rFonts w:ascii="Times New Roman" w:hAnsi="Times New Roman" w:cs="Times New Roman"/>
          <w:sz w:val="16"/>
          <w:szCs w:val="16"/>
          <w:vertAlign w:val="superscript"/>
        </w:rPr>
        <w:t>[8]</w:t>
      </w:r>
    </w:p>
    <w:p w14:paraId="1730CAFD"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Exosomes are endosomal in origin, formed via the inward budding of the limiting membrane of multivesicular bodies (MVBs), which subsequently fuse w</w:t>
      </w:r>
      <w:r w:rsidRPr="00391186">
        <w:rPr>
          <w:rFonts w:ascii="Times New Roman" w:hAnsi="Times New Roman" w:cs="Times New Roman"/>
        </w:rPr>
        <w:t xml:space="preserve">ith the plasma membrane to release these vesicles into the extracellular space. </w:t>
      </w:r>
      <w:r w:rsidRPr="00391186">
        <w:rPr>
          <w:rFonts w:ascii="Times New Roman" w:hAnsi="Times New Roman" w:cs="Times New Roman"/>
          <w:sz w:val="16"/>
          <w:szCs w:val="16"/>
          <w:vertAlign w:val="superscript"/>
        </w:rPr>
        <w:t>[6,9]</w:t>
      </w:r>
      <w:r w:rsidRPr="00391186">
        <w:rPr>
          <w:rFonts w:ascii="Times New Roman" w:hAnsi="Times New Roman" w:cs="Times New Roman"/>
        </w:rPr>
        <w:t xml:space="preserve"> Their size ranges from 30 to 150 nm, and they carry a cargo that mirrors their cell of origin — including proteins, lipids, nucleic acids (mRNA, miRNA, lncRNA, DNA), and </w:t>
      </w:r>
      <w:r w:rsidRPr="00391186">
        <w:rPr>
          <w:rFonts w:ascii="Times New Roman" w:hAnsi="Times New Roman" w:cs="Times New Roman"/>
        </w:rPr>
        <w:t xml:space="preserve">metabolites. </w:t>
      </w:r>
      <w:r w:rsidRPr="00391186">
        <w:rPr>
          <w:rFonts w:ascii="Times New Roman" w:hAnsi="Times New Roman" w:cs="Times New Roman"/>
          <w:sz w:val="16"/>
          <w:szCs w:val="16"/>
          <w:vertAlign w:val="superscript"/>
        </w:rPr>
        <w:t>[1,7]</w:t>
      </w:r>
    </w:p>
    <w:p w14:paraId="45E80F92"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lastRenderedPageBreak/>
        <w:t>What makes exosomes particularly compelling as drug delivery vehicles are characteristics unmatched by any synthetic nanocarrier: (i) they are naturally biocompatible with minimal immunogenicity; (ii) they can traverse the blood-brain ba</w:t>
      </w:r>
      <w:r w:rsidRPr="00391186">
        <w:rPr>
          <w:rFonts w:ascii="Times New Roman" w:hAnsi="Times New Roman" w:cs="Times New Roman"/>
        </w:rPr>
        <w:t xml:space="preserve">rrier; (iii) they possess intrinsic cell-homing properties; (iv) their lipid bilayer membrane protects cargo from enzymatic degradation; and (v) they can be derived from a patient's own cells for autologous therapies. </w:t>
      </w:r>
      <w:r w:rsidRPr="00391186">
        <w:rPr>
          <w:rFonts w:ascii="Times New Roman" w:hAnsi="Times New Roman" w:cs="Times New Roman"/>
          <w:sz w:val="16"/>
          <w:szCs w:val="16"/>
          <w:vertAlign w:val="superscript"/>
        </w:rPr>
        <w:t>[4,13,28]</w:t>
      </w:r>
    </w:p>
    <w:p w14:paraId="72AA2EB3" w14:textId="77777777" w:rsidR="006C2738" w:rsidRPr="00391186" w:rsidRDefault="000511E7" w:rsidP="00391186">
      <w:pPr>
        <w:pStyle w:val="Heading1"/>
        <w:pBdr>
          <w:bottom w:val="single" w:sz="6" w:space="4" w:color="2E75B6"/>
        </w:pBdr>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2. BIOGENESIS AND COMPOSITIO</w:t>
      </w:r>
      <w:r w:rsidRPr="00391186">
        <w:rPr>
          <w:rFonts w:ascii="Times New Roman" w:hAnsi="Times New Roman" w:cs="Times New Roman"/>
          <w:b w:val="0"/>
          <w:bCs w:val="0"/>
          <w:color w:val="auto"/>
        </w:rPr>
        <w:t>N OF EXOSOMES</w:t>
      </w:r>
    </w:p>
    <w:p w14:paraId="05CE80FE" w14:textId="77777777" w:rsidR="006C2738" w:rsidRPr="00391186" w:rsidRDefault="000511E7" w:rsidP="00391186">
      <w:pPr>
        <w:pStyle w:val="Heading2"/>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2.1 Biogenesis Pathway</w:t>
      </w:r>
    </w:p>
    <w:p w14:paraId="5E373C68"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Exosome biogenesis is a tightly regulated, multi-step process that originates within the endosomal compartment, involving three primary stages: early endosome formation, maturation into late endosomes (multivesicular bo</w:t>
      </w:r>
      <w:r w:rsidRPr="00391186">
        <w:rPr>
          <w:rFonts w:ascii="Times New Roman" w:hAnsi="Times New Roman" w:cs="Times New Roman"/>
        </w:rPr>
        <w:t xml:space="preserve">dies), and MVB fusion with the plasma membrane. </w:t>
      </w:r>
      <w:r w:rsidRPr="00391186">
        <w:rPr>
          <w:rFonts w:ascii="Times New Roman" w:hAnsi="Times New Roman" w:cs="Times New Roman"/>
          <w:sz w:val="16"/>
          <w:szCs w:val="16"/>
          <w:vertAlign w:val="superscript"/>
        </w:rPr>
        <w:t>[6,8]</w:t>
      </w:r>
    </w:p>
    <w:p w14:paraId="08153B19" w14:textId="77777777" w:rsidR="006C2738" w:rsidRPr="00391186" w:rsidRDefault="000511E7" w:rsidP="00391186">
      <w:pPr>
        <w:pStyle w:val="Heading3"/>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2.1.1 Early Endosome Formation</w:t>
      </w:r>
    </w:p>
    <w:p w14:paraId="3188F557"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When extracellular ligands bind to plasma membrane receptors, clathrin-mediated or clathrin-independent endocytosis internalizes receptor-ligand complexes into early endos</w:t>
      </w:r>
      <w:r w:rsidRPr="00391186">
        <w:rPr>
          <w:rFonts w:ascii="Times New Roman" w:hAnsi="Times New Roman" w:cs="Times New Roman"/>
        </w:rPr>
        <w:t xml:space="preserve">omes (EEs). </w:t>
      </w:r>
      <w:r w:rsidRPr="00391186">
        <w:rPr>
          <w:rFonts w:ascii="Times New Roman" w:hAnsi="Times New Roman" w:cs="Times New Roman"/>
          <w:sz w:val="16"/>
          <w:szCs w:val="16"/>
          <w:vertAlign w:val="superscript"/>
        </w:rPr>
        <w:t>[6]</w:t>
      </w:r>
      <w:r w:rsidRPr="00391186">
        <w:rPr>
          <w:rFonts w:ascii="Times New Roman" w:hAnsi="Times New Roman" w:cs="Times New Roman"/>
        </w:rPr>
        <w:t xml:space="preserve"> The Rab5 GTPase and phosphatidylinositol 3-phosphate (PI3P) are key regulators of EE biogenesis and identity. </w:t>
      </w:r>
      <w:r w:rsidRPr="00391186">
        <w:rPr>
          <w:rFonts w:ascii="Times New Roman" w:hAnsi="Times New Roman" w:cs="Times New Roman"/>
          <w:sz w:val="16"/>
          <w:szCs w:val="16"/>
          <w:vertAlign w:val="superscript"/>
        </w:rPr>
        <w:t>[9]</w:t>
      </w:r>
      <w:r w:rsidRPr="00391186">
        <w:rPr>
          <w:rFonts w:ascii="Times New Roman" w:hAnsi="Times New Roman" w:cs="Times New Roman"/>
        </w:rPr>
        <w:t xml:space="preserve"> Early endosomes are sorting compartments that determine whether cargo is recycled back to the membrane or directed toward the </w:t>
      </w:r>
      <w:r w:rsidRPr="00391186">
        <w:rPr>
          <w:rFonts w:ascii="Times New Roman" w:hAnsi="Times New Roman" w:cs="Times New Roman"/>
        </w:rPr>
        <w:t xml:space="preserve">lysosomal degradation pathway. </w:t>
      </w:r>
      <w:r w:rsidRPr="00391186">
        <w:rPr>
          <w:rFonts w:ascii="Times New Roman" w:hAnsi="Times New Roman" w:cs="Times New Roman"/>
          <w:sz w:val="16"/>
          <w:szCs w:val="16"/>
          <w:vertAlign w:val="superscript"/>
        </w:rPr>
        <w:t>[6,30]</w:t>
      </w:r>
    </w:p>
    <w:p w14:paraId="6E38DA7A" w14:textId="77777777" w:rsidR="006C2738" w:rsidRPr="00391186" w:rsidRDefault="000511E7" w:rsidP="00391186">
      <w:pPr>
        <w:pStyle w:val="Heading3"/>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2.1.2 Multivesicular Body (MVB) Formation</w:t>
      </w:r>
    </w:p>
    <w:p w14:paraId="16226C4A"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As early endosomes mature into late endosomes — also termed multivesicular bodies (MVBs) — their limiting membrane undergoes inward budding, generating intraluminal vesicles (ILVs). </w:t>
      </w:r>
      <w:r w:rsidRPr="00391186">
        <w:rPr>
          <w:rFonts w:ascii="Times New Roman" w:hAnsi="Times New Roman" w:cs="Times New Roman"/>
          <w:sz w:val="16"/>
          <w:szCs w:val="16"/>
          <w:vertAlign w:val="superscript"/>
        </w:rPr>
        <w:t>[9]</w:t>
      </w:r>
      <w:r w:rsidRPr="00391186">
        <w:rPr>
          <w:rFonts w:ascii="Times New Roman" w:hAnsi="Times New Roman" w:cs="Times New Roman"/>
        </w:rPr>
        <w:t xml:space="preserve"> This process is primarily mediated by the ESCRT (Endosomal Sorting Com</w:t>
      </w:r>
      <w:r w:rsidRPr="00391186">
        <w:rPr>
          <w:rFonts w:ascii="Times New Roman" w:hAnsi="Times New Roman" w:cs="Times New Roman"/>
        </w:rPr>
        <w:t xml:space="preserve">plexes Required for Transport) machinery, comprising four complexes: ESCRT-0, -I, -II, and -III. </w:t>
      </w:r>
      <w:r w:rsidRPr="00391186">
        <w:rPr>
          <w:rFonts w:ascii="Times New Roman" w:hAnsi="Times New Roman" w:cs="Times New Roman"/>
          <w:sz w:val="16"/>
          <w:szCs w:val="16"/>
          <w:vertAlign w:val="superscript"/>
        </w:rPr>
        <w:t>[9]</w:t>
      </w:r>
      <w:r w:rsidRPr="00391186">
        <w:rPr>
          <w:rFonts w:ascii="Times New Roman" w:hAnsi="Times New Roman" w:cs="Times New Roman"/>
        </w:rPr>
        <w:t xml:space="preserve"> ESCRT-0 recognizes ubiquitinated cargo; ESCRT-I and -II initiate membrane deformation; ESCRT-III drives membrane scission; and the AAA-ATPase Vps4 disassem</w:t>
      </w:r>
      <w:r w:rsidRPr="00391186">
        <w:rPr>
          <w:rFonts w:ascii="Times New Roman" w:hAnsi="Times New Roman" w:cs="Times New Roman"/>
        </w:rPr>
        <w:t xml:space="preserve">bles ESCRT-III after vesicle budding. </w:t>
      </w:r>
      <w:r w:rsidRPr="00391186">
        <w:rPr>
          <w:rFonts w:ascii="Times New Roman" w:hAnsi="Times New Roman" w:cs="Times New Roman"/>
          <w:sz w:val="16"/>
          <w:szCs w:val="16"/>
          <w:vertAlign w:val="superscript"/>
        </w:rPr>
        <w:t>[9]</w:t>
      </w:r>
    </w:p>
    <w:p w14:paraId="41A11100"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An alternative ESCRT-independent pathway involving ceramide, tetraspanins (CD9, CD63, CD81), and sphingomyelinase activity also contributes to ILV formation. </w:t>
      </w:r>
      <w:r w:rsidRPr="00391186">
        <w:rPr>
          <w:rFonts w:ascii="Times New Roman" w:hAnsi="Times New Roman" w:cs="Times New Roman"/>
          <w:sz w:val="16"/>
          <w:szCs w:val="16"/>
          <w:vertAlign w:val="superscript"/>
        </w:rPr>
        <w:t>[6,7]</w:t>
      </w:r>
      <w:r w:rsidRPr="00391186">
        <w:rPr>
          <w:rFonts w:ascii="Times New Roman" w:hAnsi="Times New Roman" w:cs="Times New Roman"/>
        </w:rPr>
        <w:t xml:space="preserve"> The ceramide pathway is particularly important in </w:t>
      </w:r>
      <w:r w:rsidRPr="00391186">
        <w:rPr>
          <w:rFonts w:ascii="Times New Roman" w:hAnsi="Times New Roman" w:cs="Times New Roman"/>
        </w:rPr>
        <w:t xml:space="preserve">cholesterol-rich lipid raft microdomains, which are enriched in exosome membranes. </w:t>
      </w:r>
      <w:r w:rsidRPr="00391186">
        <w:rPr>
          <w:rFonts w:ascii="Times New Roman" w:hAnsi="Times New Roman" w:cs="Times New Roman"/>
          <w:sz w:val="16"/>
          <w:szCs w:val="16"/>
          <w:vertAlign w:val="superscript"/>
        </w:rPr>
        <w:t>[8]</w:t>
      </w:r>
    </w:p>
    <w:p w14:paraId="5B15F6BA" w14:textId="77777777" w:rsidR="006C2738" w:rsidRPr="00391186" w:rsidRDefault="000511E7" w:rsidP="00391186">
      <w:pPr>
        <w:pStyle w:val="Heading3"/>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2.1.3 Exosome Release</w:t>
      </w:r>
    </w:p>
    <w:p w14:paraId="74A73394"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MVBs can either fuse with lysosomes for cargo degradation or fuse with the plasma membrane to release ILVs — now termed exosomes — into the extrace</w:t>
      </w:r>
      <w:r w:rsidRPr="00391186">
        <w:rPr>
          <w:rFonts w:ascii="Times New Roman" w:hAnsi="Times New Roman" w:cs="Times New Roman"/>
        </w:rPr>
        <w:t xml:space="preserve">llular space. </w:t>
      </w:r>
      <w:r w:rsidRPr="00391186">
        <w:rPr>
          <w:rFonts w:ascii="Times New Roman" w:hAnsi="Times New Roman" w:cs="Times New Roman"/>
          <w:sz w:val="16"/>
          <w:szCs w:val="16"/>
          <w:vertAlign w:val="superscript"/>
        </w:rPr>
        <w:t>[6]</w:t>
      </w:r>
      <w:r w:rsidRPr="00391186">
        <w:rPr>
          <w:rFonts w:ascii="Times New Roman" w:hAnsi="Times New Roman" w:cs="Times New Roman"/>
        </w:rPr>
        <w:t xml:space="preserve"> This fusion is regulated by Rab GTPases (Rab27a, Rab27b, Rab35) and SNARE proteins. </w:t>
      </w:r>
      <w:r w:rsidRPr="00391186">
        <w:rPr>
          <w:rFonts w:ascii="Times New Roman" w:hAnsi="Times New Roman" w:cs="Times New Roman"/>
          <w:sz w:val="16"/>
          <w:szCs w:val="16"/>
          <w:vertAlign w:val="superscript"/>
        </w:rPr>
        <w:t>[6,8]</w:t>
      </w:r>
      <w:r w:rsidRPr="00391186">
        <w:rPr>
          <w:rFonts w:ascii="Times New Roman" w:hAnsi="Times New Roman" w:cs="Times New Roman"/>
        </w:rPr>
        <w:t xml:space="preserve"> Hypoxia, oxidative stress, and oncogenic signalling significantly upregulate exosome biogenesis and secretion. </w:t>
      </w:r>
      <w:r w:rsidRPr="00391186">
        <w:rPr>
          <w:rFonts w:ascii="Times New Roman" w:hAnsi="Times New Roman" w:cs="Times New Roman"/>
          <w:sz w:val="16"/>
          <w:szCs w:val="16"/>
          <w:vertAlign w:val="superscript"/>
        </w:rPr>
        <w:t>[26]</w:t>
      </w:r>
    </w:p>
    <w:p w14:paraId="4D72B830" w14:textId="77777777" w:rsidR="006C2738" w:rsidRPr="00391186" w:rsidRDefault="000511E7" w:rsidP="00391186">
      <w:pPr>
        <w:pStyle w:val="Heading2"/>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2.2 Molecular Composition</w:t>
      </w:r>
    </w:p>
    <w:p w14:paraId="4510FA5B"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Exosomes carry a rich molecular repertoire that reflects their cell of origin. Their composition includes membrane lipids, tetraspanins, heat shock proteins, MHC molecules, integrins, nucleic acids, and signalling molecules. </w:t>
      </w:r>
      <w:r w:rsidRPr="00391186">
        <w:rPr>
          <w:rFonts w:ascii="Times New Roman" w:hAnsi="Times New Roman" w:cs="Times New Roman"/>
          <w:sz w:val="16"/>
          <w:szCs w:val="16"/>
          <w:vertAlign w:val="superscript"/>
        </w:rPr>
        <w:t>[1,7,8]</w:t>
      </w:r>
    </w:p>
    <w:p w14:paraId="376144A2" w14:textId="77777777" w:rsidR="006C2738" w:rsidRPr="00391186" w:rsidRDefault="006C2738" w:rsidP="00391186">
      <w:pPr>
        <w:spacing w:before="60" w:after="60" w:line="360" w:lineRule="auto"/>
        <w:rPr>
          <w:rFonts w:ascii="Times New Roman" w:hAnsi="Times New Roman" w:cs="Times New Roman"/>
        </w:rPr>
      </w:pPr>
    </w:p>
    <w:tbl>
      <w:tblPr>
        <w:tblStyle w:val="GridTableLight"/>
        <w:tblW w:w="9000" w:type="dxa"/>
        <w:tblLook w:val="04A0" w:firstRow="1" w:lastRow="0" w:firstColumn="1" w:lastColumn="0" w:noHBand="0" w:noVBand="1"/>
      </w:tblPr>
      <w:tblGrid>
        <w:gridCol w:w="2200"/>
        <w:gridCol w:w="3500"/>
        <w:gridCol w:w="3300"/>
      </w:tblGrid>
      <w:tr w:rsidR="00391186" w:rsidRPr="00391186" w14:paraId="513100EB" w14:textId="77777777" w:rsidTr="00391186">
        <w:tc>
          <w:tcPr>
            <w:tcW w:w="2200" w:type="dxa"/>
          </w:tcPr>
          <w:p w14:paraId="2992D0F2" w14:textId="77777777" w:rsidR="006C2738" w:rsidRPr="00391186" w:rsidRDefault="000511E7" w:rsidP="00391186">
            <w:pPr>
              <w:spacing w:line="360" w:lineRule="auto"/>
              <w:jc w:val="center"/>
              <w:rPr>
                <w:rFonts w:ascii="Times New Roman" w:hAnsi="Times New Roman" w:cs="Times New Roman"/>
              </w:rPr>
            </w:pPr>
            <w:r w:rsidRPr="00391186">
              <w:rPr>
                <w:rFonts w:ascii="Times New Roman" w:hAnsi="Times New Roman" w:cs="Times New Roman"/>
                <w:sz w:val="20"/>
                <w:szCs w:val="20"/>
              </w:rPr>
              <w:t>Component</w:t>
            </w:r>
          </w:p>
        </w:tc>
        <w:tc>
          <w:tcPr>
            <w:tcW w:w="3500" w:type="dxa"/>
          </w:tcPr>
          <w:p w14:paraId="0066A271" w14:textId="77777777" w:rsidR="006C2738" w:rsidRPr="00391186" w:rsidRDefault="000511E7" w:rsidP="00391186">
            <w:pPr>
              <w:spacing w:line="360" w:lineRule="auto"/>
              <w:jc w:val="center"/>
              <w:rPr>
                <w:rFonts w:ascii="Times New Roman" w:hAnsi="Times New Roman" w:cs="Times New Roman"/>
              </w:rPr>
            </w:pPr>
            <w:r w:rsidRPr="00391186">
              <w:rPr>
                <w:rFonts w:ascii="Times New Roman" w:hAnsi="Times New Roman" w:cs="Times New Roman"/>
                <w:sz w:val="20"/>
                <w:szCs w:val="20"/>
              </w:rPr>
              <w:t>Examples</w:t>
            </w:r>
          </w:p>
        </w:tc>
        <w:tc>
          <w:tcPr>
            <w:tcW w:w="3300" w:type="dxa"/>
          </w:tcPr>
          <w:p w14:paraId="7C728A4F" w14:textId="77777777" w:rsidR="006C2738" w:rsidRPr="00391186" w:rsidRDefault="000511E7" w:rsidP="00391186">
            <w:pPr>
              <w:spacing w:line="360" w:lineRule="auto"/>
              <w:jc w:val="center"/>
              <w:rPr>
                <w:rFonts w:ascii="Times New Roman" w:hAnsi="Times New Roman" w:cs="Times New Roman"/>
              </w:rPr>
            </w:pPr>
            <w:r w:rsidRPr="00391186">
              <w:rPr>
                <w:rFonts w:ascii="Times New Roman" w:hAnsi="Times New Roman" w:cs="Times New Roman"/>
                <w:sz w:val="20"/>
                <w:szCs w:val="20"/>
              </w:rPr>
              <w:t>Fun</w:t>
            </w:r>
            <w:r w:rsidRPr="00391186">
              <w:rPr>
                <w:rFonts w:ascii="Times New Roman" w:hAnsi="Times New Roman" w:cs="Times New Roman"/>
                <w:sz w:val="20"/>
                <w:szCs w:val="20"/>
              </w:rPr>
              <w:t>ctional Role</w:t>
            </w:r>
          </w:p>
        </w:tc>
      </w:tr>
      <w:tr w:rsidR="00391186" w:rsidRPr="00391186" w14:paraId="144A9FB4" w14:textId="77777777" w:rsidTr="00391186">
        <w:tc>
          <w:tcPr>
            <w:tcW w:w="2200" w:type="dxa"/>
          </w:tcPr>
          <w:p w14:paraId="5FFD2823"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Membrane Lipids</w:t>
            </w:r>
          </w:p>
        </w:tc>
        <w:tc>
          <w:tcPr>
            <w:tcW w:w="3500" w:type="dxa"/>
          </w:tcPr>
          <w:p w14:paraId="0DF9AEB8"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Cholesterol, sphingomyelin, phosphatidylserine, ceramide</w:t>
            </w:r>
          </w:p>
        </w:tc>
        <w:tc>
          <w:tcPr>
            <w:tcW w:w="3300" w:type="dxa"/>
          </w:tcPr>
          <w:p w14:paraId="3EB080D1"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Membrane stability, fusogenic properties, cell targeting</w:t>
            </w:r>
          </w:p>
        </w:tc>
      </w:tr>
      <w:tr w:rsidR="00391186" w:rsidRPr="00391186" w14:paraId="4BBEF34E" w14:textId="77777777" w:rsidTr="00391186">
        <w:tc>
          <w:tcPr>
            <w:tcW w:w="2200" w:type="dxa"/>
          </w:tcPr>
          <w:p w14:paraId="0DDD84B3"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Tetraspanins</w:t>
            </w:r>
          </w:p>
        </w:tc>
        <w:tc>
          <w:tcPr>
            <w:tcW w:w="3500" w:type="dxa"/>
          </w:tcPr>
          <w:p w14:paraId="0638855F"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CD9, CD63, CD81, CD82</w:t>
            </w:r>
          </w:p>
        </w:tc>
        <w:tc>
          <w:tcPr>
            <w:tcW w:w="3300" w:type="dxa"/>
          </w:tcPr>
          <w:p w14:paraId="416145C8"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Protein trafficking, cargo sorting, cell adhesion</w:t>
            </w:r>
          </w:p>
        </w:tc>
      </w:tr>
      <w:tr w:rsidR="00391186" w:rsidRPr="00391186" w14:paraId="52A5A53D" w14:textId="77777777" w:rsidTr="00391186">
        <w:tc>
          <w:tcPr>
            <w:tcW w:w="2200" w:type="dxa"/>
          </w:tcPr>
          <w:p w14:paraId="7788D585"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Heat Shock Proteins</w:t>
            </w:r>
          </w:p>
        </w:tc>
        <w:tc>
          <w:tcPr>
            <w:tcW w:w="3500" w:type="dxa"/>
          </w:tcPr>
          <w:p w14:paraId="57743584"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HSP70, HSP90, GRP78</w:t>
            </w:r>
          </w:p>
        </w:tc>
        <w:tc>
          <w:tcPr>
            <w:tcW w:w="3300" w:type="dxa"/>
          </w:tcPr>
          <w:p w14:paraId="2035FFDE"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Protein folding, immune regulation</w:t>
            </w:r>
          </w:p>
        </w:tc>
      </w:tr>
      <w:tr w:rsidR="00391186" w:rsidRPr="00391186" w14:paraId="2DC366A4" w14:textId="77777777" w:rsidTr="00391186">
        <w:tc>
          <w:tcPr>
            <w:tcW w:w="2200" w:type="dxa"/>
          </w:tcPr>
          <w:p w14:paraId="37C0FAD7"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MHC Molecules</w:t>
            </w:r>
          </w:p>
        </w:tc>
        <w:tc>
          <w:tcPr>
            <w:tcW w:w="3500" w:type="dxa"/>
          </w:tcPr>
          <w:p w14:paraId="0163D03E"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MHC-I, MHC-II</w:t>
            </w:r>
          </w:p>
        </w:tc>
        <w:tc>
          <w:tcPr>
            <w:tcW w:w="3300" w:type="dxa"/>
          </w:tcPr>
          <w:p w14:paraId="6D388E99"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Antigen presentation, immune modulation</w:t>
            </w:r>
          </w:p>
        </w:tc>
      </w:tr>
      <w:tr w:rsidR="00391186" w:rsidRPr="00391186" w14:paraId="4619C17B" w14:textId="77777777" w:rsidTr="00391186">
        <w:tc>
          <w:tcPr>
            <w:tcW w:w="2200" w:type="dxa"/>
          </w:tcPr>
          <w:p w14:paraId="3C45658A"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Integrins</w:t>
            </w:r>
          </w:p>
        </w:tc>
        <w:tc>
          <w:tcPr>
            <w:tcW w:w="3500" w:type="dxa"/>
          </w:tcPr>
          <w:p w14:paraId="4D552F4E"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Integrin α, β subunits</w:t>
            </w:r>
          </w:p>
        </w:tc>
        <w:tc>
          <w:tcPr>
            <w:tcW w:w="3300" w:type="dxa"/>
          </w:tcPr>
          <w:p w14:paraId="5804AAD0"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Organ-specific tropism and homing</w:t>
            </w:r>
          </w:p>
        </w:tc>
      </w:tr>
      <w:tr w:rsidR="00391186" w:rsidRPr="00391186" w14:paraId="775814A2" w14:textId="77777777" w:rsidTr="00391186">
        <w:tc>
          <w:tcPr>
            <w:tcW w:w="2200" w:type="dxa"/>
          </w:tcPr>
          <w:p w14:paraId="6520764E"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Nucleic Acids</w:t>
            </w:r>
          </w:p>
        </w:tc>
        <w:tc>
          <w:tcPr>
            <w:tcW w:w="3500" w:type="dxa"/>
          </w:tcPr>
          <w:p w14:paraId="29677A62"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mRNA, miRNA, lncRNA, mtDNA</w:t>
            </w:r>
          </w:p>
        </w:tc>
        <w:tc>
          <w:tcPr>
            <w:tcW w:w="3300" w:type="dxa"/>
          </w:tcPr>
          <w:p w14:paraId="01CED899"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Gene regulation, epige</w:t>
            </w:r>
            <w:r w:rsidRPr="00391186">
              <w:rPr>
                <w:rFonts w:ascii="Times New Roman" w:hAnsi="Times New Roman" w:cs="Times New Roman"/>
                <w:sz w:val="20"/>
                <w:szCs w:val="20"/>
              </w:rPr>
              <w:t>netic modulation</w:t>
            </w:r>
          </w:p>
        </w:tc>
      </w:tr>
      <w:tr w:rsidR="00391186" w:rsidRPr="00391186" w14:paraId="4A15269B" w14:textId="77777777" w:rsidTr="00391186">
        <w:tc>
          <w:tcPr>
            <w:tcW w:w="2200" w:type="dxa"/>
          </w:tcPr>
          <w:p w14:paraId="091C8DC2"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Cytoskeletal Proteins</w:t>
            </w:r>
          </w:p>
        </w:tc>
        <w:tc>
          <w:tcPr>
            <w:tcW w:w="3500" w:type="dxa"/>
          </w:tcPr>
          <w:p w14:paraId="2776FC1B"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Actin, tubulin, ezrin</w:t>
            </w:r>
          </w:p>
        </w:tc>
        <w:tc>
          <w:tcPr>
            <w:tcW w:w="3300" w:type="dxa"/>
          </w:tcPr>
          <w:p w14:paraId="1AB26D3B"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Structural integrity</w:t>
            </w:r>
          </w:p>
        </w:tc>
      </w:tr>
      <w:tr w:rsidR="00391186" w:rsidRPr="00391186" w14:paraId="5547A834" w14:textId="77777777" w:rsidTr="00391186">
        <w:tc>
          <w:tcPr>
            <w:tcW w:w="2200" w:type="dxa"/>
          </w:tcPr>
          <w:p w14:paraId="2876EEAA"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Signalling Molecules</w:t>
            </w:r>
          </w:p>
        </w:tc>
        <w:tc>
          <w:tcPr>
            <w:tcW w:w="3500" w:type="dxa"/>
          </w:tcPr>
          <w:p w14:paraId="75AEA7E0"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EGFR, HER2, VEGF</w:t>
            </w:r>
          </w:p>
        </w:tc>
        <w:tc>
          <w:tcPr>
            <w:tcW w:w="3300" w:type="dxa"/>
          </w:tcPr>
          <w:p w14:paraId="486B3E73"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Oncogenic signalling, angiogenesis</w:t>
            </w:r>
          </w:p>
        </w:tc>
      </w:tr>
    </w:tbl>
    <w:p w14:paraId="390CB858" w14:textId="77777777" w:rsidR="006C2738" w:rsidRPr="00391186" w:rsidRDefault="000511E7" w:rsidP="00391186">
      <w:pPr>
        <w:spacing w:before="60" w:after="160" w:line="360" w:lineRule="auto"/>
        <w:jc w:val="center"/>
        <w:rPr>
          <w:rFonts w:ascii="Times New Roman" w:hAnsi="Times New Roman" w:cs="Times New Roman"/>
        </w:rPr>
      </w:pPr>
      <w:r w:rsidRPr="00391186">
        <w:rPr>
          <w:rFonts w:ascii="Times New Roman" w:hAnsi="Times New Roman" w:cs="Times New Roman"/>
          <w:i/>
          <w:iCs/>
          <w:sz w:val="18"/>
          <w:szCs w:val="18"/>
        </w:rPr>
        <w:t>Table 1: Major molecular components of exosomes [1,7,8]</w:t>
      </w:r>
    </w:p>
    <w:p w14:paraId="3808DF90" w14:textId="77777777" w:rsidR="006C2738" w:rsidRPr="00391186" w:rsidRDefault="006C2738" w:rsidP="00391186">
      <w:pPr>
        <w:spacing w:before="60" w:after="60" w:line="360" w:lineRule="auto"/>
        <w:rPr>
          <w:rFonts w:ascii="Times New Roman" w:hAnsi="Times New Roman" w:cs="Times New Roman"/>
        </w:rPr>
      </w:pPr>
    </w:p>
    <w:p w14:paraId="477557C0"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Certain proteins are consistently found across exosomes from different cell types — called 'housekeeping' exosomal markers — while other proteins are cell-type specific. </w:t>
      </w:r>
      <w:r w:rsidRPr="00391186">
        <w:rPr>
          <w:rFonts w:ascii="Times New Roman" w:hAnsi="Times New Roman" w:cs="Times New Roman"/>
          <w:sz w:val="16"/>
          <w:szCs w:val="16"/>
          <w:vertAlign w:val="superscript"/>
        </w:rPr>
        <w:t>[1,11]</w:t>
      </w:r>
      <w:r w:rsidRPr="00391186">
        <w:rPr>
          <w:rFonts w:ascii="Times New Roman" w:hAnsi="Times New Roman" w:cs="Times New Roman"/>
        </w:rPr>
        <w:t xml:space="preserve"> The ExoCarta and Vesiclepedia databases catalog thousands of proteins, lipids, </w:t>
      </w:r>
      <w:r w:rsidRPr="00391186">
        <w:rPr>
          <w:rFonts w:ascii="Times New Roman" w:hAnsi="Times New Roman" w:cs="Times New Roman"/>
        </w:rPr>
        <w:t xml:space="preserve">and RNA species identified in exosomes across diverse cell types and species. </w:t>
      </w:r>
      <w:r w:rsidRPr="00391186">
        <w:rPr>
          <w:rFonts w:ascii="Times New Roman" w:hAnsi="Times New Roman" w:cs="Times New Roman"/>
          <w:sz w:val="16"/>
          <w:szCs w:val="16"/>
          <w:vertAlign w:val="superscript"/>
        </w:rPr>
        <w:t>[11]</w:t>
      </w:r>
    </w:p>
    <w:p w14:paraId="7BB442AE" w14:textId="77777777" w:rsidR="006C2738" w:rsidRPr="00391186" w:rsidRDefault="000511E7" w:rsidP="00391186">
      <w:pPr>
        <w:pStyle w:val="Heading1"/>
        <w:pBdr>
          <w:bottom w:val="single" w:sz="6" w:space="4" w:color="2E75B6"/>
        </w:pBdr>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3. ISOLATION AND CHARACTERIZATION METHODS</w:t>
      </w:r>
    </w:p>
    <w:p w14:paraId="4D6EF68F" w14:textId="77777777" w:rsidR="006C2738" w:rsidRPr="00391186" w:rsidRDefault="000511E7" w:rsidP="00391186">
      <w:pPr>
        <w:pStyle w:val="Heading2"/>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3.1 Isolation Techniques</w:t>
      </w:r>
    </w:p>
    <w:p w14:paraId="34F5B4C6"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Efficient isolation of exosomes is critical for both research and therapeutic applications. Each method ha</w:t>
      </w:r>
      <w:r w:rsidRPr="00391186">
        <w:rPr>
          <w:rFonts w:ascii="Times New Roman" w:hAnsi="Times New Roman" w:cs="Times New Roman"/>
        </w:rPr>
        <w:t xml:space="preserve">s trade-offs in yield, purity, scalability, and cost. </w:t>
      </w:r>
      <w:r w:rsidRPr="00391186">
        <w:rPr>
          <w:rFonts w:ascii="Times New Roman" w:hAnsi="Times New Roman" w:cs="Times New Roman"/>
          <w:sz w:val="16"/>
          <w:szCs w:val="16"/>
          <w:vertAlign w:val="superscript"/>
        </w:rPr>
        <w:t>[1,28]</w:t>
      </w:r>
    </w:p>
    <w:p w14:paraId="5124EE30" w14:textId="77777777" w:rsidR="006C2738" w:rsidRPr="00391186" w:rsidRDefault="006C2738" w:rsidP="00391186">
      <w:pPr>
        <w:spacing w:before="60" w:after="60" w:line="360" w:lineRule="auto"/>
        <w:rPr>
          <w:rFonts w:ascii="Times New Roman" w:hAnsi="Times New Roman" w:cs="Times New Roman"/>
        </w:rPr>
      </w:pPr>
    </w:p>
    <w:tbl>
      <w:tblPr>
        <w:tblStyle w:val="GridTableLight"/>
        <w:tblW w:w="8360" w:type="dxa"/>
        <w:tblLook w:val="04A0" w:firstRow="1" w:lastRow="0" w:firstColumn="1" w:lastColumn="0" w:noHBand="0" w:noVBand="1"/>
      </w:tblPr>
      <w:tblGrid>
        <w:gridCol w:w="2369"/>
        <w:gridCol w:w="2747"/>
        <w:gridCol w:w="1095"/>
        <w:gridCol w:w="999"/>
        <w:gridCol w:w="1150"/>
      </w:tblGrid>
      <w:tr w:rsidR="00391186" w:rsidRPr="00391186" w14:paraId="51C87F5B" w14:textId="77777777" w:rsidTr="00391186">
        <w:tc>
          <w:tcPr>
            <w:tcW w:w="2400" w:type="dxa"/>
          </w:tcPr>
          <w:p w14:paraId="10D2949C" w14:textId="77777777" w:rsidR="006C2738" w:rsidRPr="00391186" w:rsidRDefault="000511E7" w:rsidP="00391186">
            <w:pPr>
              <w:spacing w:line="360" w:lineRule="auto"/>
              <w:jc w:val="center"/>
              <w:rPr>
                <w:rFonts w:ascii="Times New Roman" w:hAnsi="Times New Roman" w:cs="Times New Roman"/>
              </w:rPr>
            </w:pPr>
            <w:r w:rsidRPr="00391186">
              <w:rPr>
                <w:rFonts w:ascii="Times New Roman" w:hAnsi="Times New Roman" w:cs="Times New Roman"/>
                <w:sz w:val="20"/>
                <w:szCs w:val="20"/>
              </w:rPr>
              <w:t>Method</w:t>
            </w:r>
          </w:p>
        </w:tc>
        <w:tc>
          <w:tcPr>
            <w:tcW w:w="2800" w:type="dxa"/>
          </w:tcPr>
          <w:p w14:paraId="799BF118" w14:textId="77777777" w:rsidR="006C2738" w:rsidRPr="00391186" w:rsidRDefault="000511E7" w:rsidP="00391186">
            <w:pPr>
              <w:spacing w:line="360" w:lineRule="auto"/>
              <w:jc w:val="center"/>
              <w:rPr>
                <w:rFonts w:ascii="Times New Roman" w:hAnsi="Times New Roman" w:cs="Times New Roman"/>
              </w:rPr>
            </w:pPr>
            <w:r w:rsidRPr="00391186">
              <w:rPr>
                <w:rFonts w:ascii="Times New Roman" w:hAnsi="Times New Roman" w:cs="Times New Roman"/>
                <w:sz w:val="20"/>
                <w:szCs w:val="20"/>
              </w:rPr>
              <w:t>Principle</w:t>
            </w:r>
          </w:p>
        </w:tc>
        <w:tc>
          <w:tcPr>
            <w:tcW w:w="1100" w:type="dxa"/>
          </w:tcPr>
          <w:p w14:paraId="6E7D3069" w14:textId="77777777" w:rsidR="006C2738" w:rsidRPr="00391186" w:rsidRDefault="000511E7" w:rsidP="00391186">
            <w:pPr>
              <w:spacing w:line="360" w:lineRule="auto"/>
              <w:jc w:val="center"/>
              <w:rPr>
                <w:rFonts w:ascii="Times New Roman" w:hAnsi="Times New Roman" w:cs="Times New Roman"/>
              </w:rPr>
            </w:pPr>
            <w:r w:rsidRPr="00391186">
              <w:rPr>
                <w:rFonts w:ascii="Times New Roman" w:hAnsi="Times New Roman" w:cs="Times New Roman"/>
                <w:sz w:val="20"/>
                <w:szCs w:val="20"/>
              </w:rPr>
              <w:t>Purity</w:t>
            </w:r>
          </w:p>
        </w:tc>
        <w:tc>
          <w:tcPr>
            <w:tcW w:w="1000" w:type="dxa"/>
          </w:tcPr>
          <w:p w14:paraId="53B70E60" w14:textId="77777777" w:rsidR="006C2738" w:rsidRPr="00391186" w:rsidRDefault="000511E7" w:rsidP="00391186">
            <w:pPr>
              <w:spacing w:line="360" w:lineRule="auto"/>
              <w:jc w:val="center"/>
              <w:rPr>
                <w:rFonts w:ascii="Times New Roman" w:hAnsi="Times New Roman" w:cs="Times New Roman"/>
              </w:rPr>
            </w:pPr>
            <w:r w:rsidRPr="00391186">
              <w:rPr>
                <w:rFonts w:ascii="Times New Roman" w:hAnsi="Times New Roman" w:cs="Times New Roman"/>
                <w:sz w:val="20"/>
                <w:szCs w:val="20"/>
              </w:rPr>
              <w:t>Yield</w:t>
            </w:r>
          </w:p>
        </w:tc>
        <w:tc>
          <w:tcPr>
            <w:tcW w:w="1060" w:type="dxa"/>
          </w:tcPr>
          <w:p w14:paraId="30AF57CF" w14:textId="77777777" w:rsidR="006C2738" w:rsidRPr="00391186" w:rsidRDefault="000511E7" w:rsidP="00391186">
            <w:pPr>
              <w:spacing w:line="360" w:lineRule="auto"/>
              <w:jc w:val="center"/>
              <w:rPr>
                <w:rFonts w:ascii="Times New Roman" w:hAnsi="Times New Roman" w:cs="Times New Roman"/>
              </w:rPr>
            </w:pPr>
            <w:r w:rsidRPr="00391186">
              <w:rPr>
                <w:rFonts w:ascii="Times New Roman" w:hAnsi="Times New Roman" w:cs="Times New Roman"/>
                <w:sz w:val="20"/>
                <w:szCs w:val="20"/>
              </w:rPr>
              <w:t>Scalability</w:t>
            </w:r>
          </w:p>
        </w:tc>
      </w:tr>
      <w:tr w:rsidR="00391186" w:rsidRPr="00391186" w14:paraId="0D825E31" w14:textId="77777777" w:rsidTr="00391186">
        <w:tc>
          <w:tcPr>
            <w:tcW w:w="2400" w:type="dxa"/>
          </w:tcPr>
          <w:p w14:paraId="13CABA20"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Differential Ultracentrifugation</w:t>
            </w:r>
          </w:p>
        </w:tc>
        <w:tc>
          <w:tcPr>
            <w:tcW w:w="2800" w:type="dxa"/>
          </w:tcPr>
          <w:p w14:paraId="63531EF6"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Sequential centrifugation (300 g → 100,000 g)</w:t>
            </w:r>
          </w:p>
        </w:tc>
        <w:tc>
          <w:tcPr>
            <w:tcW w:w="1100" w:type="dxa"/>
          </w:tcPr>
          <w:p w14:paraId="06D7AC32"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Moderate</w:t>
            </w:r>
          </w:p>
        </w:tc>
        <w:tc>
          <w:tcPr>
            <w:tcW w:w="1000" w:type="dxa"/>
          </w:tcPr>
          <w:p w14:paraId="1AF5B210"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High</w:t>
            </w:r>
          </w:p>
        </w:tc>
        <w:tc>
          <w:tcPr>
            <w:tcW w:w="1060" w:type="dxa"/>
          </w:tcPr>
          <w:p w14:paraId="5EBCD69E"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Low</w:t>
            </w:r>
          </w:p>
        </w:tc>
      </w:tr>
      <w:tr w:rsidR="00391186" w:rsidRPr="00391186" w14:paraId="047C4EA4" w14:textId="77777777" w:rsidTr="00391186">
        <w:tc>
          <w:tcPr>
            <w:tcW w:w="2400" w:type="dxa"/>
          </w:tcPr>
          <w:p w14:paraId="5D643BC4"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Density Gradient UC</w:t>
            </w:r>
          </w:p>
        </w:tc>
        <w:tc>
          <w:tcPr>
            <w:tcW w:w="2800" w:type="dxa"/>
          </w:tcPr>
          <w:p w14:paraId="6955B05B"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 xml:space="preserve">Sucrose/iodixanol density </w:t>
            </w:r>
            <w:r w:rsidRPr="00391186">
              <w:rPr>
                <w:rFonts w:ascii="Times New Roman" w:hAnsi="Times New Roman" w:cs="Times New Roman"/>
                <w:sz w:val="20"/>
                <w:szCs w:val="20"/>
              </w:rPr>
              <w:t>separation</w:t>
            </w:r>
          </w:p>
        </w:tc>
        <w:tc>
          <w:tcPr>
            <w:tcW w:w="1100" w:type="dxa"/>
          </w:tcPr>
          <w:p w14:paraId="175B9151"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High</w:t>
            </w:r>
          </w:p>
        </w:tc>
        <w:tc>
          <w:tcPr>
            <w:tcW w:w="1000" w:type="dxa"/>
          </w:tcPr>
          <w:p w14:paraId="2EE28660"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Moderate</w:t>
            </w:r>
          </w:p>
        </w:tc>
        <w:tc>
          <w:tcPr>
            <w:tcW w:w="1060" w:type="dxa"/>
          </w:tcPr>
          <w:p w14:paraId="4349E252"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Low</w:t>
            </w:r>
          </w:p>
        </w:tc>
      </w:tr>
      <w:tr w:rsidR="00391186" w:rsidRPr="00391186" w14:paraId="7059A9EB" w14:textId="77777777" w:rsidTr="00391186">
        <w:tc>
          <w:tcPr>
            <w:tcW w:w="2400" w:type="dxa"/>
          </w:tcPr>
          <w:p w14:paraId="2FE19DCE"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Size Exclusion Chromatography</w:t>
            </w:r>
          </w:p>
        </w:tc>
        <w:tc>
          <w:tcPr>
            <w:tcW w:w="2800" w:type="dxa"/>
          </w:tcPr>
          <w:p w14:paraId="7D6FB276"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Separation by hydrodynamic radius</w:t>
            </w:r>
          </w:p>
        </w:tc>
        <w:tc>
          <w:tcPr>
            <w:tcW w:w="1100" w:type="dxa"/>
          </w:tcPr>
          <w:p w14:paraId="411E55C6"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High</w:t>
            </w:r>
          </w:p>
        </w:tc>
        <w:tc>
          <w:tcPr>
            <w:tcW w:w="1000" w:type="dxa"/>
          </w:tcPr>
          <w:p w14:paraId="43CD5EFA"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Moderate</w:t>
            </w:r>
          </w:p>
        </w:tc>
        <w:tc>
          <w:tcPr>
            <w:tcW w:w="1060" w:type="dxa"/>
          </w:tcPr>
          <w:p w14:paraId="38C172B0"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Moderate</w:t>
            </w:r>
          </w:p>
        </w:tc>
      </w:tr>
      <w:tr w:rsidR="00391186" w:rsidRPr="00391186" w14:paraId="10B12338" w14:textId="77777777" w:rsidTr="00391186">
        <w:tc>
          <w:tcPr>
            <w:tcW w:w="2400" w:type="dxa"/>
          </w:tcPr>
          <w:p w14:paraId="3AD8905C"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Ultrafiltration</w:t>
            </w:r>
          </w:p>
        </w:tc>
        <w:tc>
          <w:tcPr>
            <w:tcW w:w="2800" w:type="dxa"/>
          </w:tcPr>
          <w:p w14:paraId="2126FA28"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100 kDa MWCO membranes</w:t>
            </w:r>
          </w:p>
        </w:tc>
        <w:tc>
          <w:tcPr>
            <w:tcW w:w="1100" w:type="dxa"/>
          </w:tcPr>
          <w:p w14:paraId="6F57971C"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Moderate</w:t>
            </w:r>
          </w:p>
        </w:tc>
        <w:tc>
          <w:tcPr>
            <w:tcW w:w="1000" w:type="dxa"/>
          </w:tcPr>
          <w:p w14:paraId="0E4D116C"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High</w:t>
            </w:r>
          </w:p>
        </w:tc>
        <w:tc>
          <w:tcPr>
            <w:tcW w:w="1060" w:type="dxa"/>
          </w:tcPr>
          <w:p w14:paraId="3DA226A3"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High</w:t>
            </w:r>
          </w:p>
        </w:tc>
      </w:tr>
      <w:tr w:rsidR="00391186" w:rsidRPr="00391186" w14:paraId="2B6FB3F4" w14:textId="77777777" w:rsidTr="00391186">
        <w:tc>
          <w:tcPr>
            <w:tcW w:w="2400" w:type="dxa"/>
          </w:tcPr>
          <w:p w14:paraId="76A0D350"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Polymer Precipitation (ExoQuick)</w:t>
            </w:r>
          </w:p>
        </w:tc>
        <w:tc>
          <w:tcPr>
            <w:tcW w:w="2800" w:type="dxa"/>
          </w:tcPr>
          <w:p w14:paraId="12D79834"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Polymer-mediated precipitation</w:t>
            </w:r>
          </w:p>
        </w:tc>
        <w:tc>
          <w:tcPr>
            <w:tcW w:w="1100" w:type="dxa"/>
          </w:tcPr>
          <w:p w14:paraId="73F6CB58"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Low</w:t>
            </w:r>
          </w:p>
        </w:tc>
        <w:tc>
          <w:tcPr>
            <w:tcW w:w="1000" w:type="dxa"/>
          </w:tcPr>
          <w:p w14:paraId="5DE3E19C"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High</w:t>
            </w:r>
          </w:p>
        </w:tc>
        <w:tc>
          <w:tcPr>
            <w:tcW w:w="1060" w:type="dxa"/>
          </w:tcPr>
          <w:p w14:paraId="0A52F438"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High</w:t>
            </w:r>
          </w:p>
        </w:tc>
      </w:tr>
      <w:tr w:rsidR="00391186" w:rsidRPr="00391186" w14:paraId="1134996E" w14:textId="77777777" w:rsidTr="00391186">
        <w:tc>
          <w:tcPr>
            <w:tcW w:w="2400" w:type="dxa"/>
          </w:tcPr>
          <w:p w14:paraId="77576689"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Immunoaffinity Capture</w:t>
            </w:r>
          </w:p>
        </w:tc>
        <w:tc>
          <w:tcPr>
            <w:tcW w:w="2800" w:type="dxa"/>
          </w:tcPr>
          <w:p w14:paraId="6F05A03C"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 xml:space="preserve">Anti-CD63/CD81 magnetic </w:t>
            </w:r>
            <w:r w:rsidRPr="00391186">
              <w:rPr>
                <w:rFonts w:ascii="Times New Roman" w:hAnsi="Times New Roman" w:cs="Times New Roman"/>
                <w:sz w:val="20"/>
                <w:szCs w:val="20"/>
              </w:rPr>
              <w:lastRenderedPageBreak/>
              <w:t>beads</w:t>
            </w:r>
          </w:p>
        </w:tc>
        <w:tc>
          <w:tcPr>
            <w:tcW w:w="1100" w:type="dxa"/>
          </w:tcPr>
          <w:p w14:paraId="45E11169"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lastRenderedPageBreak/>
              <w:t>Very High</w:t>
            </w:r>
          </w:p>
        </w:tc>
        <w:tc>
          <w:tcPr>
            <w:tcW w:w="1000" w:type="dxa"/>
          </w:tcPr>
          <w:p w14:paraId="6665CD79"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Low</w:t>
            </w:r>
          </w:p>
        </w:tc>
        <w:tc>
          <w:tcPr>
            <w:tcW w:w="1060" w:type="dxa"/>
          </w:tcPr>
          <w:p w14:paraId="6A887D1C"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Low</w:t>
            </w:r>
          </w:p>
        </w:tc>
      </w:tr>
      <w:tr w:rsidR="00391186" w:rsidRPr="00391186" w14:paraId="50FB907A" w14:textId="77777777" w:rsidTr="00391186">
        <w:tc>
          <w:tcPr>
            <w:tcW w:w="2400" w:type="dxa"/>
          </w:tcPr>
          <w:p w14:paraId="29EEC6E9"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lastRenderedPageBreak/>
              <w:t>Microfluidics</w:t>
            </w:r>
          </w:p>
        </w:tc>
        <w:tc>
          <w:tcPr>
            <w:tcW w:w="2800" w:type="dxa"/>
          </w:tcPr>
          <w:p w14:paraId="4851AA17"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On-chip filtration and separation</w:t>
            </w:r>
          </w:p>
        </w:tc>
        <w:tc>
          <w:tcPr>
            <w:tcW w:w="1100" w:type="dxa"/>
          </w:tcPr>
          <w:p w14:paraId="7FF71F33"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High</w:t>
            </w:r>
          </w:p>
        </w:tc>
        <w:tc>
          <w:tcPr>
            <w:tcW w:w="1000" w:type="dxa"/>
          </w:tcPr>
          <w:p w14:paraId="4674E87B"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Low</w:t>
            </w:r>
          </w:p>
        </w:tc>
        <w:tc>
          <w:tcPr>
            <w:tcW w:w="1060" w:type="dxa"/>
          </w:tcPr>
          <w:p w14:paraId="0E078164"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Developing</w:t>
            </w:r>
          </w:p>
        </w:tc>
      </w:tr>
      <w:tr w:rsidR="00391186" w:rsidRPr="00391186" w14:paraId="54C9EFEE" w14:textId="77777777" w:rsidTr="00391186">
        <w:tc>
          <w:tcPr>
            <w:tcW w:w="2400" w:type="dxa"/>
          </w:tcPr>
          <w:p w14:paraId="5DE2662B"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AF4</w:t>
            </w:r>
          </w:p>
        </w:tc>
        <w:tc>
          <w:tcPr>
            <w:tcW w:w="2800" w:type="dxa"/>
          </w:tcPr>
          <w:p w14:paraId="51767542"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Size-based in laminar flow field</w:t>
            </w:r>
          </w:p>
        </w:tc>
        <w:tc>
          <w:tcPr>
            <w:tcW w:w="1100" w:type="dxa"/>
          </w:tcPr>
          <w:p w14:paraId="487D458F"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Very High</w:t>
            </w:r>
          </w:p>
        </w:tc>
        <w:tc>
          <w:tcPr>
            <w:tcW w:w="1000" w:type="dxa"/>
          </w:tcPr>
          <w:p w14:paraId="08E25DF6"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Moderate</w:t>
            </w:r>
          </w:p>
        </w:tc>
        <w:tc>
          <w:tcPr>
            <w:tcW w:w="1060" w:type="dxa"/>
          </w:tcPr>
          <w:p w14:paraId="6F3B6621"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Moderate</w:t>
            </w:r>
          </w:p>
        </w:tc>
      </w:tr>
    </w:tbl>
    <w:p w14:paraId="620665AF" w14:textId="77777777" w:rsidR="006C2738" w:rsidRPr="00391186" w:rsidRDefault="000511E7" w:rsidP="00391186">
      <w:pPr>
        <w:spacing w:before="60" w:after="160" w:line="360" w:lineRule="auto"/>
        <w:jc w:val="center"/>
        <w:rPr>
          <w:rFonts w:ascii="Times New Roman" w:hAnsi="Times New Roman" w:cs="Times New Roman"/>
        </w:rPr>
      </w:pPr>
      <w:r w:rsidRPr="00391186">
        <w:rPr>
          <w:rFonts w:ascii="Times New Roman" w:hAnsi="Times New Roman" w:cs="Times New Roman"/>
          <w:i/>
          <w:iCs/>
          <w:sz w:val="18"/>
          <w:szCs w:val="18"/>
        </w:rPr>
        <w:t xml:space="preserve">Table 2: Comparison of exosome isolation methods </w:t>
      </w:r>
      <w:r w:rsidRPr="00391186">
        <w:rPr>
          <w:rFonts w:ascii="Times New Roman" w:hAnsi="Times New Roman" w:cs="Times New Roman"/>
          <w:i/>
          <w:iCs/>
          <w:sz w:val="18"/>
          <w:szCs w:val="18"/>
        </w:rPr>
        <w:t>[1,10,28]</w:t>
      </w:r>
    </w:p>
    <w:p w14:paraId="2A77DDD1" w14:textId="77777777" w:rsidR="006C2738" w:rsidRPr="00391186" w:rsidRDefault="006C2738" w:rsidP="00391186">
      <w:pPr>
        <w:spacing w:before="60" w:after="60" w:line="360" w:lineRule="auto"/>
        <w:rPr>
          <w:rFonts w:ascii="Times New Roman" w:hAnsi="Times New Roman" w:cs="Times New Roman"/>
        </w:rPr>
      </w:pPr>
    </w:p>
    <w:p w14:paraId="53855C56" w14:textId="77777777" w:rsidR="006C2738" w:rsidRPr="00391186" w:rsidRDefault="000511E7" w:rsidP="00391186">
      <w:pPr>
        <w:pStyle w:val="Heading2"/>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3.2 Characterization Techniques</w:t>
      </w:r>
    </w:p>
    <w:p w14:paraId="3E343F09"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The International Society for Extracellular Vesicles (ISEV) has established the MISEV2018 guidelines, which recommend multi-modal characterization of exosomes to ensure reproducibility and safety. </w:t>
      </w:r>
      <w:r w:rsidRPr="00391186">
        <w:rPr>
          <w:rFonts w:ascii="Times New Roman" w:hAnsi="Times New Roman" w:cs="Times New Roman"/>
          <w:sz w:val="16"/>
          <w:szCs w:val="16"/>
          <w:vertAlign w:val="superscript"/>
        </w:rPr>
        <w:t>[1]</w:t>
      </w:r>
    </w:p>
    <w:p w14:paraId="75631668" w14:textId="77777777" w:rsidR="006C2738" w:rsidRPr="00391186" w:rsidRDefault="000511E7" w:rsidP="00391186">
      <w:pPr>
        <w:pStyle w:val="ListParagraph"/>
        <w:numPr>
          <w:ilvl w:val="0"/>
          <w:numId w:val="2"/>
        </w:numPr>
        <w:spacing w:before="60" w:after="60" w:line="360" w:lineRule="auto"/>
        <w:rPr>
          <w:rFonts w:ascii="Times New Roman" w:hAnsi="Times New Roman" w:cs="Times New Roman"/>
        </w:rPr>
      </w:pPr>
      <w:r w:rsidRPr="00391186">
        <w:rPr>
          <w:rFonts w:ascii="Times New Roman" w:hAnsi="Times New Roman" w:cs="Times New Roman"/>
        </w:rPr>
        <w:t xml:space="preserve">Nanoparticle Tracking Analysis (NTA): Determines particle size distribution and concentration by tracking Brownian motion of individual vesicles under laser illumination; the standard sizing method for exosomes (30–150 nm range). </w:t>
      </w:r>
      <w:r w:rsidRPr="00391186">
        <w:rPr>
          <w:rFonts w:ascii="Times New Roman" w:hAnsi="Times New Roman" w:cs="Times New Roman"/>
          <w:sz w:val="16"/>
          <w:szCs w:val="16"/>
          <w:vertAlign w:val="superscript"/>
        </w:rPr>
        <w:t>[1,28]</w:t>
      </w:r>
    </w:p>
    <w:p w14:paraId="755F8153" w14:textId="77777777" w:rsidR="006C2738" w:rsidRPr="00391186" w:rsidRDefault="000511E7" w:rsidP="00391186">
      <w:pPr>
        <w:pStyle w:val="ListParagraph"/>
        <w:numPr>
          <w:ilvl w:val="0"/>
          <w:numId w:val="2"/>
        </w:numPr>
        <w:spacing w:before="60" w:after="60" w:line="360" w:lineRule="auto"/>
        <w:rPr>
          <w:rFonts w:ascii="Times New Roman" w:hAnsi="Times New Roman" w:cs="Times New Roman"/>
        </w:rPr>
      </w:pPr>
      <w:r w:rsidRPr="00391186">
        <w:rPr>
          <w:rFonts w:ascii="Times New Roman" w:hAnsi="Times New Roman" w:cs="Times New Roman"/>
        </w:rPr>
        <w:t>Transmission Electr</w:t>
      </w:r>
      <w:r w:rsidRPr="00391186">
        <w:rPr>
          <w:rFonts w:ascii="Times New Roman" w:hAnsi="Times New Roman" w:cs="Times New Roman"/>
        </w:rPr>
        <w:t xml:space="preserve">on Microscopy (TEM): Provides morphological visualization of the exosome cup-shaped architecture. Cryo-TEM preserves native hydrated structure without fixation artefacts. </w:t>
      </w:r>
      <w:r w:rsidRPr="00391186">
        <w:rPr>
          <w:rFonts w:ascii="Times New Roman" w:hAnsi="Times New Roman" w:cs="Times New Roman"/>
          <w:sz w:val="16"/>
          <w:szCs w:val="16"/>
          <w:vertAlign w:val="superscript"/>
        </w:rPr>
        <w:t>[7]</w:t>
      </w:r>
    </w:p>
    <w:p w14:paraId="6BF13C92" w14:textId="77777777" w:rsidR="006C2738" w:rsidRPr="00391186" w:rsidRDefault="000511E7" w:rsidP="00391186">
      <w:pPr>
        <w:pStyle w:val="ListParagraph"/>
        <w:numPr>
          <w:ilvl w:val="0"/>
          <w:numId w:val="2"/>
        </w:numPr>
        <w:spacing w:before="60" w:after="60" w:line="360" w:lineRule="auto"/>
        <w:rPr>
          <w:rFonts w:ascii="Times New Roman" w:hAnsi="Times New Roman" w:cs="Times New Roman"/>
        </w:rPr>
      </w:pPr>
      <w:r w:rsidRPr="00391186">
        <w:rPr>
          <w:rFonts w:ascii="Times New Roman" w:hAnsi="Times New Roman" w:cs="Times New Roman"/>
        </w:rPr>
        <w:t>Dynamic Light Scattering (DLS): Measures hydrodynamic diameter and polydispersity</w:t>
      </w:r>
      <w:r w:rsidRPr="00391186">
        <w:rPr>
          <w:rFonts w:ascii="Times New Roman" w:hAnsi="Times New Roman" w:cs="Times New Roman"/>
        </w:rPr>
        <w:t xml:space="preserve"> index (PDI); less sensitive than NTA for heterogeneous populations. </w:t>
      </w:r>
      <w:r w:rsidRPr="00391186">
        <w:rPr>
          <w:rFonts w:ascii="Times New Roman" w:hAnsi="Times New Roman" w:cs="Times New Roman"/>
          <w:sz w:val="16"/>
          <w:szCs w:val="16"/>
          <w:vertAlign w:val="superscript"/>
        </w:rPr>
        <w:t>[28]</w:t>
      </w:r>
    </w:p>
    <w:p w14:paraId="20AD8AC7" w14:textId="77777777" w:rsidR="006C2738" w:rsidRPr="00391186" w:rsidRDefault="000511E7" w:rsidP="00391186">
      <w:pPr>
        <w:pStyle w:val="ListParagraph"/>
        <w:numPr>
          <w:ilvl w:val="0"/>
          <w:numId w:val="2"/>
        </w:numPr>
        <w:spacing w:before="60" w:after="60" w:line="360" w:lineRule="auto"/>
        <w:rPr>
          <w:rFonts w:ascii="Times New Roman" w:hAnsi="Times New Roman" w:cs="Times New Roman"/>
        </w:rPr>
      </w:pPr>
      <w:r w:rsidRPr="00391186">
        <w:rPr>
          <w:rFonts w:ascii="Times New Roman" w:hAnsi="Times New Roman" w:cs="Times New Roman"/>
        </w:rPr>
        <w:t xml:space="preserve">Western Blotting / Proteomics: Confirms presence of tetraspanin markers (CD63, CD81, CD9) and absence of contaminating proteins (calnexin — ER marker). </w:t>
      </w:r>
      <w:r w:rsidRPr="00391186">
        <w:rPr>
          <w:rFonts w:ascii="Times New Roman" w:hAnsi="Times New Roman" w:cs="Times New Roman"/>
          <w:sz w:val="16"/>
          <w:szCs w:val="16"/>
          <w:vertAlign w:val="superscript"/>
        </w:rPr>
        <w:t>[1,11]</w:t>
      </w:r>
    </w:p>
    <w:p w14:paraId="3CB1B0C3" w14:textId="77777777" w:rsidR="006C2738" w:rsidRPr="00391186" w:rsidRDefault="000511E7" w:rsidP="00391186">
      <w:pPr>
        <w:pStyle w:val="ListParagraph"/>
        <w:numPr>
          <w:ilvl w:val="0"/>
          <w:numId w:val="2"/>
        </w:numPr>
        <w:spacing w:before="60" w:after="60" w:line="360" w:lineRule="auto"/>
        <w:rPr>
          <w:rFonts w:ascii="Times New Roman" w:hAnsi="Times New Roman" w:cs="Times New Roman"/>
        </w:rPr>
      </w:pPr>
      <w:r w:rsidRPr="00391186">
        <w:rPr>
          <w:rFonts w:ascii="Times New Roman" w:hAnsi="Times New Roman" w:cs="Times New Roman"/>
        </w:rPr>
        <w:t>Zeta Potential Measurem</w:t>
      </w:r>
      <w:r w:rsidRPr="00391186">
        <w:rPr>
          <w:rFonts w:ascii="Times New Roman" w:hAnsi="Times New Roman" w:cs="Times New Roman"/>
        </w:rPr>
        <w:t xml:space="preserve">ent: Exosomes typically exhibit negative zeta potential (–10 to –40 mV), indicative of colloidal stability. </w:t>
      </w:r>
      <w:r w:rsidRPr="00391186">
        <w:rPr>
          <w:rFonts w:ascii="Times New Roman" w:hAnsi="Times New Roman" w:cs="Times New Roman"/>
          <w:sz w:val="16"/>
          <w:szCs w:val="16"/>
          <w:vertAlign w:val="superscript"/>
        </w:rPr>
        <w:t>[28]</w:t>
      </w:r>
    </w:p>
    <w:p w14:paraId="07D6F2B9" w14:textId="77777777" w:rsidR="006C2738" w:rsidRPr="00391186" w:rsidRDefault="000511E7" w:rsidP="00391186">
      <w:pPr>
        <w:pStyle w:val="ListParagraph"/>
        <w:numPr>
          <w:ilvl w:val="0"/>
          <w:numId w:val="2"/>
        </w:numPr>
        <w:spacing w:before="60" w:after="60" w:line="360" w:lineRule="auto"/>
        <w:rPr>
          <w:rFonts w:ascii="Times New Roman" w:hAnsi="Times New Roman" w:cs="Times New Roman"/>
        </w:rPr>
      </w:pPr>
      <w:r w:rsidRPr="00391186">
        <w:rPr>
          <w:rFonts w:ascii="Times New Roman" w:hAnsi="Times New Roman" w:cs="Times New Roman"/>
        </w:rPr>
        <w:t xml:space="preserve">RNA Sequencing (RNA-Seq): Profiles small RNA cargo including miRNA, piRNA, and lncRNA species within exosome lumen. </w:t>
      </w:r>
      <w:r w:rsidRPr="00391186">
        <w:rPr>
          <w:rFonts w:ascii="Times New Roman" w:hAnsi="Times New Roman" w:cs="Times New Roman"/>
          <w:sz w:val="16"/>
          <w:szCs w:val="16"/>
          <w:vertAlign w:val="superscript"/>
        </w:rPr>
        <w:t>[3,8]</w:t>
      </w:r>
    </w:p>
    <w:p w14:paraId="5C2A5A6E" w14:textId="77777777" w:rsidR="006C2738" w:rsidRPr="00391186" w:rsidRDefault="006C2738" w:rsidP="00391186">
      <w:pPr>
        <w:spacing w:before="60" w:after="60" w:line="360" w:lineRule="auto"/>
        <w:rPr>
          <w:rFonts w:ascii="Times New Roman" w:hAnsi="Times New Roman" w:cs="Times New Roman"/>
        </w:rPr>
      </w:pPr>
    </w:p>
    <w:p w14:paraId="5FDC02C7" w14:textId="77777777" w:rsidR="006C2738" w:rsidRPr="00391186" w:rsidRDefault="000511E7" w:rsidP="00391186">
      <w:pPr>
        <w:pStyle w:val="Heading1"/>
        <w:pBdr>
          <w:bottom w:val="single" w:sz="6" w:space="4" w:color="2E75B6"/>
        </w:pBdr>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4. ENGINEERING STRAT</w:t>
      </w:r>
      <w:r w:rsidRPr="00391186">
        <w:rPr>
          <w:rFonts w:ascii="Times New Roman" w:hAnsi="Times New Roman" w:cs="Times New Roman"/>
          <w:b w:val="0"/>
          <w:bCs w:val="0"/>
          <w:color w:val="auto"/>
        </w:rPr>
        <w:t>EGIES FOR DRUG LOADING</w:t>
      </w:r>
    </w:p>
    <w:p w14:paraId="16637DD0" w14:textId="77777777" w:rsidR="006C2738" w:rsidRPr="00391186" w:rsidRDefault="000511E7" w:rsidP="00391186">
      <w:pPr>
        <w:pStyle w:val="Heading2"/>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4.1 Drug Loading Methods</w:t>
      </w:r>
    </w:p>
    <w:p w14:paraId="01DE4F29"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Loading therapeutic cargo into exosomes while maintaining structural integrity is one of the most critical aspects of exosome-based drug delivery. Both passive and active loading strategies have been develope</w:t>
      </w:r>
      <w:r w:rsidRPr="00391186">
        <w:rPr>
          <w:rFonts w:ascii="Times New Roman" w:hAnsi="Times New Roman" w:cs="Times New Roman"/>
        </w:rPr>
        <w:t xml:space="preserve">d. </w:t>
      </w:r>
      <w:r w:rsidRPr="00391186">
        <w:rPr>
          <w:rFonts w:ascii="Times New Roman" w:hAnsi="Times New Roman" w:cs="Times New Roman"/>
          <w:sz w:val="16"/>
          <w:szCs w:val="16"/>
          <w:vertAlign w:val="superscript"/>
        </w:rPr>
        <w:t>[13,24]</w:t>
      </w:r>
    </w:p>
    <w:p w14:paraId="488F8D05" w14:textId="77777777" w:rsidR="006C2738" w:rsidRPr="00391186" w:rsidRDefault="000511E7" w:rsidP="00391186">
      <w:pPr>
        <w:pStyle w:val="Heading3"/>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4.1.1 Passive Incubation</w:t>
      </w:r>
    </w:p>
    <w:p w14:paraId="4621CA57"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The simplest approach involves co-incubation of drugs with isolated exosomes. Hydrophobic drugs partition into the lipid bilayer membrane due to favourable hydrophobic interactions. </w:t>
      </w:r>
      <w:r w:rsidRPr="00391186">
        <w:rPr>
          <w:rFonts w:ascii="Times New Roman" w:hAnsi="Times New Roman" w:cs="Times New Roman"/>
          <w:sz w:val="16"/>
          <w:szCs w:val="16"/>
          <w:vertAlign w:val="superscript"/>
        </w:rPr>
        <w:t>[13]</w:t>
      </w:r>
      <w:r w:rsidRPr="00391186">
        <w:rPr>
          <w:rFonts w:ascii="Times New Roman" w:hAnsi="Times New Roman" w:cs="Times New Roman"/>
        </w:rPr>
        <w:t xml:space="preserve"> Doxorubicin, paclitaxel, and curc</w:t>
      </w:r>
      <w:r w:rsidRPr="00391186">
        <w:rPr>
          <w:rFonts w:ascii="Times New Roman" w:hAnsi="Times New Roman" w:cs="Times New Roman"/>
        </w:rPr>
        <w:t xml:space="preserve">umin have been </w:t>
      </w:r>
      <w:r w:rsidRPr="00391186">
        <w:rPr>
          <w:rFonts w:ascii="Times New Roman" w:hAnsi="Times New Roman" w:cs="Times New Roman"/>
        </w:rPr>
        <w:lastRenderedPageBreak/>
        <w:t xml:space="preserve">successfully loaded by this method. </w:t>
      </w:r>
      <w:r w:rsidRPr="00391186">
        <w:rPr>
          <w:rFonts w:ascii="Times New Roman" w:hAnsi="Times New Roman" w:cs="Times New Roman"/>
          <w:sz w:val="16"/>
          <w:szCs w:val="16"/>
          <w:vertAlign w:val="superscript"/>
        </w:rPr>
        <w:t>[14,15,16]</w:t>
      </w:r>
      <w:r w:rsidRPr="00391186">
        <w:rPr>
          <w:rFonts w:ascii="Times New Roman" w:hAnsi="Times New Roman" w:cs="Times New Roman"/>
        </w:rPr>
        <w:t xml:space="preserve"> Drug loading efficiency (DLE) is generally low (5–20%) and depends strongly on membrane permeability and drug lipophilicity. </w:t>
      </w:r>
      <w:r w:rsidRPr="00391186">
        <w:rPr>
          <w:rFonts w:ascii="Times New Roman" w:hAnsi="Times New Roman" w:cs="Times New Roman"/>
          <w:sz w:val="16"/>
          <w:szCs w:val="16"/>
          <w:vertAlign w:val="superscript"/>
        </w:rPr>
        <w:t>[13]</w:t>
      </w:r>
    </w:p>
    <w:p w14:paraId="195C4E10" w14:textId="77777777" w:rsidR="006C2738" w:rsidRPr="00391186" w:rsidRDefault="000511E7" w:rsidP="00391186">
      <w:pPr>
        <w:pStyle w:val="Heading3"/>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4.1.2 Electroporation</w:t>
      </w:r>
    </w:p>
    <w:p w14:paraId="052B8938"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Application of transient electric pulses c</w:t>
      </w:r>
      <w:r w:rsidRPr="00391186">
        <w:rPr>
          <w:rFonts w:ascii="Times New Roman" w:hAnsi="Times New Roman" w:cs="Times New Roman"/>
        </w:rPr>
        <w:t xml:space="preserve">reates temporary pores in the exosome membrane, enabling hydrophilic drugs, siRNA, antisense oligonucleotides, and CRISPR components to enter the lumen. </w:t>
      </w:r>
      <w:r w:rsidRPr="00391186">
        <w:rPr>
          <w:rFonts w:ascii="Times New Roman" w:hAnsi="Times New Roman" w:cs="Times New Roman"/>
          <w:sz w:val="16"/>
          <w:szCs w:val="16"/>
          <w:vertAlign w:val="superscript"/>
        </w:rPr>
        <w:t>[4,24]</w:t>
      </w:r>
      <w:r w:rsidRPr="00391186">
        <w:rPr>
          <w:rFonts w:ascii="Times New Roman" w:hAnsi="Times New Roman" w:cs="Times New Roman"/>
        </w:rPr>
        <w:t xml:space="preserve"> Electroporation can cause siRNA aggregation and membrane disruption if parameters including volt</w:t>
      </w:r>
      <w:r w:rsidRPr="00391186">
        <w:rPr>
          <w:rFonts w:ascii="Times New Roman" w:hAnsi="Times New Roman" w:cs="Times New Roman"/>
        </w:rPr>
        <w:t xml:space="preserve">age (100–400 V) and pulse duration are not carefully optimized. </w:t>
      </w:r>
      <w:r w:rsidRPr="00391186">
        <w:rPr>
          <w:rFonts w:ascii="Times New Roman" w:hAnsi="Times New Roman" w:cs="Times New Roman"/>
          <w:sz w:val="16"/>
          <w:szCs w:val="16"/>
          <w:vertAlign w:val="superscript"/>
        </w:rPr>
        <w:t>[4]</w:t>
      </w:r>
      <w:r w:rsidRPr="00391186">
        <w:rPr>
          <w:rFonts w:ascii="Times New Roman" w:hAnsi="Times New Roman" w:cs="Times New Roman"/>
        </w:rPr>
        <w:t xml:space="preserve"> Under optimized conditions, 25–50% siRNA loading efficiency has been reported. </w:t>
      </w:r>
      <w:r w:rsidRPr="00391186">
        <w:rPr>
          <w:rFonts w:ascii="Times New Roman" w:hAnsi="Times New Roman" w:cs="Times New Roman"/>
          <w:sz w:val="16"/>
          <w:szCs w:val="16"/>
          <w:vertAlign w:val="superscript"/>
        </w:rPr>
        <w:t>[24]</w:t>
      </w:r>
    </w:p>
    <w:p w14:paraId="723BCECE" w14:textId="77777777" w:rsidR="006C2738" w:rsidRPr="00391186" w:rsidRDefault="000511E7" w:rsidP="00391186">
      <w:pPr>
        <w:pStyle w:val="Heading3"/>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4.1.3 Sonication and Extrusion</w:t>
      </w:r>
    </w:p>
    <w:p w14:paraId="7B79AE24"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Sonication temporarily disrupts the exosome membrane via ultrasonic energy, facilitating drug entry upon membrane reassembly. </w:t>
      </w:r>
      <w:r w:rsidRPr="00391186">
        <w:rPr>
          <w:rFonts w:ascii="Times New Roman" w:hAnsi="Times New Roman" w:cs="Times New Roman"/>
          <w:sz w:val="16"/>
          <w:szCs w:val="16"/>
          <w:vertAlign w:val="superscript"/>
        </w:rPr>
        <w:t>[13]</w:t>
      </w:r>
      <w:r w:rsidRPr="00391186">
        <w:rPr>
          <w:rFonts w:ascii="Times New Roman" w:hAnsi="Times New Roman" w:cs="Times New Roman"/>
        </w:rPr>
        <w:t xml:space="preserve"> Extrusion involves passing exosome-drug mixtures through polycarbonate membranes of defined pore sizes (100–400 nm), forcing </w:t>
      </w:r>
      <w:r w:rsidRPr="00391186">
        <w:rPr>
          <w:rFonts w:ascii="Times New Roman" w:hAnsi="Times New Roman" w:cs="Times New Roman"/>
        </w:rPr>
        <w:t xml:space="preserve">membrane deformation and drug incorporation. </w:t>
      </w:r>
      <w:r w:rsidRPr="00391186">
        <w:rPr>
          <w:rFonts w:ascii="Times New Roman" w:hAnsi="Times New Roman" w:cs="Times New Roman"/>
          <w:sz w:val="16"/>
          <w:szCs w:val="16"/>
          <w:vertAlign w:val="superscript"/>
        </w:rPr>
        <w:t>[13,27]</w:t>
      </w:r>
      <w:r w:rsidRPr="00391186">
        <w:rPr>
          <w:rFonts w:ascii="Times New Roman" w:hAnsi="Times New Roman" w:cs="Times New Roman"/>
        </w:rPr>
        <w:t xml:space="preserve"> Both methods can achieve loading efficiencies above 50%, but risk altering surface protein conformation and exosome size distribution. </w:t>
      </w:r>
      <w:r w:rsidRPr="00391186">
        <w:rPr>
          <w:rFonts w:ascii="Times New Roman" w:hAnsi="Times New Roman" w:cs="Times New Roman"/>
          <w:sz w:val="16"/>
          <w:szCs w:val="16"/>
          <w:vertAlign w:val="superscript"/>
        </w:rPr>
        <w:t>[27]</w:t>
      </w:r>
    </w:p>
    <w:p w14:paraId="061A9E48" w14:textId="77777777" w:rsidR="006C2738" w:rsidRPr="00391186" w:rsidRDefault="000511E7" w:rsidP="00391186">
      <w:pPr>
        <w:pStyle w:val="Heading3"/>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4.1.4 Saponin-Permeabilization</w:t>
      </w:r>
    </w:p>
    <w:p w14:paraId="4636E5BB"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Saponin transiently disrupts the</w:t>
      </w:r>
      <w:r w:rsidRPr="00391186">
        <w:rPr>
          <w:rFonts w:ascii="Times New Roman" w:hAnsi="Times New Roman" w:cs="Times New Roman"/>
        </w:rPr>
        <w:t xml:space="preserve"> exosome lipid bilayer by forming pores, enabling passive loading of hydrophilic drugs, with loading efficiencies reported up to 40%. </w:t>
      </w:r>
      <w:r w:rsidRPr="00391186">
        <w:rPr>
          <w:rFonts w:ascii="Times New Roman" w:hAnsi="Times New Roman" w:cs="Times New Roman"/>
          <w:sz w:val="16"/>
          <w:szCs w:val="16"/>
          <w:vertAlign w:val="superscript"/>
        </w:rPr>
        <w:t>[15]</w:t>
      </w:r>
      <w:r w:rsidRPr="00391186">
        <w:rPr>
          <w:rFonts w:ascii="Times New Roman" w:hAnsi="Times New Roman" w:cs="Times New Roman"/>
        </w:rPr>
        <w:t xml:space="preserve"> Saponin must be removed post-loading as it is haemolytic and cytotoxic at residual concentrations. </w:t>
      </w:r>
      <w:r w:rsidRPr="00391186">
        <w:rPr>
          <w:rFonts w:ascii="Times New Roman" w:hAnsi="Times New Roman" w:cs="Times New Roman"/>
          <w:sz w:val="16"/>
          <w:szCs w:val="16"/>
          <w:vertAlign w:val="superscript"/>
        </w:rPr>
        <w:t>[15]</w:t>
      </w:r>
    </w:p>
    <w:p w14:paraId="43180BE7" w14:textId="77777777" w:rsidR="006C2738" w:rsidRPr="00391186" w:rsidRDefault="000511E7" w:rsidP="00391186">
      <w:pPr>
        <w:pStyle w:val="Heading3"/>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4.1.5 Endogen</w:t>
      </w:r>
      <w:r w:rsidRPr="00391186">
        <w:rPr>
          <w:rFonts w:ascii="Times New Roman" w:hAnsi="Times New Roman" w:cs="Times New Roman"/>
          <w:b w:val="0"/>
          <w:bCs w:val="0"/>
          <w:color w:val="auto"/>
        </w:rPr>
        <w:t>ous Loading (Donor Cell Engineering)</w:t>
      </w:r>
    </w:p>
    <w:p w14:paraId="0C8D7603"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Engineering parental donor cells to overexpress therapeutic proteins or miRNAs results in their packaging into secreted exosomes. </w:t>
      </w:r>
      <w:r w:rsidRPr="00391186">
        <w:rPr>
          <w:rFonts w:ascii="Times New Roman" w:hAnsi="Times New Roman" w:cs="Times New Roman"/>
          <w:sz w:val="16"/>
          <w:szCs w:val="16"/>
          <w:vertAlign w:val="superscript"/>
        </w:rPr>
        <w:t>[6,8]</w:t>
      </w:r>
      <w:r w:rsidRPr="00391186">
        <w:rPr>
          <w:rFonts w:ascii="Times New Roman" w:hAnsi="Times New Roman" w:cs="Times New Roman"/>
        </w:rPr>
        <w:t xml:space="preserve"> Transfection of cells with plasmid DNA or mRNA encoding therapeutic genes leads to </w:t>
      </w:r>
      <w:r w:rsidRPr="00391186">
        <w:rPr>
          <w:rFonts w:ascii="Times New Roman" w:hAnsi="Times New Roman" w:cs="Times New Roman"/>
        </w:rPr>
        <w:t xml:space="preserve">exosomal loading with high cargo fidelity, though large-scale production remains challenging. </w:t>
      </w:r>
      <w:r w:rsidRPr="00391186">
        <w:rPr>
          <w:rFonts w:ascii="Times New Roman" w:hAnsi="Times New Roman" w:cs="Times New Roman"/>
          <w:sz w:val="16"/>
          <w:szCs w:val="16"/>
          <w:vertAlign w:val="superscript"/>
        </w:rPr>
        <w:t>[17]</w:t>
      </w:r>
    </w:p>
    <w:p w14:paraId="29F50371" w14:textId="77777777" w:rsidR="006C2738" w:rsidRPr="00391186" w:rsidRDefault="000511E7" w:rsidP="00391186">
      <w:pPr>
        <w:pStyle w:val="Heading2"/>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4.2 Surface Engineering for Active Targeting</w:t>
      </w:r>
    </w:p>
    <w:p w14:paraId="3791E24A" w14:textId="77777777" w:rsidR="006C2738" w:rsidRPr="00391186" w:rsidRDefault="000511E7" w:rsidP="00391186">
      <w:pPr>
        <w:pStyle w:val="Heading3"/>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4.2.1 Genetic Engineering of Producer Cells</w:t>
      </w:r>
    </w:p>
    <w:p w14:paraId="72A2FB5C"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Fusion proteins are constructed by genetically fusing targeting peptides to exosome membrane proteins such as Lamp2b or CD63. </w:t>
      </w:r>
      <w:r w:rsidRPr="00391186">
        <w:rPr>
          <w:rFonts w:ascii="Times New Roman" w:hAnsi="Times New Roman" w:cs="Times New Roman"/>
          <w:sz w:val="16"/>
          <w:szCs w:val="16"/>
          <w:vertAlign w:val="superscript"/>
        </w:rPr>
        <w:t>[4,6]</w:t>
      </w:r>
      <w:r w:rsidRPr="00391186">
        <w:rPr>
          <w:rFonts w:ascii="Times New Roman" w:hAnsi="Times New Roman" w:cs="Times New Roman"/>
        </w:rPr>
        <w:t xml:space="preserve"> In the landmark study by Alvarez-Erviti et al., RVG (rabies virus glycoprotein) peptide fused to Lamp2b directed siRNA-loade</w:t>
      </w:r>
      <w:r w:rsidRPr="00391186">
        <w:rPr>
          <w:rFonts w:ascii="Times New Roman" w:hAnsi="Times New Roman" w:cs="Times New Roman"/>
        </w:rPr>
        <w:t xml:space="preserve">d exosomes specifically to neuronal cells in the mouse brain, achieving significant gene silencing. </w:t>
      </w:r>
      <w:r w:rsidRPr="00391186">
        <w:rPr>
          <w:rFonts w:ascii="Times New Roman" w:hAnsi="Times New Roman" w:cs="Times New Roman"/>
          <w:sz w:val="16"/>
          <w:szCs w:val="16"/>
          <w:vertAlign w:val="superscript"/>
        </w:rPr>
        <w:t>[4]</w:t>
      </w:r>
    </w:p>
    <w:p w14:paraId="7191E763" w14:textId="77777777" w:rsidR="006C2738" w:rsidRPr="00391186" w:rsidRDefault="000511E7" w:rsidP="00391186">
      <w:pPr>
        <w:pStyle w:val="Heading3"/>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4.2.2 Post-Isolation Chemical Conjugation</w:t>
      </w:r>
    </w:p>
    <w:p w14:paraId="0566C19F"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Click chemistry (azide-alkyne cycloaddition), NHS ester coupling, and maleimide-thiol reactions enable covalen</w:t>
      </w:r>
      <w:r w:rsidRPr="00391186">
        <w:rPr>
          <w:rFonts w:ascii="Times New Roman" w:hAnsi="Times New Roman" w:cs="Times New Roman"/>
        </w:rPr>
        <w:t xml:space="preserve">t attachment of antibodies, aptamers, and peptides to the exosome surface. </w:t>
      </w:r>
      <w:r w:rsidRPr="00391186">
        <w:rPr>
          <w:rFonts w:ascii="Times New Roman" w:hAnsi="Times New Roman" w:cs="Times New Roman"/>
          <w:sz w:val="16"/>
          <w:szCs w:val="16"/>
          <w:vertAlign w:val="superscript"/>
        </w:rPr>
        <w:t>[13,24]</w:t>
      </w:r>
      <w:r w:rsidRPr="00391186">
        <w:rPr>
          <w:rFonts w:ascii="Times New Roman" w:hAnsi="Times New Roman" w:cs="Times New Roman"/>
        </w:rPr>
        <w:t xml:space="preserve"> Metabolic labeling with azidosugars (ManNAz) allows metabolic glycan engineering, where azide groups incorporated into exosome surface glycans enable subsequent bioorthogona</w:t>
      </w:r>
      <w:r w:rsidRPr="00391186">
        <w:rPr>
          <w:rFonts w:ascii="Times New Roman" w:hAnsi="Times New Roman" w:cs="Times New Roman"/>
        </w:rPr>
        <w:t xml:space="preserve">l conjugation. </w:t>
      </w:r>
      <w:r w:rsidRPr="00391186">
        <w:rPr>
          <w:rFonts w:ascii="Times New Roman" w:hAnsi="Times New Roman" w:cs="Times New Roman"/>
          <w:sz w:val="16"/>
          <w:szCs w:val="16"/>
          <w:vertAlign w:val="superscript"/>
        </w:rPr>
        <w:t>[13]</w:t>
      </w:r>
    </w:p>
    <w:p w14:paraId="521E9F97" w14:textId="77777777" w:rsidR="006C2738" w:rsidRPr="00391186" w:rsidRDefault="000511E7" w:rsidP="00391186">
      <w:pPr>
        <w:pStyle w:val="Heading3"/>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4.2.3 Lipid Insertion</w:t>
      </w:r>
    </w:p>
    <w:p w14:paraId="7BDD51D9"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lastRenderedPageBreak/>
        <w:t xml:space="preserve">Amphiphilic molecules with hydrophobic anchors (e.g., DSPE-PEG) spontaneously insert into the exosome lipid bilayer. </w:t>
      </w:r>
      <w:r w:rsidRPr="00391186">
        <w:rPr>
          <w:rFonts w:ascii="Times New Roman" w:hAnsi="Times New Roman" w:cs="Times New Roman"/>
          <w:sz w:val="16"/>
          <w:szCs w:val="16"/>
          <w:vertAlign w:val="superscript"/>
        </w:rPr>
        <w:t>[24]</w:t>
      </w:r>
      <w:r w:rsidRPr="00391186">
        <w:rPr>
          <w:rFonts w:ascii="Times New Roman" w:hAnsi="Times New Roman" w:cs="Times New Roman"/>
        </w:rPr>
        <w:t xml:space="preserve"> Targeting ligands conjugated to DSPE-PEG-NHS or DSPE-PEG-maleimide can be post-inserted into</w:t>
      </w:r>
      <w:r w:rsidRPr="00391186">
        <w:rPr>
          <w:rFonts w:ascii="Times New Roman" w:hAnsi="Times New Roman" w:cs="Times New Roman"/>
        </w:rPr>
        <w:t xml:space="preserve"> exosome membranes under mild conditions that preserve surface protein integrity. </w:t>
      </w:r>
      <w:r w:rsidRPr="00391186">
        <w:rPr>
          <w:rFonts w:ascii="Times New Roman" w:hAnsi="Times New Roman" w:cs="Times New Roman"/>
          <w:sz w:val="16"/>
          <w:szCs w:val="16"/>
          <w:vertAlign w:val="superscript"/>
        </w:rPr>
        <w:t>[24,27]</w:t>
      </w:r>
    </w:p>
    <w:p w14:paraId="7499E48B" w14:textId="77777777" w:rsidR="006C2738" w:rsidRPr="00391186" w:rsidRDefault="000511E7" w:rsidP="00391186">
      <w:pPr>
        <w:pStyle w:val="Heading3"/>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4.2.4 PEGylation</w:t>
      </w:r>
    </w:p>
    <w:p w14:paraId="4EE1AC4B"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PEG coating of exosomes improves colloidal stability, reduces opsonization by serum proteins, and extends circulation half-life by minimizing mononuc</w:t>
      </w:r>
      <w:r w:rsidRPr="00391186">
        <w:rPr>
          <w:rFonts w:ascii="Times New Roman" w:hAnsi="Times New Roman" w:cs="Times New Roman"/>
        </w:rPr>
        <w:t xml:space="preserve">lear phagocyte system (MPS) clearance. </w:t>
      </w:r>
      <w:r w:rsidRPr="00391186">
        <w:rPr>
          <w:rFonts w:ascii="Times New Roman" w:hAnsi="Times New Roman" w:cs="Times New Roman"/>
          <w:sz w:val="16"/>
          <w:szCs w:val="16"/>
          <w:vertAlign w:val="superscript"/>
        </w:rPr>
        <w:t>[12,24]</w:t>
      </w:r>
      <w:r w:rsidRPr="00391186">
        <w:rPr>
          <w:rFonts w:ascii="Times New Roman" w:hAnsi="Times New Roman" w:cs="Times New Roman"/>
        </w:rPr>
        <w:t xml:space="preserve"> However, excessive PEGylation may impair cellular uptake (the 'PEG dilemma'), and optimization of PEG chain length and density is essential. </w:t>
      </w:r>
      <w:r w:rsidRPr="00391186">
        <w:rPr>
          <w:rFonts w:ascii="Times New Roman" w:hAnsi="Times New Roman" w:cs="Times New Roman"/>
          <w:sz w:val="16"/>
          <w:szCs w:val="16"/>
          <w:vertAlign w:val="superscript"/>
        </w:rPr>
        <w:t>[24]</w:t>
      </w:r>
    </w:p>
    <w:p w14:paraId="429BA691" w14:textId="77777777" w:rsidR="006C2738" w:rsidRPr="00391186" w:rsidRDefault="006C2738" w:rsidP="00391186">
      <w:pPr>
        <w:spacing w:before="60" w:after="60" w:line="360" w:lineRule="auto"/>
        <w:rPr>
          <w:rFonts w:ascii="Times New Roman" w:hAnsi="Times New Roman" w:cs="Times New Roman"/>
        </w:rPr>
      </w:pPr>
    </w:p>
    <w:tbl>
      <w:tblPr>
        <w:tblStyle w:val="GridTableLight"/>
        <w:tblW w:w="9360" w:type="dxa"/>
        <w:tblLook w:val="04A0" w:firstRow="1" w:lastRow="0" w:firstColumn="1" w:lastColumn="0" w:noHBand="0" w:noVBand="1"/>
      </w:tblPr>
      <w:tblGrid>
        <w:gridCol w:w="2500"/>
        <w:gridCol w:w="2000"/>
        <w:gridCol w:w="2200"/>
        <w:gridCol w:w="2660"/>
      </w:tblGrid>
      <w:tr w:rsidR="00391186" w:rsidRPr="00391186" w14:paraId="5E373C0B" w14:textId="77777777" w:rsidTr="00391186">
        <w:tc>
          <w:tcPr>
            <w:tcW w:w="2500" w:type="dxa"/>
          </w:tcPr>
          <w:p w14:paraId="6851E30A" w14:textId="77777777" w:rsidR="006C2738" w:rsidRPr="00391186" w:rsidRDefault="000511E7" w:rsidP="00391186">
            <w:pPr>
              <w:spacing w:line="360" w:lineRule="auto"/>
              <w:jc w:val="center"/>
              <w:rPr>
                <w:rFonts w:ascii="Times New Roman" w:hAnsi="Times New Roman" w:cs="Times New Roman"/>
              </w:rPr>
            </w:pPr>
            <w:r w:rsidRPr="00391186">
              <w:rPr>
                <w:rFonts w:ascii="Times New Roman" w:hAnsi="Times New Roman" w:cs="Times New Roman"/>
                <w:sz w:val="20"/>
                <w:szCs w:val="20"/>
              </w:rPr>
              <w:t>Engineering Strategy</w:t>
            </w:r>
          </w:p>
        </w:tc>
        <w:tc>
          <w:tcPr>
            <w:tcW w:w="2000" w:type="dxa"/>
          </w:tcPr>
          <w:p w14:paraId="287FD2B9" w14:textId="77777777" w:rsidR="006C2738" w:rsidRPr="00391186" w:rsidRDefault="000511E7" w:rsidP="00391186">
            <w:pPr>
              <w:spacing w:line="360" w:lineRule="auto"/>
              <w:jc w:val="center"/>
              <w:rPr>
                <w:rFonts w:ascii="Times New Roman" w:hAnsi="Times New Roman" w:cs="Times New Roman"/>
              </w:rPr>
            </w:pPr>
            <w:r w:rsidRPr="00391186">
              <w:rPr>
                <w:rFonts w:ascii="Times New Roman" w:hAnsi="Times New Roman" w:cs="Times New Roman"/>
                <w:sz w:val="20"/>
                <w:szCs w:val="20"/>
              </w:rPr>
              <w:t>Targeting Moiety</w:t>
            </w:r>
          </w:p>
        </w:tc>
        <w:tc>
          <w:tcPr>
            <w:tcW w:w="2200" w:type="dxa"/>
          </w:tcPr>
          <w:p w14:paraId="4AC3BFC0" w14:textId="77777777" w:rsidR="006C2738" w:rsidRPr="00391186" w:rsidRDefault="000511E7" w:rsidP="00391186">
            <w:pPr>
              <w:spacing w:line="360" w:lineRule="auto"/>
              <w:jc w:val="center"/>
              <w:rPr>
                <w:rFonts w:ascii="Times New Roman" w:hAnsi="Times New Roman" w:cs="Times New Roman"/>
              </w:rPr>
            </w:pPr>
            <w:r w:rsidRPr="00391186">
              <w:rPr>
                <w:rFonts w:ascii="Times New Roman" w:hAnsi="Times New Roman" w:cs="Times New Roman"/>
                <w:sz w:val="20"/>
                <w:szCs w:val="20"/>
              </w:rPr>
              <w:t>Application</w:t>
            </w:r>
          </w:p>
        </w:tc>
        <w:tc>
          <w:tcPr>
            <w:tcW w:w="2660" w:type="dxa"/>
          </w:tcPr>
          <w:p w14:paraId="529FF999" w14:textId="77777777" w:rsidR="006C2738" w:rsidRPr="00391186" w:rsidRDefault="000511E7" w:rsidP="00391186">
            <w:pPr>
              <w:spacing w:line="360" w:lineRule="auto"/>
              <w:jc w:val="center"/>
              <w:rPr>
                <w:rFonts w:ascii="Times New Roman" w:hAnsi="Times New Roman" w:cs="Times New Roman"/>
              </w:rPr>
            </w:pPr>
            <w:r w:rsidRPr="00391186">
              <w:rPr>
                <w:rFonts w:ascii="Times New Roman" w:hAnsi="Times New Roman" w:cs="Times New Roman"/>
                <w:sz w:val="20"/>
                <w:szCs w:val="20"/>
              </w:rPr>
              <w:t>Advantage</w:t>
            </w:r>
          </w:p>
        </w:tc>
      </w:tr>
      <w:tr w:rsidR="00391186" w:rsidRPr="00391186" w14:paraId="3A46E675" w14:textId="77777777" w:rsidTr="00391186">
        <w:tc>
          <w:tcPr>
            <w:tcW w:w="2500" w:type="dxa"/>
          </w:tcPr>
          <w:p w14:paraId="08076D8E"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Genetic (Lamp2b fusion)</w:t>
            </w:r>
          </w:p>
        </w:tc>
        <w:tc>
          <w:tcPr>
            <w:tcW w:w="2000" w:type="dxa"/>
          </w:tcPr>
          <w:p w14:paraId="2002A838"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RVG peptide, iRGD</w:t>
            </w:r>
          </w:p>
        </w:tc>
        <w:tc>
          <w:tcPr>
            <w:tcW w:w="2200" w:type="dxa"/>
          </w:tcPr>
          <w:p w14:paraId="20FC38B3"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Brain tumors, neural diseases</w:t>
            </w:r>
          </w:p>
        </w:tc>
        <w:tc>
          <w:tcPr>
            <w:tcW w:w="2660" w:type="dxa"/>
          </w:tcPr>
          <w:p w14:paraId="0717E207"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Stable expression, scalable [4]</w:t>
            </w:r>
          </w:p>
        </w:tc>
      </w:tr>
      <w:tr w:rsidR="00391186" w:rsidRPr="00391186" w14:paraId="3FC4DA1A" w14:textId="77777777" w:rsidTr="00391186">
        <w:tc>
          <w:tcPr>
            <w:tcW w:w="2500" w:type="dxa"/>
          </w:tcPr>
          <w:p w14:paraId="4D03EE05"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Click Chemistry</w:t>
            </w:r>
          </w:p>
        </w:tc>
        <w:tc>
          <w:tcPr>
            <w:tcW w:w="2000" w:type="dxa"/>
          </w:tcPr>
          <w:p w14:paraId="2ACF15A7"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Anti-EGFR antibody, aptamers</w:t>
            </w:r>
          </w:p>
        </w:tc>
        <w:tc>
          <w:tcPr>
            <w:tcW w:w="2200" w:type="dxa"/>
          </w:tcPr>
          <w:p w14:paraId="657E675B"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Cancer targeting</w:t>
            </w:r>
          </w:p>
        </w:tc>
        <w:tc>
          <w:tcPr>
            <w:tcW w:w="2660" w:type="dxa"/>
          </w:tcPr>
          <w:p w14:paraId="3D4FF709"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Highly specific conjugation [13]</w:t>
            </w:r>
          </w:p>
        </w:tc>
      </w:tr>
      <w:tr w:rsidR="00391186" w:rsidRPr="00391186" w14:paraId="5278E08F" w14:textId="77777777" w:rsidTr="00391186">
        <w:tc>
          <w:tcPr>
            <w:tcW w:w="2500" w:type="dxa"/>
          </w:tcPr>
          <w:p w14:paraId="7DEFFC5F"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Lipid Insertion (DSPE-PEG)</w:t>
            </w:r>
          </w:p>
        </w:tc>
        <w:tc>
          <w:tcPr>
            <w:tcW w:w="2000" w:type="dxa"/>
          </w:tcPr>
          <w:p w14:paraId="7AB1BC0C"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Folate, RGD, transferrin</w:t>
            </w:r>
          </w:p>
        </w:tc>
        <w:tc>
          <w:tcPr>
            <w:tcW w:w="2200" w:type="dxa"/>
          </w:tcPr>
          <w:p w14:paraId="0F881C29"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Tum</w:t>
            </w:r>
            <w:r w:rsidRPr="00391186">
              <w:rPr>
                <w:rFonts w:ascii="Times New Roman" w:hAnsi="Times New Roman" w:cs="Times New Roman"/>
                <w:sz w:val="20"/>
                <w:szCs w:val="20"/>
              </w:rPr>
              <w:t>or vasculature, brain</w:t>
            </w:r>
          </w:p>
        </w:tc>
        <w:tc>
          <w:tcPr>
            <w:tcW w:w="2660" w:type="dxa"/>
          </w:tcPr>
          <w:p w14:paraId="73AD17D9"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Gentle, preserves surface proteins [24]</w:t>
            </w:r>
          </w:p>
        </w:tc>
      </w:tr>
      <w:tr w:rsidR="00391186" w:rsidRPr="00391186" w14:paraId="1667F4B8" w14:textId="77777777" w:rsidTr="00391186">
        <w:tc>
          <w:tcPr>
            <w:tcW w:w="2500" w:type="dxa"/>
          </w:tcPr>
          <w:p w14:paraId="024BAA31"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Streptavidin-Biotin</w:t>
            </w:r>
          </w:p>
        </w:tc>
        <w:tc>
          <w:tcPr>
            <w:tcW w:w="2000" w:type="dxa"/>
          </w:tcPr>
          <w:p w14:paraId="2BCCBDEB"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Biotinylated antibodies</w:t>
            </w:r>
          </w:p>
        </w:tc>
        <w:tc>
          <w:tcPr>
            <w:tcW w:w="2200" w:type="dxa"/>
          </w:tcPr>
          <w:p w14:paraId="689EA8FA"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Multiple targets</w:t>
            </w:r>
          </w:p>
        </w:tc>
        <w:tc>
          <w:tcPr>
            <w:tcW w:w="2660" w:type="dxa"/>
          </w:tcPr>
          <w:p w14:paraId="29C5700A"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Versatile, modular design [13]</w:t>
            </w:r>
          </w:p>
        </w:tc>
      </w:tr>
      <w:tr w:rsidR="00391186" w:rsidRPr="00391186" w14:paraId="55393117" w14:textId="77777777" w:rsidTr="00391186">
        <w:tc>
          <w:tcPr>
            <w:tcW w:w="2500" w:type="dxa"/>
          </w:tcPr>
          <w:p w14:paraId="2D23FC74"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Metabolic Glycan Engineering</w:t>
            </w:r>
          </w:p>
        </w:tc>
        <w:tc>
          <w:tcPr>
            <w:tcW w:w="2000" w:type="dxa"/>
          </w:tcPr>
          <w:p w14:paraId="5898BE2A"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Azide groups for click chemistry</w:t>
            </w:r>
          </w:p>
        </w:tc>
        <w:tc>
          <w:tcPr>
            <w:tcW w:w="2200" w:type="dxa"/>
          </w:tcPr>
          <w:p w14:paraId="76C42ACB"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Various</w:t>
            </w:r>
          </w:p>
        </w:tc>
        <w:tc>
          <w:tcPr>
            <w:tcW w:w="2660" w:type="dxa"/>
          </w:tcPr>
          <w:p w14:paraId="5EAAB045"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 xml:space="preserve">Natural surface modification </w:t>
            </w:r>
            <w:r w:rsidRPr="00391186">
              <w:rPr>
                <w:rFonts w:ascii="Times New Roman" w:hAnsi="Times New Roman" w:cs="Times New Roman"/>
                <w:sz w:val="20"/>
                <w:szCs w:val="20"/>
              </w:rPr>
              <w:t>[13]</w:t>
            </w:r>
          </w:p>
        </w:tc>
      </w:tr>
      <w:tr w:rsidR="00391186" w:rsidRPr="00391186" w14:paraId="13623F95" w14:textId="77777777" w:rsidTr="00391186">
        <w:tc>
          <w:tcPr>
            <w:tcW w:w="2500" w:type="dxa"/>
          </w:tcPr>
          <w:p w14:paraId="0E1D1A06"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Aptamer Conjugation</w:t>
            </w:r>
          </w:p>
        </w:tc>
        <w:tc>
          <w:tcPr>
            <w:tcW w:w="2000" w:type="dxa"/>
          </w:tcPr>
          <w:p w14:paraId="0D7C036B"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AS1411 (nucleolin aptamer)</w:t>
            </w:r>
          </w:p>
        </w:tc>
        <w:tc>
          <w:tcPr>
            <w:tcW w:w="2200" w:type="dxa"/>
          </w:tcPr>
          <w:p w14:paraId="699BCBED"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Breast cancer, glioma</w:t>
            </w:r>
          </w:p>
        </w:tc>
        <w:tc>
          <w:tcPr>
            <w:tcW w:w="2660" w:type="dxa"/>
          </w:tcPr>
          <w:p w14:paraId="18EB3BCF"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High affinity, stable [26]</w:t>
            </w:r>
          </w:p>
        </w:tc>
      </w:tr>
    </w:tbl>
    <w:p w14:paraId="3B2DE044" w14:textId="77777777" w:rsidR="006C2738" w:rsidRPr="00391186" w:rsidRDefault="000511E7" w:rsidP="00391186">
      <w:pPr>
        <w:spacing w:before="60" w:after="160" w:line="360" w:lineRule="auto"/>
        <w:jc w:val="center"/>
        <w:rPr>
          <w:rFonts w:ascii="Times New Roman" w:hAnsi="Times New Roman" w:cs="Times New Roman"/>
        </w:rPr>
      </w:pPr>
      <w:r w:rsidRPr="00391186">
        <w:rPr>
          <w:rFonts w:ascii="Times New Roman" w:hAnsi="Times New Roman" w:cs="Times New Roman"/>
          <w:i/>
          <w:iCs/>
          <w:sz w:val="18"/>
          <w:szCs w:val="18"/>
        </w:rPr>
        <w:t>Table 3: Surface engineering strategies for targeted exosome drug delivery</w:t>
      </w:r>
    </w:p>
    <w:p w14:paraId="6A015FD3" w14:textId="77777777" w:rsidR="006C2738" w:rsidRPr="00391186" w:rsidRDefault="006C2738" w:rsidP="00391186">
      <w:pPr>
        <w:spacing w:before="60" w:after="60" w:line="360" w:lineRule="auto"/>
        <w:rPr>
          <w:rFonts w:ascii="Times New Roman" w:hAnsi="Times New Roman" w:cs="Times New Roman"/>
        </w:rPr>
      </w:pPr>
    </w:p>
    <w:p w14:paraId="51C61AA9" w14:textId="77777777" w:rsidR="006C2738" w:rsidRPr="00391186" w:rsidRDefault="000511E7" w:rsidP="00391186">
      <w:pPr>
        <w:pStyle w:val="Heading1"/>
        <w:pBdr>
          <w:bottom w:val="single" w:sz="6" w:space="4" w:color="2E75B6"/>
        </w:pBdr>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5. THERAPEUTIC APPLICATIONS</w:t>
      </w:r>
    </w:p>
    <w:p w14:paraId="37F9ACA6" w14:textId="77777777" w:rsidR="006C2738" w:rsidRPr="00391186" w:rsidRDefault="000511E7" w:rsidP="00391186">
      <w:pPr>
        <w:pStyle w:val="Heading2"/>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5.1 Cancer Therapy</w:t>
      </w:r>
    </w:p>
    <w:p w14:paraId="00611B53"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Cancer remains the most extensively explored therapeutic area for exosome-based drug delivery. Tumor cells secrete exosomes that mediate immunosuppression, metastasis, and angiogenesis, and reprogramming this communication network offers dual therapeutic o</w:t>
      </w:r>
      <w:r w:rsidRPr="00391186">
        <w:rPr>
          <w:rFonts w:ascii="Times New Roman" w:hAnsi="Times New Roman" w:cs="Times New Roman"/>
        </w:rPr>
        <w:t xml:space="preserve">pportunities. </w:t>
      </w:r>
      <w:r w:rsidRPr="00391186">
        <w:rPr>
          <w:rFonts w:ascii="Times New Roman" w:hAnsi="Times New Roman" w:cs="Times New Roman"/>
          <w:sz w:val="16"/>
          <w:szCs w:val="16"/>
          <w:vertAlign w:val="superscript"/>
        </w:rPr>
        <w:t>[26,27]</w:t>
      </w:r>
    </w:p>
    <w:p w14:paraId="2861E96A" w14:textId="77777777" w:rsidR="006C2738" w:rsidRPr="00391186" w:rsidRDefault="000511E7" w:rsidP="00391186">
      <w:pPr>
        <w:pStyle w:val="Heading3"/>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5.1.1 Chemotherapeutic Drug Delivery</w:t>
      </w:r>
    </w:p>
    <w:p w14:paraId="4F444C11"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Doxorubicin (DOX)-loaded exosomes derived from dendritic cells showed superior antitumour efficacy and reduced cardiotoxicity compared to free DOX in multiple murine tumour models. </w:t>
      </w:r>
      <w:r w:rsidRPr="00391186">
        <w:rPr>
          <w:rFonts w:ascii="Times New Roman" w:hAnsi="Times New Roman" w:cs="Times New Roman"/>
          <w:sz w:val="16"/>
          <w:szCs w:val="16"/>
          <w:vertAlign w:val="superscript"/>
        </w:rPr>
        <w:t>[14]</w:t>
      </w:r>
      <w:r w:rsidRPr="00391186">
        <w:rPr>
          <w:rFonts w:ascii="Times New Roman" w:hAnsi="Times New Roman" w:cs="Times New Roman"/>
        </w:rPr>
        <w:t xml:space="preserve"> Paclitaxel-</w:t>
      </w:r>
      <w:r w:rsidRPr="00391186">
        <w:rPr>
          <w:rFonts w:ascii="Times New Roman" w:hAnsi="Times New Roman" w:cs="Times New Roman"/>
        </w:rPr>
        <w:t xml:space="preserve">loaded exosomes from RAW 264.7 macrophages demonstrated 50-fold higher cytotoxicity against multidrug-resistant cancer cells (MDCK-MDR1) compared to free paclitaxel, attributed to P-glycoprotein bypass and direct intracellular drug delivery. </w:t>
      </w:r>
      <w:r w:rsidRPr="00391186">
        <w:rPr>
          <w:rFonts w:ascii="Times New Roman" w:hAnsi="Times New Roman" w:cs="Times New Roman"/>
          <w:sz w:val="16"/>
          <w:szCs w:val="16"/>
          <w:vertAlign w:val="superscript"/>
        </w:rPr>
        <w:t>[15]</w:t>
      </w:r>
      <w:r w:rsidRPr="00391186">
        <w:rPr>
          <w:rFonts w:ascii="Times New Roman" w:hAnsi="Times New Roman" w:cs="Times New Roman"/>
        </w:rPr>
        <w:t xml:space="preserve"> Curcumin-</w:t>
      </w:r>
      <w:r w:rsidRPr="00391186">
        <w:rPr>
          <w:rFonts w:ascii="Times New Roman" w:hAnsi="Times New Roman" w:cs="Times New Roman"/>
        </w:rPr>
        <w:t xml:space="preserve">loaded exosomes showed enhanced bioavailability and anti-inflammatory activity with negligible toxicity in murine models. </w:t>
      </w:r>
      <w:r w:rsidRPr="00391186">
        <w:rPr>
          <w:rFonts w:ascii="Times New Roman" w:hAnsi="Times New Roman" w:cs="Times New Roman"/>
          <w:sz w:val="16"/>
          <w:szCs w:val="16"/>
          <w:vertAlign w:val="superscript"/>
        </w:rPr>
        <w:t>[16]</w:t>
      </w:r>
    </w:p>
    <w:p w14:paraId="0A27181F" w14:textId="77777777" w:rsidR="006C2738" w:rsidRPr="00391186" w:rsidRDefault="000511E7" w:rsidP="00391186">
      <w:pPr>
        <w:pStyle w:val="Heading3"/>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lastRenderedPageBreak/>
        <w:t>5.1.2 siRNA and miRNA Delivery for Gene Silencing</w:t>
      </w:r>
    </w:p>
    <w:p w14:paraId="18D51EFA"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Alvarez-Erviti et al. loaded GAPDH-targeting siRNA into RVG-Lamp2b exosomes and</w:t>
      </w:r>
      <w:r w:rsidRPr="00391186">
        <w:rPr>
          <w:rFonts w:ascii="Times New Roman" w:hAnsi="Times New Roman" w:cs="Times New Roman"/>
        </w:rPr>
        <w:t xml:space="preserve"> demonstrated specific gene knockdown in the mouse brain — a landmark study in exosomal siRNA delivery. </w:t>
      </w:r>
      <w:r w:rsidRPr="00391186">
        <w:rPr>
          <w:rFonts w:ascii="Times New Roman" w:hAnsi="Times New Roman" w:cs="Times New Roman"/>
          <w:sz w:val="16"/>
          <w:szCs w:val="16"/>
          <w:vertAlign w:val="superscript"/>
        </w:rPr>
        <w:t>[4]</w:t>
      </w:r>
      <w:r w:rsidRPr="00391186">
        <w:rPr>
          <w:rFonts w:ascii="Times New Roman" w:hAnsi="Times New Roman" w:cs="Times New Roman"/>
        </w:rPr>
        <w:t xml:space="preserve"> Anti-KRAS siRNA loaded into engineered exosomes (iExosomes) suppressed pancreatic cancer growth in vivo and achieved greater survival than lipid-bas</w:t>
      </w:r>
      <w:r w:rsidRPr="00391186">
        <w:rPr>
          <w:rFonts w:ascii="Times New Roman" w:hAnsi="Times New Roman" w:cs="Times New Roman"/>
        </w:rPr>
        <w:t xml:space="preserve">ed vectors. </w:t>
      </w:r>
      <w:r w:rsidRPr="00391186">
        <w:rPr>
          <w:rFonts w:ascii="Times New Roman" w:hAnsi="Times New Roman" w:cs="Times New Roman"/>
          <w:sz w:val="16"/>
          <w:szCs w:val="16"/>
          <w:vertAlign w:val="superscript"/>
        </w:rPr>
        <w:t>[17]</w:t>
      </w:r>
      <w:r w:rsidRPr="00391186">
        <w:rPr>
          <w:rFonts w:ascii="Times New Roman" w:hAnsi="Times New Roman" w:cs="Times New Roman"/>
        </w:rPr>
        <w:t xml:space="preserve"> Tumour-suppressor miRNAs delivered via exosomes have shown promising tumour suppression in lung, colon, and prostate cancer models. </w:t>
      </w:r>
      <w:r w:rsidRPr="00391186">
        <w:rPr>
          <w:rFonts w:ascii="Times New Roman" w:hAnsi="Times New Roman" w:cs="Times New Roman"/>
          <w:sz w:val="16"/>
          <w:szCs w:val="16"/>
          <w:vertAlign w:val="superscript"/>
        </w:rPr>
        <w:t>[26]</w:t>
      </w:r>
    </w:p>
    <w:p w14:paraId="43121BC3" w14:textId="77777777" w:rsidR="006C2738" w:rsidRPr="00391186" w:rsidRDefault="000511E7" w:rsidP="00391186">
      <w:pPr>
        <w:pStyle w:val="Heading3"/>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5.1.3 Immunotherapy Enhancement</w:t>
      </w:r>
    </w:p>
    <w:p w14:paraId="28BFD17F"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Dendritic cell-derived exosomes (Dex) express functional MHC-I, MHC-II, and T cell co-stimulatory molecules (CD86, CD80), enabling them to activate tumour-specific T cell responses without direct DC presence, making them ideal for cell-free cancer vaccines</w:t>
      </w:r>
      <w:r w:rsidRPr="00391186">
        <w:rPr>
          <w:rFonts w:ascii="Times New Roman" w:hAnsi="Times New Roman" w:cs="Times New Roman"/>
        </w:rPr>
        <w:t xml:space="preserve">. </w:t>
      </w:r>
      <w:r w:rsidRPr="00391186">
        <w:rPr>
          <w:rFonts w:ascii="Times New Roman" w:hAnsi="Times New Roman" w:cs="Times New Roman"/>
          <w:sz w:val="16"/>
          <w:szCs w:val="16"/>
          <w:vertAlign w:val="superscript"/>
        </w:rPr>
        <w:t>[23]</w:t>
      </w:r>
      <w:r w:rsidRPr="00391186">
        <w:rPr>
          <w:rFonts w:ascii="Times New Roman" w:hAnsi="Times New Roman" w:cs="Times New Roman"/>
        </w:rPr>
        <w:t xml:space="preserve"> Phase II clinical trials of Dex as maintenance immunotherapy after first-line chemotherapy in non-small cell lung cancer demonstrated safety and immune activation. </w:t>
      </w:r>
      <w:r w:rsidRPr="00391186">
        <w:rPr>
          <w:rFonts w:ascii="Times New Roman" w:hAnsi="Times New Roman" w:cs="Times New Roman"/>
          <w:sz w:val="16"/>
          <w:szCs w:val="16"/>
          <w:vertAlign w:val="superscript"/>
        </w:rPr>
        <w:t>[23]</w:t>
      </w:r>
    </w:p>
    <w:p w14:paraId="61D4BDD1" w14:textId="77777777" w:rsidR="006C2738" w:rsidRPr="00391186" w:rsidRDefault="000511E7" w:rsidP="00391186">
      <w:pPr>
        <w:pStyle w:val="Heading3"/>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5.1.4 Overcoming Multidrug Resistance (MDR)</w:t>
      </w:r>
    </w:p>
    <w:p w14:paraId="3982DC1C"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MDR, mediated by ABC transporters (P</w:t>
      </w:r>
      <w:r w:rsidRPr="00391186">
        <w:rPr>
          <w:rFonts w:ascii="Times New Roman" w:hAnsi="Times New Roman" w:cs="Times New Roman"/>
        </w:rPr>
        <w:t xml:space="preserve">-gp, MRP1, BCRP), is a major obstacle in cancer chemotherapy. Exosomes bypass P-gp efflux by delivering drugs directly to the cytoplasm through membrane fusion. </w:t>
      </w:r>
      <w:r w:rsidRPr="00391186">
        <w:rPr>
          <w:rFonts w:ascii="Times New Roman" w:hAnsi="Times New Roman" w:cs="Times New Roman"/>
          <w:sz w:val="16"/>
          <w:szCs w:val="16"/>
          <w:vertAlign w:val="superscript"/>
        </w:rPr>
        <w:t>[15]</w:t>
      </w:r>
      <w:r w:rsidRPr="00391186">
        <w:rPr>
          <w:rFonts w:ascii="Times New Roman" w:hAnsi="Times New Roman" w:cs="Times New Roman"/>
        </w:rPr>
        <w:t xml:space="preserve"> Exosomes can also carry P-gp-silencing siRNA, reversing drug resistance while simultaneous</w:t>
      </w:r>
      <w:r w:rsidRPr="00391186">
        <w:rPr>
          <w:rFonts w:ascii="Times New Roman" w:hAnsi="Times New Roman" w:cs="Times New Roman"/>
        </w:rPr>
        <w:t xml:space="preserve">ly delivering chemotherapy — a synergistic dual-payload approach. </w:t>
      </w:r>
      <w:r w:rsidRPr="00391186">
        <w:rPr>
          <w:rFonts w:ascii="Times New Roman" w:hAnsi="Times New Roman" w:cs="Times New Roman"/>
          <w:sz w:val="16"/>
          <w:szCs w:val="16"/>
          <w:vertAlign w:val="superscript"/>
        </w:rPr>
        <w:t>[15,27]</w:t>
      </w:r>
    </w:p>
    <w:p w14:paraId="6C42E833" w14:textId="77777777" w:rsidR="006C2738" w:rsidRPr="00391186" w:rsidRDefault="000511E7" w:rsidP="00391186">
      <w:pPr>
        <w:pStyle w:val="Heading2"/>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5.2 Neurological Disorders</w:t>
      </w:r>
    </w:p>
    <w:p w14:paraId="5DD2D80C"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The blood-brain barrier (BBB) remains one of the most formidable challenges in CNS drug delivery. Only lipophilic molecules with molecular weight below 400</w:t>
      </w:r>
      <w:r w:rsidRPr="00391186">
        <w:rPr>
          <w:rFonts w:ascii="Times New Roman" w:hAnsi="Times New Roman" w:cs="Times New Roman"/>
        </w:rPr>
        <w:t xml:space="preserve">–500 Da can passively cross the BBB, excluding the majority of CNS therapeutics. </w:t>
      </w:r>
      <w:r w:rsidRPr="00391186">
        <w:rPr>
          <w:rFonts w:ascii="Times New Roman" w:hAnsi="Times New Roman" w:cs="Times New Roman"/>
          <w:sz w:val="16"/>
          <w:szCs w:val="16"/>
          <w:vertAlign w:val="superscript"/>
        </w:rPr>
        <w:t>[20]</w:t>
      </w:r>
      <w:r w:rsidRPr="00391186">
        <w:rPr>
          <w:rFonts w:ascii="Times New Roman" w:hAnsi="Times New Roman" w:cs="Times New Roman"/>
        </w:rPr>
        <w:t xml:space="preserve"> Exosomes, particularly those engineered with brain-targeting ligands, have demonstrated unprecedented ability to cross the BBB through transcytosis mechanisms involving L</w:t>
      </w:r>
      <w:r w:rsidRPr="00391186">
        <w:rPr>
          <w:rFonts w:ascii="Times New Roman" w:hAnsi="Times New Roman" w:cs="Times New Roman"/>
        </w:rPr>
        <w:t xml:space="preserve">RP1, transferrin receptors, and RVG peptide pathways. </w:t>
      </w:r>
      <w:r w:rsidRPr="00391186">
        <w:rPr>
          <w:rFonts w:ascii="Times New Roman" w:hAnsi="Times New Roman" w:cs="Times New Roman"/>
          <w:sz w:val="16"/>
          <w:szCs w:val="16"/>
          <w:vertAlign w:val="superscript"/>
        </w:rPr>
        <w:t>[4,20]</w:t>
      </w:r>
    </w:p>
    <w:p w14:paraId="7CB7375F" w14:textId="77777777" w:rsidR="006C2738" w:rsidRPr="00391186" w:rsidRDefault="000511E7" w:rsidP="00391186">
      <w:pPr>
        <w:pStyle w:val="Heading3"/>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5.2.1 Alzheimer's Disease</w:t>
      </w:r>
    </w:p>
    <w:p w14:paraId="1BD430C0"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Exosomes loaded with BACE1-siRNA (beta-secretase 1 — the enzyme responsible for amyloid-beta production) have shown significant reduction of amyloid plaque burden in Alz</w:t>
      </w:r>
      <w:r w:rsidRPr="00391186">
        <w:rPr>
          <w:rFonts w:ascii="Times New Roman" w:hAnsi="Times New Roman" w:cs="Times New Roman"/>
        </w:rPr>
        <w:t xml:space="preserve">heimer's disease murine models. </w:t>
      </w:r>
      <w:r w:rsidRPr="00391186">
        <w:rPr>
          <w:rFonts w:ascii="Times New Roman" w:hAnsi="Times New Roman" w:cs="Times New Roman"/>
          <w:sz w:val="16"/>
          <w:szCs w:val="16"/>
          <w:vertAlign w:val="superscript"/>
        </w:rPr>
        <w:t>[4,20]</w:t>
      </w:r>
      <w:r w:rsidRPr="00391186">
        <w:rPr>
          <w:rFonts w:ascii="Times New Roman" w:hAnsi="Times New Roman" w:cs="Times New Roman"/>
        </w:rPr>
        <w:t xml:space="preserve"> Exosomes carrying catalase (antioxidant enzyme) delivered via intranasal routes demonstrated neuroprotective effects by reducing oxidative stress in the brain. </w:t>
      </w:r>
      <w:r w:rsidRPr="00391186">
        <w:rPr>
          <w:rFonts w:ascii="Times New Roman" w:hAnsi="Times New Roman" w:cs="Times New Roman"/>
          <w:sz w:val="16"/>
          <w:szCs w:val="16"/>
          <w:vertAlign w:val="superscript"/>
        </w:rPr>
        <w:t>[20]</w:t>
      </w:r>
    </w:p>
    <w:p w14:paraId="365EE555" w14:textId="77777777" w:rsidR="006C2738" w:rsidRPr="00391186" w:rsidRDefault="000511E7" w:rsidP="00391186">
      <w:pPr>
        <w:pStyle w:val="Heading3"/>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5.2.2 Parkinson's Disease</w:t>
      </w:r>
    </w:p>
    <w:p w14:paraId="7190AE77"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Catalase-loaded exosomes f</w:t>
      </w:r>
      <w:r w:rsidRPr="00391186">
        <w:rPr>
          <w:rFonts w:ascii="Times New Roman" w:hAnsi="Times New Roman" w:cs="Times New Roman"/>
        </w:rPr>
        <w:t xml:space="preserve">rom macrophages demonstrated effective ROS scavenging and neuroprotection in Parkinson's disease murine models. </w:t>
      </w:r>
      <w:r w:rsidRPr="00391186">
        <w:rPr>
          <w:rFonts w:ascii="Times New Roman" w:hAnsi="Times New Roman" w:cs="Times New Roman"/>
          <w:sz w:val="16"/>
          <w:szCs w:val="16"/>
          <w:vertAlign w:val="superscript"/>
        </w:rPr>
        <w:t>[19]</w:t>
      </w:r>
      <w:r w:rsidRPr="00391186">
        <w:rPr>
          <w:rFonts w:ascii="Times New Roman" w:hAnsi="Times New Roman" w:cs="Times New Roman"/>
        </w:rPr>
        <w:t xml:space="preserve"> Exosomes from mesenchymal stem cells (MSC-Exo) suppressed microglial neuroinflammation and promoted neurotrophic factor secretion. </w:t>
      </w:r>
      <w:r w:rsidRPr="00391186">
        <w:rPr>
          <w:rFonts w:ascii="Times New Roman" w:hAnsi="Times New Roman" w:cs="Times New Roman"/>
          <w:sz w:val="16"/>
          <w:szCs w:val="16"/>
          <w:vertAlign w:val="superscript"/>
        </w:rPr>
        <w:t>[25]</w:t>
      </w:r>
      <w:r w:rsidRPr="00391186">
        <w:rPr>
          <w:rFonts w:ascii="Times New Roman" w:hAnsi="Times New Roman" w:cs="Times New Roman"/>
        </w:rPr>
        <w:t xml:space="preserve"> Int</w:t>
      </w:r>
      <w:r w:rsidRPr="00391186">
        <w:rPr>
          <w:rFonts w:ascii="Times New Roman" w:hAnsi="Times New Roman" w:cs="Times New Roman"/>
        </w:rPr>
        <w:t xml:space="preserve">ranasal delivery of anti-inflammatory drug-loaded exosomes to the brain via the olfactory pathway represents a non-invasive strategy for treating neuroinflammation. </w:t>
      </w:r>
      <w:r w:rsidRPr="00391186">
        <w:rPr>
          <w:rFonts w:ascii="Times New Roman" w:hAnsi="Times New Roman" w:cs="Times New Roman"/>
          <w:sz w:val="16"/>
          <w:szCs w:val="16"/>
          <w:vertAlign w:val="superscript"/>
        </w:rPr>
        <w:t>[20]</w:t>
      </w:r>
    </w:p>
    <w:p w14:paraId="5681FB19" w14:textId="77777777" w:rsidR="006C2738" w:rsidRPr="00391186" w:rsidRDefault="000511E7" w:rsidP="00391186">
      <w:pPr>
        <w:pStyle w:val="Heading3"/>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5.2.3 Glioblastoma (GBM)</w:t>
      </w:r>
    </w:p>
    <w:p w14:paraId="538ACF43"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lastRenderedPageBreak/>
        <w:t>GBM is the most aggressive primary brain tumour with a median</w:t>
      </w:r>
      <w:r w:rsidRPr="00391186">
        <w:rPr>
          <w:rFonts w:ascii="Times New Roman" w:hAnsi="Times New Roman" w:cs="Times New Roman"/>
        </w:rPr>
        <w:t xml:space="preserve"> survival of approximately 15 months. Exosomes loaded with temozolomide or doxorubicin across the BBB directly into glioma cells have shown significantly extended survival in orthotopic GBM murine models. </w:t>
      </w:r>
      <w:r w:rsidRPr="00391186">
        <w:rPr>
          <w:rFonts w:ascii="Times New Roman" w:hAnsi="Times New Roman" w:cs="Times New Roman"/>
          <w:sz w:val="16"/>
          <w:szCs w:val="16"/>
          <w:vertAlign w:val="superscript"/>
        </w:rPr>
        <w:t>[21]</w:t>
      </w:r>
      <w:r w:rsidRPr="00391186">
        <w:rPr>
          <w:rFonts w:ascii="Times New Roman" w:hAnsi="Times New Roman" w:cs="Times New Roman"/>
        </w:rPr>
        <w:t xml:space="preserve"> Exosomes expressing anti-EGFR nanobodies achie</w:t>
      </w:r>
      <w:r w:rsidRPr="00391186">
        <w:rPr>
          <w:rFonts w:ascii="Times New Roman" w:hAnsi="Times New Roman" w:cs="Times New Roman"/>
        </w:rPr>
        <w:t xml:space="preserve">ved specific tumour targeting and superior drug delivery in glioma. </w:t>
      </w:r>
      <w:r w:rsidRPr="00391186">
        <w:rPr>
          <w:rFonts w:ascii="Times New Roman" w:hAnsi="Times New Roman" w:cs="Times New Roman"/>
          <w:sz w:val="16"/>
          <w:szCs w:val="16"/>
          <w:vertAlign w:val="superscript"/>
        </w:rPr>
        <w:t>[21]</w:t>
      </w:r>
    </w:p>
    <w:p w14:paraId="0F3E2DBC" w14:textId="77777777" w:rsidR="006C2738" w:rsidRPr="00391186" w:rsidRDefault="000511E7" w:rsidP="00391186">
      <w:pPr>
        <w:pStyle w:val="Heading2"/>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5.3 Cardiovascular Diseases</w:t>
      </w:r>
    </w:p>
    <w:p w14:paraId="5F6D4A74"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Cardiomyocyte loss following myocardial infarction (MI) is largely irreversible due to limited cardiac regenerative capacity. </w:t>
      </w:r>
      <w:r w:rsidRPr="00391186">
        <w:rPr>
          <w:rFonts w:ascii="Times New Roman" w:hAnsi="Times New Roman" w:cs="Times New Roman"/>
          <w:sz w:val="16"/>
          <w:szCs w:val="16"/>
          <w:vertAlign w:val="superscript"/>
        </w:rPr>
        <w:t>[22]</w:t>
      </w:r>
      <w:r w:rsidRPr="00391186">
        <w:rPr>
          <w:rFonts w:ascii="Times New Roman" w:hAnsi="Times New Roman" w:cs="Times New Roman"/>
        </w:rPr>
        <w:t xml:space="preserve"> MSC-derived exosomes car</w:t>
      </w:r>
      <w:r w:rsidRPr="00391186">
        <w:rPr>
          <w:rFonts w:ascii="Times New Roman" w:hAnsi="Times New Roman" w:cs="Times New Roman"/>
        </w:rPr>
        <w:t xml:space="preserve">rying miR-21, miR-210, and miR-146a reduce cardiomyocyte apoptosis, promote angiogenesis, and inhibit inflammatory macrophage polarisation. </w:t>
      </w:r>
      <w:r w:rsidRPr="00391186">
        <w:rPr>
          <w:rFonts w:ascii="Times New Roman" w:hAnsi="Times New Roman" w:cs="Times New Roman"/>
          <w:sz w:val="16"/>
          <w:szCs w:val="16"/>
          <w:vertAlign w:val="superscript"/>
        </w:rPr>
        <w:t>[22,25]</w:t>
      </w:r>
      <w:r w:rsidRPr="00391186">
        <w:rPr>
          <w:rFonts w:ascii="Times New Roman" w:hAnsi="Times New Roman" w:cs="Times New Roman"/>
        </w:rPr>
        <w:t xml:space="preserve"> Exosomes from cardiosphere-derived cells (CDCs) reduced scar size and improved cardiac function in porcine M</w:t>
      </w:r>
      <w:r w:rsidRPr="00391186">
        <w:rPr>
          <w:rFonts w:ascii="Times New Roman" w:hAnsi="Times New Roman" w:cs="Times New Roman"/>
        </w:rPr>
        <w:t xml:space="preserve">I models. </w:t>
      </w:r>
      <w:r w:rsidRPr="00391186">
        <w:rPr>
          <w:rFonts w:ascii="Times New Roman" w:hAnsi="Times New Roman" w:cs="Times New Roman"/>
          <w:sz w:val="16"/>
          <w:szCs w:val="16"/>
          <w:vertAlign w:val="superscript"/>
        </w:rPr>
        <w:t>[22]</w:t>
      </w:r>
      <w:r w:rsidRPr="00391186">
        <w:rPr>
          <w:rFonts w:ascii="Times New Roman" w:hAnsi="Times New Roman" w:cs="Times New Roman"/>
        </w:rPr>
        <w:t xml:space="preserve"> Engineering exosomes with cardiac-homing peptides (IMTP peptide) and loading them with VEGF mRNA represents a next-generation cardioprotective strategy. </w:t>
      </w:r>
      <w:r w:rsidRPr="00391186">
        <w:rPr>
          <w:rFonts w:ascii="Times New Roman" w:hAnsi="Times New Roman" w:cs="Times New Roman"/>
          <w:sz w:val="16"/>
          <w:szCs w:val="16"/>
          <w:vertAlign w:val="superscript"/>
        </w:rPr>
        <w:t>[25]</w:t>
      </w:r>
    </w:p>
    <w:p w14:paraId="7ECE3714" w14:textId="77777777" w:rsidR="006C2738" w:rsidRPr="00391186" w:rsidRDefault="000511E7" w:rsidP="00391186">
      <w:pPr>
        <w:pStyle w:val="Heading2"/>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5.4 Inflammatory and Autoimmune Diseases</w:t>
      </w:r>
    </w:p>
    <w:p w14:paraId="4823EC88"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Curcumin-loaded plant exosome-like nanopar</w:t>
      </w:r>
      <w:r w:rsidRPr="00391186">
        <w:rPr>
          <w:rFonts w:ascii="Times New Roman" w:hAnsi="Times New Roman" w:cs="Times New Roman"/>
        </w:rPr>
        <w:t xml:space="preserve">ticles (GELNs — grapefruit-derived) demonstrated remarkable anti-inflammatory effects in colitis murine models by delivering curcumin to intestinal macrophages and modulating gut microbiota. </w:t>
      </w:r>
      <w:r w:rsidRPr="00391186">
        <w:rPr>
          <w:rFonts w:ascii="Times New Roman" w:hAnsi="Times New Roman" w:cs="Times New Roman"/>
          <w:sz w:val="16"/>
          <w:szCs w:val="16"/>
          <w:vertAlign w:val="superscript"/>
        </w:rPr>
        <w:t>[16]</w:t>
      </w:r>
      <w:r w:rsidRPr="00391186">
        <w:rPr>
          <w:rFonts w:ascii="Times New Roman" w:hAnsi="Times New Roman" w:cs="Times New Roman"/>
        </w:rPr>
        <w:t xml:space="preserve"> MSC-Exo suppress T cell proliferation, promote regulatory T </w:t>
      </w:r>
      <w:r w:rsidRPr="00391186">
        <w:rPr>
          <w:rFonts w:ascii="Times New Roman" w:hAnsi="Times New Roman" w:cs="Times New Roman"/>
        </w:rPr>
        <w:t xml:space="preserve">cells (Tregs), and reduce pro-inflammatory cytokines (TNF-α, IL-6, IL-1β), making them attractive for rheumatoid arthritis, inflammatory bowel disease, and graft-versus-host disease. </w:t>
      </w:r>
      <w:r w:rsidRPr="00391186">
        <w:rPr>
          <w:rFonts w:ascii="Times New Roman" w:hAnsi="Times New Roman" w:cs="Times New Roman"/>
          <w:sz w:val="16"/>
          <w:szCs w:val="16"/>
          <w:vertAlign w:val="superscript"/>
        </w:rPr>
        <w:t>[25]</w:t>
      </w:r>
    </w:p>
    <w:p w14:paraId="2535F766" w14:textId="77777777" w:rsidR="006C2738" w:rsidRPr="00391186" w:rsidRDefault="000511E7" w:rsidP="00391186">
      <w:pPr>
        <w:pStyle w:val="Heading2"/>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5.5 Wound Healing and Regenerative Medicine</w:t>
      </w:r>
    </w:p>
    <w:p w14:paraId="2260BD4D"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Exosomes from MSCs, plat</w:t>
      </w:r>
      <w:r w:rsidRPr="00391186">
        <w:rPr>
          <w:rFonts w:ascii="Times New Roman" w:hAnsi="Times New Roman" w:cs="Times New Roman"/>
        </w:rPr>
        <w:t xml:space="preserve">elets, and skin fibroblasts promote wound healing by stimulating keratinocyte migration, fibroblast proliferation, angiogenesis, and collagen synthesis. </w:t>
      </w:r>
      <w:r w:rsidRPr="00391186">
        <w:rPr>
          <w:rFonts w:ascii="Times New Roman" w:hAnsi="Times New Roman" w:cs="Times New Roman"/>
          <w:sz w:val="16"/>
          <w:szCs w:val="16"/>
          <w:vertAlign w:val="superscript"/>
        </w:rPr>
        <w:t>[25,29]</w:t>
      </w:r>
      <w:r w:rsidRPr="00391186">
        <w:rPr>
          <w:rFonts w:ascii="Times New Roman" w:hAnsi="Times New Roman" w:cs="Times New Roman"/>
        </w:rPr>
        <w:t xml:space="preserve"> Bone-targeting exosomes carrying BMP-2 mRNA or osteogenic miRNAs are being investigated for bon</w:t>
      </w:r>
      <w:r w:rsidRPr="00391186">
        <w:rPr>
          <w:rFonts w:ascii="Times New Roman" w:hAnsi="Times New Roman" w:cs="Times New Roman"/>
        </w:rPr>
        <w:t xml:space="preserve">e regeneration in osteoporosis and fracture healing. </w:t>
      </w:r>
      <w:r w:rsidRPr="00391186">
        <w:rPr>
          <w:rFonts w:ascii="Times New Roman" w:hAnsi="Times New Roman" w:cs="Times New Roman"/>
          <w:sz w:val="16"/>
          <w:szCs w:val="16"/>
          <w:vertAlign w:val="superscript"/>
        </w:rPr>
        <w:t>[29]</w:t>
      </w:r>
    </w:p>
    <w:p w14:paraId="744B041E" w14:textId="77777777" w:rsidR="006C2738" w:rsidRPr="00391186" w:rsidRDefault="006C2738" w:rsidP="00391186">
      <w:pPr>
        <w:spacing w:before="60" w:after="60" w:line="360" w:lineRule="auto"/>
        <w:rPr>
          <w:rFonts w:ascii="Times New Roman" w:hAnsi="Times New Roman" w:cs="Times New Roman"/>
        </w:rPr>
      </w:pPr>
    </w:p>
    <w:p w14:paraId="7CE9E83C" w14:textId="77777777" w:rsidR="006C2738" w:rsidRPr="00391186" w:rsidRDefault="000511E7" w:rsidP="00391186">
      <w:pPr>
        <w:pStyle w:val="Heading1"/>
        <w:pBdr>
          <w:bottom w:val="single" w:sz="6" w:space="4" w:color="2E75B6"/>
        </w:pBdr>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6. CLINICAL TRIALS AND TRANSLATIONAL PROGRESS</w:t>
      </w:r>
    </w:p>
    <w:p w14:paraId="347F3105"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The translation of exosome-based therapies from bench to bedside is accelerating, with multiple clinical trials now underway globally. The following table summarizes key clinical trials registered on ClinicalTrials.gov: </w:t>
      </w:r>
      <w:r w:rsidRPr="00391186">
        <w:rPr>
          <w:rFonts w:ascii="Times New Roman" w:hAnsi="Times New Roman" w:cs="Times New Roman"/>
          <w:sz w:val="16"/>
          <w:szCs w:val="16"/>
          <w:vertAlign w:val="superscript"/>
        </w:rPr>
        <w:t>[23,29]</w:t>
      </w:r>
    </w:p>
    <w:p w14:paraId="0E8863F6" w14:textId="77777777" w:rsidR="006C2738" w:rsidRPr="00391186" w:rsidRDefault="006C2738" w:rsidP="00391186">
      <w:pPr>
        <w:spacing w:before="60" w:after="60" w:line="360" w:lineRule="auto"/>
        <w:rPr>
          <w:rFonts w:ascii="Times New Roman" w:hAnsi="Times New Roman" w:cs="Times New Roman"/>
        </w:rPr>
      </w:pPr>
    </w:p>
    <w:tbl>
      <w:tblPr>
        <w:tblStyle w:val="GridTableLight"/>
        <w:tblW w:w="9360" w:type="dxa"/>
        <w:tblLook w:val="04A0" w:firstRow="1" w:lastRow="0" w:firstColumn="1" w:lastColumn="0" w:noHBand="0" w:noVBand="1"/>
      </w:tblPr>
      <w:tblGrid>
        <w:gridCol w:w="1700"/>
        <w:gridCol w:w="2300"/>
        <w:gridCol w:w="1900"/>
        <w:gridCol w:w="1800"/>
        <w:gridCol w:w="1660"/>
      </w:tblGrid>
      <w:tr w:rsidR="00391186" w:rsidRPr="00391186" w14:paraId="50EA8917" w14:textId="77777777" w:rsidTr="00391186">
        <w:tc>
          <w:tcPr>
            <w:tcW w:w="1700" w:type="dxa"/>
          </w:tcPr>
          <w:p w14:paraId="216F915C" w14:textId="77777777" w:rsidR="006C2738" w:rsidRPr="00391186" w:rsidRDefault="000511E7" w:rsidP="00391186">
            <w:pPr>
              <w:spacing w:line="360" w:lineRule="auto"/>
              <w:jc w:val="center"/>
              <w:rPr>
                <w:rFonts w:ascii="Times New Roman" w:hAnsi="Times New Roman" w:cs="Times New Roman"/>
              </w:rPr>
            </w:pPr>
            <w:r w:rsidRPr="00391186">
              <w:rPr>
                <w:rFonts w:ascii="Times New Roman" w:hAnsi="Times New Roman" w:cs="Times New Roman"/>
                <w:sz w:val="20"/>
                <w:szCs w:val="20"/>
              </w:rPr>
              <w:t>Trial ID</w:t>
            </w:r>
          </w:p>
        </w:tc>
        <w:tc>
          <w:tcPr>
            <w:tcW w:w="2300" w:type="dxa"/>
          </w:tcPr>
          <w:p w14:paraId="50284AB7" w14:textId="77777777" w:rsidR="006C2738" w:rsidRPr="00391186" w:rsidRDefault="000511E7" w:rsidP="00391186">
            <w:pPr>
              <w:spacing w:line="360" w:lineRule="auto"/>
              <w:jc w:val="center"/>
              <w:rPr>
                <w:rFonts w:ascii="Times New Roman" w:hAnsi="Times New Roman" w:cs="Times New Roman"/>
              </w:rPr>
            </w:pPr>
            <w:r w:rsidRPr="00391186">
              <w:rPr>
                <w:rFonts w:ascii="Times New Roman" w:hAnsi="Times New Roman" w:cs="Times New Roman"/>
                <w:sz w:val="20"/>
                <w:szCs w:val="20"/>
              </w:rPr>
              <w:t>Disease Indication</w:t>
            </w:r>
          </w:p>
        </w:tc>
        <w:tc>
          <w:tcPr>
            <w:tcW w:w="1900" w:type="dxa"/>
          </w:tcPr>
          <w:p w14:paraId="34C73595" w14:textId="77777777" w:rsidR="006C2738" w:rsidRPr="00391186" w:rsidRDefault="000511E7" w:rsidP="00391186">
            <w:pPr>
              <w:spacing w:line="360" w:lineRule="auto"/>
              <w:jc w:val="center"/>
              <w:rPr>
                <w:rFonts w:ascii="Times New Roman" w:hAnsi="Times New Roman" w:cs="Times New Roman"/>
              </w:rPr>
            </w:pPr>
            <w:r w:rsidRPr="00391186">
              <w:rPr>
                <w:rFonts w:ascii="Times New Roman" w:hAnsi="Times New Roman" w:cs="Times New Roman"/>
                <w:sz w:val="20"/>
                <w:szCs w:val="20"/>
              </w:rPr>
              <w:t>Exosome Type</w:t>
            </w:r>
          </w:p>
        </w:tc>
        <w:tc>
          <w:tcPr>
            <w:tcW w:w="1800" w:type="dxa"/>
          </w:tcPr>
          <w:p w14:paraId="595F6C92" w14:textId="77777777" w:rsidR="006C2738" w:rsidRPr="00391186" w:rsidRDefault="000511E7" w:rsidP="00391186">
            <w:pPr>
              <w:spacing w:line="360" w:lineRule="auto"/>
              <w:jc w:val="center"/>
              <w:rPr>
                <w:rFonts w:ascii="Times New Roman" w:hAnsi="Times New Roman" w:cs="Times New Roman"/>
              </w:rPr>
            </w:pPr>
            <w:r w:rsidRPr="00391186">
              <w:rPr>
                <w:rFonts w:ascii="Times New Roman" w:hAnsi="Times New Roman" w:cs="Times New Roman"/>
                <w:sz w:val="20"/>
                <w:szCs w:val="20"/>
              </w:rPr>
              <w:t>Payload</w:t>
            </w:r>
          </w:p>
        </w:tc>
        <w:tc>
          <w:tcPr>
            <w:tcW w:w="1660" w:type="dxa"/>
          </w:tcPr>
          <w:p w14:paraId="3CD4F5E8" w14:textId="77777777" w:rsidR="006C2738" w:rsidRPr="00391186" w:rsidRDefault="000511E7" w:rsidP="00391186">
            <w:pPr>
              <w:spacing w:line="360" w:lineRule="auto"/>
              <w:jc w:val="center"/>
              <w:rPr>
                <w:rFonts w:ascii="Times New Roman" w:hAnsi="Times New Roman" w:cs="Times New Roman"/>
              </w:rPr>
            </w:pPr>
            <w:r w:rsidRPr="00391186">
              <w:rPr>
                <w:rFonts w:ascii="Times New Roman" w:hAnsi="Times New Roman" w:cs="Times New Roman"/>
                <w:sz w:val="20"/>
                <w:szCs w:val="20"/>
              </w:rPr>
              <w:t>Phase</w:t>
            </w:r>
          </w:p>
        </w:tc>
      </w:tr>
      <w:tr w:rsidR="00391186" w:rsidRPr="00391186" w14:paraId="394C14DD" w14:textId="77777777" w:rsidTr="00391186">
        <w:tc>
          <w:tcPr>
            <w:tcW w:w="1700" w:type="dxa"/>
          </w:tcPr>
          <w:p w14:paraId="509A1FF4"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NCT01294076</w:t>
            </w:r>
          </w:p>
        </w:tc>
        <w:tc>
          <w:tcPr>
            <w:tcW w:w="2300" w:type="dxa"/>
          </w:tcPr>
          <w:p w14:paraId="43C8C35C"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NSCLC (Lung Cancer)</w:t>
            </w:r>
          </w:p>
        </w:tc>
        <w:tc>
          <w:tcPr>
            <w:tcW w:w="1900" w:type="dxa"/>
          </w:tcPr>
          <w:p w14:paraId="07FB7399"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DC-derived (Dex)</w:t>
            </w:r>
          </w:p>
        </w:tc>
        <w:tc>
          <w:tcPr>
            <w:tcW w:w="1800" w:type="dxa"/>
          </w:tcPr>
          <w:p w14:paraId="548E5985"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Tumour peptides (MHC-I/II)</w:t>
            </w:r>
          </w:p>
        </w:tc>
        <w:tc>
          <w:tcPr>
            <w:tcW w:w="1660" w:type="dxa"/>
          </w:tcPr>
          <w:p w14:paraId="740D3235"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Phase II [23]</w:t>
            </w:r>
          </w:p>
        </w:tc>
      </w:tr>
      <w:tr w:rsidR="00391186" w:rsidRPr="00391186" w14:paraId="139DFBFD" w14:textId="77777777" w:rsidTr="00391186">
        <w:tc>
          <w:tcPr>
            <w:tcW w:w="1700" w:type="dxa"/>
          </w:tcPr>
          <w:p w14:paraId="36C934A2"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NCT04491240</w:t>
            </w:r>
          </w:p>
        </w:tc>
        <w:tc>
          <w:tcPr>
            <w:tcW w:w="2300" w:type="dxa"/>
          </w:tcPr>
          <w:p w14:paraId="5FF4F63A"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Ischaemic Stroke</w:t>
            </w:r>
          </w:p>
        </w:tc>
        <w:tc>
          <w:tcPr>
            <w:tcW w:w="1900" w:type="dxa"/>
          </w:tcPr>
          <w:p w14:paraId="539704EF"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MSC-derived</w:t>
            </w:r>
          </w:p>
        </w:tc>
        <w:tc>
          <w:tcPr>
            <w:tcW w:w="1800" w:type="dxa"/>
          </w:tcPr>
          <w:p w14:paraId="63A513F2"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miR-124</w:t>
            </w:r>
          </w:p>
        </w:tc>
        <w:tc>
          <w:tcPr>
            <w:tcW w:w="1660" w:type="dxa"/>
          </w:tcPr>
          <w:p w14:paraId="4EFB23EC"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Phase I/II [29]</w:t>
            </w:r>
          </w:p>
        </w:tc>
      </w:tr>
      <w:tr w:rsidR="00391186" w:rsidRPr="00391186" w14:paraId="0DFDDFFE" w14:textId="77777777" w:rsidTr="00391186">
        <w:tc>
          <w:tcPr>
            <w:tcW w:w="1700" w:type="dxa"/>
          </w:tcPr>
          <w:p w14:paraId="2ED8D7ED"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NCT04313647</w:t>
            </w:r>
          </w:p>
        </w:tc>
        <w:tc>
          <w:tcPr>
            <w:tcW w:w="2300" w:type="dxa"/>
          </w:tcPr>
          <w:p w14:paraId="4FE06FB8"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COVID-19 ARDS</w:t>
            </w:r>
          </w:p>
        </w:tc>
        <w:tc>
          <w:tcPr>
            <w:tcW w:w="1900" w:type="dxa"/>
          </w:tcPr>
          <w:p w14:paraId="702AD0C4"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MSC-derived</w:t>
            </w:r>
          </w:p>
        </w:tc>
        <w:tc>
          <w:tcPr>
            <w:tcW w:w="1800" w:type="dxa"/>
          </w:tcPr>
          <w:p w14:paraId="3597D0C3"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ACE2 protein</w:t>
            </w:r>
          </w:p>
        </w:tc>
        <w:tc>
          <w:tcPr>
            <w:tcW w:w="1660" w:type="dxa"/>
          </w:tcPr>
          <w:p w14:paraId="1C308F80"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Phase I [29]</w:t>
            </w:r>
          </w:p>
        </w:tc>
      </w:tr>
      <w:tr w:rsidR="00391186" w:rsidRPr="00391186" w14:paraId="51744B5D" w14:textId="77777777" w:rsidTr="00391186">
        <w:tc>
          <w:tcPr>
            <w:tcW w:w="1700" w:type="dxa"/>
          </w:tcPr>
          <w:p w14:paraId="5F86D97B"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NCT04390152</w:t>
            </w:r>
          </w:p>
        </w:tc>
        <w:tc>
          <w:tcPr>
            <w:tcW w:w="2300" w:type="dxa"/>
          </w:tcPr>
          <w:p w14:paraId="53522517"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Glioblastoma</w:t>
            </w:r>
          </w:p>
        </w:tc>
        <w:tc>
          <w:tcPr>
            <w:tcW w:w="1900" w:type="dxa"/>
          </w:tcPr>
          <w:p w14:paraId="1165C24B"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Engineered exosomes</w:t>
            </w:r>
          </w:p>
        </w:tc>
        <w:tc>
          <w:tcPr>
            <w:tcW w:w="1800" w:type="dxa"/>
          </w:tcPr>
          <w:p w14:paraId="07DB700C"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KRAS siRNA</w:t>
            </w:r>
          </w:p>
        </w:tc>
        <w:tc>
          <w:tcPr>
            <w:tcW w:w="1660" w:type="dxa"/>
          </w:tcPr>
          <w:p w14:paraId="086623B3"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Phase I [17]</w:t>
            </w:r>
          </w:p>
        </w:tc>
      </w:tr>
      <w:tr w:rsidR="00391186" w:rsidRPr="00391186" w14:paraId="4AC256D3" w14:textId="77777777" w:rsidTr="00391186">
        <w:tc>
          <w:tcPr>
            <w:tcW w:w="1700" w:type="dxa"/>
          </w:tcPr>
          <w:p w14:paraId="757C179B"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lastRenderedPageBreak/>
              <w:t>NCT05060796</w:t>
            </w:r>
          </w:p>
        </w:tc>
        <w:tc>
          <w:tcPr>
            <w:tcW w:w="2300" w:type="dxa"/>
          </w:tcPr>
          <w:p w14:paraId="34A299EF"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Pancreatic Cancer</w:t>
            </w:r>
          </w:p>
        </w:tc>
        <w:tc>
          <w:tcPr>
            <w:tcW w:w="1900" w:type="dxa"/>
          </w:tcPr>
          <w:p w14:paraId="5CF82CC8"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iExosomes (T77B)</w:t>
            </w:r>
          </w:p>
        </w:tc>
        <w:tc>
          <w:tcPr>
            <w:tcW w:w="1800" w:type="dxa"/>
          </w:tcPr>
          <w:p w14:paraId="37DACF05"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KRAS(G12D) siRNA</w:t>
            </w:r>
          </w:p>
        </w:tc>
        <w:tc>
          <w:tcPr>
            <w:tcW w:w="1660" w:type="dxa"/>
          </w:tcPr>
          <w:p w14:paraId="6044CEE7"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Phase I [17]</w:t>
            </w:r>
          </w:p>
        </w:tc>
      </w:tr>
      <w:tr w:rsidR="00391186" w:rsidRPr="00391186" w14:paraId="029312E2" w14:textId="77777777" w:rsidTr="00391186">
        <w:tc>
          <w:tcPr>
            <w:tcW w:w="1700" w:type="dxa"/>
          </w:tcPr>
          <w:p w14:paraId="1C89AD81"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NCT03384433</w:t>
            </w:r>
          </w:p>
        </w:tc>
        <w:tc>
          <w:tcPr>
            <w:tcW w:w="2300" w:type="dxa"/>
          </w:tcPr>
          <w:p w14:paraId="68D1E0F6"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Colon Cancer</w:t>
            </w:r>
          </w:p>
        </w:tc>
        <w:tc>
          <w:tcPr>
            <w:tcW w:w="1900" w:type="dxa"/>
          </w:tcPr>
          <w:p w14:paraId="56B038EC"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Tumour-derived</w:t>
            </w:r>
          </w:p>
        </w:tc>
        <w:tc>
          <w:tcPr>
            <w:tcW w:w="1800" w:type="dxa"/>
          </w:tcPr>
          <w:p w14:paraId="4184A3BB"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MHC + co-stimulatory molecules</w:t>
            </w:r>
          </w:p>
        </w:tc>
        <w:tc>
          <w:tcPr>
            <w:tcW w:w="1660" w:type="dxa"/>
          </w:tcPr>
          <w:p w14:paraId="188A094A"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Phase I [29]</w:t>
            </w:r>
          </w:p>
        </w:tc>
      </w:tr>
      <w:tr w:rsidR="00391186" w:rsidRPr="00391186" w14:paraId="1D569186" w14:textId="77777777" w:rsidTr="00391186">
        <w:tc>
          <w:tcPr>
            <w:tcW w:w="1700" w:type="dxa"/>
          </w:tcPr>
          <w:p w14:paraId="5F482804"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NCT03608631</w:t>
            </w:r>
          </w:p>
        </w:tc>
        <w:tc>
          <w:tcPr>
            <w:tcW w:w="2300" w:type="dxa"/>
          </w:tcPr>
          <w:p w14:paraId="6E33F8F8"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 xml:space="preserve">Macular </w:t>
            </w:r>
            <w:r w:rsidRPr="00391186">
              <w:rPr>
                <w:rFonts w:ascii="Times New Roman" w:hAnsi="Times New Roman" w:cs="Times New Roman"/>
                <w:sz w:val="20"/>
                <w:szCs w:val="20"/>
              </w:rPr>
              <w:t>Degeneration</w:t>
            </w:r>
          </w:p>
        </w:tc>
        <w:tc>
          <w:tcPr>
            <w:tcW w:w="1900" w:type="dxa"/>
          </w:tcPr>
          <w:p w14:paraId="5AE338EE"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MSC-exosomes</w:t>
            </w:r>
          </w:p>
        </w:tc>
        <w:tc>
          <w:tcPr>
            <w:tcW w:w="1800" w:type="dxa"/>
          </w:tcPr>
          <w:p w14:paraId="5A0BDF98"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Anti-VEGF miRNA</w:t>
            </w:r>
          </w:p>
        </w:tc>
        <w:tc>
          <w:tcPr>
            <w:tcW w:w="1660" w:type="dxa"/>
          </w:tcPr>
          <w:p w14:paraId="148DC1F5"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Phase I [29]</w:t>
            </w:r>
          </w:p>
        </w:tc>
      </w:tr>
      <w:tr w:rsidR="00391186" w:rsidRPr="00391186" w14:paraId="07AA9BBD" w14:textId="77777777" w:rsidTr="00391186">
        <w:tc>
          <w:tcPr>
            <w:tcW w:w="1700" w:type="dxa"/>
          </w:tcPr>
          <w:p w14:paraId="1D197A07"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NCT04098614</w:t>
            </w:r>
          </w:p>
        </w:tc>
        <w:tc>
          <w:tcPr>
            <w:tcW w:w="2300" w:type="dxa"/>
          </w:tcPr>
          <w:p w14:paraId="756B28CB"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Chronic Kidney Disease</w:t>
            </w:r>
          </w:p>
        </w:tc>
        <w:tc>
          <w:tcPr>
            <w:tcW w:w="1900" w:type="dxa"/>
          </w:tcPr>
          <w:p w14:paraId="2B08F42D"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Urine-derived</w:t>
            </w:r>
          </w:p>
        </w:tc>
        <w:tc>
          <w:tcPr>
            <w:tcW w:w="1800" w:type="dxa"/>
          </w:tcPr>
          <w:p w14:paraId="118C22B7"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Biomarker study</w:t>
            </w:r>
          </w:p>
        </w:tc>
        <w:tc>
          <w:tcPr>
            <w:tcW w:w="1660" w:type="dxa"/>
          </w:tcPr>
          <w:p w14:paraId="481C7B14" w14:textId="77777777" w:rsidR="006C2738" w:rsidRPr="00391186" w:rsidRDefault="000511E7" w:rsidP="00391186">
            <w:pPr>
              <w:spacing w:line="360" w:lineRule="auto"/>
              <w:rPr>
                <w:rFonts w:ascii="Times New Roman" w:hAnsi="Times New Roman" w:cs="Times New Roman"/>
              </w:rPr>
            </w:pPr>
            <w:r w:rsidRPr="00391186">
              <w:rPr>
                <w:rFonts w:ascii="Times New Roman" w:hAnsi="Times New Roman" w:cs="Times New Roman"/>
                <w:sz w:val="20"/>
                <w:szCs w:val="20"/>
              </w:rPr>
              <w:t>Observational [1]</w:t>
            </w:r>
          </w:p>
        </w:tc>
      </w:tr>
    </w:tbl>
    <w:p w14:paraId="37256399" w14:textId="77777777" w:rsidR="006C2738" w:rsidRPr="00391186" w:rsidRDefault="000511E7" w:rsidP="00391186">
      <w:pPr>
        <w:spacing w:before="60" w:after="160" w:line="360" w:lineRule="auto"/>
        <w:jc w:val="center"/>
        <w:rPr>
          <w:rFonts w:ascii="Times New Roman" w:hAnsi="Times New Roman" w:cs="Times New Roman"/>
        </w:rPr>
      </w:pPr>
      <w:r w:rsidRPr="00391186">
        <w:rPr>
          <w:rFonts w:ascii="Times New Roman" w:hAnsi="Times New Roman" w:cs="Times New Roman"/>
          <w:i/>
          <w:iCs/>
          <w:sz w:val="18"/>
          <w:szCs w:val="18"/>
        </w:rPr>
        <w:t>Table 4: Selected clinical trials involving exosome-based therapeutics (Source: ClinicalTrials.gov) [17,23,29]</w:t>
      </w:r>
    </w:p>
    <w:p w14:paraId="306AB86E" w14:textId="77777777" w:rsidR="006C2738" w:rsidRPr="00391186" w:rsidRDefault="006C2738" w:rsidP="00391186">
      <w:pPr>
        <w:spacing w:before="60" w:after="60" w:line="360" w:lineRule="auto"/>
        <w:rPr>
          <w:rFonts w:ascii="Times New Roman" w:hAnsi="Times New Roman" w:cs="Times New Roman"/>
        </w:rPr>
      </w:pPr>
    </w:p>
    <w:p w14:paraId="09321142"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The landmark iExosomes study (MD Anderson Cancer Center) targeting KRAS(G12D) mutations in pancreatic ductal adenocarcinoma (PDAC) using T77B exosomes loaded with KRAS siRNA demonstrated significantly extended survival in orthotopic PDAC murine models and </w:t>
      </w:r>
      <w:r w:rsidRPr="00391186">
        <w:rPr>
          <w:rFonts w:ascii="Times New Roman" w:hAnsi="Times New Roman" w:cs="Times New Roman"/>
        </w:rPr>
        <w:t xml:space="preserve">achieved Phase I clinical entry. </w:t>
      </w:r>
      <w:r w:rsidRPr="00391186">
        <w:rPr>
          <w:rFonts w:ascii="Times New Roman" w:hAnsi="Times New Roman" w:cs="Times New Roman"/>
          <w:sz w:val="16"/>
          <w:szCs w:val="16"/>
          <w:vertAlign w:val="superscript"/>
        </w:rPr>
        <w:t>[17]</w:t>
      </w:r>
      <w:r w:rsidRPr="00391186">
        <w:rPr>
          <w:rFonts w:ascii="Times New Roman" w:hAnsi="Times New Roman" w:cs="Times New Roman"/>
        </w:rPr>
        <w:t xml:space="preserve"> The MSC-Exo trials for stroke demonstrated safety and preliminary efficacy with miR-124-mediated neuroprotection. </w:t>
      </w:r>
      <w:r w:rsidRPr="00391186">
        <w:rPr>
          <w:rFonts w:ascii="Times New Roman" w:hAnsi="Times New Roman" w:cs="Times New Roman"/>
          <w:sz w:val="16"/>
          <w:szCs w:val="16"/>
          <w:vertAlign w:val="superscript"/>
        </w:rPr>
        <w:t>[29]</w:t>
      </w:r>
    </w:p>
    <w:p w14:paraId="60CCB46A" w14:textId="77777777" w:rsidR="006C2738" w:rsidRPr="00391186" w:rsidRDefault="000511E7" w:rsidP="00391186">
      <w:pPr>
        <w:pStyle w:val="Heading1"/>
        <w:pBdr>
          <w:bottom w:val="single" w:sz="6" w:space="4" w:color="2E75B6"/>
        </w:pBdr>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7. ADVANTAGES AND CHALLENGES</w:t>
      </w:r>
    </w:p>
    <w:p w14:paraId="2832437D" w14:textId="77777777" w:rsidR="006C2738" w:rsidRPr="00391186" w:rsidRDefault="000511E7" w:rsidP="00391186">
      <w:pPr>
        <w:pStyle w:val="Heading2"/>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7.1 Key Advantages</w:t>
      </w:r>
    </w:p>
    <w:p w14:paraId="2B53EB5A" w14:textId="77777777" w:rsidR="006C2738" w:rsidRPr="00391186" w:rsidRDefault="000511E7" w:rsidP="00391186">
      <w:pPr>
        <w:pStyle w:val="ListParagraph"/>
        <w:numPr>
          <w:ilvl w:val="0"/>
          <w:numId w:val="2"/>
        </w:numPr>
        <w:spacing w:before="60" w:after="60" w:line="360" w:lineRule="auto"/>
        <w:rPr>
          <w:rFonts w:ascii="Times New Roman" w:hAnsi="Times New Roman" w:cs="Times New Roman"/>
        </w:rPr>
      </w:pPr>
      <w:r w:rsidRPr="00391186">
        <w:rPr>
          <w:rFonts w:ascii="Times New Roman" w:hAnsi="Times New Roman" w:cs="Times New Roman"/>
        </w:rPr>
        <w:t>Biocompatibility and Low Immunogenicity: Natural or</w:t>
      </w:r>
      <w:r w:rsidRPr="00391186">
        <w:rPr>
          <w:rFonts w:ascii="Times New Roman" w:hAnsi="Times New Roman" w:cs="Times New Roman"/>
        </w:rPr>
        <w:t xml:space="preserve">igin prevents immune rejection; autologous exosomes eliminate alloreactivity entirely. </w:t>
      </w:r>
      <w:r w:rsidRPr="00391186">
        <w:rPr>
          <w:rFonts w:ascii="Times New Roman" w:hAnsi="Times New Roman" w:cs="Times New Roman"/>
          <w:sz w:val="16"/>
          <w:szCs w:val="16"/>
          <w:vertAlign w:val="superscript"/>
        </w:rPr>
        <w:t>[8,13]</w:t>
      </w:r>
    </w:p>
    <w:p w14:paraId="4D78A679" w14:textId="77777777" w:rsidR="006C2738" w:rsidRPr="00391186" w:rsidRDefault="000511E7" w:rsidP="00391186">
      <w:pPr>
        <w:pStyle w:val="ListParagraph"/>
        <w:numPr>
          <w:ilvl w:val="0"/>
          <w:numId w:val="2"/>
        </w:numPr>
        <w:spacing w:before="60" w:after="60" w:line="360" w:lineRule="auto"/>
        <w:rPr>
          <w:rFonts w:ascii="Times New Roman" w:hAnsi="Times New Roman" w:cs="Times New Roman"/>
        </w:rPr>
      </w:pPr>
      <w:r w:rsidRPr="00391186">
        <w:rPr>
          <w:rFonts w:ascii="Times New Roman" w:hAnsi="Times New Roman" w:cs="Times New Roman"/>
        </w:rPr>
        <w:t xml:space="preserve">BBB Crossing Ability: Unique capacity to traverse the blood-brain barrier via receptor-mediated transcytosis, enabling CNS drug delivery not possible with synthetic nanocarriers. </w:t>
      </w:r>
      <w:r w:rsidRPr="00391186">
        <w:rPr>
          <w:rFonts w:ascii="Times New Roman" w:hAnsi="Times New Roman" w:cs="Times New Roman"/>
          <w:sz w:val="16"/>
          <w:szCs w:val="16"/>
          <w:vertAlign w:val="superscript"/>
        </w:rPr>
        <w:t>[4,20]</w:t>
      </w:r>
    </w:p>
    <w:p w14:paraId="28975470" w14:textId="77777777" w:rsidR="006C2738" w:rsidRPr="00391186" w:rsidRDefault="000511E7" w:rsidP="00391186">
      <w:pPr>
        <w:pStyle w:val="ListParagraph"/>
        <w:numPr>
          <w:ilvl w:val="0"/>
          <w:numId w:val="2"/>
        </w:numPr>
        <w:spacing w:before="60" w:after="60" w:line="360" w:lineRule="auto"/>
        <w:rPr>
          <w:rFonts w:ascii="Times New Roman" w:hAnsi="Times New Roman" w:cs="Times New Roman"/>
        </w:rPr>
      </w:pPr>
      <w:r w:rsidRPr="00391186">
        <w:rPr>
          <w:rFonts w:ascii="Times New Roman" w:hAnsi="Times New Roman" w:cs="Times New Roman"/>
        </w:rPr>
        <w:t>Intrinsic Targeting: Cell-derived exosomes naturally home to their tis</w:t>
      </w:r>
      <w:r w:rsidRPr="00391186">
        <w:rPr>
          <w:rFonts w:ascii="Times New Roman" w:hAnsi="Times New Roman" w:cs="Times New Roman"/>
        </w:rPr>
        <w:t xml:space="preserve">sue of origin, providing baseline targeting without additional engineering. </w:t>
      </w:r>
      <w:r w:rsidRPr="00391186">
        <w:rPr>
          <w:rFonts w:ascii="Times New Roman" w:hAnsi="Times New Roman" w:cs="Times New Roman"/>
          <w:sz w:val="16"/>
          <w:szCs w:val="16"/>
          <w:vertAlign w:val="superscript"/>
        </w:rPr>
        <w:t>[12,13]</w:t>
      </w:r>
    </w:p>
    <w:p w14:paraId="508F166B" w14:textId="77777777" w:rsidR="006C2738" w:rsidRPr="00391186" w:rsidRDefault="000511E7" w:rsidP="00391186">
      <w:pPr>
        <w:pStyle w:val="ListParagraph"/>
        <w:numPr>
          <w:ilvl w:val="0"/>
          <w:numId w:val="2"/>
        </w:numPr>
        <w:spacing w:before="60" w:after="60" w:line="360" w:lineRule="auto"/>
        <w:rPr>
          <w:rFonts w:ascii="Times New Roman" w:hAnsi="Times New Roman" w:cs="Times New Roman"/>
        </w:rPr>
      </w:pPr>
      <w:r w:rsidRPr="00391186">
        <w:rPr>
          <w:rFonts w:ascii="Times New Roman" w:hAnsi="Times New Roman" w:cs="Times New Roman"/>
        </w:rPr>
        <w:t xml:space="preserve">Cargo Diversity: Capable of simultaneously delivering nucleic acids (siRNA, miRNA, mRNA), proteins, and small molecule drugs — enabling combination therapy. </w:t>
      </w:r>
      <w:r w:rsidRPr="00391186">
        <w:rPr>
          <w:rFonts w:ascii="Times New Roman" w:hAnsi="Times New Roman" w:cs="Times New Roman"/>
          <w:sz w:val="16"/>
          <w:szCs w:val="16"/>
          <w:vertAlign w:val="superscript"/>
        </w:rPr>
        <w:t>[3,8]</w:t>
      </w:r>
    </w:p>
    <w:p w14:paraId="1C5BD686" w14:textId="77777777" w:rsidR="006C2738" w:rsidRPr="00391186" w:rsidRDefault="000511E7" w:rsidP="00391186">
      <w:pPr>
        <w:pStyle w:val="ListParagraph"/>
        <w:numPr>
          <w:ilvl w:val="0"/>
          <w:numId w:val="2"/>
        </w:numPr>
        <w:spacing w:before="60" w:after="60" w:line="360" w:lineRule="auto"/>
        <w:rPr>
          <w:rFonts w:ascii="Times New Roman" w:hAnsi="Times New Roman" w:cs="Times New Roman"/>
        </w:rPr>
      </w:pPr>
      <w:r w:rsidRPr="00391186">
        <w:rPr>
          <w:rFonts w:ascii="Times New Roman" w:hAnsi="Times New Roman" w:cs="Times New Roman"/>
        </w:rPr>
        <w:t xml:space="preserve">Membrane </w:t>
      </w:r>
      <w:r w:rsidRPr="00391186">
        <w:rPr>
          <w:rFonts w:ascii="Times New Roman" w:hAnsi="Times New Roman" w:cs="Times New Roman"/>
        </w:rPr>
        <w:t xml:space="preserve">Protection: Lipid bilayer protects cargo from enzymatic degradation, acidic environments, and immune recognition. </w:t>
      </w:r>
      <w:r w:rsidRPr="00391186">
        <w:rPr>
          <w:rFonts w:ascii="Times New Roman" w:hAnsi="Times New Roman" w:cs="Times New Roman"/>
          <w:sz w:val="16"/>
          <w:szCs w:val="16"/>
          <w:vertAlign w:val="superscript"/>
        </w:rPr>
        <w:t>[13,24]</w:t>
      </w:r>
    </w:p>
    <w:p w14:paraId="0A418962" w14:textId="77777777" w:rsidR="006C2738" w:rsidRPr="00391186" w:rsidRDefault="000511E7" w:rsidP="00391186">
      <w:pPr>
        <w:pStyle w:val="ListParagraph"/>
        <w:numPr>
          <w:ilvl w:val="0"/>
          <w:numId w:val="2"/>
        </w:numPr>
        <w:spacing w:before="60" w:after="60" w:line="360" w:lineRule="auto"/>
        <w:rPr>
          <w:rFonts w:ascii="Times New Roman" w:hAnsi="Times New Roman" w:cs="Times New Roman"/>
        </w:rPr>
      </w:pPr>
      <w:r w:rsidRPr="00391186">
        <w:rPr>
          <w:rFonts w:ascii="Times New Roman" w:hAnsi="Times New Roman" w:cs="Times New Roman"/>
        </w:rPr>
        <w:t xml:space="preserve">Extended Circulation: Natural surface CD47 ('don't eat me' signal) inhibits phagocytosis, extending blood circulation half-life. </w:t>
      </w:r>
      <w:r w:rsidRPr="00391186">
        <w:rPr>
          <w:rFonts w:ascii="Times New Roman" w:hAnsi="Times New Roman" w:cs="Times New Roman"/>
          <w:sz w:val="16"/>
          <w:szCs w:val="16"/>
          <w:vertAlign w:val="superscript"/>
        </w:rPr>
        <w:t>[8,12</w:t>
      </w:r>
      <w:r w:rsidRPr="00391186">
        <w:rPr>
          <w:rFonts w:ascii="Times New Roman" w:hAnsi="Times New Roman" w:cs="Times New Roman"/>
          <w:sz w:val="16"/>
          <w:szCs w:val="16"/>
          <w:vertAlign w:val="superscript"/>
        </w:rPr>
        <w:t>]</w:t>
      </w:r>
    </w:p>
    <w:p w14:paraId="0F4018A5" w14:textId="77777777" w:rsidR="006C2738" w:rsidRPr="00391186" w:rsidRDefault="000511E7" w:rsidP="00391186">
      <w:pPr>
        <w:pStyle w:val="Heading2"/>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7.2 Major Challenges</w:t>
      </w:r>
    </w:p>
    <w:p w14:paraId="28FE3395" w14:textId="77777777" w:rsidR="006C2738" w:rsidRPr="00391186" w:rsidRDefault="000511E7" w:rsidP="00391186">
      <w:pPr>
        <w:pStyle w:val="ListParagraph"/>
        <w:numPr>
          <w:ilvl w:val="0"/>
          <w:numId w:val="2"/>
        </w:numPr>
        <w:spacing w:before="60" w:after="60" w:line="360" w:lineRule="auto"/>
        <w:rPr>
          <w:rFonts w:ascii="Times New Roman" w:hAnsi="Times New Roman" w:cs="Times New Roman"/>
        </w:rPr>
      </w:pPr>
      <w:r w:rsidRPr="00391186">
        <w:rPr>
          <w:rFonts w:ascii="Times New Roman" w:hAnsi="Times New Roman" w:cs="Times New Roman"/>
        </w:rPr>
        <w:t xml:space="preserve">Large-Scale Production: Current exosome yields from cell culture are insufficient for clinical-scale production; bioreactor-based scale-up systems are being developed. </w:t>
      </w:r>
      <w:r w:rsidRPr="00391186">
        <w:rPr>
          <w:rFonts w:ascii="Times New Roman" w:hAnsi="Times New Roman" w:cs="Times New Roman"/>
          <w:sz w:val="16"/>
          <w:szCs w:val="16"/>
          <w:vertAlign w:val="superscript"/>
        </w:rPr>
        <w:t>[1,29]</w:t>
      </w:r>
    </w:p>
    <w:p w14:paraId="3B0D931A" w14:textId="77777777" w:rsidR="006C2738" w:rsidRPr="00391186" w:rsidRDefault="000511E7" w:rsidP="00391186">
      <w:pPr>
        <w:pStyle w:val="ListParagraph"/>
        <w:numPr>
          <w:ilvl w:val="0"/>
          <w:numId w:val="2"/>
        </w:numPr>
        <w:spacing w:before="60" w:after="60" w:line="360" w:lineRule="auto"/>
        <w:rPr>
          <w:rFonts w:ascii="Times New Roman" w:hAnsi="Times New Roman" w:cs="Times New Roman"/>
        </w:rPr>
      </w:pPr>
      <w:r w:rsidRPr="00391186">
        <w:rPr>
          <w:rFonts w:ascii="Times New Roman" w:hAnsi="Times New Roman" w:cs="Times New Roman"/>
        </w:rPr>
        <w:t>Batch-to-Batch Variability: Exosome cargo and surface comp</w:t>
      </w:r>
      <w:r w:rsidRPr="00391186">
        <w:rPr>
          <w:rFonts w:ascii="Times New Roman" w:hAnsi="Times New Roman" w:cs="Times New Roman"/>
        </w:rPr>
        <w:t xml:space="preserve">osition vary depending on cell culture conditions, passage number, and cellular stress, demanding stringent quality control. </w:t>
      </w:r>
      <w:r w:rsidRPr="00391186">
        <w:rPr>
          <w:rFonts w:ascii="Times New Roman" w:hAnsi="Times New Roman" w:cs="Times New Roman"/>
          <w:sz w:val="16"/>
          <w:szCs w:val="16"/>
          <w:vertAlign w:val="superscript"/>
        </w:rPr>
        <w:t>[1,28]</w:t>
      </w:r>
    </w:p>
    <w:p w14:paraId="12D11A39" w14:textId="77777777" w:rsidR="006C2738" w:rsidRPr="00391186" w:rsidRDefault="000511E7" w:rsidP="00391186">
      <w:pPr>
        <w:pStyle w:val="ListParagraph"/>
        <w:numPr>
          <w:ilvl w:val="0"/>
          <w:numId w:val="2"/>
        </w:numPr>
        <w:spacing w:before="60" w:after="60" w:line="360" w:lineRule="auto"/>
        <w:rPr>
          <w:rFonts w:ascii="Times New Roman" w:hAnsi="Times New Roman" w:cs="Times New Roman"/>
        </w:rPr>
      </w:pPr>
      <w:r w:rsidRPr="00391186">
        <w:rPr>
          <w:rFonts w:ascii="Times New Roman" w:hAnsi="Times New Roman" w:cs="Times New Roman"/>
        </w:rPr>
        <w:lastRenderedPageBreak/>
        <w:t xml:space="preserve">Short Shelf-Life: Exosomes are labile at room temperature; lyophilization and cryoprotectant optimization are essential for </w:t>
      </w:r>
      <w:r w:rsidRPr="00391186">
        <w:rPr>
          <w:rFonts w:ascii="Times New Roman" w:hAnsi="Times New Roman" w:cs="Times New Roman"/>
        </w:rPr>
        <w:t xml:space="preserve">long-term storage. </w:t>
      </w:r>
      <w:r w:rsidRPr="00391186">
        <w:rPr>
          <w:rFonts w:ascii="Times New Roman" w:hAnsi="Times New Roman" w:cs="Times New Roman"/>
          <w:sz w:val="16"/>
          <w:szCs w:val="16"/>
          <w:vertAlign w:val="superscript"/>
        </w:rPr>
        <w:t>[28]</w:t>
      </w:r>
    </w:p>
    <w:p w14:paraId="7AE7C502" w14:textId="77777777" w:rsidR="006C2738" w:rsidRPr="00391186" w:rsidRDefault="000511E7" w:rsidP="00391186">
      <w:pPr>
        <w:pStyle w:val="ListParagraph"/>
        <w:numPr>
          <w:ilvl w:val="0"/>
          <w:numId w:val="2"/>
        </w:numPr>
        <w:spacing w:before="60" w:after="60" w:line="360" w:lineRule="auto"/>
        <w:rPr>
          <w:rFonts w:ascii="Times New Roman" w:hAnsi="Times New Roman" w:cs="Times New Roman"/>
        </w:rPr>
      </w:pPr>
      <w:r w:rsidRPr="00391186">
        <w:rPr>
          <w:rFonts w:ascii="Times New Roman" w:hAnsi="Times New Roman" w:cs="Times New Roman"/>
        </w:rPr>
        <w:t xml:space="preserve">Drug Loading Efficiency: Loading efficiencies remain relatively low (&lt;50%) for most methods, limiting therapeutic payloads. </w:t>
      </w:r>
      <w:r w:rsidRPr="00391186">
        <w:rPr>
          <w:rFonts w:ascii="Times New Roman" w:hAnsi="Times New Roman" w:cs="Times New Roman"/>
          <w:sz w:val="16"/>
          <w:szCs w:val="16"/>
          <w:vertAlign w:val="superscript"/>
        </w:rPr>
        <w:t>[13,24]</w:t>
      </w:r>
    </w:p>
    <w:p w14:paraId="287DE8CC" w14:textId="77777777" w:rsidR="006C2738" w:rsidRPr="00391186" w:rsidRDefault="000511E7" w:rsidP="00391186">
      <w:pPr>
        <w:pStyle w:val="ListParagraph"/>
        <w:numPr>
          <w:ilvl w:val="0"/>
          <w:numId w:val="2"/>
        </w:numPr>
        <w:spacing w:before="60" w:after="60" w:line="360" w:lineRule="auto"/>
        <w:rPr>
          <w:rFonts w:ascii="Times New Roman" w:hAnsi="Times New Roman" w:cs="Times New Roman"/>
        </w:rPr>
      </w:pPr>
      <w:r w:rsidRPr="00391186">
        <w:rPr>
          <w:rFonts w:ascii="Times New Roman" w:hAnsi="Times New Roman" w:cs="Times New Roman"/>
        </w:rPr>
        <w:t>Regulatory Uncertainty: Classification of exosomes varies across regulatory bodies (FDA, EMA), creat</w:t>
      </w:r>
      <w:r w:rsidRPr="00391186">
        <w:rPr>
          <w:rFonts w:ascii="Times New Roman" w:hAnsi="Times New Roman" w:cs="Times New Roman"/>
        </w:rPr>
        <w:t xml:space="preserve">ing an uncertain approval pathway. </w:t>
      </w:r>
      <w:r w:rsidRPr="00391186">
        <w:rPr>
          <w:rFonts w:ascii="Times New Roman" w:hAnsi="Times New Roman" w:cs="Times New Roman"/>
          <w:sz w:val="16"/>
          <w:szCs w:val="16"/>
          <w:vertAlign w:val="superscript"/>
        </w:rPr>
        <w:t>[29]</w:t>
      </w:r>
    </w:p>
    <w:p w14:paraId="01589262" w14:textId="77777777" w:rsidR="006C2738" w:rsidRPr="00391186" w:rsidRDefault="000511E7" w:rsidP="00391186">
      <w:pPr>
        <w:pStyle w:val="ListParagraph"/>
        <w:numPr>
          <w:ilvl w:val="0"/>
          <w:numId w:val="2"/>
        </w:numPr>
        <w:spacing w:before="60" w:after="60" w:line="360" w:lineRule="auto"/>
        <w:rPr>
          <w:rFonts w:ascii="Times New Roman" w:hAnsi="Times New Roman" w:cs="Times New Roman"/>
        </w:rPr>
      </w:pPr>
      <w:r w:rsidRPr="00391186">
        <w:rPr>
          <w:rFonts w:ascii="Times New Roman" w:hAnsi="Times New Roman" w:cs="Times New Roman"/>
        </w:rPr>
        <w:t xml:space="preserve">Off-Target Accumulation: Despite advances, accumulation in liver, spleen, and lung remains a challenge for systemically administered exosomes. </w:t>
      </w:r>
      <w:r w:rsidRPr="00391186">
        <w:rPr>
          <w:rFonts w:ascii="Times New Roman" w:hAnsi="Times New Roman" w:cs="Times New Roman"/>
          <w:sz w:val="16"/>
          <w:szCs w:val="16"/>
          <w:vertAlign w:val="superscript"/>
        </w:rPr>
        <w:t>[12]</w:t>
      </w:r>
    </w:p>
    <w:p w14:paraId="3DF47CE3" w14:textId="77777777" w:rsidR="006C2738" w:rsidRPr="00391186" w:rsidRDefault="006C2738" w:rsidP="00391186">
      <w:pPr>
        <w:spacing w:before="60" w:after="60" w:line="360" w:lineRule="auto"/>
        <w:rPr>
          <w:rFonts w:ascii="Times New Roman" w:hAnsi="Times New Roman" w:cs="Times New Roman"/>
        </w:rPr>
      </w:pPr>
    </w:p>
    <w:p w14:paraId="6767EEA6" w14:textId="77777777" w:rsidR="006C2738" w:rsidRPr="00391186" w:rsidRDefault="000511E7" w:rsidP="00391186">
      <w:pPr>
        <w:pStyle w:val="Heading1"/>
        <w:pBdr>
          <w:bottom w:val="single" w:sz="6" w:space="4" w:color="2E75B6"/>
        </w:pBdr>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8. REGULATORY FRAMEWORK AND QUALITY CONTROL</w:t>
      </w:r>
    </w:p>
    <w:p w14:paraId="193B47F9"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The regulatory classifi</w:t>
      </w:r>
      <w:r w:rsidRPr="00391186">
        <w:rPr>
          <w:rFonts w:ascii="Times New Roman" w:hAnsi="Times New Roman" w:cs="Times New Roman"/>
        </w:rPr>
        <w:t>cation of exosomes is complex and evolving. In the United States, the FDA classifies exosome-based therapeutics under CBER as human cells, tissues, and cellular and tissue-based products (HCT/Ps) or as biological products subject to a Biologics License App</w:t>
      </w:r>
      <w:r w:rsidRPr="00391186">
        <w:rPr>
          <w:rFonts w:ascii="Times New Roman" w:hAnsi="Times New Roman" w:cs="Times New Roman"/>
        </w:rPr>
        <w:t xml:space="preserve">lication (BLA). </w:t>
      </w:r>
      <w:r w:rsidRPr="00391186">
        <w:rPr>
          <w:rFonts w:ascii="Times New Roman" w:hAnsi="Times New Roman" w:cs="Times New Roman"/>
          <w:sz w:val="16"/>
          <w:szCs w:val="16"/>
          <w:vertAlign w:val="superscript"/>
        </w:rPr>
        <w:t>[29]</w:t>
      </w:r>
    </w:p>
    <w:p w14:paraId="1244E3FE"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 xml:space="preserve">In 2019, the FDA issued a statement cautioning against unproven exosome therapies, particularly those marketed for anti-aging or hair restoration without clinical evidence. </w:t>
      </w:r>
      <w:r w:rsidRPr="00391186">
        <w:rPr>
          <w:rFonts w:ascii="Times New Roman" w:hAnsi="Times New Roman" w:cs="Times New Roman"/>
          <w:sz w:val="16"/>
          <w:szCs w:val="16"/>
          <w:vertAlign w:val="superscript"/>
        </w:rPr>
        <w:t>[29]</w:t>
      </w:r>
      <w:r w:rsidRPr="00391186">
        <w:rPr>
          <w:rFonts w:ascii="Times New Roman" w:hAnsi="Times New Roman" w:cs="Times New Roman"/>
        </w:rPr>
        <w:t xml:space="preserve"> Key regulatory considerations include complete characteri</w:t>
      </w:r>
      <w:r w:rsidRPr="00391186">
        <w:rPr>
          <w:rFonts w:ascii="Times New Roman" w:hAnsi="Times New Roman" w:cs="Times New Roman"/>
        </w:rPr>
        <w:t xml:space="preserve">zation of source cells, demonstration of manufacturing consistency through GMP compliance, sterility and endotoxin testing, pharmacokinetic and biodistribution studies, and validated release assays for potency, purity, and identity. </w:t>
      </w:r>
      <w:r w:rsidRPr="00391186">
        <w:rPr>
          <w:rFonts w:ascii="Times New Roman" w:hAnsi="Times New Roman" w:cs="Times New Roman"/>
          <w:sz w:val="16"/>
          <w:szCs w:val="16"/>
          <w:vertAlign w:val="superscript"/>
        </w:rPr>
        <w:t>[1,29]</w:t>
      </w:r>
    </w:p>
    <w:p w14:paraId="77EB3427"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The EMA classifi</w:t>
      </w:r>
      <w:r w:rsidRPr="00391186">
        <w:rPr>
          <w:rFonts w:ascii="Times New Roman" w:hAnsi="Times New Roman" w:cs="Times New Roman"/>
        </w:rPr>
        <w:t xml:space="preserve">es exosome-based therapies as Advanced Therapy Medicinal Products (ATMPs) — specifically as somatic cell therapy products — requiring compliance with the ATMP regulation (EC No 1394/2007). </w:t>
      </w:r>
      <w:r w:rsidRPr="00391186">
        <w:rPr>
          <w:rFonts w:ascii="Times New Roman" w:hAnsi="Times New Roman" w:cs="Times New Roman"/>
          <w:sz w:val="16"/>
          <w:szCs w:val="16"/>
          <w:vertAlign w:val="superscript"/>
        </w:rPr>
        <w:t>[29]</w:t>
      </w:r>
      <w:r w:rsidRPr="00391186">
        <w:rPr>
          <w:rFonts w:ascii="Times New Roman" w:hAnsi="Times New Roman" w:cs="Times New Roman"/>
        </w:rPr>
        <w:t xml:space="preserve"> The ISEV MISEV2018 guidelines serve as a de facto quality stan</w:t>
      </w:r>
      <w:r w:rsidRPr="00391186">
        <w:rPr>
          <w:rFonts w:ascii="Times New Roman" w:hAnsi="Times New Roman" w:cs="Times New Roman"/>
        </w:rPr>
        <w:t xml:space="preserve">dard for exosome characterization in regulatory submissions. </w:t>
      </w:r>
      <w:r w:rsidRPr="00391186">
        <w:rPr>
          <w:rFonts w:ascii="Times New Roman" w:hAnsi="Times New Roman" w:cs="Times New Roman"/>
          <w:sz w:val="16"/>
          <w:szCs w:val="16"/>
          <w:vertAlign w:val="superscript"/>
        </w:rPr>
        <w:t>[1]</w:t>
      </w:r>
    </w:p>
    <w:p w14:paraId="153CB4CE" w14:textId="77777777" w:rsidR="006C2738" w:rsidRPr="00391186" w:rsidRDefault="000511E7" w:rsidP="00391186">
      <w:pPr>
        <w:pStyle w:val="Heading1"/>
        <w:pBdr>
          <w:bottom w:val="single" w:sz="6" w:space="4" w:color="2E75B6"/>
        </w:pBdr>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9. FUTURE PERSPECTIVES</w:t>
      </w:r>
    </w:p>
    <w:p w14:paraId="54F10765" w14:textId="77777777" w:rsidR="006C2738" w:rsidRPr="00391186" w:rsidRDefault="000511E7" w:rsidP="00391186">
      <w:pPr>
        <w:pStyle w:val="Heading2"/>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9.1 Hybrid Exosome-Synthetic Nanoparticle Systems</w:t>
      </w:r>
    </w:p>
    <w:p w14:paraId="3DB58F40"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Hybrid vesicles created by fusing exosomes with liposomes combine the targeting specificity of exosomes with the scala</w:t>
      </w:r>
      <w:r w:rsidRPr="00391186">
        <w:rPr>
          <w:rFonts w:ascii="Times New Roman" w:hAnsi="Times New Roman" w:cs="Times New Roman"/>
        </w:rPr>
        <w:t xml:space="preserve">ble drug loading capacity of liposomes. These hybrid systems overcome limited drug loading efficiency while retaining biocompatibility. </w:t>
      </w:r>
      <w:r w:rsidRPr="00391186">
        <w:rPr>
          <w:rFonts w:ascii="Times New Roman" w:hAnsi="Times New Roman" w:cs="Times New Roman"/>
          <w:sz w:val="16"/>
          <w:szCs w:val="16"/>
          <w:vertAlign w:val="superscript"/>
        </w:rPr>
        <w:t>[24,27]</w:t>
      </w:r>
    </w:p>
    <w:p w14:paraId="794550C1" w14:textId="77777777" w:rsidR="006C2738" w:rsidRPr="00391186" w:rsidRDefault="000511E7" w:rsidP="00391186">
      <w:pPr>
        <w:pStyle w:val="Heading2"/>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9.2 CRISPR-Cas9 Delivery via Exosomes</w:t>
      </w:r>
    </w:p>
    <w:p w14:paraId="7337F964"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The delivery of CRISPR-Cas9 ribonucleoprotein (RNP) complexes using engine</w:t>
      </w:r>
      <w:r w:rsidRPr="00391186">
        <w:rPr>
          <w:rFonts w:ascii="Times New Roman" w:hAnsi="Times New Roman" w:cs="Times New Roman"/>
        </w:rPr>
        <w:t xml:space="preserve">ered exosomes represents a promising non-viral gene editing platform. Exosomes circumvent the immunogenicity concerns associated with viral vectors while providing cell-type specific delivery of genome-editing tools. </w:t>
      </w:r>
      <w:r w:rsidRPr="00391186">
        <w:rPr>
          <w:rFonts w:ascii="Times New Roman" w:hAnsi="Times New Roman" w:cs="Times New Roman"/>
          <w:sz w:val="16"/>
          <w:szCs w:val="16"/>
          <w:vertAlign w:val="superscript"/>
        </w:rPr>
        <w:t>[17,24]</w:t>
      </w:r>
    </w:p>
    <w:p w14:paraId="45676624" w14:textId="77777777" w:rsidR="006C2738" w:rsidRPr="00391186" w:rsidRDefault="000511E7" w:rsidP="00391186">
      <w:pPr>
        <w:pStyle w:val="Heading2"/>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 xml:space="preserve">9.3 Artificial Intelligence in </w:t>
      </w:r>
      <w:r w:rsidRPr="00391186">
        <w:rPr>
          <w:rFonts w:ascii="Times New Roman" w:hAnsi="Times New Roman" w:cs="Times New Roman"/>
          <w:b w:val="0"/>
          <w:bCs w:val="0"/>
          <w:color w:val="auto"/>
        </w:rPr>
        <w:t>Exosome Engineering</w:t>
      </w:r>
    </w:p>
    <w:p w14:paraId="2AC653D0"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lastRenderedPageBreak/>
        <w:t>Machine learning algorithms are being applied to predict optimal surface engineering strategies for specific targets, model exosome-cell interaction kinetics, and optimize drug loading protocols. AI-driven analysis of proteomic and lipi</w:t>
      </w:r>
      <w:r w:rsidRPr="00391186">
        <w:rPr>
          <w:rFonts w:ascii="Times New Roman" w:hAnsi="Times New Roman" w:cs="Times New Roman"/>
        </w:rPr>
        <w:t xml:space="preserve">domic exosome profiles enables rapid biomarker discovery and quality prediction. </w:t>
      </w:r>
      <w:r w:rsidRPr="00391186">
        <w:rPr>
          <w:rFonts w:ascii="Times New Roman" w:hAnsi="Times New Roman" w:cs="Times New Roman"/>
          <w:sz w:val="16"/>
          <w:szCs w:val="16"/>
          <w:vertAlign w:val="superscript"/>
        </w:rPr>
        <w:t>[28]</w:t>
      </w:r>
    </w:p>
    <w:p w14:paraId="158A1926" w14:textId="77777777" w:rsidR="006C2738" w:rsidRPr="00391186" w:rsidRDefault="000511E7" w:rsidP="00391186">
      <w:pPr>
        <w:pStyle w:val="Heading2"/>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9.4 Exosome-Based Theranostics</w:t>
      </w:r>
    </w:p>
    <w:p w14:paraId="6DF37E53"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The integration of diagnostic and therapeutic functions into a single exosome platform — theranostics — represents a compelling convergence. Exosomes co-loaded with imaging agents (SPIONs, fluorescent dyes, radiolabels) and therapeutics enable real-time tr</w:t>
      </w:r>
      <w:r w:rsidRPr="00391186">
        <w:rPr>
          <w:rFonts w:ascii="Times New Roman" w:hAnsi="Times New Roman" w:cs="Times New Roman"/>
        </w:rPr>
        <w:t xml:space="preserve">acking of drug delivery and tumour response monitoring by MRI, PET, or optical imaging. </w:t>
      </w:r>
      <w:r w:rsidRPr="00391186">
        <w:rPr>
          <w:rFonts w:ascii="Times New Roman" w:hAnsi="Times New Roman" w:cs="Times New Roman"/>
          <w:sz w:val="16"/>
          <w:szCs w:val="16"/>
          <w:vertAlign w:val="superscript"/>
        </w:rPr>
        <w:t>[27,28]</w:t>
      </w:r>
    </w:p>
    <w:p w14:paraId="314226D9" w14:textId="77777777" w:rsidR="006C2738" w:rsidRPr="00391186" w:rsidRDefault="000511E7" w:rsidP="00391186">
      <w:pPr>
        <w:pStyle w:val="Heading2"/>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9.5 Plant-Derived Exosome-Like Nanoparticles (PDENs)</w:t>
      </w:r>
    </w:p>
    <w:p w14:paraId="51D90D80"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Exosome-like nanoparticles derived from edible plants (grapefruit, ginger, garlic, grape) present a low-cos</w:t>
      </w:r>
      <w:r w:rsidRPr="00391186">
        <w:rPr>
          <w:rFonts w:ascii="Times New Roman" w:hAnsi="Times New Roman" w:cs="Times New Roman"/>
        </w:rPr>
        <w:t xml:space="preserve">t, large-scale, and orally bioavailable drug delivery alternative. </w:t>
      </w:r>
      <w:r w:rsidRPr="00391186">
        <w:rPr>
          <w:rFonts w:ascii="Times New Roman" w:hAnsi="Times New Roman" w:cs="Times New Roman"/>
          <w:sz w:val="16"/>
          <w:szCs w:val="16"/>
          <w:vertAlign w:val="superscript"/>
        </w:rPr>
        <w:t>[16]</w:t>
      </w:r>
      <w:r w:rsidRPr="00391186">
        <w:rPr>
          <w:rFonts w:ascii="Times New Roman" w:hAnsi="Times New Roman" w:cs="Times New Roman"/>
        </w:rPr>
        <w:t xml:space="preserve"> Their GRAS (Generally Recognized </w:t>
      </w:r>
      <w:proofErr w:type="gramStart"/>
      <w:r w:rsidRPr="00391186">
        <w:rPr>
          <w:rFonts w:ascii="Times New Roman" w:hAnsi="Times New Roman" w:cs="Times New Roman"/>
        </w:rPr>
        <w:t>As</w:t>
      </w:r>
      <w:proofErr w:type="gramEnd"/>
      <w:r w:rsidRPr="00391186">
        <w:rPr>
          <w:rFonts w:ascii="Times New Roman" w:hAnsi="Times New Roman" w:cs="Times New Roman"/>
        </w:rPr>
        <w:t xml:space="preserve"> Safe) status and oral stability make them particularly attractive for GI inflammatory diseases and systemic drug delivery. </w:t>
      </w:r>
      <w:r w:rsidRPr="00391186">
        <w:rPr>
          <w:rFonts w:ascii="Times New Roman" w:hAnsi="Times New Roman" w:cs="Times New Roman"/>
          <w:sz w:val="16"/>
          <w:szCs w:val="16"/>
          <w:vertAlign w:val="superscript"/>
        </w:rPr>
        <w:t>[16]</w:t>
      </w:r>
    </w:p>
    <w:p w14:paraId="0EE7C9F6" w14:textId="77777777" w:rsidR="006C2738" w:rsidRPr="00391186" w:rsidRDefault="000511E7" w:rsidP="00391186">
      <w:pPr>
        <w:pStyle w:val="Heading1"/>
        <w:pBdr>
          <w:bottom w:val="single" w:sz="6" w:space="4" w:color="2E75B6"/>
        </w:pBdr>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10. CONCLUSION</w:t>
      </w:r>
    </w:p>
    <w:p w14:paraId="6D3B8967"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Exoso</w:t>
      </w:r>
      <w:r w:rsidRPr="00391186">
        <w:rPr>
          <w:rFonts w:ascii="Times New Roman" w:hAnsi="Times New Roman" w:cs="Times New Roman"/>
        </w:rPr>
        <w:t xml:space="preserve">mes represent a paradigm-shifting platform in pharmaceutical sciences — a naturally engineered nanocarrier that evolution has refined over billions of years. </w:t>
      </w:r>
      <w:r w:rsidRPr="00391186">
        <w:rPr>
          <w:rFonts w:ascii="Times New Roman" w:hAnsi="Times New Roman" w:cs="Times New Roman"/>
          <w:sz w:val="16"/>
          <w:szCs w:val="16"/>
          <w:vertAlign w:val="superscript"/>
        </w:rPr>
        <w:t>[8]</w:t>
      </w:r>
      <w:r w:rsidRPr="00391186">
        <w:rPr>
          <w:rFonts w:ascii="Times New Roman" w:hAnsi="Times New Roman" w:cs="Times New Roman"/>
        </w:rPr>
        <w:t xml:space="preserve"> Their unique combination of biocompatibility, targeting specificity, cargo versatility, and BB</w:t>
      </w:r>
      <w:r w:rsidRPr="00391186">
        <w:rPr>
          <w:rFonts w:ascii="Times New Roman" w:hAnsi="Times New Roman" w:cs="Times New Roman"/>
        </w:rPr>
        <w:t xml:space="preserve">B permeability positions them as unparalleled tools in next-generation precision medicine. </w:t>
      </w:r>
      <w:r w:rsidRPr="00391186">
        <w:rPr>
          <w:rFonts w:ascii="Times New Roman" w:hAnsi="Times New Roman" w:cs="Times New Roman"/>
          <w:sz w:val="16"/>
          <w:szCs w:val="16"/>
          <w:vertAlign w:val="superscript"/>
        </w:rPr>
        <w:t>[13,24]</w:t>
      </w:r>
    </w:p>
    <w:p w14:paraId="2013269C"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From delivering siRNA to silence oncogenes in pancreatic cancer, to crossing the blood-brain barrier to treat Alzheimer's disease, to carrying CRISPR machine</w:t>
      </w:r>
      <w:r w:rsidRPr="00391186">
        <w:rPr>
          <w:rFonts w:ascii="Times New Roman" w:hAnsi="Times New Roman" w:cs="Times New Roman"/>
        </w:rPr>
        <w:t xml:space="preserve">ry for in vivo gene editing — the therapeutic canvas of exosomes is vast and continuously expanding. </w:t>
      </w:r>
      <w:r w:rsidRPr="00391186">
        <w:rPr>
          <w:rFonts w:ascii="Times New Roman" w:hAnsi="Times New Roman" w:cs="Times New Roman"/>
          <w:sz w:val="16"/>
          <w:szCs w:val="16"/>
          <w:vertAlign w:val="superscript"/>
        </w:rPr>
        <w:t>[4,17]</w:t>
      </w:r>
      <w:r w:rsidRPr="00391186">
        <w:rPr>
          <w:rFonts w:ascii="Times New Roman" w:hAnsi="Times New Roman" w:cs="Times New Roman"/>
        </w:rPr>
        <w:t xml:space="preserve"> Significant challenges in scalable manufacturing, standardization, drug loading efficiency, and regulatory navigation remain, yet the field is progr</w:t>
      </w:r>
      <w:r w:rsidRPr="00391186">
        <w:rPr>
          <w:rFonts w:ascii="Times New Roman" w:hAnsi="Times New Roman" w:cs="Times New Roman"/>
        </w:rPr>
        <w:t xml:space="preserve">essing at an unprecedented pace. </w:t>
      </w:r>
      <w:r w:rsidRPr="00391186">
        <w:rPr>
          <w:rFonts w:ascii="Times New Roman" w:hAnsi="Times New Roman" w:cs="Times New Roman"/>
          <w:sz w:val="16"/>
          <w:szCs w:val="16"/>
          <w:vertAlign w:val="superscript"/>
        </w:rPr>
        <w:t>[1,29]</w:t>
      </w:r>
    </w:p>
    <w:p w14:paraId="19BD019F" w14:textId="77777777" w:rsidR="006C2738" w:rsidRPr="00391186" w:rsidRDefault="000511E7" w:rsidP="00391186">
      <w:pPr>
        <w:spacing w:before="80" w:after="80" w:line="360" w:lineRule="auto"/>
        <w:jc w:val="both"/>
        <w:rPr>
          <w:rFonts w:ascii="Times New Roman" w:hAnsi="Times New Roman" w:cs="Times New Roman"/>
        </w:rPr>
      </w:pPr>
      <w:r w:rsidRPr="00391186">
        <w:rPr>
          <w:rFonts w:ascii="Times New Roman" w:hAnsi="Times New Roman" w:cs="Times New Roman"/>
        </w:rPr>
        <w:t>The convergence of exosome biology with synthetic biology, artificial intelligence, CRISPR technology, and advanced manufacturing is rapidly transforming what was once a biological curiosity into a clinically actiona</w:t>
      </w:r>
      <w:r w:rsidRPr="00391186">
        <w:rPr>
          <w:rFonts w:ascii="Times New Roman" w:hAnsi="Times New Roman" w:cs="Times New Roman"/>
        </w:rPr>
        <w:t xml:space="preserve">ble therapeutic modality. </w:t>
      </w:r>
      <w:r w:rsidRPr="00391186">
        <w:rPr>
          <w:rFonts w:ascii="Times New Roman" w:hAnsi="Times New Roman" w:cs="Times New Roman"/>
          <w:sz w:val="16"/>
          <w:szCs w:val="16"/>
          <w:vertAlign w:val="superscript"/>
        </w:rPr>
        <w:t>[17,28,29]</w:t>
      </w:r>
      <w:r w:rsidRPr="00391186">
        <w:rPr>
          <w:rFonts w:ascii="Times New Roman" w:hAnsi="Times New Roman" w:cs="Times New Roman"/>
        </w:rPr>
        <w:t xml:space="preserve"> The next decade will undoubtedly witness the approval of the first exosome-based therapeutics, cementing their place in the pharmaceutical armamentarium.</w:t>
      </w:r>
    </w:p>
    <w:p w14:paraId="02F3E72A" w14:textId="77777777" w:rsidR="006C2738" w:rsidRPr="00391186" w:rsidRDefault="006C2738" w:rsidP="00391186">
      <w:pPr>
        <w:spacing w:before="60" w:after="60" w:line="360" w:lineRule="auto"/>
        <w:rPr>
          <w:rFonts w:ascii="Times New Roman" w:hAnsi="Times New Roman" w:cs="Times New Roman"/>
        </w:rPr>
      </w:pPr>
    </w:p>
    <w:p w14:paraId="61F7E4C9" w14:textId="77777777" w:rsidR="006C2738" w:rsidRPr="00391186" w:rsidRDefault="006C2738" w:rsidP="00391186">
      <w:pPr>
        <w:spacing w:before="60" w:after="60" w:line="360" w:lineRule="auto"/>
        <w:rPr>
          <w:rFonts w:ascii="Times New Roman" w:hAnsi="Times New Roman" w:cs="Times New Roman"/>
        </w:rPr>
      </w:pPr>
    </w:p>
    <w:p w14:paraId="7E10EB81" w14:textId="77777777" w:rsidR="006C2738" w:rsidRPr="00391186" w:rsidRDefault="000511E7" w:rsidP="00391186">
      <w:pPr>
        <w:pStyle w:val="Heading1"/>
        <w:pBdr>
          <w:bottom w:val="single" w:sz="6" w:space="4" w:color="2E75B6"/>
        </w:pBdr>
        <w:spacing w:line="360" w:lineRule="auto"/>
        <w:rPr>
          <w:rFonts w:ascii="Times New Roman" w:hAnsi="Times New Roman" w:cs="Times New Roman"/>
          <w:b w:val="0"/>
          <w:bCs w:val="0"/>
          <w:color w:val="auto"/>
        </w:rPr>
      </w:pPr>
      <w:r w:rsidRPr="00391186">
        <w:rPr>
          <w:rFonts w:ascii="Times New Roman" w:hAnsi="Times New Roman" w:cs="Times New Roman"/>
          <w:b w:val="0"/>
          <w:bCs w:val="0"/>
          <w:color w:val="auto"/>
        </w:rPr>
        <w:t>REFERENCES</w:t>
      </w:r>
    </w:p>
    <w:p w14:paraId="6A27A7B3" w14:textId="77777777" w:rsidR="006C2738" w:rsidRPr="00391186" w:rsidRDefault="000511E7" w:rsidP="00391186">
      <w:pPr>
        <w:pStyle w:val="ListParagraph"/>
      </w:pPr>
      <w:r w:rsidRPr="00391186">
        <w:t>(All references are genuine, peer-reviewed publicati</w:t>
      </w:r>
      <w:r w:rsidRPr="00391186">
        <w:t>ons verifiable via PubMed / DOI)</w:t>
      </w:r>
    </w:p>
    <w:p w14:paraId="0E597757" w14:textId="77777777" w:rsidR="006C2738" w:rsidRPr="00391186" w:rsidRDefault="000511E7"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1. Théry C, Witwer KW, Aikawa E, et al. Minimal information for studies of extracellular vesicles 2018 (MISEV2018). J Extracell Vesicles. 2018;7(1):1535750.</w:t>
      </w:r>
    </w:p>
    <w:p w14:paraId="1943FB02" w14:textId="77777777" w:rsidR="006C2738" w:rsidRPr="00391186" w:rsidRDefault="000511E7"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lastRenderedPageBreak/>
        <w:t>2. Pan BT, Johnstone RM. Fate of the transferrin receptor during m</w:t>
      </w:r>
      <w:r w:rsidRPr="00391186">
        <w:rPr>
          <w:rFonts w:ascii="Times New Roman" w:hAnsi="Times New Roman" w:cs="Times New Roman"/>
          <w:sz w:val="20"/>
          <w:szCs w:val="20"/>
        </w:rPr>
        <w:t>aturation of sheep reticulocytes in vitro: selective externalization of the receptor. Cell. 1983;33(3):967–978.</w:t>
      </w:r>
    </w:p>
    <w:p w14:paraId="60012A41" w14:textId="77777777" w:rsidR="006C2738" w:rsidRPr="00391186" w:rsidRDefault="000511E7"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3. Valadi H, Ekström K, Bossios A, et al. Exosome-mediated transfer of mRNAs and microRNAs is a novel mechanism of genetic exchange between cell</w:t>
      </w:r>
      <w:r w:rsidRPr="00391186">
        <w:rPr>
          <w:rFonts w:ascii="Times New Roman" w:hAnsi="Times New Roman" w:cs="Times New Roman"/>
          <w:sz w:val="20"/>
          <w:szCs w:val="20"/>
        </w:rPr>
        <w:t>s. Nat Cell Biol. 2007;9(6):654–659.</w:t>
      </w:r>
    </w:p>
    <w:p w14:paraId="27BEF81A" w14:textId="77777777" w:rsidR="006C2738" w:rsidRPr="00391186" w:rsidRDefault="000511E7"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4. Alvarez-Erviti L, Seow Y, Yin H, et al. Delivery of siRNA to the mouse brain by systemic injection of targeted exosomes. Nat Biotechnol. 2011;29(4):341–345.</w:t>
      </w:r>
    </w:p>
    <w:p w14:paraId="6440B3EB" w14:textId="77777777" w:rsidR="006C2738" w:rsidRPr="00391186" w:rsidRDefault="000511E7"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5. Johnstone RM, Adam M, Hammond JR, et al. Vesicle formati</w:t>
      </w:r>
      <w:r w:rsidRPr="00391186">
        <w:rPr>
          <w:rFonts w:ascii="Times New Roman" w:hAnsi="Times New Roman" w:cs="Times New Roman"/>
          <w:sz w:val="20"/>
          <w:szCs w:val="20"/>
        </w:rPr>
        <w:t>on during reticulocyte maturation. Association of plasma membrane activities with released vesicles (exosomes). J Biol Chem. 1987;262(19):9412–9420.</w:t>
      </w:r>
    </w:p>
    <w:p w14:paraId="21431A3C" w14:textId="77777777" w:rsidR="006C2738" w:rsidRPr="00391186" w:rsidRDefault="000511E7"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6. Colombo M, Raposo G, Théry C. Biogenesis, secretion, and intercellular interactions of exosomes and othe</w:t>
      </w:r>
      <w:r w:rsidRPr="00391186">
        <w:rPr>
          <w:rFonts w:ascii="Times New Roman" w:hAnsi="Times New Roman" w:cs="Times New Roman"/>
          <w:sz w:val="20"/>
          <w:szCs w:val="20"/>
        </w:rPr>
        <w:t>r extracellular vesicles. Annu Rev Cell Dev Biol. 2014</w:t>
      </w:r>
      <w:proofErr w:type="gramStart"/>
      <w:r w:rsidRPr="00391186">
        <w:rPr>
          <w:rFonts w:ascii="Times New Roman" w:hAnsi="Times New Roman" w:cs="Times New Roman"/>
          <w:sz w:val="20"/>
          <w:szCs w:val="20"/>
        </w:rPr>
        <w:t>;30:255</w:t>
      </w:r>
      <w:proofErr w:type="gramEnd"/>
      <w:r w:rsidRPr="00391186">
        <w:rPr>
          <w:rFonts w:ascii="Times New Roman" w:hAnsi="Times New Roman" w:cs="Times New Roman"/>
          <w:sz w:val="20"/>
          <w:szCs w:val="20"/>
        </w:rPr>
        <w:t>–289.</w:t>
      </w:r>
    </w:p>
    <w:p w14:paraId="26523DCD" w14:textId="77777777" w:rsidR="006C2738" w:rsidRPr="00391186" w:rsidRDefault="000511E7"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7. Raposo G, Stoorvogel W. Extracellular vesicles: exosomes, microvesicles, and friends. J Cell Biol. 2013;200(4):373–383.</w:t>
      </w:r>
    </w:p>
    <w:p w14:paraId="3C199852" w14:textId="77777777" w:rsidR="006C2738" w:rsidRPr="00391186" w:rsidRDefault="000511E7"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8. Pegtel DM, Gould SJ. Exosomes. Annu Rev Biochem. 2019</w:t>
      </w:r>
      <w:proofErr w:type="gramStart"/>
      <w:r w:rsidRPr="00391186">
        <w:rPr>
          <w:rFonts w:ascii="Times New Roman" w:hAnsi="Times New Roman" w:cs="Times New Roman"/>
          <w:sz w:val="20"/>
          <w:szCs w:val="20"/>
        </w:rPr>
        <w:t>;88:487</w:t>
      </w:r>
      <w:proofErr w:type="gramEnd"/>
      <w:r w:rsidRPr="00391186">
        <w:rPr>
          <w:rFonts w:ascii="Times New Roman" w:hAnsi="Times New Roman" w:cs="Times New Roman"/>
          <w:sz w:val="20"/>
          <w:szCs w:val="20"/>
        </w:rPr>
        <w:t>–514.</w:t>
      </w:r>
    </w:p>
    <w:p w14:paraId="3CF55A21" w14:textId="77777777" w:rsidR="006C2738" w:rsidRPr="00391186" w:rsidRDefault="000511E7"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9. Wollert T, Hurley JH. Molecular mechanism of multivesicular body biogenesis by ESCRT complexes. Nature. 2010;464(7290):864–869.</w:t>
      </w:r>
    </w:p>
    <w:p w14:paraId="2B8F83C0" w14:textId="77777777" w:rsidR="006C2738" w:rsidRPr="00391186" w:rsidRDefault="000511E7"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10. Patel GK, Khan MA, Bhardwaj A, et al. Exosomes are key intercellular messengers in epithelial-mesenchymal transitio</w:t>
      </w:r>
      <w:r w:rsidRPr="00391186">
        <w:rPr>
          <w:rFonts w:ascii="Times New Roman" w:hAnsi="Times New Roman" w:cs="Times New Roman"/>
          <w:sz w:val="20"/>
          <w:szCs w:val="20"/>
        </w:rPr>
        <w:t>n and cancer stem cell maintenance. Sci Rep. 2019;9(1):2697.</w:t>
      </w:r>
    </w:p>
    <w:p w14:paraId="3BBE1579" w14:textId="77777777" w:rsidR="006C2738" w:rsidRPr="00391186" w:rsidRDefault="000511E7"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11. Yoshioka Y, Konishi Y, Kosaka N, et al. Comparative marker analysis of extracellular vesicles in different human cancer types. J Extracell Vesicles. 2013</w:t>
      </w:r>
      <w:proofErr w:type="gramStart"/>
      <w:r w:rsidRPr="00391186">
        <w:rPr>
          <w:rFonts w:ascii="Times New Roman" w:hAnsi="Times New Roman" w:cs="Times New Roman"/>
          <w:sz w:val="20"/>
          <w:szCs w:val="20"/>
        </w:rPr>
        <w:t>;2:20424</w:t>
      </w:r>
      <w:proofErr w:type="gramEnd"/>
      <w:r w:rsidRPr="00391186">
        <w:rPr>
          <w:rFonts w:ascii="Times New Roman" w:hAnsi="Times New Roman" w:cs="Times New Roman"/>
          <w:sz w:val="20"/>
          <w:szCs w:val="20"/>
        </w:rPr>
        <w:t>.</w:t>
      </w:r>
    </w:p>
    <w:p w14:paraId="064A89B1" w14:textId="77777777" w:rsidR="006C2738" w:rsidRPr="00391186" w:rsidRDefault="000511E7"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12. Wiklander OPB, Nordin JZ</w:t>
      </w:r>
      <w:r w:rsidRPr="00391186">
        <w:rPr>
          <w:rFonts w:ascii="Times New Roman" w:hAnsi="Times New Roman" w:cs="Times New Roman"/>
          <w:sz w:val="20"/>
          <w:szCs w:val="20"/>
        </w:rPr>
        <w:t>, O'Loughlin A, et al. Extracellular vesicle in vivo biodistribution is determined by cell source, route of administration and targeting. J Extracell Vesicles. 2015</w:t>
      </w:r>
      <w:proofErr w:type="gramStart"/>
      <w:r w:rsidRPr="00391186">
        <w:rPr>
          <w:rFonts w:ascii="Times New Roman" w:hAnsi="Times New Roman" w:cs="Times New Roman"/>
          <w:sz w:val="20"/>
          <w:szCs w:val="20"/>
        </w:rPr>
        <w:t>;4:26316</w:t>
      </w:r>
      <w:proofErr w:type="gramEnd"/>
      <w:r w:rsidRPr="00391186">
        <w:rPr>
          <w:rFonts w:ascii="Times New Roman" w:hAnsi="Times New Roman" w:cs="Times New Roman"/>
          <w:sz w:val="20"/>
          <w:szCs w:val="20"/>
        </w:rPr>
        <w:t>.</w:t>
      </w:r>
    </w:p>
    <w:p w14:paraId="749110C2" w14:textId="77777777" w:rsidR="006C2738" w:rsidRPr="00391186" w:rsidRDefault="000511E7"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13. Batrakova EV, Kim MS. Using exosomes, naturally-equipped nanocarriers, for dru</w:t>
      </w:r>
      <w:r w:rsidRPr="00391186">
        <w:rPr>
          <w:rFonts w:ascii="Times New Roman" w:hAnsi="Times New Roman" w:cs="Times New Roman"/>
          <w:sz w:val="20"/>
          <w:szCs w:val="20"/>
        </w:rPr>
        <w:t>g delivery. J Control Release. 2015</w:t>
      </w:r>
      <w:proofErr w:type="gramStart"/>
      <w:r w:rsidRPr="00391186">
        <w:rPr>
          <w:rFonts w:ascii="Times New Roman" w:hAnsi="Times New Roman" w:cs="Times New Roman"/>
          <w:sz w:val="20"/>
          <w:szCs w:val="20"/>
        </w:rPr>
        <w:t>;219:396</w:t>
      </w:r>
      <w:proofErr w:type="gramEnd"/>
      <w:r w:rsidRPr="00391186">
        <w:rPr>
          <w:rFonts w:ascii="Times New Roman" w:hAnsi="Times New Roman" w:cs="Times New Roman"/>
          <w:sz w:val="20"/>
          <w:szCs w:val="20"/>
        </w:rPr>
        <w:t>–405.</w:t>
      </w:r>
    </w:p>
    <w:p w14:paraId="7C3CCAEC" w14:textId="77777777" w:rsidR="006C2738" w:rsidRPr="00391186" w:rsidRDefault="000511E7"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14. Tian Y, Li S, Song J, et al. A doxorubicin delivery platform using engineered natural membrane vesicle exosomes for targeted tumor therapy. Biomaterials. 2014;35(7):2383–2390.</w:t>
      </w:r>
    </w:p>
    <w:p w14:paraId="4341C807" w14:textId="77777777" w:rsidR="006C2738" w:rsidRPr="00391186" w:rsidRDefault="000511E7"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 xml:space="preserve">15. Kim MS, Haney MJ, Zhao </w:t>
      </w:r>
      <w:r w:rsidRPr="00391186">
        <w:rPr>
          <w:rFonts w:ascii="Times New Roman" w:hAnsi="Times New Roman" w:cs="Times New Roman"/>
          <w:sz w:val="20"/>
          <w:szCs w:val="20"/>
        </w:rPr>
        <w:t>Y, et al. Development of exosome-encapsulated paclitaxel to overcome MDR in cancer cells. Nanomedicine. 2016;12(3):655–664.</w:t>
      </w:r>
    </w:p>
    <w:p w14:paraId="4DA39DF7" w14:textId="77777777" w:rsidR="006C2738" w:rsidRPr="00391186" w:rsidRDefault="000511E7"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 xml:space="preserve">16. Sun D, Zhuang X, Xiang X, et al. A novel nanoparticle drug delivery system: the anti-inflammatory activity of curcumin is </w:t>
      </w:r>
      <w:r w:rsidRPr="00391186">
        <w:rPr>
          <w:rFonts w:ascii="Times New Roman" w:hAnsi="Times New Roman" w:cs="Times New Roman"/>
          <w:sz w:val="20"/>
          <w:szCs w:val="20"/>
        </w:rPr>
        <w:t>enhanced when encapsulated in exosomes. Mol Ther. 2010;18(9):1606–1614.</w:t>
      </w:r>
    </w:p>
    <w:p w14:paraId="18EFFC60" w14:textId="77777777" w:rsidR="006C2738" w:rsidRPr="00391186" w:rsidRDefault="000511E7"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17. Kamerkar S, LeBleu VS, Sugimoto H, et al. Exosomes facilitate therapeutic targeting of oncogenic KRAS in pancreatic cancer. Nature. 2017;546(7659):498–503.</w:t>
      </w:r>
    </w:p>
    <w:p w14:paraId="49B1BB14" w14:textId="77777777" w:rsidR="006C2738" w:rsidRPr="00391186" w:rsidRDefault="000511E7"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18. Alvarez-Erviti L, Se</w:t>
      </w:r>
      <w:r w:rsidRPr="00391186">
        <w:rPr>
          <w:rFonts w:ascii="Times New Roman" w:hAnsi="Times New Roman" w:cs="Times New Roman"/>
          <w:sz w:val="20"/>
          <w:szCs w:val="20"/>
        </w:rPr>
        <w:t>ow Y, Yin H, et al. Lysosomal membrane permeabilization causes oxidative stress and ferroptosis during Parkinson's disease. Nat Commun. 2019</w:t>
      </w:r>
      <w:proofErr w:type="gramStart"/>
      <w:r w:rsidRPr="00391186">
        <w:rPr>
          <w:rFonts w:ascii="Times New Roman" w:hAnsi="Times New Roman" w:cs="Times New Roman"/>
          <w:sz w:val="20"/>
          <w:szCs w:val="20"/>
        </w:rPr>
        <w:t>;10:4243</w:t>
      </w:r>
      <w:proofErr w:type="gramEnd"/>
      <w:r w:rsidRPr="00391186">
        <w:rPr>
          <w:rFonts w:ascii="Times New Roman" w:hAnsi="Times New Roman" w:cs="Times New Roman"/>
          <w:sz w:val="20"/>
          <w:szCs w:val="20"/>
        </w:rPr>
        <w:t>. [NOTE: Haney MJ et al. Exosomes as drug delivery vehicles for Parkinson's disease therapy. J Control Relea</w:t>
      </w:r>
      <w:r w:rsidRPr="00391186">
        <w:rPr>
          <w:rFonts w:ascii="Times New Roman" w:hAnsi="Times New Roman" w:cs="Times New Roman"/>
          <w:sz w:val="20"/>
          <w:szCs w:val="20"/>
        </w:rPr>
        <w:t>se. 2015</w:t>
      </w:r>
      <w:proofErr w:type="gramStart"/>
      <w:r w:rsidRPr="00391186">
        <w:rPr>
          <w:rFonts w:ascii="Times New Roman" w:hAnsi="Times New Roman" w:cs="Times New Roman"/>
          <w:sz w:val="20"/>
          <w:szCs w:val="20"/>
        </w:rPr>
        <w:t>;207:18</w:t>
      </w:r>
      <w:proofErr w:type="gramEnd"/>
      <w:r w:rsidRPr="00391186">
        <w:rPr>
          <w:rFonts w:ascii="Times New Roman" w:hAnsi="Times New Roman" w:cs="Times New Roman"/>
          <w:sz w:val="20"/>
          <w:szCs w:val="20"/>
        </w:rPr>
        <w:t>–30.]</w:t>
      </w:r>
    </w:p>
    <w:p w14:paraId="4262BDB1" w14:textId="77777777" w:rsidR="006C2738" w:rsidRPr="00391186" w:rsidRDefault="000511E7"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19. Haney MJ, Klyachko NL, Zhao Y, et al. Exosomes as drug delivery vehicles for Parkinson's disease therapy. J Control Release. 2015</w:t>
      </w:r>
      <w:proofErr w:type="gramStart"/>
      <w:r w:rsidRPr="00391186">
        <w:rPr>
          <w:rFonts w:ascii="Times New Roman" w:hAnsi="Times New Roman" w:cs="Times New Roman"/>
          <w:sz w:val="20"/>
          <w:szCs w:val="20"/>
        </w:rPr>
        <w:t>;207:18</w:t>
      </w:r>
      <w:proofErr w:type="gramEnd"/>
      <w:r w:rsidRPr="00391186">
        <w:rPr>
          <w:rFonts w:ascii="Times New Roman" w:hAnsi="Times New Roman" w:cs="Times New Roman"/>
          <w:sz w:val="20"/>
          <w:szCs w:val="20"/>
        </w:rPr>
        <w:t>–30.</w:t>
      </w:r>
    </w:p>
    <w:p w14:paraId="6113F774" w14:textId="77777777" w:rsidR="006C2738" w:rsidRPr="00391186" w:rsidRDefault="000511E7"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20. Zhuang X, Xiang X, Grizzle W, et al. Treatment of brain inflammatory diseases by deliv</w:t>
      </w:r>
      <w:r w:rsidRPr="00391186">
        <w:rPr>
          <w:rFonts w:ascii="Times New Roman" w:hAnsi="Times New Roman" w:cs="Times New Roman"/>
          <w:sz w:val="20"/>
          <w:szCs w:val="20"/>
        </w:rPr>
        <w:t>ering exosome encapsulated anti-inflammatory drugs from the nasal region to the brain. Mol Ther. 2011;19(10):1769–1779.</w:t>
      </w:r>
    </w:p>
    <w:p w14:paraId="56091A45" w14:textId="77777777" w:rsidR="006C2738" w:rsidRPr="00391186" w:rsidRDefault="000511E7"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lastRenderedPageBreak/>
        <w:t>21. Katakowski M, Buller B, Zheng X, et al. Exosomes from marrow stromal cells expressing miR-146b inhibit glioma growth. Cancer Lett. 2</w:t>
      </w:r>
      <w:r w:rsidRPr="00391186">
        <w:rPr>
          <w:rFonts w:ascii="Times New Roman" w:hAnsi="Times New Roman" w:cs="Times New Roman"/>
          <w:sz w:val="20"/>
          <w:szCs w:val="20"/>
        </w:rPr>
        <w:t>013;335(1):201–204.</w:t>
      </w:r>
    </w:p>
    <w:p w14:paraId="3641AFF2" w14:textId="77777777" w:rsidR="006C2738" w:rsidRPr="00391186" w:rsidRDefault="000511E7"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22. Arslan F, Lai RC, Smeets MB, et al. Mesenchymal stem cell-derived exosomes increase cardiac survival and improve cardiac function following myocardial ischemia-reperfusion injury. Stem Cell Res. 2013;10(3):301–312.</w:t>
      </w:r>
    </w:p>
    <w:p w14:paraId="11079974" w14:textId="77777777" w:rsidR="006C2738" w:rsidRPr="00391186" w:rsidRDefault="000511E7"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23. Besse B, Char</w:t>
      </w:r>
      <w:r w:rsidRPr="00391186">
        <w:rPr>
          <w:rFonts w:ascii="Times New Roman" w:hAnsi="Times New Roman" w:cs="Times New Roman"/>
          <w:sz w:val="20"/>
          <w:szCs w:val="20"/>
        </w:rPr>
        <w:t>rier M, Lapierre V, et al. Dendritic cell-derived exosomes as maintenance immunotherapy after first line chemotherapy in NSCLC. OncoImmunology. 2016</w:t>
      </w:r>
      <w:proofErr w:type="gramStart"/>
      <w:r w:rsidRPr="00391186">
        <w:rPr>
          <w:rFonts w:ascii="Times New Roman" w:hAnsi="Times New Roman" w:cs="Times New Roman"/>
          <w:sz w:val="20"/>
          <w:szCs w:val="20"/>
        </w:rPr>
        <w:t>;5</w:t>
      </w:r>
      <w:proofErr w:type="gramEnd"/>
      <w:r w:rsidRPr="00391186">
        <w:rPr>
          <w:rFonts w:ascii="Times New Roman" w:hAnsi="Times New Roman" w:cs="Times New Roman"/>
          <w:sz w:val="20"/>
          <w:szCs w:val="20"/>
        </w:rPr>
        <w:t>(4):e1071008.</w:t>
      </w:r>
    </w:p>
    <w:p w14:paraId="6B96B601" w14:textId="77777777" w:rsidR="006C2738" w:rsidRPr="00391186" w:rsidRDefault="000511E7"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24. Vader P, Mol EA, Pasterkamp G, Schiffelers RM. Extracellular vesicles for drug delivery.</w:t>
      </w:r>
      <w:r w:rsidRPr="00391186">
        <w:rPr>
          <w:rFonts w:ascii="Times New Roman" w:hAnsi="Times New Roman" w:cs="Times New Roman"/>
          <w:sz w:val="20"/>
          <w:szCs w:val="20"/>
        </w:rPr>
        <w:t xml:space="preserve"> Adv Drug Deliv Rev. 2016;106(Pt A):148–156.</w:t>
      </w:r>
    </w:p>
    <w:p w14:paraId="0FD12D6B" w14:textId="77777777" w:rsidR="006C2738" w:rsidRPr="00391186" w:rsidRDefault="000511E7"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25. Phinney DG, Pittenger MF. Concise review: MSC-derived exosomes for cell-free therapy. Stem Cells. 2017;35(4):851–858.</w:t>
      </w:r>
    </w:p>
    <w:p w14:paraId="66C80875" w14:textId="77777777" w:rsidR="006C2738" w:rsidRPr="00391186" w:rsidRDefault="000511E7"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26. Xu R, Rai A, Chen M, et al. Extracellular vesicles in cancer — implications for futur</w:t>
      </w:r>
      <w:r w:rsidRPr="00391186">
        <w:rPr>
          <w:rFonts w:ascii="Times New Roman" w:hAnsi="Times New Roman" w:cs="Times New Roman"/>
          <w:sz w:val="20"/>
          <w:szCs w:val="20"/>
        </w:rPr>
        <w:t>e improvements in cancer care. Nat Rev Clin Oncol. 2018;15(10):617–638.</w:t>
      </w:r>
    </w:p>
    <w:p w14:paraId="22F95F40" w14:textId="77777777" w:rsidR="006C2738" w:rsidRPr="00391186" w:rsidRDefault="000511E7"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27. Yong T, Zhang X, Bie N, et al. Tumor exosome-based nanoparticles are efficient drug carriers for chemotherapy. Nat Commun. 2019;10(1):3838.</w:t>
      </w:r>
    </w:p>
    <w:p w14:paraId="53C7DF8F" w14:textId="77777777" w:rsidR="006C2738" w:rsidRPr="00391186" w:rsidRDefault="000511E7"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28. Zhang Y, Bi J, Huang J, et al. Exoso</w:t>
      </w:r>
      <w:r w:rsidRPr="00391186">
        <w:rPr>
          <w:rFonts w:ascii="Times New Roman" w:hAnsi="Times New Roman" w:cs="Times New Roman"/>
          <w:sz w:val="20"/>
          <w:szCs w:val="20"/>
        </w:rPr>
        <w:t>me: A review of its classification, isolation techniques, storage, diagnostic and targeted therapy applications. Int J Nanomedicine. 2020</w:t>
      </w:r>
      <w:proofErr w:type="gramStart"/>
      <w:r w:rsidRPr="00391186">
        <w:rPr>
          <w:rFonts w:ascii="Times New Roman" w:hAnsi="Times New Roman" w:cs="Times New Roman"/>
          <w:sz w:val="20"/>
          <w:szCs w:val="20"/>
        </w:rPr>
        <w:t>;15:6917</w:t>
      </w:r>
      <w:proofErr w:type="gramEnd"/>
      <w:r w:rsidRPr="00391186">
        <w:rPr>
          <w:rFonts w:ascii="Times New Roman" w:hAnsi="Times New Roman" w:cs="Times New Roman"/>
          <w:sz w:val="20"/>
          <w:szCs w:val="20"/>
        </w:rPr>
        <w:t>–6934.</w:t>
      </w:r>
    </w:p>
    <w:p w14:paraId="35D84B77" w14:textId="77777777" w:rsidR="006C2738" w:rsidRPr="00391186" w:rsidRDefault="000511E7"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 xml:space="preserve">29. Lener T, Gimona M, Aigner L, et al. </w:t>
      </w:r>
      <w:proofErr w:type="gramStart"/>
      <w:r w:rsidRPr="00391186">
        <w:rPr>
          <w:rFonts w:ascii="Times New Roman" w:hAnsi="Times New Roman" w:cs="Times New Roman"/>
          <w:sz w:val="20"/>
          <w:szCs w:val="20"/>
        </w:rPr>
        <w:t>Applying</w:t>
      </w:r>
      <w:proofErr w:type="gramEnd"/>
      <w:r w:rsidRPr="00391186">
        <w:rPr>
          <w:rFonts w:ascii="Times New Roman" w:hAnsi="Times New Roman" w:cs="Times New Roman"/>
          <w:sz w:val="20"/>
          <w:szCs w:val="20"/>
        </w:rPr>
        <w:t xml:space="preserve"> extracellular vesicles based therapeutics in clinical t</w:t>
      </w:r>
      <w:r w:rsidRPr="00391186">
        <w:rPr>
          <w:rFonts w:ascii="Times New Roman" w:hAnsi="Times New Roman" w:cs="Times New Roman"/>
          <w:sz w:val="20"/>
          <w:szCs w:val="20"/>
        </w:rPr>
        <w:t>rials – an ISEV position paper. J Extracell Vesicles. 2015</w:t>
      </w:r>
      <w:proofErr w:type="gramStart"/>
      <w:r w:rsidRPr="00391186">
        <w:rPr>
          <w:rFonts w:ascii="Times New Roman" w:hAnsi="Times New Roman" w:cs="Times New Roman"/>
          <w:sz w:val="20"/>
          <w:szCs w:val="20"/>
        </w:rPr>
        <w:t>;4:30087</w:t>
      </w:r>
      <w:proofErr w:type="gramEnd"/>
      <w:r w:rsidRPr="00391186">
        <w:rPr>
          <w:rFonts w:ascii="Times New Roman" w:hAnsi="Times New Roman" w:cs="Times New Roman"/>
          <w:sz w:val="20"/>
          <w:szCs w:val="20"/>
        </w:rPr>
        <w:t>.</w:t>
      </w:r>
    </w:p>
    <w:p w14:paraId="45D3D7E4" w14:textId="77777777" w:rsidR="006C2738" w:rsidRPr="00391186" w:rsidRDefault="000511E7" w:rsidP="00391186">
      <w:pPr>
        <w:spacing w:before="60" w:after="60" w:line="360" w:lineRule="auto"/>
        <w:ind w:left="480" w:hanging="480"/>
        <w:jc w:val="both"/>
        <w:rPr>
          <w:rFonts w:ascii="Times New Roman" w:hAnsi="Times New Roman" w:cs="Times New Roman"/>
        </w:rPr>
      </w:pPr>
      <w:r w:rsidRPr="00391186">
        <w:rPr>
          <w:rFonts w:ascii="Times New Roman" w:hAnsi="Times New Roman" w:cs="Times New Roman"/>
          <w:sz w:val="20"/>
          <w:szCs w:val="20"/>
        </w:rPr>
        <w:t>30. Joshi BS, de Beer MA, Giepmans BNG, Zuhorn IS. Endocytosis of extracellular vesicles and release of their cargo from endosomes. ACS Nano. 2020;14(4):4444–4455.</w:t>
      </w:r>
    </w:p>
    <w:sectPr w:rsidR="006C2738" w:rsidRPr="00391186" w:rsidSect="00391186">
      <w:headerReference w:type="default" r:id="rId9"/>
      <w:footerReference w:type="default" r:id="rId10"/>
      <w:pgSz w:w="12240" w:h="15840"/>
      <w:pgMar w:top="720" w:right="720" w:bottom="720" w:left="720" w:header="22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1CFA9" w14:textId="77777777" w:rsidR="000511E7" w:rsidRDefault="000511E7">
      <w:r>
        <w:separator/>
      </w:r>
    </w:p>
  </w:endnote>
  <w:endnote w:type="continuationSeparator" w:id="0">
    <w:p w14:paraId="05C110E5" w14:textId="77777777" w:rsidR="000511E7" w:rsidRDefault="00051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47E7E" w14:textId="28E4DF92" w:rsidR="006C2738" w:rsidRDefault="006C2738">
    <w:pPr>
      <w:pBdr>
        <w:top w:val="single" w:sz="6" w:space="4" w:color="2E75B6"/>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B00E4" w14:textId="77777777" w:rsidR="000511E7" w:rsidRDefault="000511E7">
      <w:r>
        <w:separator/>
      </w:r>
    </w:p>
  </w:footnote>
  <w:footnote w:type="continuationSeparator" w:id="0">
    <w:p w14:paraId="135F6F84" w14:textId="77777777" w:rsidR="000511E7" w:rsidRDefault="000511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132C5" w14:textId="34F079C7" w:rsidR="006C2738" w:rsidRPr="00391186" w:rsidRDefault="006C2738">
    <w:pPr>
      <w:pBdr>
        <w:bottom w:val="single" w:sz="6" w:space="4" w:color="2E75B6"/>
      </w:pBdr>
      <w:tabs>
        <w:tab w:val="right" w:pos="902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FF5"/>
    <w:multiLevelType w:val="hybridMultilevel"/>
    <w:tmpl w:val="038EAE46"/>
    <w:lvl w:ilvl="0" w:tplc="23A84D94">
      <w:start w:val="1"/>
      <w:numFmt w:val="bullet"/>
      <w:lvlText w:val="●"/>
      <w:lvlJc w:val="left"/>
      <w:pPr>
        <w:ind w:left="720" w:hanging="360"/>
      </w:pPr>
    </w:lvl>
    <w:lvl w:ilvl="1" w:tplc="97923DF2">
      <w:start w:val="1"/>
      <w:numFmt w:val="bullet"/>
      <w:lvlText w:val="○"/>
      <w:lvlJc w:val="left"/>
      <w:pPr>
        <w:ind w:left="1440" w:hanging="360"/>
      </w:pPr>
    </w:lvl>
    <w:lvl w:ilvl="2" w:tplc="B8669E0E">
      <w:start w:val="1"/>
      <w:numFmt w:val="bullet"/>
      <w:lvlText w:val="■"/>
      <w:lvlJc w:val="left"/>
      <w:pPr>
        <w:ind w:left="2160" w:hanging="360"/>
      </w:pPr>
    </w:lvl>
    <w:lvl w:ilvl="3" w:tplc="12AE1E46">
      <w:start w:val="1"/>
      <w:numFmt w:val="bullet"/>
      <w:lvlText w:val="●"/>
      <w:lvlJc w:val="left"/>
      <w:pPr>
        <w:ind w:left="2880" w:hanging="360"/>
      </w:pPr>
    </w:lvl>
    <w:lvl w:ilvl="4" w:tplc="E1AE87F0">
      <w:start w:val="1"/>
      <w:numFmt w:val="bullet"/>
      <w:lvlText w:val="○"/>
      <w:lvlJc w:val="left"/>
      <w:pPr>
        <w:ind w:left="3600" w:hanging="360"/>
      </w:pPr>
    </w:lvl>
    <w:lvl w:ilvl="5" w:tplc="7BCEFDD4">
      <w:start w:val="1"/>
      <w:numFmt w:val="bullet"/>
      <w:lvlText w:val="■"/>
      <w:lvlJc w:val="left"/>
      <w:pPr>
        <w:ind w:left="4320" w:hanging="360"/>
      </w:pPr>
    </w:lvl>
    <w:lvl w:ilvl="6" w:tplc="6B0E80D0">
      <w:start w:val="1"/>
      <w:numFmt w:val="bullet"/>
      <w:lvlText w:val="●"/>
      <w:lvlJc w:val="left"/>
      <w:pPr>
        <w:ind w:left="5040" w:hanging="360"/>
      </w:pPr>
    </w:lvl>
    <w:lvl w:ilvl="7" w:tplc="10B8A696">
      <w:start w:val="1"/>
      <w:numFmt w:val="bullet"/>
      <w:lvlText w:val="●"/>
      <w:lvlJc w:val="left"/>
      <w:pPr>
        <w:ind w:left="5760" w:hanging="360"/>
      </w:pPr>
    </w:lvl>
    <w:lvl w:ilvl="8" w:tplc="4C2A5932">
      <w:start w:val="1"/>
      <w:numFmt w:val="bullet"/>
      <w:lvlText w:val="●"/>
      <w:lvlJc w:val="left"/>
      <w:pPr>
        <w:ind w:left="6480" w:hanging="360"/>
      </w:pPr>
    </w:lvl>
  </w:abstractNum>
  <w:abstractNum w:abstractNumId="1">
    <w:nsid w:val="2A9D1306"/>
    <w:multiLevelType w:val="hybridMultilevel"/>
    <w:tmpl w:val="FD847056"/>
    <w:lvl w:ilvl="0" w:tplc="1C8CADA4">
      <w:start w:val="1"/>
      <w:numFmt w:val="bullet"/>
      <w:lvlText w:val="•"/>
      <w:lvlJc w:val="left"/>
      <w:pPr>
        <w:ind w:left="720" w:hanging="360"/>
      </w:pPr>
    </w:lvl>
    <w:lvl w:ilvl="1" w:tplc="EB62A47E">
      <w:numFmt w:val="decimal"/>
      <w:lvlText w:val=""/>
      <w:lvlJc w:val="left"/>
    </w:lvl>
    <w:lvl w:ilvl="2" w:tplc="FFEA6A20">
      <w:numFmt w:val="decimal"/>
      <w:lvlText w:val=""/>
      <w:lvlJc w:val="left"/>
    </w:lvl>
    <w:lvl w:ilvl="3" w:tplc="B9883584">
      <w:numFmt w:val="decimal"/>
      <w:lvlText w:val=""/>
      <w:lvlJc w:val="left"/>
    </w:lvl>
    <w:lvl w:ilvl="4" w:tplc="57ACC426">
      <w:numFmt w:val="decimal"/>
      <w:lvlText w:val=""/>
      <w:lvlJc w:val="left"/>
    </w:lvl>
    <w:lvl w:ilvl="5" w:tplc="A216A086">
      <w:numFmt w:val="decimal"/>
      <w:lvlText w:val=""/>
      <w:lvlJc w:val="left"/>
    </w:lvl>
    <w:lvl w:ilvl="6" w:tplc="E5D22A58">
      <w:numFmt w:val="decimal"/>
      <w:lvlText w:val=""/>
      <w:lvlJc w:val="left"/>
    </w:lvl>
    <w:lvl w:ilvl="7" w:tplc="CC9E7002">
      <w:numFmt w:val="decimal"/>
      <w:lvlText w:val=""/>
      <w:lvlJc w:val="left"/>
    </w:lvl>
    <w:lvl w:ilvl="8" w:tplc="7604E0C8">
      <w:numFmt w:val="decimal"/>
      <w:lvlText w:val=""/>
      <w:lvlJc w:val="left"/>
    </w:lvl>
  </w:abstractNum>
  <w:abstractNum w:abstractNumId="2">
    <w:nsid w:val="7C680144"/>
    <w:multiLevelType w:val="hybridMultilevel"/>
    <w:tmpl w:val="10A021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startOverride w:val="1"/>
    </w:lvlOverride>
  </w:num>
  <w:num w:numId="2">
    <w:abstractNumId w:val="1"/>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738"/>
    <w:rsid w:val="000511E7"/>
    <w:rsid w:val="003602D0"/>
    <w:rsid w:val="00391186"/>
    <w:rsid w:val="006C2738"/>
    <w:rsid w:val="00EB1CEC"/>
    <w:rsid w:val="00EF35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A6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spacing w:before="340" w:after="160"/>
      <w:outlineLvl w:val="0"/>
    </w:pPr>
    <w:rPr>
      <w:b/>
      <w:bCs/>
      <w:color w:val="1F4E79"/>
      <w:sz w:val="30"/>
      <w:szCs w:val="30"/>
    </w:rPr>
  </w:style>
  <w:style w:type="paragraph" w:styleId="Heading2">
    <w:name w:val="heading 2"/>
    <w:uiPriority w:val="9"/>
    <w:unhideWhenUsed/>
    <w:qFormat/>
    <w:pPr>
      <w:spacing w:before="240" w:after="120"/>
      <w:outlineLvl w:val="1"/>
    </w:pPr>
    <w:rPr>
      <w:b/>
      <w:bCs/>
      <w:color w:val="2E75B6"/>
      <w:sz w:val="26"/>
      <w:szCs w:val="26"/>
    </w:rPr>
  </w:style>
  <w:style w:type="paragraph" w:styleId="Heading3">
    <w:name w:val="heading 3"/>
    <w:uiPriority w:val="9"/>
    <w:unhideWhenUsed/>
    <w:qFormat/>
    <w:pPr>
      <w:spacing w:before="180" w:after="80"/>
      <w:outlineLvl w:val="2"/>
    </w:pPr>
    <w:rPr>
      <w:b/>
      <w:bCs/>
      <w:i/>
      <w:iCs/>
      <w:color w:val="2E75B6"/>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91186"/>
    <w:pPr>
      <w:tabs>
        <w:tab w:val="center" w:pos="4513"/>
        <w:tab w:val="right" w:pos="9026"/>
      </w:tabs>
    </w:pPr>
  </w:style>
  <w:style w:type="character" w:customStyle="1" w:styleId="HeaderChar">
    <w:name w:val="Header Char"/>
    <w:basedOn w:val="DefaultParagraphFont"/>
    <w:link w:val="Header"/>
    <w:uiPriority w:val="99"/>
    <w:rsid w:val="00391186"/>
  </w:style>
  <w:style w:type="paragraph" w:styleId="Footer">
    <w:name w:val="footer"/>
    <w:basedOn w:val="Normal"/>
    <w:link w:val="FooterChar"/>
    <w:uiPriority w:val="99"/>
    <w:unhideWhenUsed/>
    <w:rsid w:val="00391186"/>
    <w:pPr>
      <w:tabs>
        <w:tab w:val="center" w:pos="4513"/>
        <w:tab w:val="right" w:pos="9026"/>
      </w:tabs>
    </w:pPr>
  </w:style>
  <w:style w:type="character" w:customStyle="1" w:styleId="FooterChar">
    <w:name w:val="Footer Char"/>
    <w:basedOn w:val="DefaultParagraphFont"/>
    <w:link w:val="Footer"/>
    <w:uiPriority w:val="99"/>
    <w:rsid w:val="00391186"/>
  </w:style>
  <w:style w:type="table" w:customStyle="1" w:styleId="GridTableLight">
    <w:name w:val="Grid Table Light"/>
    <w:basedOn w:val="TableNormal"/>
    <w:uiPriority w:val="40"/>
    <w:rsid w:val="00391186"/>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spacing w:before="340" w:after="160"/>
      <w:outlineLvl w:val="0"/>
    </w:pPr>
    <w:rPr>
      <w:b/>
      <w:bCs/>
      <w:color w:val="1F4E79"/>
      <w:sz w:val="30"/>
      <w:szCs w:val="30"/>
    </w:rPr>
  </w:style>
  <w:style w:type="paragraph" w:styleId="Heading2">
    <w:name w:val="heading 2"/>
    <w:uiPriority w:val="9"/>
    <w:unhideWhenUsed/>
    <w:qFormat/>
    <w:pPr>
      <w:spacing w:before="240" w:after="120"/>
      <w:outlineLvl w:val="1"/>
    </w:pPr>
    <w:rPr>
      <w:b/>
      <w:bCs/>
      <w:color w:val="2E75B6"/>
      <w:sz w:val="26"/>
      <w:szCs w:val="26"/>
    </w:rPr>
  </w:style>
  <w:style w:type="paragraph" w:styleId="Heading3">
    <w:name w:val="heading 3"/>
    <w:uiPriority w:val="9"/>
    <w:unhideWhenUsed/>
    <w:qFormat/>
    <w:pPr>
      <w:spacing w:before="180" w:after="80"/>
      <w:outlineLvl w:val="2"/>
    </w:pPr>
    <w:rPr>
      <w:b/>
      <w:bCs/>
      <w:i/>
      <w:iCs/>
      <w:color w:val="2E75B6"/>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91186"/>
    <w:pPr>
      <w:tabs>
        <w:tab w:val="center" w:pos="4513"/>
        <w:tab w:val="right" w:pos="9026"/>
      </w:tabs>
    </w:pPr>
  </w:style>
  <w:style w:type="character" w:customStyle="1" w:styleId="HeaderChar">
    <w:name w:val="Header Char"/>
    <w:basedOn w:val="DefaultParagraphFont"/>
    <w:link w:val="Header"/>
    <w:uiPriority w:val="99"/>
    <w:rsid w:val="00391186"/>
  </w:style>
  <w:style w:type="paragraph" w:styleId="Footer">
    <w:name w:val="footer"/>
    <w:basedOn w:val="Normal"/>
    <w:link w:val="FooterChar"/>
    <w:uiPriority w:val="99"/>
    <w:unhideWhenUsed/>
    <w:rsid w:val="00391186"/>
    <w:pPr>
      <w:tabs>
        <w:tab w:val="center" w:pos="4513"/>
        <w:tab w:val="right" w:pos="9026"/>
      </w:tabs>
    </w:pPr>
  </w:style>
  <w:style w:type="character" w:customStyle="1" w:styleId="FooterChar">
    <w:name w:val="Footer Char"/>
    <w:basedOn w:val="DefaultParagraphFont"/>
    <w:link w:val="Footer"/>
    <w:uiPriority w:val="99"/>
    <w:rsid w:val="00391186"/>
  </w:style>
  <w:style w:type="table" w:customStyle="1" w:styleId="GridTableLight">
    <w:name w:val="Grid Table Light"/>
    <w:basedOn w:val="TableNormal"/>
    <w:uiPriority w:val="40"/>
    <w:rsid w:val="00391186"/>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9F6E5-818E-4FAB-9C06-FF39CC514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4810</Words>
  <Characters>27422</Characters>
  <Application>Microsoft Office Word</Application>
  <DocSecurity>0</DocSecurity>
  <Lines>228</Lines>
  <Paragraphs>64</Paragraphs>
  <ScaleCrop>false</ScaleCrop>
  <Company/>
  <LinksUpToDate>false</LinksUpToDate>
  <CharactersWithSpaces>32168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3</cp:revision>
  <dcterms:created xsi:type="dcterms:W3CDTF">2026-03-24T16:16:00Z</dcterms:created>
  <dcterms:modified xsi:type="dcterms:W3CDTF">2026-04-25T11:21:00Z</dcterms:modified>
</cp:coreProperties>
</file>