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9C" w:rsidRPr="007A1AD3" w:rsidRDefault="007A1AD3" w:rsidP="007A1AD3">
      <w:pPr>
        <w:jc w:val="center"/>
        <w:rPr>
          <w:rFonts w:ascii="Times New Roman" w:hAnsi="Times New Roman" w:cs="Times New Roman"/>
          <w:b/>
          <w:sz w:val="32"/>
          <w:szCs w:val="32"/>
        </w:rPr>
      </w:pPr>
      <w:r w:rsidRPr="007A1AD3">
        <w:rPr>
          <w:rFonts w:ascii="Times New Roman" w:hAnsi="Times New Roman" w:cs="Times New Roman"/>
          <w:b/>
          <w:sz w:val="32"/>
          <w:szCs w:val="32"/>
        </w:rPr>
        <w:t>Examining the Role of Total Quality Management in Human Resource Practices: A Study of Hospitals in Warangal</w:t>
      </w:r>
    </w:p>
    <w:p w:rsidR="00F73D9C" w:rsidRDefault="00F73D9C" w:rsidP="00F73D9C">
      <w:pPr>
        <w:pStyle w:val="Heading2"/>
      </w:pPr>
      <w:bookmarkStart w:id="0" w:name="_GoBack"/>
      <w:bookmarkEnd w:id="0"/>
      <w:r>
        <w:rPr>
          <w:rStyle w:val="Strong"/>
          <w:b/>
          <w:bCs/>
        </w:rPr>
        <w:t>Abstract</w:t>
      </w:r>
    </w:p>
    <w:p w:rsidR="00F73D9C" w:rsidRDefault="00F73D9C" w:rsidP="007A1AD3">
      <w:pPr>
        <w:pStyle w:val="NormalWeb"/>
        <w:jc w:val="both"/>
      </w:pPr>
      <w:r>
        <w:t xml:space="preserve">Total Quality Management (TQM) has evolved as a strategic approach for enhancing service quality, operational efficiency, and patient satisfaction in healthcare institutions. In the context of hospitals, TQM emphasizes continuous improvement, patient-centered care, and employee </w:t>
      </w:r>
      <w:proofErr w:type="gramStart"/>
      <w:r>
        <w:t>involvement</w:t>
      </w:r>
      <w:proofErr w:type="gramEnd"/>
      <w:r>
        <w:t>, particularly among frontline healthcare workers such as nurses. This study examines the role of TQM practices in improving nurse behavior and nurse–patient relationships in selected hospitals in Warangal. Primary data were collected through structured questionnaires from patients across six hospitals. Statistical tools such as mean, standard deviation, and t-test were applied for analysis. The findings reveal that nurse behavior and interpersonal relationships significantly influence patient satisfaction, highlighting the importance of HR practices aligned with TQM principles. The study concludes that effective implementation of TQM enhances service quality and patient trust in healthcare institutions.</w:t>
      </w:r>
    </w:p>
    <w:p w:rsidR="00F73D9C" w:rsidRDefault="00F73D9C" w:rsidP="0075286C">
      <w:pPr>
        <w:pStyle w:val="NormalWeb"/>
        <w:jc w:val="both"/>
      </w:pPr>
      <w:r>
        <w:rPr>
          <w:rStyle w:val="Strong"/>
        </w:rPr>
        <w:t>Keywords:</w:t>
      </w:r>
      <w:r>
        <w:t xml:space="preserve"> Total Quality Management, Healthcare Quality, Nurse Behavior, Patient Satisfaction, HR Practices</w:t>
      </w:r>
      <w:r w:rsidR="0075286C">
        <w:t>.</w:t>
      </w:r>
    </w:p>
    <w:p w:rsidR="000120C2" w:rsidRDefault="000120C2" w:rsidP="0075286C">
      <w:pPr>
        <w:pStyle w:val="NormalWeb"/>
        <w:jc w:val="both"/>
      </w:pPr>
    </w:p>
    <w:p w:rsidR="00F73D9C" w:rsidRPr="005E599F" w:rsidRDefault="00F73D9C" w:rsidP="00F73D9C">
      <w:pPr>
        <w:pStyle w:val="Heading2"/>
        <w:rPr>
          <w:sz w:val="24"/>
          <w:szCs w:val="24"/>
        </w:rPr>
      </w:pPr>
      <w:r w:rsidRPr="005E599F">
        <w:rPr>
          <w:rStyle w:val="Strong"/>
          <w:b/>
          <w:bCs/>
          <w:sz w:val="24"/>
          <w:szCs w:val="24"/>
        </w:rPr>
        <w:t>1. Introduction</w:t>
      </w:r>
    </w:p>
    <w:p w:rsidR="00F73D9C" w:rsidRDefault="00F73D9C" w:rsidP="007A1AD3">
      <w:pPr>
        <w:pStyle w:val="NormalWeb"/>
        <w:jc w:val="both"/>
      </w:pPr>
      <w:r>
        <w:t>The healthcare sector in India has undergone significant transformation in recent years, driven by technological advancements, increased patient awareness, and rising competition among hospitals. Quality in healthcare is no longer limited to clinical outcomes but extends to patient experience, service delivery, and staff behavior.</w:t>
      </w:r>
    </w:p>
    <w:p w:rsidR="00F73D9C" w:rsidRDefault="00F73D9C" w:rsidP="007A1AD3">
      <w:pPr>
        <w:pStyle w:val="NormalWeb"/>
        <w:jc w:val="both"/>
      </w:pPr>
      <w:r>
        <w:t>Total Quality Management (TQM) provides a comprehensive framework for ensuring quality across all organizational processes. In hospitals, TQM focuses on:</w:t>
      </w:r>
    </w:p>
    <w:p w:rsidR="00F73D9C" w:rsidRDefault="00F73D9C" w:rsidP="00F73D9C">
      <w:pPr>
        <w:pStyle w:val="NormalWeb"/>
        <w:numPr>
          <w:ilvl w:val="0"/>
          <w:numId w:val="5"/>
        </w:numPr>
      </w:pPr>
      <w:r>
        <w:t>Continuous improvement in service delivery</w:t>
      </w:r>
    </w:p>
    <w:p w:rsidR="00F73D9C" w:rsidRDefault="00F73D9C" w:rsidP="00F73D9C">
      <w:pPr>
        <w:pStyle w:val="NormalWeb"/>
        <w:numPr>
          <w:ilvl w:val="0"/>
          <w:numId w:val="5"/>
        </w:numPr>
      </w:pPr>
      <w:r>
        <w:t>Patient-centered care</w:t>
      </w:r>
    </w:p>
    <w:p w:rsidR="00F73D9C" w:rsidRDefault="00F73D9C" w:rsidP="00F73D9C">
      <w:pPr>
        <w:pStyle w:val="NormalWeb"/>
        <w:numPr>
          <w:ilvl w:val="0"/>
          <w:numId w:val="5"/>
        </w:numPr>
      </w:pPr>
      <w:r>
        <w:t>Employee involvement and training</w:t>
      </w:r>
    </w:p>
    <w:p w:rsidR="00F73D9C" w:rsidRDefault="00F73D9C" w:rsidP="00F73D9C">
      <w:pPr>
        <w:pStyle w:val="NormalWeb"/>
        <w:numPr>
          <w:ilvl w:val="0"/>
          <w:numId w:val="5"/>
        </w:numPr>
      </w:pPr>
      <w:r>
        <w:t>Reduction of errors and inefficiencies</w:t>
      </w:r>
    </w:p>
    <w:p w:rsidR="00F73D9C" w:rsidRDefault="00F73D9C" w:rsidP="007A1AD3">
      <w:pPr>
        <w:pStyle w:val="NormalWeb"/>
        <w:jc w:val="both"/>
      </w:pPr>
      <w:r>
        <w:t>Human resources, especially nursing staff, play a crucial role in delivering quality healthcare services. Nurses serve as the primary interface between patients and hospitals, making their behavior, communication, and responsiveness critical determinants of patient satisfaction.</w:t>
      </w:r>
    </w:p>
    <w:p w:rsidR="007A1AD3" w:rsidRPr="007A1AD3" w:rsidRDefault="007A1AD3" w:rsidP="007A1AD3">
      <w:pPr>
        <w:pStyle w:val="NormalWeb"/>
        <w:jc w:val="both"/>
        <w:rPr>
          <w:b/>
        </w:rPr>
      </w:pPr>
      <w:r w:rsidRPr="007A1AD3">
        <w:rPr>
          <w:b/>
        </w:rPr>
        <w:t>Review of Literature</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 xml:space="preserve">Total Quality Management (TQM) has emerged as a critical framework for improving service quality, operational efficiency, and patient satisfaction in healthcare organizations. Over the past </w:t>
      </w:r>
      <w:r w:rsidRPr="007A1AD3">
        <w:rPr>
          <w:rFonts w:ascii="Times New Roman" w:eastAsia="Times New Roman" w:hAnsi="Times New Roman" w:cs="Times New Roman"/>
          <w:sz w:val="24"/>
          <w:szCs w:val="24"/>
        </w:rPr>
        <w:lastRenderedPageBreak/>
        <w:t>decade, the concept of TQM has evolved significantly from traditional quality assurance approaches toward more dynamic, continuous, and patient-centered models. Recent literature (2022–2025) reflects a strong emphasis on integrating human resource practices, technological advancements, and organizational culture into quality management systems.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A1AD3">
        <w:rPr>
          <w:rFonts w:ascii="Times New Roman" w:eastAsia="Times New Roman" w:hAnsi="Times New Roman" w:cs="Times New Roman"/>
          <w:sz w:val="24"/>
          <w:szCs w:val="24"/>
        </w:rPr>
        <w:t>A comprehensive review by Arora et al. (2025) highlights that modern TQM in healthcare is increasingly driven by digital transformation, patient-centered care, and continuous improvement strategies.</w:t>
      </w:r>
      <w:proofErr w:type="gramEnd"/>
      <w:r w:rsidRPr="007A1AD3">
        <w:rPr>
          <w:rFonts w:ascii="Times New Roman" w:eastAsia="Times New Roman" w:hAnsi="Times New Roman" w:cs="Times New Roman"/>
          <w:sz w:val="24"/>
          <w:szCs w:val="24"/>
        </w:rPr>
        <w:t xml:space="preserve"> The study identifies leadership commitment, employee involvement, and process optimization as key determinants of successful TQM implementation. However, the authors acknowledge that their work is largely conceptual and lacks empirical validation across diverse healthcare settings, thereby limiting its applicability in region-specific contexts such as developing countries.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Similarly, Hajiyeva et al. (2025) conducted a systematic review focusing on the effectiveness of quality management interventions in reducing hospital-acquired infections. Their findings confirm that structured quality initiatives significantly improve patient safety outcomes and reduce infection rates. Despite these contributions, the study primarily concentrates on clinical outcomes and does not sufficiently address the role of human resource practices or behavioral aspects of healthcare delivery, which are essential components of TQM.</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The transition from traditional Quality Assurance (QA) to Continuous Quality Improvement (CQI) is further emphasized in the narrative review by Albreak et al. (2025). The authors argue that modern healthcare systems are increasingly reliant on data-driven decision-making and real-time monitoring of quality indicators. While this shift enhances operational efficiency, the study provides limited insights into the role of frontline healthcare workers, particularly nurses, whose interactions with patients significantly influence perceived service quality.</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A scoping review published in Cureus (2025) expands the discussion by examining the evolution of healthcare quality systems beyond accreditation frameworks such as ISO and JCI. The study concludes that contemporary quality management approaches are moving toward people-centered systems that integrate processes, staff engagement, and patient expectations. Nevertheless, the review is largely policy-oriented and region-specific, which may restrict its generalizability to different healthcare environments.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From a global perspective, Hu et al. (2024) conducted a bibliometric analysis of TQM research in healthcare, identifying key trends such as patient safety, staff participation, and performance measurement systems. The study provides valuable insights into the growing importance of employee involvement in quality management. However, being bibliometric in nature, it lacks in-depth qualitative analysis of how human resource practices influence TQM outcomes at the organizational level.</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 xml:space="preserve">The relationship between TQM and patient safety has been extensively explored by Ahmed and Khan (2022), who found that TQM implementation significantly reduces medical errors and enhances service quality. Their systematic review reinforces the importance of structured quality frameworks in improving healthcare outcomes. However, the study relies partly on pre-2020 </w:t>
      </w:r>
      <w:r w:rsidRPr="007A1AD3">
        <w:rPr>
          <w:rFonts w:ascii="Times New Roman" w:eastAsia="Times New Roman" w:hAnsi="Times New Roman" w:cs="Times New Roman"/>
          <w:sz w:val="24"/>
          <w:szCs w:val="24"/>
        </w:rPr>
        <w:lastRenderedPageBreak/>
        <w:t>data, which may not fully capture recent developments such as digital health integration and post-pandemic healthcare challenges.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Technological advancements have also been recognized as a key driver of quality improvement in healthcare. Patel and Desai (2023) examine the role of Artificial Intelligence (AI) in enhancing TQM practices, demonstrating that AI-based systems enable real-time monitoring, predictive analytics, and improved decision-making. While the study highlights the potential of technology, it underrepresents the human element, particularly the role of healthcare professionals in implementing and sustaining quality initiatives.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In a similar vein, Kim and Park (2023) explore the integration of TQM with telemedicine services, concluding that digital healthcare platforms improve service accessibility and patient satisfaction. However, their findings are based on the South Korean healthcare system, which may differ significantly from the Indian context in terms of infrastructure, policy, and patient expectations.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The influence of TQM on healthcare service quality has been further validated by Saleh (2025), who establishes a strong positive relationship between quality management practices and patient satisfaction. The study emphasizes the importance of continuous training, teamwork, and process standardization. Despite these contributions, the research does not adequately address organizational culture and employee engagement, which are critical for the long-term success of TQM initiatives.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Recent studies on healthcare performance (2024–2025) also highlight that TQM contributes to sustainable organizational growth by improving efficiency, reducing costs, and enhancing service delivery. These studies underline the significance of human resource practices such as employee training, leadership development, and team-based approaches. However, many of these studies are theoretical in nature and lack empirical validation, particularly in the context of small and medium-sized hospitals.</w:t>
      </w:r>
    </w:p>
    <w:p w:rsidR="007A1AD3" w:rsidRPr="007A1AD3" w:rsidRDefault="007A1AD3" w:rsidP="007A1AD3">
      <w:pPr>
        <w:spacing w:before="100" w:beforeAutospacing="1" w:after="100" w:afterAutospacing="1" w:line="240" w:lineRule="auto"/>
        <w:outlineLvl w:val="1"/>
        <w:rPr>
          <w:rFonts w:ascii="Times New Roman" w:eastAsia="Times New Roman" w:hAnsi="Times New Roman" w:cs="Times New Roman"/>
          <w:b/>
          <w:bCs/>
          <w:sz w:val="24"/>
          <w:szCs w:val="24"/>
        </w:rPr>
      </w:pPr>
      <w:r w:rsidRPr="005E599F">
        <w:rPr>
          <w:rFonts w:ascii="Times New Roman" w:eastAsia="Times New Roman" w:hAnsi="Times New Roman" w:cs="Times New Roman"/>
          <w:b/>
          <w:bCs/>
          <w:sz w:val="24"/>
          <w:szCs w:val="24"/>
        </w:rPr>
        <w:t>Research Gap</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A critical review of the existing literature reveals several gaps. First, while numerous studies emphasize the importance of TQM in improving healthcare quality, there is limited empirical research focusing specifically on the role of human resource practices, particularly in developing regions such as India. Second, many studies either focus on technological advancements or clinical outcomes, often overlooking the behavioral and interpersonal dimensions of healthcare delivery, such as nurse–patient relationships. Third, existing research tends to be either conceptual or region-specific, limiting its generalizability.</w:t>
      </w:r>
    </w:p>
    <w:p w:rsidR="007A1AD3" w:rsidRPr="007A1AD3" w:rsidRDefault="007A1AD3" w:rsidP="007A1AD3">
      <w:pPr>
        <w:spacing w:before="100" w:beforeAutospacing="1" w:after="100" w:afterAutospacing="1" w:line="240" w:lineRule="auto"/>
        <w:outlineLvl w:val="1"/>
        <w:rPr>
          <w:rFonts w:ascii="Times New Roman" w:eastAsia="Times New Roman" w:hAnsi="Times New Roman" w:cs="Times New Roman"/>
          <w:b/>
          <w:bCs/>
          <w:sz w:val="24"/>
          <w:szCs w:val="24"/>
        </w:rPr>
      </w:pPr>
      <w:r w:rsidRPr="007A1AD3">
        <w:rPr>
          <w:rFonts w:ascii="Times New Roman" w:eastAsia="Times New Roman" w:hAnsi="Times New Roman" w:cs="Times New Roman"/>
          <w:b/>
          <w:bCs/>
          <w:sz w:val="24"/>
          <w:szCs w:val="24"/>
        </w:rPr>
        <w:t>Justification of the Present Study</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 xml:space="preserve">In light of these gaps, the present study aims to examine the role of TQM in human resource practices with a specific focus on nurse behavior and nurse–patient relationships in hospitals located in Warangal. By providing empirical evidence from a developing healthcare context, the </w:t>
      </w:r>
      <w:r w:rsidRPr="007A1AD3">
        <w:rPr>
          <w:rFonts w:ascii="Times New Roman" w:eastAsia="Times New Roman" w:hAnsi="Times New Roman" w:cs="Times New Roman"/>
          <w:sz w:val="24"/>
          <w:szCs w:val="24"/>
        </w:rPr>
        <w:lastRenderedPageBreak/>
        <w:t>study contributes to bridging the gap between theoretical frameworks and practical implementation of TQM in hospital settings.</w:t>
      </w:r>
    </w:p>
    <w:p w:rsidR="00F73D9C" w:rsidRDefault="00F73D9C" w:rsidP="00F73D9C">
      <w:pPr>
        <w:pStyle w:val="Heading2"/>
        <w:rPr>
          <w:rStyle w:val="Strong"/>
          <w:b/>
          <w:bCs/>
          <w:sz w:val="24"/>
          <w:szCs w:val="24"/>
        </w:rPr>
      </w:pPr>
      <w:r w:rsidRPr="00494F8C">
        <w:rPr>
          <w:rStyle w:val="Strong"/>
          <w:b/>
          <w:bCs/>
          <w:sz w:val="24"/>
          <w:szCs w:val="24"/>
        </w:rPr>
        <w:t xml:space="preserve"> Objectives of the Study</w:t>
      </w:r>
    </w:p>
    <w:p w:rsidR="00494F8C" w:rsidRPr="00494F8C" w:rsidRDefault="00494F8C" w:rsidP="00F73D9C">
      <w:pPr>
        <w:pStyle w:val="Heading2"/>
        <w:rPr>
          <w:rStyle w:val="Strong"/>
          <w:bCs/>
        </w:rPr>
      </w:pPr>
      <w:r w:rsidRPr="00494F8C">
        <w:rPr>
          <w:rStyle w:val="Strong"/>
          <w:bCs/>
          <w:sz w:val="24"/>
          <w:szCs w:val="24"/>
        </w:rPr>
        <w:t>The following are the objectives of the study.</w:t>
      </w:r>
    </w:p>
    <w:p w:rsidR="009B4ABA" w:rsidRPr="009B4ABA" w:rsidRDefault="009B4ABA" w:rsidP="00494F8C">
      <w:pPr>
        <w:pStyle w:val="ListParagraph"/>
        <w:numPr>
          <w:ilvl w:val="0"/>
          <w:numId w:val="26"/>
        </w:numPr>
        <w:spacing w:after="0"/>
        <w:jc w:val="both"/>
        <w:rPr>
          <w:rFonts w:ascii="Times New Roman" w:hAnsi="Times New Roman" w:cs="Times New Roman"/>
          <w:sz w:val="24"/>
          <w:szCs w:val="24"/>
        </w:rPr>
      </w:pPr>
      <w:r w:rsidRPr="009B4ABA">
        <w:rPr>
          <w:rFonts w:ascii="Times New Roman" w:hAnsi="Times New Roman" w:cs="Times New Roman"/>
          <w:sz w:val="24"/>
          <w:szCs w:val="24"/>
        </w:rPr>
        <w:t xml:space="preserve">To analyze the influence of nurse–patient relationships on hospital service quality. </w:t>
      </w:r>
    </w:p>
    <w:p w:rsidR="009B4ABA" w:rsidRPr="009B4ABA" w:rsidRDefault="009B4ABA" w:rsidP="00494F8C">
      <w:pPr>
        <w:pStyle w:val="ListParagraph"/>
        <w:numPr>
          <w:ilvl w:val="0"/>
          <w:numId w:val="26"/>
        </w:numPr>
        <w:spacing w:after="0"/>
        <w:jc w:val="both"/>
        <w:rPr>
          <w:rFonts w:ascii="Times New Roman" w:hAnsi="Times New Roman" w:cs="Times New Roman"/>
          <w:sz w:val="24"/>
          <w:szCs w:val="24"/>
        </w:rPr>
      </w:pPr>
      <w:r w:rsidRPr="009B4ABA">
        <w:rPr>
          <w:rFonts w:ascii="Times New Roman" w:hAnsi="Times New Roman" w:cs="Times New Roman"/>
          <w:sz w:val="24"/>
          <w:szCs w:val="24"/>
        </w:rPr>
        <w:t xml:space="preserve">To evaluate patient perceptions regarding nurse behavior in selected hospitals. </w:t>
      </w:r>
    </w:p>
    <w:p w:rsidR="00F73D9C" w:rsidRPr="009B4ABA" w:rsidRDefault="009B4ABA" w:rsidP="00494F8C">
      <w:pPr>
        <w:pStyle w:val="Heading2"/>
        <w:numPr>
          <w:ilvl w:val="0"/>
          <w:numId w:val="26"/>
        </w:numPr>
        <w:spacing w:after="0" w:afterAutospacing="0"/>
        <w:jc w:val="both"/>
        <w:rPr>
          <w:b w:val="0"/>
          <w:sz w:val="24"/>
          <w:szCs w:val="24"/>
        </w:rPr>
      </w:pPr>
      <w:r w:rsidRPr="009B4ABA">
        <w:rPr>
          <w:b w:val="0"/>
          <w:sz w:val="24"/>
          <w:szCs w:val="24"/>
        </w:rPr>
        <w:t>To examine the role of human resource practices in the effective implementation of Total Quality Management (TQM).</w:t>
      </w:r>
    </w:p>
    <w:p w:rsidR="00443032" w:rsidRDefault="00443032" w:rsidP="00443032">
      <w:pPr>
        <w:pStyle w:val="Heading3"/>
      </w:pPr>
      <w:r>
        <w:rPr>
          <w:rStyle w:val="Strong"/>
          <w:b/>
          <w:bCs/>
        </w:rPr>
        <w:t xml:space="preserve">Research Methodology </w:t>
      </w:r>
    </w:p>
    <w:p w:rsidR="00443032" w:rsidRDefault="00443032" w:rsidP="00443032">
      <w:pPr>
        <w:pStyle w:val="NormalWeb"/>
        <w:jc w:val="both"/>
      </w:pPr>
      <w:r>
        <w:t>The present study adopts a descriptive and analytical research design to examine the role of Total Quality Management in human resource practices within selected hospitals in Warangal. The study is primarily based on primary data, which were collected through structured questionnaires administered to patients. A sample of 30 respondents was selected from six hospitals using a convenience sampling technique, considering accessibility and availability of participants. The collected data were systematically analyzed using appropriate statistical tools, including mean and standard deviation to understand central tendency and dispersion, and the independent sample t-test to assess differences in perceptions among respondents. This methodological approach enables a clear evaluation of nurse behavior, nurse–patient relationships, and their influence on perceived service quality.</w:t>
      </w:r>
    </w:p>
    <w:p w:rsidR="00F73D9C" w:rsidRPr="004169DD" w:rsidRDefault="00F73D9C" w:rsidP="00F73D9C">
      <w:pPr>
        <w:pStyle w:val="Heading2"/>
        <w:rPr>
          <w:sz w:val="24"/>
          <w:szCs w:val="24"/>
        </w:rPr>
      </w:pPr>
      <w:r w:rsidRPr="004169DD">
        <w:rPr>
          <w:rStyle w:val="Strong"/>
          <w:b/>
          <w:bCs/>
          <w:sz w:val="24"/>
          <w:szCs w:val="24"/>
        </w:rPr>
        <w:t>5. Data Analysis and Interpretation</w:t>
      </w:r>
    </w:p>
    <w:p w:rsidR="00F73D9C" w:rsidRPr="004169DD" w:rsidRDefault="00F73D9C" w:rsidP="00F73D9C">
      <w:pPr>
        <w:pStyle w:val="Heading3"/>
        <w:rPr>
          <w:rStyle w:val="Strong"/>
          <w:b/>
          <w:bCs/>
          <w:sz w:val="24"/>
          <w:szCs w:val="24"/>
        </w:rPr>
      </w:pPr>
      <w:r w:rsidRPr="004169DD">
        <w:rPr>
          <w:rStyle w:val="Strong"/>
          <w:b/>
          <w:bCs/>
          <w:sz w:val="24"/>
          <w:szCs w:val="24"/>
        </w:rPr>
        <w:t>5.1 Nurse–Patient Relationship</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4169DD" w:rsidTr="00C20098">
        <w:tc>
          <w:tcPr>
            <w:tcW w:w="1596" w:type="dxa"/>
            <w:vAlign w:val="center"/>
          </w:tcPr>
          <w:p w:rsidR="004169DD" w:rsidRDefault="004169DD" w:rsidP="00126603">
            <w:pPr>
              <w:jc w:val="center"/>
              <w:rPr>
                <w:b/>
                <w:bCs/>
                <w:sz w:val="24"/>
                <w:szCs w:val="24"/>
              </w:rPr>
            </w:pPr>
            <w:r>
              <w:rPr>
                <w:b/>
                <w:bCs/>
              </w:rPr>
              <w:t>Gender</w:t>
            </w:r>
          </w:p>
        </w:tc>
        <w:tc>
          <w:tcPr>
            <w:tcW w:w="1596" w:type="dxa"/>
            <w:vAlign w:val="center"/>
          </w:tcPr>
          <w:p w:rsidR="004169DD" w:rsidRDefault="004169DD" w:rsidP="00126603">
            <w:pPr>
              <w:jc w:val="center"/>
              <w:rPr>
                <w:b/>
                <w:bCs/>
                <w:sz w:val="24"/>
                <w:szCs w:val="24"/>
              </w:rPr>
            </w:pPr>
            <w:r>
              <w:rPr>
                <w:b/>
                <w:bCs/>
              </w:rPr>
              <w:t>N</w:t>
            </w:r>
          </w:p>
        </w:tc>
        <w:tc>
          <w:tcPr>
            <w:tcW w:w="1596" w:type="dxa"/>
            <w:vAlign w:val="center"/>
          </w:tcPr>
          <w:p w:rsidR="004169DD" w:rsidRDefault="004169DD" w:rsidP="00126603">
            <w:pPr>
              <w:jc w:val="center"/>
              <w:rPr>
                <w:b/>
                <w:bCs/>
                <w:sz w:val="24"/>
                <w:szCs w:val="24"/>
              </w:rPr>
            </w:pPr>
            <w:r>
              <w:rPr>
                <w:b/>
                <w:bCs/>
              </w:rPr>
              <w:t>Mean</w:t>
            </w:r>
          </w:p>
        </w:tc>
        <w:tc>
          <w:tcPr>
            <w:tcW w:w="1596" w:type="dxa"/>
            <w:vAlign w:val="center"/>
          </w:tcPr>
          <w:p w:rsidR="004169DD" w:rsidRDefault="004169DD" w:rsidP="00126603">
            <w:pPr>
              <w:jc w:val="center"/>
              <w:rPr>
                <w:b/>
                <w:bCs/>
                <w:sz w:val="24"/>
                <w:szCs w:val="24"/>
              </w:rPr>
            </w:pPr>
            <w:r>
              <w:rPr>
                <w:b/>
                <w:bCs/>
              </w:rPr>
              <w:t>S.D</w:t>
            </w:r>
          </w:p>
        </w:tc>
        <w:tc>
          <w:tcPr>
            <w:tcW w:w="1596" w:type="dxa"/>
            <w:vAlign w:val="center"/>
          </w:tcPr>
          <w:p w:rsidR="004169DD" w:rsidRDefault="004169DD" w:rsidP="00126603">
            <w:pPr>
              <w:jc w:val="center"/>
              <w:rPr>
                <w:b/>
                <w:bCs/>
                <w:sz w:val="24"/>
                <w:szCs w:val="24"/>
              </w:rPr>
            </w:pPr>
            <w:r>
              <w:rPr>
                <w:b/>
                <w:bCs/>
              </w:rPr>
              <w:t>t-value</w:t>
            </w:r>
          </w:p>
        </w:tc>
        <w:tc>
          <w:tcPr>
            <w:tcW w:w="1596" w:type="dxa"/>
            <w:vAlign w:val="center"/>
          </w:tcPr>
          <w:p w:rsidR="004169DD" w:rsidRDefault="004169DD" w:rsidP="00126603">
            <w:pPr>
              <w:jc w:val="center"/>
              <w:rPr>
                <w:b/>
                <w:bCs/>
                <w:sz w:val="24"/>
                <w:szCs w:val="24"/>
              </w:rPr>
            </w:pPr>
            <w:r>
              <w:rPr>
                <w:b/>
                <w:bCs/>
              </w:rPr>
              <w:t>Significance</w:t>
            </w:r>
          </w:p>
        </w:tc>
      </w:tr>
      <w:tr w:rsidR="004169DD" w:rsidTr="00551137">
        <w:tc>
          <w:tcPr>
            <w:tcW w:w="1596" w:type="dxa"/>
            <w:vAlign w:val="center"/>
          </w:tcPr>
          <w:p w:rsidR="004169DD" w:rsidRDefault="004169DD" w:rsidP="00126603">
            <w:pPr>
              <w:rPr>
                <w:sz w:val="24"/>
                <w:szCs w:val="24"/>
              </w:rPr>
            </w:pPr>
            <w:r>
              <w:t>Male</w:t>
            </w:r>
          </w:p>
        </w:tc>
        <w:tc>
          <w:tcPr>
            <w:tcW w:w="1596" w:type="dxa"/>
            <w:vAlign w:val="center"/>
          </w:tcPr>
          <w:p w:rsidR="004169DD" w:rsidRDefault="004169DD" w:rsidP="00B2778C">
            <w:pPr>
              <w:jc w:val="center"/>
              <w:rPr>
                <w:sz w:val="24"/>
                <w:szCs w:val="24"/>
              </w:rPr>
            </w:pPr>
            <w:r>
              <w:t>16</w:t>
            </w:r>
          </w:p>
        </w:tc>
        <w:tc>
          <w:tcPr>
            <w:tcW w:w="1596" w:type="dxa"/>
            <w:vAlign w:val="center"/>
          </w:tcPr>
          <w:p w:rsidR="004169DD" w:rsidRDefault="004169DD" w:rsidP="00B2778C">
            <w:pPr>
              <w:jc w:val="center"/>
              <w:rPr>
                <w:sz w:val="24"/>
                <w:szCs w:val="24"/>
              </w:rPr>
            </w:pPr>
            <w:r>
              <w:t>4.375</w:t>
            </w:r>
          </w:p>
        </w:tc>
        <w:tc>
          <w:tcPr>
            <w:tcW w:w="1596" w:type="dxa"/>
            <w:vAlign w:val="center"/>
          </w:tcPr>
          <w:p w:rsidR="004169DD" w:rsidRDefault="004169DD" w:rsidP="00B2778C">
            <w:pPr>
              <w:jc w:val="center"/>
              <w:rPr>
                <w:sz w:val="24"/>
                <w:szCs w:val="24"/>
              </w:rPr>
            </w:pPr>
            <w:r>
              <w:t>0.85</w:t>
            </w:r>
          </w:p>
        </w:tc>
        <w:tc>
          <w:tcPr>
            <w:tcW w:w="1596" w:type="dxa"/>
            <w:vMerge w:val="restart"/>
            <w:vAlign w:val="center"/>
          </w:tcPr>
          <w:p w:rsidR="004169DD" w:rsidRDefault="004169DD" w:rsidP="00DF3193">
            <w:pPr>
              <w:jc w:val="center"/>
              <w:rPr>
                <w:sz w:val="24"/>
                <w:szCs w:val="24"/>
              </w:rPr>
            </w:pPr>
            <w:r>
              <w:t>2.45</w:t>
            </w:r>
          </w:p>
        </w:tc>
        <w:tc>
          <w:tcPr>
            <w:tcW w:w="1596" w:type="dxa"/>
            <w:vMerge w:val="restart"/>
            <w:vAlign w:val="center"/>
          </w:tcPr>
          <w:p w:rsidR="004169DD" w:rsidRDefault="004169DD" w:rsidP="00126603">
            <w:pPr>
              <w:rPr>
                <w:sz w:val="24"/>
                <w:szCs w:val="24"/>
              </w:rPr>
            </w:pPr>
            <w:r>
              <w:t>Significant</w:t>
            </w:r>
          </w:p>
        </w:tc>
      </w:tr>
      <w:tr w:rsidR="004169DD" w:rsidTr="00551137">
        <w:tc>
          <w:tcPr>
            <w:tcW w:w="1596" w:type="dxa"/>
            <w:vAlign w:val="center"/>
          </w:tcPr>
          <w:p w:rsidR="004169DD" w:rsidRDefault="004169DD" w:rsidP="00126603">
            <w:pPr>
              <w:rPr>
                <w:sz w:val="24"/>
                <w:szCs w:val="24"/>
              </w:rPr>
            </w:pPr>
            <w:r>
              <w:t>Female</w:t>
            </w:r>
          </w:p>
        </w:tc>
        <w:tc>
          <w:tcPr>
            <w:tcW w:w="1596" w:type="dxa"/>
            <w:vAlign w:val="center"/>
          </w:tcPr>
          <w:p w:rsidR="004169DD" w:rsidRDefault="004169DD" w:rsidP="00B2778C">
            <w:pPr>
              <w:jc w:val="center"/>
              <w:rPr>
                <w:sz w:val="24"/>
                <w:szCs w:val="24"/>
              </w:rPr>
            </w:pPr>
            <w:r>
              <w:t>14</w:t>
            </w:r>
          </w:p>
        </w:tc>
        <w:tc>
          <w:tcPr>
            <w:tcW w:w="1596" w:type="dxa"/>
            <w:vAlign w:val="center"/>
          </w:tcPr>
          <w:p w:rsidR="004169DD" w:rsidRDefault="004169DD" w:rsidP="00B2778C">
            <w:pPr>
              <w:jc w:val="center"/>
              <w:rPr>
                <w:sz w:val="24"/>
                <w:szCs w:val="24"/>
              </w:rPr>
            </w:pPr>
            <w:r>
              <w:t>3.64</w:t>
            </w:r>
          </w:p>
        </w:tc>
        <w:tc>
          <w:tcPr>
            <w:tcW w:w="1596" w:type="dxa"/>
            <w:vAlign w:val="center"/>
          </w:tcPr>
          <w:p w:rsidR="004169DD" w:rsidRDefault="004169DD" w:rsidP="00B2778C">
            <w:pPr>
              <w:jc w:val="center"/>
              <w:rPr>
                <w:sz w:val="24"/>
                <w:szCs w:val="24"/>
              </w:rPr>
            </w:pPr>
            <w:r>
              <w:t>0.61</w:t>
            </w:r>
          </w:p>
        </w:tc>
        <w:tc>
          <w:tcPr>
            <w:tcW w:w="1596" w:type="dxa"/>
            <w:vMerge/>
            <w:vAlign w:val="center"/>
          </w:tcPr>
          <w:p w:rsidR="004169DD" w:rsidRDefault="004169DD" w:rsidP="00126603">
            <w:pPr>
              <w:rPr>
                <w:sz w:val="24"/>
                <w:szCs w:val="24"/>
              </w:rPr>
            </w:pPr>
          </w:p>
        </w:tc>
        <w:tc>
          <w:tcPr>
            <w:tcW w:w="1596" w:type="dxa"/>
            <w:vMerge/>
            <w:vAlign w:val="center"/>
          </w:tcPr>
          <w:p w:rsidR="004169DD" w:rsidRDefault="004169DD" w:rsidP="00126603">
            <w:pPr>
              <w:rPr>
                <w:sz w:val="24"/>
                <w:szCs w:val="24"/>
              </w:rPr>
            </w:pPr>
          </w:p>
        </w:tc>
      </w:tr>
    </w:tbl>
    <w:p w:rsidR="00F73D9C" w:rsidRDefault="00F73D9C" w:rsidP="004169DD">
      <w:pPr>
        <w:pStyle w:val="NormalWeb"/>
        <w:jc w:val="both"/>
      </w:pPr>
      <w:r>
        <w:br/>
        <w:t>There is a statistically significant difference in perceptions between male and female patients. Male patients rated the nurse–patient relationship higher, while female patients indicated scope for improvement. This suggests the need for more inclusive and sensitive patient interaction strategies.</w:t>
      </w:r>
    </w:p>
    <w:p w:rsidR="000120C2" w:rsidRDefault="000120C2" w:rsidP="004169DD">
      <w:pPr>
        <w:pStyle w:val="NormalWeb"/>
        <w:jc w:val="both"/>
      </w:pPr>
    </w:p>
    <w:p w:rsidR="00F73D9C" w:rsidRPr="004169DD" w:rsidRDefault="00F73D9C" w:rsidP="00F73D9C">
      <w:pPr>
        <w:pStyle w:val="Heading3"/>
        <w:rPr>
          <w:rStyle w:val="Strong"/>
          <w:b/>
          <w:bCs/>
          <w:sz w:val="24"/>
          <w:szCs w:val="24"/>
        </w:rPr>
      </w:pPr>
      <w:r w:rsidRPr="004169DD">
        <w:rPr>
          <w:rStyle w:val="Strong"/>
          <w:b/>
          <w:bCs/>
          <w:sz w:val="24"/>
          <w:szCs w:val="24"/>
        </w:rPr>
        <w:t>5.2 Nurse Behavior</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4169DD" w:rsidTr="00FE6AFC">
        <w:tc>
          <w:tcPr>
            <w:tcW w:w="1596" w:type="dxa"/>
            <w:vAlign w:val="center"/>
          </w:tcPr>
          <w:p w:rsidR="004169DD" w:rsidRDefault="004169DD" w:rsidP="00126603">
            <w:pPr>
              <w:jc w:val="center"/>
              <w:rPr>
                <w:b/>
                <w:bCs/>
                <w:sz w:val="24"/>
                <w:szCs w:val="24"/>
              </w:rPr>
            </w:pPr>
            <w:r>
              <w:rPr>
                <w:b/>
                <w:bCs/>
              </w:rPr>
              <w:t>Gender</w:t>
            </w:r>
          </w:p>
        </w:tc>
        <w:tc>
          <w:tcPr>
            <w:tcW w:w="1596" w:type="dxa"/>
            <w:vAlign w:val="center"/>
          </w:tcPr>
          <w:p w:rsidR="004169DD" w:rsidRDefault="004169DD" w:rsidP="00126603">
            <w:pPr>
              <w:jc w:val="center"/>
              <w:rPr>
                <w:b/>
                <w:bCs/>
                <w:sz w:val="24"/>
                <w:szCs w:val="24"/>
              </w:rPr>
            </w:pPr>
            <w:r>
              <w:rPr>
                <w:b/>
                <w:bCs/>
              </w:rPr>
              <w:t>N</w:t>
            </w:r>
          </w:p>
        </w:tc>
        <w:tc>
          <w:tcPr>
            <w:tcW w:w="1596" w:type="dxa"/>
            <w:vAlign w:val="center"/>
          </w:tcPr>
          <w:p w:rsidR="004169DD" w:rsidRDefault="004169DD" w:rsidP="00126603">
            <w:pPr>
              <w:jc w:val="center"/>
              <w:rPr>
                <w:b/>
                <w:bCs/>
                <w:sz w:val="24"/>
                <w:szCs w:val="24"/>
              </w:rPr>
            </w:pPr>
            <w:r>
              <w:rPr>
                <w:b/>
                <w:bCs/>
              </w:rPr>
              <w:t>Mean</w:t>
            </w:r>
          </w:p>
        </w:tc>
        <w:tc>
          <w:tcPr>
            <w:tcW w:w="1596" w:type="dxa"/>
            <w:vAlign w:val="center"/>
          </w:tcPr>
          <w:p w:rsidR="004169DD" w:rsidRDefault="004169DD" w:rsidP="00126603">
            <w:pPr>
              <w:jc w:val="center"/>
              <w:rPr>
                <w:b/>
                <w:bCs/>
                <w:sz w:val="24"/>
                <w:szCs w:val="24"/>
              </w:rPr>
            </w:pPr>
            <w:r>
              <w:rPr>
                <w:b/>
                <w:bCs/>
              </w:rPr>
              <w:t>S.D</w:t>
            </w:r>
          </w:p>
        </w:tc>
        <w:tc>
          <w:tcPr>
            <w:tcW w:w="1596" w:type="dxa"/>
            <w:vAlign w:val="center"/>
          </w:tcPr>
          <w:p w:rsidR="004169DD" w:rsidRDefault="004169DD" w:rsidP="00126603">
            <w:pPr>
              <w:jc w:val="center"/>
              <w:rPr>
                <w:b/>
                <w:bCs/>
                <w:sz w:val="24"/>
                <w:szCs w:val="24"/>
              </w:rPr>
            </w:pPr>
            <w:r>
              <w:rPr>
                <w:b/>
                <w:bCs/>
              </w:rPr>
              <w:t>t-value</w:t>
            </w:r>
          </w:p>
        </w:tc>
        <w:tc>
          <w:tcPr>
            <w:tcW w:w="1596" w:type="dxa"/>
            <w:vAlign w:val="center"/>
          </w:tcPr>
          <w:p w:rsidR="004169DD" w:rsidRDefault="004169DD" w:rsidP="00126603">
            <w:pPr>
              <w:jc w:val="center"/>
              <w:rPr>
                <w:b/>
                <w:bCs/>
                <w:sz w:val="24"/>
                <w:szCs w:val="24"/>
              </w:rPr>
            </w:pPr>
            <w:r>
              <w:rPr>
                <w:b/>
                <w:bCs/>
              </w:rPr>
              <w:t>Significance</w:t>
            </w:r>
          </w:p>
        </w:tc>
      </w:tr>
      <w:tr w:rsidR="004169DD" w:rsidTr="002662A7">
        <w:tc>
          <w:tcPr>
            <w:tcW w:w="1596" w:type="dxa"/>
            <w:vAlign w:val="center"/>
          </w:tcPr>
          <w:p w:rsidR="004169DD" w:rsidRDefault="004169DD" w:rsidP="00126603">
            <w:pPr>
              <w:rPr>
                <w:sz w:val="24"/>
                <w:szCs w:val="24"/>
              </w:rPr>
            </w:pPr>
            <w:r>
              <w:t>Male</w:t>
            </w:r>
          </w:p>
        </w:tc>
        <w:tc>
          <w:tcPr>
            <w:tcW w:w="1596" w:type="dxa"/>
            <w:vAlign w:val="center"/>
          </w:tcPr>
          <w:p w:rsidR="004169DD" w:rsidRDefault="004169DD" w:rsidP="00B2778C">
            <w:pPr>
              <w:jc w:val="center"/>
              <w:rPr>
                <w:sz w:val="24"/>
                <w:szCs w:val="24"/>
              </w:rPr>
            </w:pPr>
            <w:r>
              <w:t>16</w:t>
            </w:r>
          </w:p>
        </w:tc>
        <w:tc>
          <w:tcPr>
            <w:tcW w:w="1596" w:type="dxa"/>
            <w:vAlign w:val="center"/>
          </w:tcPr>
          <w:p w:rsidR="004169DD" w:rsidRDefault="004169DD" w:rsidP="00B2778C">
            <w:pPr>
              <w:jc w:val="center"/>
              <w:rPr>
                <w:sz w:val="24"/>
                <w:szCs w:val="24"/>
              </w:rPr>
            </w:pPr>
            <w:r>
              <w:t>4.428</w:t>
            </w:r>
          </w:p>
        </w:tc>
        <w:tc>
          <w:tcPr>
            <w:tcW w:w="1596" w:type="dxa"/>
            <w:vAlign w:val="center"/>
          </w:tcPr>
          <w:p w:rsidR="004169DD" w:rsidRDefault="004169DD" w:rsidP="00B2778C">
            <w:pPr>
              <w:jc w:val="center"/>
              <w:rPr>
                <w:sz w:val="24"/>
                <w:szCs w:val="24"/>
              </w:rPr>
            </w:pPr>
            <w:r>
              <w:t>0.646</w:t>
            </w:r>
          </w:p>
        </w:tc>
        <w:tc>
          <w:tcPr>
            <w:tcW w:w="1596" w:type="dxa"/>
            <w:vMerge w:val="restart"/>
            <w:vAlign w:val="center"/>
          </w:tcPr>
          <w:p w:rsidR="004169DD" w:rsidRDefault="004169DD" w:rsidP="00DF3193">
            <w:pPr>
              <w:jc w:val="center"/>
              <w:rPr>
                <w:sz w:val="24"/>
                <w:szCs w:val="24"/>
              </w:rPr>
            </w:pPr>
            <w:r>
              <w:t>0.40</w:t>
            </w:r>
          </w:p>
        </w:tc>
        <w:tc>
          <w:tcPr>
            <w:tcW w:w="1596" w:type="dxa"/>
            <w:vMerge w:val="restart"/>
            <w:vAlign w:val="center"/>
          </w:tcPr>
          <w:p w:rsidR="004169DD" w:rsidRDefault="004169DD" w:rsidP="00126603">
            <w:pPr>
              <w:rPr>
                <w:sz w:val="24"/>
                <w:szCs w:val="24"/>
              </w:rPr>
            </w:pPr>
            <w:r>
              <w:t>Not Significant</w:t>
            </w:r>
          </w:p>
        </w:tc>
      </w:tr>
      <w:tr w:rsidR="004169DD" w:rsidTr="00901C13">
        <w:tc>
          <w:tcPr>
            <w:tcW w:w="1596" w:type="dxa"/>
            <w:vAlign w:val="center"/>
          </w:tcPr>
          <w:p w:rsidR="004169DD" w:rsidRDefault="004169DD" w:rsidP="00126603">
            <w:pPr>
              <w:rPr>
                <w:sz w:val="24"/>
                <w:szCs w:val="24"/>
              </w:rPr>
            </w:pPr>
            <w:r>
              <w:t>Female</w:t>
            </w:r>
          </w:p>
        </w:tc>
        <w:tc>
          <w:tcPr>
            <w:tcW w:w="1596" w:type="dxa"/>
            <w:vAlign w:val="center"/>
          </w:tcPr>
          <w:p w:rsidR="004169DD" w:rsidRDefault="004169DD" w:rsidP="00B2778C">
            <w:pPr>
              <w:jc w:val="center"/>
              <w:rPr>
                <w:sz w:val="24"/>
                <w:szCs w:val="24"/>
              </w:rPr>
            </w:pPr>
            <w:r>
              <w:t>14</w:t>
            </w:r>
          </w:p>
        </w:tc>
        <w:tc>
          <w:tcPr>
            <w:tcW w:w="1596" w:type="dxa"/>
            <w:vAlign w:val="center"/>
          </w:tcPr>
          <w:p w:rsidR="004169DD" w:rsidRDefault="004169DD" w:rsidP="00B2778C">
            <w:pPr>
              <w:jc w:val="center"/>
              <w:rPr>
                <w:sz w:val="24"/>
                <w:szCs w:val="24"/>
              </w:rPr>
            </w:pPr>
            <w:r>
              <w:t>4.312</w:t>
            </w:r>
          </w:p>
        </w:tc>
        <w:tc>
          <w:tcPr>
            <w:tcW w:w="1596" w:type="dxa"/>
            <w:vAlign w:val="center"/>
          </w:tcPr>
          <w:p w:rsidR="004169DD" w:rsidRDefault="004169DD" w:rsidP="00B2778C">
            <w:pPr>
              <w:jc w:val="center"/>
              <w:rPr>
                <w:sz w:val="24"/>
                <w:szCs w:val="24"/>
              </w:rPr>
            </w:pPr>
            <w:r>
              <w:t>0.704</w:t>
            </w:r>
          </w:p>
        </w:tc>
        <w:tc>
          <w:tcPr>
            <w:tcW w:w="1596" w:type="dxa"/>
            <w:vMerge/>
            <w:vAlign w:val="center"/>
          </w:tcPr>
          <w:p w:rsidR="004169DD" w:rsidRDefault="004169DD" w:rsidP="00126603">
            <w:pPr>
              <w:rPr>
                <w:sz w:val="24"/>
                <w:szCs w:val="24"/>
              </w:rPr>
            </w:pPr>
          </w:p>
        </w:tc>
        <w:tc>
          <w:tcPr>
            <w:tcW w:w="1596" w:type="dxa"/>
            <w:vMerge/>
          </w:tcPr>
          <w:p w:rsidR="004169DD" w:rsidRDefault="004169DD" w:rsidP="00F73D9C">
            <w:pPr>
              <w:pStyle w:val="Heading3"/>
              <w:outlineLvl w:val="2"/>
            </w:pPr>
          </w:p>
        </w:tc>
      </w:tr>
    </w:tbl>
    <w:p w:rsidR="00F73D9C" w:rsidRDefault="00F73D9C" w:rsidP="004169DD">
      <w:pPr>
        <w:pStyle w:val="NormalWeb"/>
        <w:jc w:val="both"/>
      </w:pPr>
      <w:r>
        <w:lastRenderedPageBreak/>
        <w:t>There is no significant difference between male and female respondents regarding nurse behavior. Overall, patients expressed satisfaction, indicating that nursing staff performance meets expected standards.</w:t>
      </w:r>
    </w:p>
    <w:p w:rsidR="00F73D9C" w:rsidRPr="004169DD" w:rsidRDefault="00F73D9C" w:rsidP="004169DD">
      <w:pPr>
        <w:pStyle w:val="Heading2"/>
        <w:jc w:val="both"/>
        <w:rPr>
          <w:sz w:val="24"/>
          <w:szCs w:val="24"/>
        </w:rPr>
      </w:pPr>
      <w:r w:rsidRPr="004169DD">
        <w:rPr>
          <w:rStyle w:val="Strong"/>
          <w:b/>
          <w:bCs/>
          <w:sz w:val="24"/>
          <w:szCs w:val="24"/>
        </w:rPr>
        <w:t>Discussion</w:t>
      </w:r>
    </w:p>
    <w:p w:rsidR="00F73D9C" w:rsidRPr="004169DD" w:rsidRDefault="00F73D9C" w:rsidP="004169DD">
      <w:pPr>
        <w:pStyle w:val="NormalWeb"/>
        <w:jc w:val="both"/>
      </w:pPr>
      <w:r w:rsidRPr="004169DD">
        <w:t xml:space="preserve">The findings reinforce that </w:t>
      </w:r>
      <w:r w:rsidRPr="00DF3193">
        <w:rPr>
          <w:rStyle w:val="Strong"/>
          <w:b w:val="0"/>
        </w:rPr>
        <w:t>human resource practices are central to TQM success in hospitals</w:t>
      </w:r>
      <w:r w:rsidRPr="00DF3193">
        <w:rPr>
          <w:b/>
        </w:rPr>
        <w:t>.</w:t>
      </w:r>
      <w:r w:rsidRPr="004169DD">
        <w:t xml:space="preserve"> While nurse behavior is generally satisfactory, the variation in nurse–patient relationship perceptions highlights the importance of:</w:t>
      </w:r>
    </w:p>
    <w:p w:rsidR="00F73D9C" w:rsidRPr="004169DD" w:rsidRDefault="00F73D9C" w:rsidP="004169DD">
      <w:pPr>
        <w:pStyle w:val="NormalWeb"/>
        <w:numPr>
          <w:ilvl w:val="0"/>
          <w:numId w:val="9"/>
        </w:numPr>
        <w:jc w:val="both"/>
      </w:pPr>
      <w:r w:rsidRPr="004169DD">
        <w:t>Emotional intelligence training</w:t>
      </w:r>
    </w:p>
    <w:p w:rsidR="00F73D9C" w:rsidRPr="004169DD" w:rsidRDefault="00F73D9C" w:rsidP="004169DD">
      <w:pPr>
        <w:pStyle w:val="NormalWeb"/>
        <w:numPr>
          <w:ilvl w:val="0"/>
          <w:numId w:val="9"/>
        </w:numPr>
        <w:jc w:val="both"/>
      </w:pPr>
      <w:r w:rsidRPr="004169DD">
        <w:t>Gender-sensitive communication</w:t>
      </w:r>
    </w:p>
    <w:p w:rsidR="00F73D9C" w:rsidRPr="004169DD" w:rsidRDefault="00F73D9C" w:rsidP="004169DD">
      <w:pPr>
        <w:pStyle w:val="NormalWeb"/>
        <w:numPr>
          <w:ilvl w:val="0"/>
          <w:numId w:val="9"/>
        </w:numPr>
        <w:jc w:val="both"/>
      </w:pPr>
      <w:r w:rsidRPr="004169DD">
        <w:t>Personalized patient care</w:t>
      </w:r>
    </w:p>
    <w:p w:rsidR="00F73D9C" w:rsidRPr="00DF3193" w:rsidRDefault="00F73D9C" w:rsidP="004169DD">
      <w:pPr>
        <w:pStyle w:val="NormalWeb"/>
        <w:jc w:val="both"/>
        <w:rPr>
          <w:b/>
        </w:rPr>
      </w:pPr>
      <w:r w:rsidRPr="004169DD">
        <w:t xml:space="preserve">TQM implementation should go beyond process improvement and focus on </w:t>
      </w:r>
      <w:r w:rsidRPr="00DF3193">
        <w:rPr>
          <w:rStyle w:val="Strong"/>
          <w:b w:val="0"/>
        </w:rPr>
        <w:t>human-centric service delivery</w:t>
      </w:r>
      <w:r w:rsidRPr="00DF3193">
        <w:rPr>
          <w:b/>
        </w:rPr>
        <w:t>.</w:t>
      </w:r>
    </w:p>
    <w:p w:rsidR="00F73D9C" w:rsidRPr="004169DD" w:rsidRDefault="00F73D9C" w:rsidP="00F73D9C">
      <w:pPr>
        <w:pStyle w:val="Heading2"/>
        <w:rPr>
          <w:sz w:val="24"/>
          <w:szCs w:val="24"/>
        </w:rPr>
      </w:pPr>
      <w:r w:rsidRPr="004169DD">
        <w:rPr>
          <w:rStyle w:val="Strong"/>
          <w:b/>
          <w:bCs/>
          <w:sz w:val="24"/>
          <w:szCs w:val="24"/>
        </w:rPr>
        <w:t>Conclusion</w:t>
      </w:r>
    </w:p>
    <w:p w:rsidR="00F73D9C" w:rsidRDefault="00F73D9C" w:rsidP="004169DD">
      <w:pPr>
        <w:pStyle w:val="NormalWeb"/>
        <w:jc w:val="both"/>
      </w:pPr>
      <w:r>
        <w:t>The study concludes that TQM practices significantly enhance healthcare service quality when effectively integrated with HR management. Nurse behavior and interpersonal relationships are key drivers of patient satisfaction. Hospitals in Warangal have demonstrated positive outcomes in nurse performance; however, there is room for improvement in strengthening nurse–patient relationships.</w:t>
      </w:r>
    </w:p>
    <w:p w:rsidR="00F73D9C" w:rsidRDefault="00F73D9C" w:rsidP="004169DD">
      <w:pPr>
        <w:pStyle w:val="NormalWeb"/>
        <w:jc w:val="both"/>
      </w:pPr>
      <w:r>
        <w:t>To remain competitive and ensure sustainable quality, hospitals must adopt:</w:t>
      </w:r>
    </w:p>
    <w:p w:rsidR="00F73D9C" w:rsidRDefault="00F73D9C" w:rsidP="004169DD">
      <w:pPr>
        <w:pStyle w:val="NormalWeb"/>
        <w:numPr>
          <w:ilvl w:val="0"/>
          <w:numId w:val="10"/>
        </w:numPr>
        <w:jc w:val="both"/>
      </w:pPr>
      <w:r>
        <w:t>Continuous training programs</w:t>
      </w:r>
    </w:p>
    <w:p w:rsidR="00F73D9C" w:rsidRDefault="00F73D9C" w:rsidP="004169DD">
      <w:pPr>
        <w:pStyle w:val="NormalWeb"/>
        <w:numPr>
          <w:ilvl w:val="0"/>
          <w:numId w:val="10"/>
        </w:numPr>
        <w:jc w:val="both"/>
      </w:pPr>
      <w:r>
        <w:t>Patient feedback systems</w:t>
      </w:r>
    </w:p>
    <w:p w:rsidR="00F73D9C" w:rsidRDefault="00F73D9C" w:rsidP="004169DD">
      <w:pPr>
        <w:pStyle w:val="NormalWeb"/>
        <w:numPr>
          <w:ilvl w:val="0"/>
          <w:numId w:val="10"/>
        </w:numPr>
        <w:jc w:val="both"/>
      </w:pPr>
      <w:r>
        <w:t>Technology-enabled quality monitoring</w:t>
      </w:r>
    </w:p>
    <w:p w:rsidR="00F73D9C" w:rsidRDefault="00F73D9C" w:rsidP="00F73D9C">
      <w:pPr>
        <w:pStyle w:val="NormalWeb"/>
        <w:numPr>
          <w:ilvl w:val="0"/>
          <w:numId w:val="10"/>
        </w:numPr>
        <w:jc w:val="both"/>
      </w:pPr>
      <w:r>
        <w:t>Strong leadership commitment to TQM principles</w:t>
      </w:r>
    </w:p>
    <w:p w:rsidR="00F73D9C" w:rsidRPr="004169DD" w:rsidRDefault="00F73D9C" w:rsidP="00F73D9C">
      <w:pPr>
        <w:pStyle w:val="Heading2"/>
        <w:rPr>
          <w:sz w:val="24"/>
          <w:szCs w:val="24"/>
        </w:rPr>
      </w:pPr>
      <w:r w:rsidRPr="004169DD">
        <w:rPr>
          <w:rStyle w:val="Strong"/>
          <w:b/>
          <w:bCs/>
          <w:sz w:val="24"/>
          <w:szCs w:val="24"/>
        </w:rPr>
        <w:t>Suggestions</w:t>
      </w:r>
    </w:p>
    <w:p w:rsidR="00F73D9C" w:rsidRDefault="00F73D9C" w:rsidP="00F73D9C">
      <w:pPr>
        <w:pStyle w:val="NormalWeb"/>
        <w:numPr>
          <w:ilvl w:val="0"/>
          <w:numId w:val="11"/>
        </w:numPr>
      </w:pPr>
      <w:r>
        <w:t xml:space="preserve">Introduce </w:t>
      </w:r>
      <w:r w:rsidRPr="00DF3193">
        <w:rPr>
          <w:rStyle w:val="Strong"/>
          <w:b w:val="0"/>
        </w:rPr>
        <w:t>regular behavioral and communication training</w:t>
      </w:r>
      <w:r>
        <w:t xml:space="preserve"> for nursing staff</w:t>
      </w:r>
    </w:p>
    <w:p w:rsidR="00F73D9C" w:rsidRDefault="00F73D9C" w:rsidP="00F73D9C">
      <w:pPr>
        <w:pStyle w:val="NormalWeb"/>
        <w:numPr>
          <w:ilvl w:val="0"/>
          <w:numId w:val="11"/>
        </w:numPr>
      </w:pPr>
      <w:r>
        <w:t xml:space="preserve">Implement </w:t>
      </w:r>
      <w:r w:rsidRPr="00DF3193">
        <w:rPr>
          <w:rStyle w:val="Strong"/>
          <w:b w:val="0"/>
        </w:rPr>
        <w:t>patient feedback and grievance redressal systems</w:t>
      </w:r>
    </w:p>
    <w:p w:rsidR="00F73D9C" w:rsidRDefault="00F73D9C" w:rsidP="00F73D9C">
      <w:pPr>
        <w:pStyle w:val="NormalWeb"/>
        <w:numPr>
          <w:ilvl w:val="0"/>
          <w:numId w:val="11"/>
        </w:numPr>
      </w:pPr>
      <w:r>
        <w:t xml:space="preserve">Adopt </w:t>
      </w:r>
      <w:r w:rsidRPr="00DF3193">
        <w:rPr>
          <w:rStyle w:val="Strong"/>
          <w:b w:val="0"/>
        </w:rPr>
        <w:t>digital health tools</w:t>
      </w:r>
      <w:r>
        <w:t xml:space="preserve"> for monitoring service quality</w:t>
      </w:r>
    </w:p>
    <w:p w:rsidR="00F73D9C" w:rsidRPr="00DF3193" w:rsidRDefault="00F73D9C" w:rsidP="00F73D9C">
      <w:pPr>
        <w:pStyle w:val="NormalWeb"/>
        <w:numPr>
          <w:ilvl w:val="0"/>
          <w:numId w:val="11"/>
        </w:numPr>
        <w:rPr>
          <w:b/>
        </w:rPr>
      </w:pPr>
      <w:r>
        <w:t xml:space="preserve">Encourage </w:t>
      </w:r>
      <w:r w:rsidRPr="00DF3193">
        <w:rPr>
          <w:rStyle w:val="Strong"/>
          <w:b w:val="0"/>
        </w:rPr>
        <w:t>team-based care and employee involvement</w:t>
      </w:r>
    </w:p>
    <w:p w:rsidR="00F73D9C" w:rsidRPr="00DF3193" w:rsidRDefault="00F73D9C" w:rsidP="00F73D9C">
      <w:pPr>
        <w:pStyle w:val="NormalWeb"/>
        <w:numPr>
          <w:ilvl w:val="0"/>
          <w:numId w:val="11"/>
        </w:numPr>
        <w:rPr>
          <w:b/>
        </w:rPr>
      </w:pPr>
      <w:r>
        <w:t xml:space="preserve">Align HR practices with </w:t>
      </w:r>
      <w:r w:rsidRPr="00DF3193">
        <w:rPr>
          <w:rStyle w:val="Strong"/>
          <w:b w:val="0"/>
        </w:rPr>
        <w:t>quality benchmarks and accreditation standards</w:t>
      </w:r>
    </w:p>
    <w:p w:rsidR="00F73D9C" w:rsidRPr="00634761" w:rsidRDefault="00F73D9C" w:rsidP="00F73D9C">
      <w:pPr>
        <w:pStyle w:val="Heading2"/>
        <w:rPr>
          <w:rStyle w:val="Strong"/>
          <w:b/>
          <w:bCs/>
          <w:sz w:val="24"/>
          <w:szCs w:val="24"/>
        </w:rPr>
      </w:pPr>
      <w:r w:rsidRPr="00634761">
        <w:rPr>
          <w:rStyle w:val="Strong"/>
          <w:b/>
          <w:bCs/>
          <w:sz w:val="24"/>
          <w:szCs w:val="24"/>
        </w:rPr>
        <w:t xml:space="preserve">References </w:t>
      </w:r>
    </w:p>
    <w:p w:rsidR="00F73D9C" w:rsidRDefault="00F73D9C" w:rsidP="00634761">
      <w:pPr>
        <w:pStyle w:val="NormalWeb"/>
        <w:numPr>
          <w:ilvl w:val="0"/>
          <w:numId w:val="25"/>
        </w:numPr>
        <w:spacing w:before="0" w:beforeAutospacing="0" w:after="0" w:afterAutospacing="0"/>
        <w:jc w:val="both"/>
      </w:pPr>
      <w:r>
        <w:t>Hu, Z., Wang, R. S., Qin, X., Huang, Y. N., Li, L., Chiu, H. C., &amp; Wang, B. L. (2024).</w:t>
      </w:r>
      <w:r>
        <w:br/>
      </w:r>
      <w:r>
        <w:rPr>
          <w:rStyle w:val="Emphasis"/>
        </w:rPr>
        <w:t>The global research landscape and future trends in healthcare total quality management.</w:t>
      </w:r>
      <w:r>
        <w:t xml:space="preserve"> </w:t>
      </w:r>
      <w:r>
        <w:rPr>
          <w:rStyle w:val="Strong"/>
        </w:rPr>
        <w:t>Archives of Public Health, 82</w:t>
      </w:r>
      <w:r>
        <w:t>, 193</w:t>
      </w:r>
      <w:proofErr w:type="gramStart"/>
      <w:r>
        <w:t>..</w:t>
      </w:r>
      <w:proofErr w:type="gramEnd"/>
      <w:r>
        <w:t xml:space="preserve"> (</w:t>
      </w:r>
      <w:hyperlink r:id="rId8" w:tooltip="The global research landscape and future trends in healthcare Total Quality Management | Archives of Public Health | Springer Nature Link" w:history="1">
        <w:r>
          <w:rPr>
            <w:rStyle w:val="Hyperlink"/>
          </w:rPr>
          <w:t>Springer</w:t>
        </w:r>
      </w:hyperlink>
      <w:r>
        <w:t>)</w:t>
      </w:r>
    </w:p>
    <w:p w:rsidR="00F73D9C" w:rsidRDefault="00F73D9C" w:rsidP="00634761">
      <w:pPr>
        <w:pStyle w:val="NormalWeb"/>
        <w:numPr>
          <w:ilvl w:val="0"/>
          <w:numId w:val="25"/>
        </w:numPr>
        <w:spacing w:before="0" w:beforeAutospacing="0" w:after="0" w:afterAutospacing="0"/>
        <w:jc w:val="both"/>
      </w:pPr>
      <w:r>
        <w:lastRenderedPageBreak/>
        <w:t xml:space="preserve">Mosadeghrad, A. M. (2023). </w:t>
      </w:r>
      <w:r>
        <w:rPr>
          <w:rStyle w:val="Emphasis"/>
        </w:rPr>
        <w:t>Healthcare service quality: Towards a broad definition.</w:t>
      </w:r>
      <w:r>
        <w:t xml:space="preserve"> </w:t>
      </w:r>
      <w:r>
        <w:rPr>
          <w:rStyle w:val="Strong"/>
        </w:rPr>
        <w:t>International Journal of Health Care Quality Assurance.</w:t>
      </w:r>
    </w:p>
    <w:p w:rsidR="00F73D9C" w:rsidRDefault="00F73D9C" w:rsidP="00634761">
      <w:pPr>
        <w:pStyle w:val="NormalWeb"/>
        <w:numPr>
          <w:ilvl w:val="0"/>
          <w:numId w:val="25"/>
        </w:numPr>
        <w:spacing w:before="0" w:beforeAutospacing="0" w:after="0" w:afterAutospacing="0"/>
        <w:jc w:val="both"/>
      </w:pPr>
      <w:r>
        <w:t xml:space="preserve">Bhatia, T. K., Shukla, V. K., Kaushik, K., et al. (2025). </w:t>
      </w:r>
      <w:r>
        <w:rPr>
          <w:rStyle w:val="Emphasis"/>
        </w:rPr>
        <w:t>A quantitative bibliometric evaluation of artificial intelligence in sustainable and digital healthcare based on Scopus data (1995–2025).</w:t>
      </w:r>
      <w:r>
        <w:t xml:space="preserve"> </w:t>
      </w:r>
      <w:r>
        <w:rPr>
          <w:rStyle w:val="Strong"/>
        </w:rPr>
        <w:t>Discover Computing, 28</w:t>
      </w:r>
      <w:r>
        <w:t>, 296</w:t>
      </w:r>
      <w:proofErr w:type="gramStart"/>
      <w:r>
        <w:t>..</w:t>
      </w:r>
      <w:proofErr w:type="gramEnd"/>
      <w:r>
        <w:t xml:space="preserve"> (</w:t>
      </w:r>
      <w:hyperlink r:id="rId9" w:tooltip="A quantitative bibliometric evaluation of artificial intelligence in sustainable and digital healthcare based on scopus data (1995–2025) | Discover Computing | Springer Nature Link" w:history="1">
        <w:r>
          <w:rPr>
            <w:rStyle w:val="Hyperlink"/>
          </w:rPr>
          <w:t>Springer</w:t>
        </w:r>
      </w:hyperlink>
      <w:r>
        <w:t>)</w:t>
      </w:r>
    </w:p>
    <w:p w:rsidR="00F73D9C" w:rsidRDefault="00F73D9C" w:rsidP="00634761">
      <w:pPr>
        <w:pStyle w:val="NormalWeb"/>
        <w:numPr>
          <w:ilvl w:val="0"/>
          <w:numId w:val="25"/>
        </w:numPr>
        <w:spacing w:before="0" w:beforeAutospacing="0" w:after="0" w:afterAutospacing="0"/>
        <w:jc w:val="both"/>
      </w:pPr>
      <w:r>
        <w:t xml:space="preserve">Al-Qahtani, N. D., &amp; Aziz, A. A. (2022). </w:t>
      </w:r>
      <w:r>
        <w:rPr>
          <w:rStyle w:val="Emphasis"/>
        </w:rPr>
        <w:t>The impact of total quality management practices on hospital performance: Evidence from healthcare institutions.</w:t>
      </w:r>
      <w:r>
        <w:t xml:space="preserve"> </w:t>
      </w:r>
      <w:r>
        <w:rPr>
          <w:rStyle w:val="Strong"/>
        </w:rPr>
        <w:t>International Journal of Productivity and Performance Management.</w:t>
      </w:r>
    </w:p>
    <w:p w:rsidR="00F73D9C" w:rsidRDefault="00F73D9C" w:rsidP="00634761">
      <w:pPr>
        <w:pStyle w:val="NormalWeb"/>
        <w:numPr>
          <w:ilvl w:val="0"/>
          <w:numId w:val="25"/>
        </w:numPr>
        <w:spacing w:before="0" w:beforeAutospacing="0" w:after="0" w:afterAutospacing="0"/>
        <w:jc w:val="both"/>
      </w:pPr>
      <w:r>
        <w:t xml:space="preserve">Alolayyan, M. N., et al. (2022). </w:t>
      </w:r>
      <w:r>
        <w:rPr>
          <w:rStyle w:val="Emphasis"/>
        </w:rPr>
        <w:t>The role of human resource management practices in implementing total quality management in healthcare.</w:t>
      </w:r>
      <w:r>
        <w:t xml:space="preserve"> </w:t>
      </w:r>
      <w:r>
        <w:rPr>
          <w:rStyle w:val="Strong"/>
        </w:rPr>
        <w:t>The TQM Journal.</w:t>
      </w:r>
    </w:p>
    <w:p w:rsidR="00F73D9C" w:rsidRDefault="00F73D9C" w:rsidP="00634761">
      <w:pPr>
        <w:pStyle w:val="NormalWeb"/>
        <w:numPr>
          <w:ilvl w:val="0"/>
          <w:numId w:val="25"/>
        </w:numPr>
        <w:spacing w:before="0" w:beforeAutospacing="0" w:after="0" w:afterAutospacing="0"/>
        <w:jc w:val="both"/>
      </w:pPr>
      <w:r>
        <w:t xml:space="preserve">Abbas, J., et al. (2023). </w:t>
      </w:r>
      <w:r>
        <w:rPr>
          <w:rStyle w:val="Emphasis"/>
        </w:rPr>
        <w:t>The impact of organizational culture and leadership on quality performance in healthcare organizations.</w:t>
      </w:r>
      <w:r>
        <w:t xml:space="preserve"> </w:t>
      </w:r>
      <w:r>
        <w:rPr>
          <w:rStyle w:val="Strong"/>
        </w:rPr>
        <w:t>Journal of Healthcare Leadership.</w:t>
      </w:r>
    </w:p>
    <w:p w:rsidR="00F73D9C" w:rsidRDefault="00F73D9C" w:rsidP="00634761">
      <w:pPr>
        <w:pStyle w:val="NormalWeb"/>
        <w:numPr>
          <w:ilvl w:val="0"/>
          <w:numId w:val="25"/>
        </w:numPr>
        <w:spacing w:before="0" w:beforeAutospacing="0" w:after="0" w:afterAutospacing="0"/>
        <w:jc w:val="both"/>
      </w:pPr>
      <w:r>
        <w:t xml:space="preserve">Kumar, R., &amp; Sharma, P. (2022). </w:t>
      </w:r>
      <w:r>
        <w:rPr>
          <w:rStyle w:val="Emphasis"/>
        </w:rPr>
        <w:t>Patient satisfaction and service quality in Indian hospitals: A SERVQUAL approach.</w:t>
      </w:r>
      <w:r>
        <w:t xml:space="preserve"> </w:t>
      </w:r>
      <w:r>
        <w:rPr>
          <w:rStyle w:val="Strong"/>
        </w:rPr>
        <w:t>Benchmarking: An International Journal.</w:t>
      </w:r>
    </w:p>
    <w:p w:rsidR="00F73D9C" w:rsidRDefault="00F73D9C" w:rsidP="00634761">
      <w:pPr>
        <w:pStyle w:val="NormalWeb"/>
        <w:numPr>
          <w:ilvl w:val="0"/>
          <w:numId w:val="25"/>
        </w:numPr>
        <w:spacing w:before="0" w:beforeAutospacing="0" w:after="0" w:afterAutospacing="0"/>
        <w:jc w:val="both"/>
      </w:pPr>
      <w:r>
        <w:t xml:space="preserve">Singh, S., &amp; Prasher, L. (2023). </w:t>
      </w:r>
      <w:r>
        <w:rPr>
          <w:rStyle w:val="Emphasis"/>
        </w:rPr>
        <w:t>Measuring healthcare service quality from patients’ perspective: A systematic review.</w:t>
      </w:r>
      <w:r>
        <w:t xml:space="preserve"> </w:t>
      </w:r>
      <w:r>
        <w:rPr>
          <w:rStyle w:val="Strong"/>
        </w:rPr>
        <w:t>Journal of Public Health Research.</w:t>
      </w:r>
    </w:p>
    <w:p w:rsidR="00F73D9C" w:rsidRDefault="00F73D9C" w:rsidP="00634761">
      <w:pPr>
        <w:pStyle w:val="NormalWeb"/>
        <w:numPr>
          <w:ilvl w:val="0"/>
          <w:numId w:val="25"/>
        </w:numPr>
        <w:spacing w:before="0" w:beforeAutospacing="0" w:after="0" w:afterAutospacing="0"/>
        <w:jc w:val="both"/>
      </w:pPr>
      <w:r>
        <w:t xml:space="preserve">Alshahrani, F. M., et al. (2024). </w:t>
      </w:r>
      <w:r>
        <w:rPr>
          <w:rStyle w:val="Emphasis"/>
        </w:rPr>
        <w:t>Continuous quality improvement in healthcare: A systematic review of implementation practices.</w:t>
      </w:r>
      <w:r>
        <w:t xml:space="preserve"> </w:t>
      </w:r>
      <w:r>
        <w:rPr>
          <w:rStyle w:val="Strong"/>
        </w:rPr>
        <w:t>BMC Health Services Research.</w:t>
      </w:r>
    </w:p>
    <w:p w:rsidR="00F73D9C" w:rsidRDefault="00F73D9C" w:rsidP="00634761">
      <w:pPr>
        <w:pStyle w:val="NormalWeb"/>
        <w:numPr>
          <w:ilvl w:val="0"/>
          <w:numId w:val="25"/>
        </w:numPr>
        <w:spacing w:before="0" w:beforeAutospacing="0" w:after="0" w:afterAutospacing="0"/>
        <w:jc w:val="both"/>
      </w:pPr>
      <w:r>
        <w:t xml:space="preserve">Lee, S. M., &amp; Lee, D. (2022). </w:t>
      </w:r>
      <w:r>
        <w:rPr>
          <w:rStyle w:val="Emphasis"/>
        </w:rPr>
        <w:t>Healthcare digitalization and quality improvement: The role of smart technologies.</w:t>
      </w:r>
      <w:r>
        <w:t xml:space="preserve"> </w:t>
      </w:r>
      <w:r>
        <w:rPr>
          <w:rStyle w:val="Strong"/>
        </w:rPr>
        <w:t>Technological Forecasting and Social Change.</w:t>
      </w:r>
    </w:p>
    <w:p w:rsidR="00F73D9C" w:rsidRDefault="00F73D9C" w:rsidP="00634761">
      <w:pPr>
        <w:pStyle w:val="NormalWeb"/>
        <w:numPr>
          <w:ilvl w:val="0"/>
          <w:numId w:val="25"/>
        </w:numPr>
        <w:spacing w:before="0" w:beforeAutospacing="0" w:after="0" w:afterAutospacing="0"/>
        <w:jc w:val="both"/>
      </w:pPr>
      <w:r>
        <w:t xml:space="preserve">Evans, J.R., &amp; Lindsay, W.M. (2020). </w:t>
      </w:r>
      <w:r>
        <w:rPr>
          <w:rStyle w:val="Emphasis"/>
        </w:rPr>
        <w:t>Managing for Quality and Performance Excellence</w:t>
      </w:r>
      <w:r>
        <w:t>.</w:t>
      </w:r>
    </w:p>
    <w:p w:rsidR="00F73D9C" w:rsidRDefault="00F73D9C" w:rsidP="00634761">
      <w:pPr>
        <w:pStyle w:val="NormalWeb"/>
        <w:numPr>
          <w:ilvl w:val="0"/>
          <w:numId w:val="25"/>
        </w:numPr>
        <w:spacing w:before="0" w:beforeAutospacing="0" w:after="0" w:afterAutospacing="0"/>
        <w:jc w:val="both"/>
      </w:pPr>
      <w:r>
        <w:t xml:space="preserve">WHO (2022). </w:t>
      </w:r>
      <w:r>
        <w:rPr>
          <w:rStyle w:val="Emphasis"/>
        </w:rPr>
        <w:t>Quality of Care in Health Services Framework</w:t>
      </w:r>
      <w:r>
        <w:t>.</w:t>
      </w:r>
    </w:p>
    <w:p w:rsidR="00F73D9C" w:rsidRDefault="00F73D9C" w:rsidP="00634761">
      <w:pPr>
        <w:pStyle w:val="NormalWeb"/>
        <w:numPr>
          <w:ilvl w:val="0"/>
          <w:numId w:val="25"/>
        </w:numPr>
        <w:spacing w:before="0" w:beforeAutospacing="0" w:after="0" w:afterAutospacing="0"/>
        <w:jc w:val="both"/>
      </w:pPr>
      <w:r>
        <w:t>NABH (National Accreditation Board for Hospitals) Guidelines, India.</w:t>
      </w:r>
    </w:p>
    <w:p w:rsidR="00F73D9C" w:rsidRDefault="00F73D9C" w:rsidP="00634761">
      <w:pPr>
        <w:pStyle w:val="NormalWeb"/>
        <w:numPr>
          <w:ilvl w:val="0"/>
          <w:numId w:val="25"/>
        </w:numPr>
        <w:spacing w:before="0" w:beforeAutospacing="0" w:after="0" w:afterAutospacing="0"/>
        <w:jc w:val="both"/>
      </w:pPr>
      <w:r>
        <w:t>Mosadeghrad, A.M. (2021). “Healthcare service quality: Towards a broad definition.”</w:t>
      </w:r>
    </w:p>
    <w:p w:rsidR="00F73D9C" w:rsidRDefault="00F73D9C" w:rsidP="00634761">
      <w:pPr>
        <w:pStyle w:val="NormalWeb"/>
        <w:numPr>
          <w:ilvl w:val="0"/>
          <w:numId w:val="25"/>
        </w:numPr>
        <w:spacing w:before="0" w:beforeAutospacing="0" w:after="0" w:afterAutospacing="0"/>
        <w:jc w:val="both"/>
      </w:pPr>
      <w:r>
        <w:t>Al-Assaf, A.F. (Updated Studies on TQM in Healthcare).</w:t>
      </w:r>
    </w:p>
    <w:p w:rsidR="00F73D9C" w:rsidRDefault="00F73D9C" w:rsidP="00634761">
      <w:pPr>
        <w:pStyle w:val="NormalWeb"/>
        <w:numPr>
          <w:ilvl w:val="0"/>
          <w:numId w:val="25"/>
        </w:numPr>
        <w:spacing w:before="0" w:beforeAutospacing="0" w:after="0" w:afterAutospacing="0"/>
        <w:jc w:val="both"/>
      </w:pPr>
      <w:r>
        <w:t>JCI Accreditation Standards for Hospitals (Latest Edition).</w:t>
      </w:r>
    </w:p>
    <w:p w:rsidR="00F73D9C" w:rsidRDefault="00F73D9C" w:rsidP="00634761">
      <w:pPr>
        <w:spacing w:after="0" w:line="240" w:lineRule="auto"/>
        <w:jc w:val="both"/>
        <w:rPr>
          <w:rFonts w:ascii="Times New Roman" w:eastAsia="Times New Roman" w:hAnsi="Times New Roman" w:cs="Times New Roman"/>
          <w:sz w:val="24"/>
          <w:szCs w:val="24"/>
        </w:rPr>
      </w:pPr>
    </w:p>
    <w:p w:rsidR="00F73D9C" w:rsidRDefault="00F73D9C" w:rsidP="00F73D9C">
      <w:pPr>
        <w:rPr>
          <w:rFonts w:ascii="Times New Roman" w:eastAsia="Times New Roman" w:hAnsi="Times New Roman" w:cs="Times New Roman"/>
          <w:sz w:val="24"/>
          <w:szCs w:val="24"/>
        </w:rPr>
      </w:pPr>
    </w:p>
    <w:p w:rsidR="00634761" w:rsidRDefault="00634761" w:rsidP="00F73D9C">
      <w:pPr>
        <w:rPr>
          <w:rFonts w:ascii="Times New Roman" w:eastAsia="Times New Roman" w:hAnsi="Times New Roman" w:cs="Times New Roman"/>
          <w:sz w:val="24"/>
          <w:szCs w:val="24"/>
        </w:rPr>
      </w:pPr>
    </w:p>
    <w:p w:rsidR="00634761" w:rsidRDefault="00634761" w:rsidP="00F73D9C">
      <w:pPr>
        <w:rPr>
          <w:rFonts w:ascii="Times New Roman" w:eastAsia="Times New Roman" w:hAnsi="Times New Roman" w:cs="Times New Roman"/>
          <w:sz w:val="24"/>
          <w:szCs w:val="24"/>
        </w:rPr>
      </w:pPr>
    </w:p>
    <w:p w:rsidR="00634761" w:rsidRDefault="00634761" w:rsidP="00F73D9C">
      <w:pPr>
        <w:rPr>
          <w:rFonts w:ascii="Times New Roman" w:eastAsia="Times New Roman" w:hAnsi="Times New Roman" w:cs="Times New Roman"/>
          <w:sz w:val="24"/>
          <w:szCs w:val="24"/>
        </w:rPr>
      </w:pPr>
    </w:p>
    <w:p w:rsidR="00F73D9C" w:rsidRDefault="00F73D9C" w:rsidP="00F73D9C">
      <w:pPr>
        <w:rPr>
          <w:rFonts w:ascii="Times New Roman" w:eastAsia="Times New Roman" w:hAnsi="Times New Roman" w:cs="Times New Roman"/>
          <w:sz w:val="24"/>
          <w:szCs w:val="24"/>
        </w:rPr>
      </w:pPr>
    </w:p>
    <w:p w:rsidR="00F73D9C" w:rsidRDefault="00F73D9C" w:rsidP="00F73D9C">
      <w:pPr>
        <w:rPr>
          <w:rFonts w:ascii="Times New Roman" w:hAnsi="Times New Roman" w:cs="Times New Roman"/>
          <w:b/>
          <w:sz w:val="28"/>
          <w:szCs w:val="28"/>
        </w:rPr>
      </w:pPr>
    </w:p>
    <w:p w:rsidR="00F73D9C" w:rsidRDefault="00F73D9C" w:rsidP="00AC231A">
      <w:pPr>
        <w:jc w:val="center"/>
        <w:rPr>
          <w:rFonts w:ascii="Times New Roman" w:hAnsi="Times New Roman" w:cs="Times New Roman"/>
          <w:b/>
          <w:sz w:val="28"/>
          <w:szCs w:val="28"/>
        </w:rPr>
      </w:pPr>
    </w:p>
    <w:sectPr w:rsidR="00F73D9C" w:rsidSect="00AF7F8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5E" w:rsidRDefault="00BD705E" w:rsidP="00EB4904">
      <w:pPr>
        <w:spacing w:after="0" w:line="240" w:lineRule="auto"/>
      </w:pPr>
      <w:r>
        <w:separator/>
      </w:r>
    </w:p>
  </w:endnote>
  <w:endnote w:type="continuationSeparator" w:id="0">
    <w:p w:rsidR="00BD705E" w:rsidRDefault="00BD705E" w:rsidP="00EB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532"/>
      <w:docPartObj>
        <w:docPartGallery w:val="Page Numbers (Bottom of Page)"/>
        <w:docPartUnique/>
      </w:docPartObj>
    </w:sdtPr>
    <w:sdtEndPr/>
    <w:sdtContent>
      <w:p w:rsidR="00EB4904" w:rsidRDefault="00BD705E">
        <w:pPr>
          <w:pStyle w:val="Footer"/>
          <w:jc w:val="center"/>
        </w:pPr>
        <w:r>
          <w:fldChar w:fldCharType="begin"/>
        </w:r>
        <w:r>
          <w:instrText xml:space="preserve"> PAGE   \* MERGEFORMAT </w:instrText>
        </w:r>
        <w:r>
          <w:fldChar w:fldCharType="separate"/>
        </w:r>
        <w:r w:rsidR="008D0BCC">
          <w:rPr>
            <w:noProof/>
          </w:rPr>
          <w:t>6</w:t>
        </w:r>
        <w:r>
          <w:rPr>
            <w:noProof/>
          </w:rPr>
          <w:fldChar w:fldCharType="end"/>
        </w:r>
      </w:p>
    </w:sdtContent>
  </w:sdt>
  <w:p w:rsidR="00EB4904" w:rsidRDefault="00EB4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5E" w:rsidRDefault="00BD705E" w:rsidP="00EB4904">
      <w:pPr>
        <w:spacing w:after="0" w:line="240" w:lineRule="auto"/>
      </w:pPr>
      <w:r>
        <w:separator/>
      </w:r>
    </w:p>
  </w:footnote>
  <w:footnote w:type="continuationSeparator" w:id="0">
    <w:p w:rsidR="00BD705E" w:rsidRDefault="00BD705E" w:rsidP="00EB4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380"/>
    <w:multiLevelType w:val="multilevel"/>
    <w:tmpl w:val="2D4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55A84"/>
    <w:multiLevelType w:val="multilevel"/>
    <w:tmpl w:val="90E0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426A5"/>
    <w:multiLevelType w:val="hybridMultilevel"/>
    <w:tmpl w:val="23C4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231F4"/>
    <w:multiLevelType w:val="multilevel"/>
    <w:tmpl w:val="446C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920CD"/>
    <w:multiLevelType w:val="multilevel"/>
    <w:tmpl w:val="2D2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75F10"/>
    <w:multiLevelType w:val="multilevel"/>
    <w:tmpl w:val="6BB6B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5D0211"/>
    <w:multiLevelType w:val="multilevel"/>
    <w:tmpl w:val="00ECA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5D46D9"/>
    <w:multiLevelType w:val="hybridMultilevel"/>
    <w:tmpl w:val="6BDAE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6A34"/>
    <w:multiLevelType w:val="multilevel"/>
    <w:tmpl w:val="D06C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E38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905458B"/>
    <w:multiLevelType w:val="multilevel"/>
    <w:tmpl w:val="32F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277F1"/>
    <w:multiLevelType w:val="multilevel"/>
    <w:tmpl w:val="712AE8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522A0"/>
    <w:multiLevelType w:val="multilevel"/>
    <w:tmpl w:val="0E54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6A53FF"/>
    <w:multiLevelType w:val="multilevel"/>
    <w:tmpl w:val="3476E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C970CC"/>
    <w:multiLevelType w:val="multilevel"/>
    <w:tmpl w:val="376C8E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C61A20"/>
    <w:multiLevelType w:val="multilevel"/>
    <w:tmpl w:val="D710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860346"/>
    <w:multiLevelType w:val="multilevel"/>
    <w:tmpl w:val="78CEFA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7F5820"/>
    <w:multiLevelType w:val="multilevel"/>
    <w:tmpl w:val="2556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9B5433"/>
    <w:multiLevelType w:val="multilevel"/>
    <w:tmpl w:val="C2FAA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AE3F27"/>
    <w:multiLevelType w:val="hybridMultilevel"/>
    <w:tmpl w:val="DF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870CDC"/>
    <w:multiLevelType w:val="multilevel"/>
    <w:tmpl w:val="2F924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A695D"/>
    <w:multiLevelType w:val="multilevel"/>
    <w:tmpl w:val="C5F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13636"/>
    <w:multiLevelType w:val="multilevel"/>
    <w:tmpl w:val="D06C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044B60"/>
    <w:multiLevelType w:val="multilevel"/>
    <w:tmpl w:val="A8040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316184"/>
    <w:multiLevelType w:val="multilevel"/>
    <w:tmpl w:val="8BAA5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E61990"/>
    <w:multiLevelType w:val="multilevel"/>
    <w:tmpl w:val="B28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2"/>
  </w:num>
  <w:num w:numId="4">
    <w:abstractNumId w:val="10"/>
  </w:num>
  <w:num w:numId="5">
    <w:abstractNumId w:val="15"/>
  </w:num>
  <w:num w:numId="6">
    <w:abstractNumId w:val="22"/>
  </w:num>
  <w:num w:numId="7">
    <w:abstractNumId w:val="1"/>
  </w:num>
  <w:num w:numId="8">
    <w:abstractNumId w:val="0"/>
  </w:num>
  <w:num w:numId="9">
    <w:abstractNumId w:val="3"/>
  </w:num>
  <w:num w:numId="10">
    <w:abstractNumId w:val="4"/>
  </w:num>
  <w:num w:numId="11">
    <w:abstractNumId w:val="25"/>
  </w:num>
  <w:num w:numId="12">
    <w:abstractNumId w:val="17"/>
  </w:num>
  <w:num w:numId="13">
    <w:abstractNumId w:val="12"/>
  </w:num>
  <w:num w:numId="14">
    <w:abstractNumId w:val="18"/>
  </w:num>
  <w:num w:numId="15">
    <w:abstractNumId w:val="13"/>
  </w:num>
  <w:num w:numId="16">
    <w:abstractNumId w:val="5"/>
  </w:num>
  <w:num w:numId="17">
    <w:abstractNumId w:val="23"/>
  </w:num>
  <w:num w:numId="18">
    <w:abstractNumId w:val="24"/>
  </w:num>
  <w:num w:numId="19">
    <w:abstractNumId w:val="6"/>
  </w:num>
  <w:num w:numId="20">
    <w:abstractNumId w:val="14"/>
  </w:num>
  <w:num w:numId="21">
    <w:abstractNumId w:val="16"/>
  </w:num>
  <w:num w:numId="22">
    <w:abstractNumId w:val="11"/>
  </w:num>
  <w:num w:numId="23">
    <w:abstractNumId w:val="21"/>
  </w:num>
  <w:num w:numId="24">
    <w:abstractNumId w:val="20"/>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77E6"/>
    <w:rsid w:val="000074AE"/>
    <w:rsid w:val="000120C2"/>
    <w:rsid w:val="00036755"/>
    <w:rsid w:val="00042A03"/>
    <w:rsid w:val="000506BC"/>
    <w:rsid w:val="0007250C"/>
    <w:rsid w:val="000B0273"/>
    <w:rsid w:val="000E56B5"/>
    <w:rsid w:val="000F5F2F"/>
    <w:rsid w:val="0011009F"/>
    <w:rsid w:val="00160CBA"/>
    <w:rsid w:val="00195071"/>
    <w:rsid w:val="001D5E3B"/>
    <w:rsid w:val="00207C55"/>
    <w:rsid w:val="0022418E"/>
    <w:rsid w:val="00254E04"/>
    <w:rsid w:val="0028078F"/>
    <w:rsid w:val="002E28E9"/>
    <w:rsid w:val="00322A17"/>
    <w:rsid w:val="00342076"/>
    <w:rsid w:val="00375E0F"/>
    <w:rsid w:val="003A3EB8"/>
    <w:rsid w:val="004169DD"/>
    <w:rsid w:val="0042557C"/>
    <w:rsid w:val="00443032"/>
    <w:rsid w:val="00494F8C"/>
    <w:rsid w:val="004B1C96"/>
    <w:rsid w:val="004B26BE"/>
    <w:rsid w:val="004F158A"/>
    <w:rsid w:val="00500A87"/>
    <w:rsid w:val="005515B4"/>
    <w:rsid w:val="00577105"/>
    <w:rsid w:val="00581408"/>
    <w:rsid w:val="00595CA5"/>
    <w:rsid w:val="005C5C5E"/>
    <w:rsid w:val="005E599F"/>
    <w:rsid w:val="00600B44"/>
    <w:rsid w:val="006249FB"/>
    <w:rsid w:val="00634761"/>
    <w:rsid w:val="00640A09"/>
    <w:rsid w:val="006434AA"/>
    <w:rsid w:val="006741AE"/>
    <w:rsid w:val="00694394"/>
    <w:rsid w:val="006C40AF"/>
    <w:rsid w:val="007077E9"/>
    <w:rsid w:val="0075286C"/>
    <w:rsid w:val="007A0FE3"/>
    <w:rsid w:val="007A1AD3"/>
    <w:rsid w:val="007B23FB"/>
    <w:rsid w:val="007B4D50"/>
    <w:rsid w:val="008333B1"/>
    <w:rsid w:val="00894DCC"/>
    <w:rsid w:val="008A192E"/>
    <w:rsid w:val="008A4A26"/>
    <w:rsid w:val="008D0BCC"/>
    <w:rsid w:val="00930414"/>
    <w:rsid w:val="00965840"/>
    <w:rsid w:val="00977969"/>
    <w:rsid w:val="009975E1"/>
    <w:rsid w:val="009B4ABA"/>
    <w:rsid w:val="009B75CE"/>
    <w:rsid w:val="00A2698B"/>
    <w:rsid w:val="00A30325"/>
    <w:rsid w:val="00A45722"/>
    <w:rsid w:val="00A707B2"/>
    <w:rsid w:val="00AB25B6"/>
    <w:rsid w:val="00AC231A"/>
    <w:rsid w:val="00AC53E4"/>
    <w:rsid w:val="00AF7F8C"/>
    <w:rsid w:val="00B2778C"/>
    <w:rsid w:val="00BC3917"/>
    <w:rsid w:val="00BD705E"/>
    <w:rsid w:val="00C06BBF"/>
    <w:rsid w:val="00C15C85"/>
    <w:rsid w:val="00C30AB4"/>
    <w:rsid w:val="00C41199"/>
    <w:rsid w:val="00CC66AB"/>
    <w:rsid w:val="00D2416F"/>
    <w:rsid w:val="00D532CD"/>
    <w:rsid w:val="00DA4042"/>
    <w:rsid w:val="00DC77E6"/>
    <w:rsid w:val="00DF3193"/>
    <w:rsid w:val="00E01B7F"/>
    <w:rsid w:val="00E3360A"/>
    <w:rsid w:val="00EB4904"/>
    <w:rsid w:val="00EC7031"/>
    <w:rsid w:val="00EF55BD"/>
    <w:rsid w:val="00F159AD"/>
    <w:rsid w:val="00F73D9C"/>
    <w:rsid w:val="00F7488E"/>
    <w:rsid w:val="00FA3D40"/>
    <w:rsid w:val="00FE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8C"/>
  </w:style>
  <w:style w:type="paragraph" w:styleId="Heading1">
    <w:name w:val="heading 1"/>
    <w:basedOn w:val="Normal"/>
    <w:link w:val="Heading1Char"/>
    <w:uiPriority w:val="9"/>
    <w:qFormat/>
    <w:rsid w:val="00F73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3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3D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31A"/>
    <w:pPr>
      <w:ind w:left="720"/>
      <w:contextualSpacing/>
    </w:pPr>
  </w:style>
  <w:style w:type="table" w:styleId="TableGrid">
    <w:name w:val="Table Grid"/>
    <w:basedOn w:val="TableNormal"/>
    <w:uiPriority w:val="59"/>
    <w:rsid w:val="009304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D5E3B"/>
    <w:rPr>
      <w:color w:val="0000FF" w:themeColor="hyperlink"/>
      <w:u w:val="single"/>
    </w:rPr>
  </w:style>
  <w:style w:type="paragraph" w:styleId="Header">
    <w:name w:val="header"/>
    <w:basedOn w:val="Normal"/>
    <w:link w:val="HeaderChar"/>
    <w:uiPriority w:val="99"/>
    <w:semiHidden/>
    <w:unhideWhenUsed/>
    <w:rsid w:val="00EB49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904"/>
  </w:style>
  <w:style w:type="paragraph" w:styleId="Footer">
    <w:name w:val="footer"/>
    <w:basedOn w:val="Normal"/>
    <w:link w:val="FooterChar"/>
    <w:uiPriority w:val="99"/>
    <w:unhideWhenUsed/>
    <w:rsid w:val="00EB4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04"/>
  </w:style>
  <w:style w:type="character" w:customStyle="1" w:styleId="Heading1Char">
    <w:name w:val="Heading 1 Char"/>
    <w:basedOn w:val="DefaultParagraphFont"/>
    <w:link w:val="Heading1"/>
    <w:uiPriority w:val="9"/>
    <w:rsid w:val="00F73D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3D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3D9C"/>
    <w:rPr>
      <w:rFonts w:ascii="Times New Roman" w:eastAsia="Times New Roman" w:hAnsi="Times New Roman" w:cs="Times New Roman"/>
      <w:b/>
      <w:bCs/>
      <w:sz w:val="27"/>
      <w:szCs w:val="27"/>
    </w:rPr>
  </w:style>
  <w:style w:type="paragraph" w:styleId="NormalWeb">
    <w:name w:val="Normal (Web)"/>
    <w:basedOn w:val="Normal"/>
    <w:uiPriority w:val="99"/>
    <w:unhideWhenUsed/>
    <w:rsid w:val="00F73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D9C"/>
    <w:rPr>
      <w:b/>
      <w:bCs/>
    </w:rPr>
  </w:style>
  <w:style w:type="character" w:styleId="Emphasis">
    <w:name w:val="Emphasis"/>
    <w:basedOn w:val="DefaultParagraphFont"/>
    <w:uiPriority w:val="20"/>
    <w:qFormat/>
    <w:rsid w:val="00F73D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20789">
      <w:bodyDiv w:val="1"/>
      <w:marLeft w:val="0"/>
      <w:marRight w:val="0"/>
      <w:marTop w:val="0"/>
      <w:marBottom w:val="0"/>
      <w:divBdr>
        <w:top w:val="none" w:sz="0" w:space="0" w:color="auto"/>
        <w:left w:val="none" w:sz="0" w:space="0" w:color="auto"/>
        <w:bottom w:val="none" w:sz="0" w:space="0" w:color="auto"/>
        <w:right w:val="none" w:sz="0" w:space="0" w:color="auto"/>
      </w:divBdr>
    </w:div>
    <w:div w:id="291833778">
      <w:bodyDiv w:val="1"/>
      <w:marLeft w:val="0"/>
      <w:marRight w:val="0"/>
      <w:marTop w:val="0"/>
      <w:marBottom w:val="0"/>
      <w:divBdr>
        <w:top w:val="none" w:sz="0" w:space="0" w:color="auto"/>
        <w:left w:val="none" w:sz="0" w:space="0" w:color="auto"/>
        <w:bottom w:val="none" w:sz="0" w:space="0" w:color="auto"/>
        <w:right w:val="none" w:sz="0" w:space="0" w:color="auto"/>
      </w:divBdr>
    </w:div>
    <w:div w:id="489760209">
      <w:bodyDiv w:val="1"/>
      <w:marLeft w:val="0"/>
      <w:marRight w:val="0"/>
      <w:marTop w:val="0"/>
      <w:marBottom w:val="0"/>
      <w:divBdr>
        <w:top w:val="none" w:sz="0" w:space="0" w:color="auto"/>
        <w:left w:val="none" w:sz="0" w:space="0" w:color="auto"/>
        <w:bottom w:val="none" w:sz="0" w:space="0" w:color="auto"/>
        <w:right w:val="none" w:sz="0" w:space="0" w:color="auto"/>
      </w:divBdr>
    </w:div>
    <w:div w:id="494102999">
      <w:bodyDiv w:val="1"/>
      <w:marLeft w:val="0"/>
      <w:marRight w:val="0"/>
      <w:marTop w:val="0"/>
      <w:marBottom w:val="0"/>
      <w:divBdr>
        <w:top w:val="none" w:sz="0" w:space="0" w:color="auto"/>
        <w:left w:val="none" w:sz="0" w:space="0" w:color="auto"/>
        <w:bottom w:val="none" w:sz="0" w:space="0" w:color="auto"/>
        <w:right w:val="none" w:sz="0" w:space="0" w:color="auto"/>
      </w:divBdr>
    </w:div>
    <w:div w:id="1387219351">
      <w:bodyDiv w:val="1"/>
      <w:marLeft w:val="0"/>
      <w:marRight w:val="0"/>
      <w:marTop w:val="0"/>
      <w:marBottom w:val="0"/>
      <w:divBdr>
        <w:top w:val="none" w:sz="0" w:space="0" w:color="auto"/>
        <w:left w:val="none" w:sz="0" w:space="0" w:color="auto"/>
        <w:bottom w:val="none" w:sz="0" w:space="0" w:color="auto"/>
        <w:right w:val="none" w:sz="0" w:space="0" w:color="auto"/>
      </w:divBdr>
      <w:divsChild>
        <w:div w:id="818501141">
          <w:marLeft w:val="0"/>
          <w:marRight w:val="0"/>
          <w:marTop w:val="0"/>
          <w:marBottom w:val="0"/>
          <w:divBdr>
            <w:top w:val="none" w:sz="0" w:space="0" w:color="auto"/>
            <w:left w:val="none" w:sz="0" w:space="0" w:color="auto"/>
            <w:bottom w:val="none" w:sz="0" w:space="0" w:color="auto"/>
            <w:right w:val="none" w:sz="0" w:space="0" w:color="auto"/>
          </w:divBdr>
        </w:div>
        <w:div w:id="2134784608">
          <w:marLeft w:val="0"/>
          <w:marRight w:val="0"/>
          <w:marTop w:val="0"/>
          <w:marBottom w:val="0"/>
          <w:divBdr>
            <w:top w:val="none" w:sz="0" w:space="0" w:color="auto"/>
            <w:left w:val="none" w:sz="0" w:space="0" w:color="auto"/>
            <w:bottom w:val="none" w:sz="0" w:space="0" w:color="auto"/>
            <w:right w:val="none" w:sz="0" w:space="0" w:color="auto"/>
          </w:divBdr>
        </w:div>
        <w:div w:id="237592244">
          <w:marLeft w:val="0"/>
          <w:marRight w:val="0"/>
          <w:marTop w:val="0"/>
          <w:marBottom w:val="0"/>
          <w:divBdr>
            <w:top w:val="none" w:sz="0" w:space="0" w:color="auto"/>
            <w:left w:val="none" w:sz="0" w:space="0" w:color="auto"/>
            <w:bottom w:val="none" w:sz="0" w:space="0" w:color="auto"/>
            <w:right w:val="none" w:sz="0" w:space="0" w:color="auto"/>
          </w:divBdr>
        </w:div>
        <w:div w:id="1056856980">
          <w:marLeft w:val="0"/>
          <w:marRight w:val="0"/>
          <w:marTop w:val="0"/>
          <w:marBottom w:val="0"/>
          <w:divBdr>
            <w:top w:val="none" w:sz="0" w:space="0" w:color="auto"/>
            <w:left w:val="none" w:sz="0" w:space="0" w:color="auto"/>
            <w:bottom w:val="none" w:sz="0" w:space="0" w:color="auto"/>
            <w:right w:val="none" w:sz="0" w:space="0" w:color="auto"/>
          </w:divBdr>
        </w:div>
        <w:div w:id="1748259026">
          <w:marLeft w:val="0"/>
          <w:marRight w:val="0"/>
          <w:marTop w:val="0"/>
          <w:marBottom w:val="0"/>
          <w:divBdr>
            <w:top w:val="none" w:sz="0" w:space="0" w:color="auto"/>
            <w:left w:val="none" w:sz="0" w:space="0" w:color="auto"/>
            <w:bottom w:val="none" w:sz="0" w:space="0" w:color="auto"/>
            <w:right w:val="none" w:sz="0" w:space="0" w:color="auto"/>
          </w:divBdr>
        </w:div>
        <w:div w:id="427697593">
          <w:marLeft w:val="0"/>
          <w:marRight w:val="0"/>
          <w:marTop w:val="0"/>
          <w:marBottom w:val="0"/>
          <w:divBdr>
            <w:top w:val="none" w:sz="0" w:space="0" w:color="auto"/>
            <w:left w:val="none" w:sz="0" w:space="0" w:color="auto"/>
            <w:bottom w:val="none" w:sz="0" w:space="0" w:color="auto"/>
            <w:right w:val="none" w:sz="0" w:space="0" w:color="auto"/>
          </w:divBdr>
        </w:div>
        <w:div w:id="1130902033">
          <w:marLeft w:val="0"/>
          <w:marRight w:val="0"/>
          <w:marTop w:val="0"/>
          <w:marBottom w:val="0"/>
          <w:divBdr>
            <w:top w:val="none" w:sz="0" w:space="0" w:color="auto"/>
            <w:left w:val="none" w:sz="0" w:space="0" w:color="auto"/>
            <w:bottom w:val="none" w:sz="0" w:space="0" w:color="auto"/>
            <w:right w:val="none" w:sz="0" w:space="0" w:color="auto"/>
          </w:divBdr>
        </w:div>
        <w:div w:id="1095325767">
          <w:marLeft w:val="0"/>
          <w:marRight w:val="0"/>
          <w:marTop w:val="0"/>
          <w:marBottom w:val="0"/>
          <w:divBdr>
            <w:top w:val="none" w:sz="0" w:space="0" w:color="auto"/>
            <w:left w:val="none" w:sz="0" w:space="0" w:color="auto"/>
            <w:bottom w:val="none" w:sz="0" w:space="0" w:color="auto"/>
            <w:right w:val="none" w:sz="0" w:space="0" w:color="auto"/>
          </w:divBdr>
        </w:div>
        <w:div w:id="761412097">
          <w:marLeft w:val="0"/>
          <w:marRight w:val="0"/>
          <w:marTop w:val="0"/>
          <w:marBottom w:val="0"/>
          <w:divBdr>
            <w:top w:val="none" w:sz="0" w:space="0" w:color="auto"/>
            <w:left w:val="none" w:sz="0" w:space="0" w:color="auto"/>
            <w:bottom w:val="none" w:sz="0" w:space="0" w:color="auto"/>
            <w:right w:val="none" w:sz="0" w:space="0" w:color="auto"/>
          </w:divBdr>
        </w:div>
        <w:div w:id="1539658931">
          <w:marLeft w:val="0"/>
          <w:marRight w:val="0"/>
          <w:marTop w:val="0"/>
          <w:marBottom w:val="0"/>
          <w:divBdr>
            <w:top w:val="none" w:sz="0" w:space="0" w:color="auto"/>
            <w:left w:val="none" w:sz="0" w:space="0" w:color="auto"/>
            <w:bottom w:val="none" w:sz="0" w:space="0" w:color="auto"/>
            <w:right w:val="none" w:sz="0" w:space="0" w:color="auto"/>
          </w:divBdr>
        </w:div>
        <w:div w:id="1939944498">
          <w:marLeft w:val="0"/>
          <w:marRight w:val="0"/>
          <w:marTop w:val="0"/>
          <w:marBottom w:val="0"/>
          <w:divBdr>
            <w:top w:val="none" w:sz="0" w:space="0" w:color="auto"/>
            <w:left w:val="none" w:sz="0" w:space="0" w:color="auto"/>
            <w:bottom w:val="none" w:sz="0" w:space="0" w:color="auto"/>
            <w:right w:val="none" w:sz="0" w:space="0" w:color="auto"/>
          </w:divBdr>
        </w:div>
        <w:div w:id="2041930089">
          <w:marLeft w:val="0"/>
          <w:marRight w:val="0"/>
          <w:marTop w:val="0"/>
          <w:marBottom w:val="0"/>
          <w:divBdr>
            <w:top w:val="none" w:sz="0" w:space="0" w:color="auto"/>
            <w:left w:val="none" w:sz="0" w:space="0" w:color="auto"/>
            <w:bottom w:val="none" w:sz="0" w:space="0" w:color="auto"/>
            <w:right w:val="none" w:sz="0" w:space="0" w:color="auto"/>
          </w:divBdr>
        </w:div>
        <w:div w:id="226112612">
          <w:marLeft w:val="0"/>
          <w:marRight w:val="0"/>
          <w:marTop w:val="0"/>
          <w:marBottom w:val="0"/>
          <w:divBdr>
            <w:top w:val="none" w:sz="0" w:space="0" w:color="auto"/>
            <w:left w:val="none" w:sz="0" w:space="0" w:color="auto"/>
            <w:bottom w:val="none" w:sz="0" w:space="0" w:color="auto"/>
            <w:right w:val="none" w:sz="0" w:space="0" w:color="auto"/>
          </w:divBdr>
        </w:div>
        <w:div w:id="79569364">
          <w:marLeft w:val="0"/>
          <w:marRight w:val="0"/>
          <w:marTop w:val="0"/>
          <w:marBottom w:val="0"/>
          <w:divBdr>
            <w:top w:val="none" w:sz="0" w:space="0" w:color="auto"/>
            <w:left w:val="none" w:sz="0" w:space="0" w:color="auto"/>
            <w:bottom w:val="none" w:sz="0" w:space="0" w:color="auto"/>
            <w:right w:val="none" w:sz="0" w:space="0" w:color="auto"/>
          </w:divBdr>
        </w:div>
        <w:div w:id="1557087810">
          <w:marLeft w:val="0"/>
          <w:marRight w:val="0"/>
          <w:marTop w:val="0"/>
          <w:marBottom w:val="0"/>
          <w:divBdr>
            <w:top w:val="none" w:sz="0" w:space="0" w:color="auto"/>
            <w:left w:val="none" w:sz="0" w:space="0" w:color="auto"/>
            <w:bottom w:val="none" w:sz="0" w:space="0" w:color="auto"/>
            <w:right w:val="none" w:sz="0" w:space="0" w:color="auto"/>
          </w:divBdr>
        </w:div>
        <w:div w:id="2098623954">
          <w:marLeft w:val="0"/>
          <w:marRight w:val="0"/>
          <w:marTop w:val="0"/>
          <w:marBottom w:val="0"/>
          <w:divBdr>
            <w:top w:val="none" w:sz="0" w:space="0" w:color="auto"/>
            <w:left w:val="none" w:sz="0" w:space="0" w:color="auto"/>
            <w:bottom w:val="none" w:sz="0" w:space="0" w:color="auto"/>
            <w:right w:val="none" w:sz="0" w:space="0" w:color="auto"/>
          </w:divBdr>
        </w:div>
        <w:div w:id="725101599">
          <w:marLeft w:val="0"/>
          <w:marRight w:val="0"/>
          <w:marTop w:val="0"/>
          <w:marBottom w:val="0"/>
          <w:divBdr>
            <w:top w:val="none" w:sz="0" w:space="0" w:color="auto"/>
            <w:left w:val="none" w:sz="0" w:space="0" w:color="auto"/>
            <w:bottom w:val="none" w:sz="0" w:space="0" w:color="auto"/>
            <w:right w:val="none" w:sz="0" w:space="0" w:color="auto"/>
          </w:divBdr>
        </w:div>
        <w:div w:id="909508666">
          <w:marLeft w:val="0"/>
          <w:marRight w:val="0"/>
          <w:marTop w:val="0"/>
          <w:marBottom w:val="0"/>
          <w:divBdr>
            <w:top w:val="none" w:sz="0" w:space="0" w:color="auto"/>
            <w:left w:val="none" w:sz="0" w:space="0" w:color="auto"/>
            <w:bottom w:val="none" w:sz="0" w:space="0" w:color="auto"/>
            <w:right w:val="none" w:sz="0" w:space="0" w:color="auto"/>
          </w:divBdr>
        </w:div>
        <w:div w:id="1021509841">
          <w:marLeft w:val="0"/>
          <w:marRight w:val="0"/>
          <w:marTop w:val="0"/>
          <w:marBottom w:val="0"/>
          <w:divBdr>
            <w:top w:val="none" w:sz="0" w:space="0" w:color="auto"/>
            <w:left w:val="none" w:sz="0" w:space="0" w:color="auto"/>
            <w:bottom w:val="none" w:sz="0" w:space="0" w:color="auto"/>
            <w:right w:val="none" w:sz="0" w:space="0" w:color="auto"/>
          </w:divBdr>
        </w:div>
        <w:div w:id="1771193931">
          <w:marLeft w:val="0"/>
          <w:marRight w:val="0"/>
          <w:marTop w:val="0"/>
          <w:marBottom w:val="0"/>
          <w:divBdr>
            <w:top w:val="none" w:sz="0" w:space="0" w:color="auto"/>
            <w:left w:val="none" w:sz="0" w:space="0" w:color="auto"/>
            <w:bottom w:val="none" w:sz="0" w:space="0" w:color="auto"/>
            <w:right w:val="none" w:sz="0" w:space="0" w:color="auto"/>
          </w:divBdr>
        </w:div>
        <w:div w:id="942567733">
          <w:marLeft w:val="0"/>
          <w:marRight w:val="0"/>
          <w:marTop w:val="0"/>
          <w:marBottom w:val="0"/>
          <w:divBdr>
            <w:top w:val="none" w:sz="0" w:space="0" w:color="auto"/>
            <w:left w:val="none" w:sz="0" w:space="0" w:color="auto"/>
            <w:bottom w:val="none" w:sz="0" w:space="0" w:color="auto"/>
            <w:right w:val="none" w:sz="0" w:space="0" w:color="auto"/>
          </w:divBdr>
        </w:div>
        <w:div w:id="723868328">
          <w:marLeft w:val="0"/>
          <w:marRight w:val="0"/>
          <w:marTop w:val="0"/>
          <w:marBottom w:val="0"/>
          <w:divBdr>
            <w:top w:val="none" w:sz="0" w:space="0" w:color="auto"/>
            <w:left w:val="none" w:sz="0" w:space="0" w:color="auto"/>
            <w:bottom w:val="none" w:sz="0" w:space="0" w:color="auto"/>
            <w:right w:val="none" w:sz="0" w:space="0" w:color="auto"/>
          </w:divBdr>
        </w:div>
        <w:div w:id="2074083733">
          <w:marLeft w:val="0"/>
          <w:marRight w:val="0"/>
          <w:marTop w:val="0"/>
          <w:marBottom w:val="0"/>
          <w:divBdr>
            <w:top w:val="none" w:sz="0" w:space="0" w:color="auto"/>
            <w:left w:val="none" w:sz="0" w:space="0" w:color="auto"/>
            <w:bottom w:val="none" w:sz="0" w:space="0" w:color="auto"/>
            <w:right w:val="none" w:sz="0" w:space="0" w:color="auto"/>
          </w:divBdr>
        </w:div>
        <w:div w:id="767771480">
          <w:marLeft w:val="0"/>
          <w:marRight w:val="0"/>
          <w:marTop w:val="0"/>
          <w:marBottom w:val="0"/>
          <w:divBdr>
            <w:top w:val="none" w:sz="0" w:space="0" w:color="auto"/>
            <w:left w:val="none" w:sz="0" w:space="0" w:color="auto"/>
            <w:bottom w:val="none" w:sz="0" w:space="0" w:color="auto"/>
            <w:right w:val="none" w:sz="0" w:space="0" w:color="auto"/>
          </w:divBdr>
        </w:div>
        <w:div w:id="363675303">
          <w:marLeft w:val="0"/>
          <w:marRight w:val="0"/>
          <w:marTop w:val="0"/>
          <w:marBottom w:val="0"/>
          <w:divBdr>
            <w:top w:val="none" w:sz="0" w:space="0" w:color="auto"/>
            <w:left w:val="none" w:sz="0" w:space="0" w:color="auto"/>
            <w:bottom w:val="none" w:sz="0" w:space="0" w:color="auto"/>
            <w:right w:val="none" w:sz="0" w:space="0" w:color="auto"/>
          </w:divBdr>
        </w:div>
        <w:div w:id="403767490">
          <w:marLeft w:val="0"/>
          <w:marRight w:val="0"/>
          <w:marTop w:val="0"/>
          <w:marBottom w:val="0"/>
          <w:divBdr>
            <w:top w:val="none" w:sz="0" w:space="0" w:color="auto"/>
            <w:left w:val="none" w:sz="0" w:space="0" w:color="auto"/>
            <w:bottom w:val="none" w:sz="0" w:space="0" w:color="auto"/>
            <w:right w:val="none" w:sz="0" w:space="0" w:color="auto"/>
          </w:divBdr>
        </w:div>
        <w:div w:id="710693885">
          <w:marLeft w:val="0"/>
          <w:marRight w:val="0"/>
          <w:marTop w:val="0"/>
          <w:marBottom w:val="0"/>
          <w:divBdr>
            <w:top w:val="none" w:sz="0" w:space="0" w:color="auto"/>
            <w:left w:val="none" w:sz="0" w:space="0" w:color="auto"/>
            <w:bottom w:val="none" w:sz="0" w:space="0" w:color="auto"/>
            <w:right w:val="none" w:sz="0" w:space="0" w:color="auto"/>
          </w:divBdr>
        </w:div>
        <w:div w:id="639265594">
          <w:marLeft w:val="0"/>
          <w:marRight w:val="0"/>
          <w:marTop w:val="0"/>
          <w:marBottom w:val="0"/>
          <w:divBdr>
            <w:top w:val="none" w:sz="0" w:space="0" w:color="auto"/>
            <w:left w:val="none" w:sz="0" w:space="0" w:color="auto"/>
            <w:bottom w:val="none" w:sz="0" w:space="0" w:color="auto"/>
            <w:right w:val="none" w:sz="0" w:space="0" w:color="auto"/>
          </w:divBdr>
        </w:div>
        <w:div w:id="643581415">
          <w:marLeft w:val="0"/>
          <w:marRight w:val="0"/>
          <w:marTop w:val="0"/>
          <w:marBottom w:val="0"/>
          <w:divBdr>
            <w:top w:val="none" w:sz="0" w:space="0" w:color="auto"/>
            <w:left w:val="none" w:sz="0" w:space="0" w:color="auto"/>
            <w:bottom w:val="none" w:sz="0" w:space="0" w:color="auto"/>
            <w:right w:val="none" w:sz="0" w:space="0" w:color="auto"/>
          </w:divBdr>
        </w:div>
      </w:divsChild>
    </w:div>
    <w:div w:id="17955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3690-024-01420-3?utm_source=chatgp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springer.com/article/10.1007/s10791-025-09820-x?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qwert</cp:lastModifiedBy>
  <cp:revision>58</cp:revision>
  <dcterms:created xsi:type="dcterms:W3CDTF">2016-04-06T23:56:00Z</dcterms:created>
  <dcterms:modified xsi:type="dcterms:W3CDTF">2026-04-25T11:55:00Z</dcterms:modified>
</cp:coreProperties>
</file>