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11F294" w14:textId="267C4C1D" w:rsidR="001477E7" w:rsidRPr="00E27D4E" w:rsidRDefault="005A4697" w:rsidP="005A4697">
      <w:pPr>
        <w:jc w:val="center"/>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 xml:space="preserve">Suitability Analysis of Green Hydrogen Energy </w:t>
      </w:r>
      <w:r w:rsidR="00E27D4E" w:rsidRPr="00E27D4E">
        <w:rPr>
          <w:rFonts w:ascii="Times New Roman" w:hAnsi="Times New Roman" w:cs="Times New Roman"/>
          <w:b/>
          <w:bCs/>
          <w:color w:val="000000" w:themeColor="text1"/>
          <w:sz w:val="22"/>
          <w:szCs w:val="22"/>
        </w:rPr>
        <w:t xml:space="preserve">in </w:t>
      </w:r>
      <w:r w:rsidRPr="00E27D4E">
        <w:rPr>
          <w:rFonts w:ascii="Times New Roman" w:hAnsi="Times New Roman" w:cs="Times New Roman"/>
          <w:b/>
          <w:bCs/>
          <w:color w:val="000000" w:themeColor="text1"/>
          <w:sz w:val="22"/>
          <w:szCs w:val="22"/>
        </w:rPr>
        <w:t>Niger State, Nigeria</w:t>
      </w:r>
    </w:p>
    <w:p w14:paraId="75F33873" w14:textId="77777777" w:rsidR="00352855" w:rsidRPr="00E27D4E" w:rsidRDefault="00352855" w:rsidP="005A4697">
      <w:pPr>
        <w:jc w:val="both"/>
        <w:rPr>
          <w:rFonts w:ascii="Times New Roman" w:hAnsi="Times New Roman" w:cs="Times New Roman"/>
          <w:color w:val="000000" w:themeColor="text1"/>
          <w:sz w:val="22"/>
          <w:szCs w:val="22"/>
        </w:rPr>
      </w:pPr>
      <w:bookmarkStart w:id="0" w:name="_GoBack"/>
      <w:bookmarkEnd w:id="0"/>
    </w:p>
    <w:p w14:paraId="54E96F62" w14:textId="18FD31AB" w:rsidR="00352855" w:rsidRPr="00E27D4E" w:rsidRDefault="00E27D4E" w:rsidP="00E27D4E">
      <w:pPr>
        <w:pStyle w:val="Heading1"/>
        <w:spacing w:line="240" w:lineRule="auto"/>
        <w:jc w:val="both"/>
        <w:rPr>
          <w:rFonts w:ascii="Times New Roman" w:hAnsi="Times New Roman" w:cs="Times New Roman"/>
          <w:b/>
          <w:bCs/>
          <w:color w:val="000000" w:themeColor="text1"/>
          <w:sz w:val="22"/>
          <w:szCs w:val="22"/>
        </w:rPr>
      </w:pPr>
      <w:bookmarkStart w:id="1" w:name="_Toc218873724"/>
      <w:r w:rsidRPr="00E27D4E">
        <w:rPr>
          <w:rFonts w:ascii="Times New Roman" w:hAnsi="Times New Roman" w:cs="Times New Roman"/>
          <w:b/>
          <w:bCs/>
          <w:color w:val="000000" w:themeColor="text1"/>
          <w:sz w:val="22"/>
          <w:szCs w:val="22"/>
        </w:rPr>
        <w:t>Abstract</w:t>
      </w:r>
      <w:bookmarkEnd w:id="1"/>
    </w:p>
    <w:p w14:paraId="620326C2" w14:textId="1A62F758" w:rsidR="00352855" w:rsidRPr="00E27D4E" w:rsidRDefault="00352855" w:rsidP="00E27D4E">
      <w:pPr>
        <w:spacing w:line="240" w:lineRule="auto"/>
        <w:jc w:val="both"/>
        <w:rPr>
          <w:rFonts w:ascii="Times New Roman" w:hAnsi="Times New Roman" w:cs="Times New Roman"/>
          <w:i/>
          <w:iCs/>
          <w:color w:val="000000" w:themeColor="text1"/>
          <w:sz w:val="22"/>
          <w:szCs w:val="22"/>
        </w:rPr>
      </w:pPr>
      <w:r w:rsidRPr="00E27D4E">
        <w:rPr>
          <w:rFonts w:ascii="Times New Roman" w:hAnsi="Times New Roman" w:cs="Times New Roman"/>
          <w:i/>
          <w:iCs/>
          <w:color w:val="000000" w:themeColor="text1"/>
          <w:sz w:val="22"/>
          <w:szCs w:val="22"/>
        </w:rPr>
        <w:t>This study was conducted on suitability analysis of green hydrogen energy in Niger state, Nigeria. Data used in this study where secondary in nature, gotten from literature reviews, administrative map of the study area, landsat imagery, road shapefile, relevant information from journals, articles, reports from government agencies, and other publications which contain necessary data related to this study. Geospatial technique with the aid of ArcGIS software was employed to analyse the data. Findings reveals features of green hydrogen is gotten through electrolysis of water. Niger state has the potential for green hydrogen transition because of the states abundant wind, solar and hydroelectric power potential. Maps generated using Arc GIS software showed potential areas for green hydrogen project implementation in the state with Borgu local government area having the most potential. Map generated showed distribution of land use land cover features across the state, with their percentages and area per square meter. Land use land cover map of Borgu local government area with its percentage and area per square meter was also generated. Map showing local government boundries and proximity to road network was generated. Map showing local government boundries and population density, was generated showing areas of very low, low, moderate, high and very high population density is being displayed on the map. Furthermore population size and mean population size maps where also produced.</w:t>
      </w:r>
    </w:p>
    <w:p w14:paraId="16C2FCB9" w14:textId="38E92C2E" w:rsidR="00E27D4E" w:rsidRPr="00E27D4E" w:rsidRDefault="00E27D4E" w:rsidP="00E27D4E">
      <w:pPr>
        <w:spacing w:line="240" w:lineRule="auto"/>
        <w:jc w:val="both"/>
        <w:rPr>
          <w:rFonts w:ascii="Times New Roman" w:hAnsi="Times New Roman" w:cs="Times New Roman"/>
          <w:i/>
          <w:iCs/>
          <w:color w:val="000000" w:themeColor="text1"/>
          <w:sz w:val="22"/>
          <w:szCs w:val="22"/>
        </w:rPr>
      </w:pPr>
      <w:r w:rsidRPr="00E27D4E">
        <w:rPr>
          <w:rFonts w:ascii="Times New Roman" w:hAnsi="Times New Roman" w:cs="Times New Roman"/>
          <w:b/>
          <w:bCs/>
          <w:i/>
          <w:iCs/>
          <w:color w:val="000000" w:themeColor="text1"/>
          <w:sz w:val="22"/>
          <w:szCs w:val="22"/>
        </w:rPr>
        <w:t xml:space="preserve">Keywords: </w:t>
      </w:r>
      <w:r w:rsidRPr="00E27D4E">
        <w:rPr>
          <w:rFonts w:ascii="Times New Roman" w:hAnsi="Times New Roman" w:cs="Times New Roman"/>
          <w:i/>
          <w:iCs/>
          <w:color w:val="000000" w:themeColor="text1"/>
          <w:sz w:val="22"/>
          <w:szCs w:val="22"/>
        </w:rPr>
        <w:t>Green hydrogen, Suitability analysis, GIS, Renewable energy, Niger State, Site selection, Energy transition, Sustainable energy.</w:t>
      </w:r>
    </w:p>
    <w:p w14:paraId="6CC600E9" w14:textId="64673CB5" w:rsidR="00352855" w:rsidRPr="00E27D4E" w:rsidRDefault="00352855" w:rsidP="00E27D4E">
      <w:pPr>
        <w:spacing w:line="240" w:lineRule="auto"/>
        <w:jc w:val="both"/>
        <w:rPr>
          <w:rFonts w:ascii="Times New Roman" w:hAnsi="Times New Roman" w:cs="Times New Roman"/>
          <w:i/>
          <w:iCs/>
          <w:color w:val="000000" w:themeColor="text1"/>
          <w:sz w:val="22"/>
          <w:szCs w:val="22"/>
        </w:rPr>
      </w:pPr>
    </w:p>
    <w:p w14:paraId="2988C977" w14:textId="475036F9" w:rsidR="00352855" w:rsidRPr="00E27D4E" w:rsidRDefault="00352855"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Introduction</w:t>
      </w:r>
    </w:p>
    <w:p w14:paraId="42EF1C4C" w14:textId="77777777" w:rsidR="00352855" w:rsidRPr="00E27D4E" w:rsidRDefault="00352855" w:rsidP="00E27D4E">
      <w:pPr>
        <w:spacing w:line="240" w:lineRule="auto"/>
        <w:jc w:val="both"/>
        <w:rPr>
          <w:rFonts w:ascii="Times New Roman" w:hAnsi="Times New Roman" w:cs="Times New Roman"/>
          <w:color w:val="000000" w:themeColor="text1"/>
          <w:sz w:val="22"/>
          <w:szCs w:val="22"/>
          <w:shd w:val="clear" w:color="auto" w:fill="FFFFFF"/>
        </w:rPr>
      </w:pPr>
      <w:r w:rsidRPr="00E27D4E">
        <w:rPr>
          <w:rFonts w:ascii="Times New Roman" w:hAnsi="Times New Roman" w:cs="Times New Roman"/>
          <w:color w:val="000000" w:themeColor="text1"/>
          <w:sz w:val="22"/>
          <w:szCs w:val="22"/>
          <w:shd w:val="clear" w:color="auto" w:fill="FFFFFF"/>
        </w:rPr>
        <w:t xml:space="preserve">The role of the energy sector is significant in attaining countries’ established climate targets because it is a sector that is found to be a focal point for abating anthropogenic emissions (International Energy Agency, 2020). Developing countries, especially sub-Saharan African (SSA) countries struggle to provide reliable and affordable modern energy to their growing population (Michoud &amp; Hafner, 2021). In addition, countries in the region have fallen short of attaining their climate change commitments (Fawzy et al, 2020). These climate commitments are aimed at reducing risk and vulnerability to climate change, strengthening resilience, enhancing the well-being of people, and the capacity to anticipate and respond successfully to change (Eriksen et al, 2021). Energy plays the most vital role in the economic growth, progress, and development, as well as poverty eradication and security of any nation. Uninterrupted energy supply is a vital issue for all countries today. Future economic growth crucially depends on the long-term availability of energy from sources that are affordable, accessible, and environmentally friendly. Energy is an important factor in all the sectors of any country's economy. The standard of living of a given country can be directly related to the per capita energy consumption. </w:t>
      </w:r>
    </w:p>
    <w:p w14:paraId="6A1D6F97" w14:textId="77777777" w:rsidR="00352855" w:rsidRPr="00E27D4E" w:rsidRDefault="00352855" w:rsidP="00E27D4E">
      <w:pPr>
        <w:spacing w:line="240" w:lineRule="auto"/>
        <w:jc w:val="both"/>
        <w:rPr>
          <w:rFonts w:ascii="Times New Roman" w:hAnsi="Times New Roman" w:cs="Times New Roman"/>
          <w:color w:val="000000" w:themeColor="text1"/>
          <w:sz w:val="22"/>
          <w:szCs w:val="22"/>
          <w:shd w:val="clear" w:color="auto" w:fill="FFFFFF"/>
        </w:rPr>
      </w:pPr>
      <w:r w:rsidRPr="00E27D4E">
        <w:rPr>
          <w:rFonts w:ascii="Times New Roman" w:hAnsi="Times New Roman" w:cs="Times New Roman"/>
          <w:color w:val="000000" w:themeColor="text1"/>
          <w:sz w:val="22"/>
          <w:szCs w:val="22"/>
          <w:shd w:val="clear" w:color="auto" w:fill="FFFFFF"/>
        </w:rPr>
        <w:t>In the SSA region, especially in Nigeria, energy poverty and meeting climate targets are intertwined, i.e. the country needs to tackle the twin challenges of energy poverty, which limits economic development, and climate change. Although several attempts, including the policy that aims at strengthening the renewable energy sector, have been legislated and implemented to combat these challenges, still, people of the region and country have yet to experience reasonably reliable and affordable modern energy services. This is evident in their very low per capita electricity consumption when compared to other developed regions in Europe and America.</w:t>
      </w:r>
    </w:p>
    <w:p w14:paraId="064EE7D9" w14:textId="77777777" w:rsidR="00352855" w:rsidRPr="00E27D4E" w:rsidRDefault="00352855" w:rsidP="00E27D4E">
      <w:pPr>
        <w:spacing w:line="240" w:lineRule="auto"/>
        <w:jc w:val="both"/>
        <w:rPr>
          <w:rFonts w:ascii="Times New Roman" w:hAnsi="Times New Roman" w:cs="Times New Roman"/>
          <w:color w:val="000000" w:themeColor="text1"/>
          <w:sz w:val="22"/>
          <w:szCs w:val="22"/>
          <w:shd w:val="clear" w:color="auto" w:fill="FFFFFF"/>
        </w:rPr>
      </w:pPr>
      <w:r w:rsidRPr="00E27D4E">
        <w:rPr>
          <w:rFonts w:ascii="Times New Roman" w:hAnsi="Times New Roman" w:cs="Times New Roman"/>
          <w:color w:val="000000" w:themeColor="text1"/>
          <w:sz w:val="22"/>
          <w:szCs w:val="22"/>
          <w:shd w:val="clear" w:color="auto" w:fill="FFFFFF"/>
        </w:rPr>
        <w:t>To overcome the intermittent nature of renewable energy sources, storage devices are required. The expensive cost of electricity storage systems is a main setback to enabling the integration of renewable energy sources into the countries’ energy mix. Due to the cost issue associated with storage facilities, the transformation of power to another form of fuel cells or gas (also, called power to </w:t>
      </w:r>
      <w:r w:rsidRPr="00E27D4E">
        <w:rPr>
          <w:rFonts w:ascii="Times New Roman" w:hAnsi="Times New Roman" w:cs="Times New Roman"/>
          <w:i/>
          <w:iCs/>
          <w:color w:val="000000" w:themeColor="text1"/>
          <w:sz w:val="22"/>
          <w:szCs w:val="22"/>
          <w:shd w:val="clear" w:color="auto" w:fill="FFFFFF"/>
        </w:rPr>
        <w:t>x</w:t>
      </w:r>
      <w:r w:rsidRPr="00E27D4E">
        <w:rPr>
          <w:rFonts w:ascii="Times New Roman" w:hAnsi="Times New Roman" w:cs="Times New Roman"/>
          <w:color w:val="000000" w:themeColor="text1"/>
          <w:sz w:val="22"/>
          <w:szCs w:val="22"/>
          <w:shd w:val="clear" w:color="auto" w:fill="FFFFFF"/>
        </w:rPr>
        <w:t xml:space="preserve">) has </w:t>
      </w:r>
      <w:r w:rsidRPr="00E27D4E">
        <w:rPr>
          <w:rFonts w:ascii="Times New Roman" w:hAnsi="Times New Roman" w:cs="Times New Roman"/>
          <w:color w:val="000000" w:themeColor="text1"/>
          <w:sz w:val="22"/>
          <w:szCs w:val="22"/>
          <w:shd w:val="clear" w:color="auto" w:fill="FFFFFF"/>
        </w:rPr>
        <w:lastRenderedPageBreak/>
        <w:t>been gaining international attention. The use of fuel cells has largely found application in almost all sectors, including sectors that are difficult to decarbonize, i.e. transportation, heavy industries, and agriculture.</w:t>
      </w:r>
    </w:p>
    <w:p w14:paraId="1C212A34" w14:textId="77777777" w:rsidR="00352855" w:rsidRPr="00E27D4E" w:rsidRDefault="00352855" w:rsidP="00E27D4E">
      <w:pPr>
        <w:spacing w:line="240" w:lineRule="auto"/>
        <w:jc w:val="both"/>
        <w:rPr>
          <w:rFonts w:ascii="Times New Roman" w:hAnsi="Times New Roman" w:cs="Times New Roman"/>
          <w:color w:val="000000" w:themeColor="text1"/>
          <w:sz w:val="22"/>
          <w:szCs w:val="22"/>
          <w:shd w:val="clear" w:color="auto" w:fill="FFFFFF"/>
        </w:rPr>
      </w:pPr>
      <w:r w:rsidRPr="00E27D4E">
        <w:rPr>
          <w:rFonts w:ascii="Times New Roman" w:hAnsi="Times New Roman" w:cs="Times New Roman"/>
          <w:color w:val="000000" w:themeColor="text1"/>
          <w:sz w:val="22"/>
          <w:szCs w:val="22"/>
          <w:shd w:val="clear" w:color="auto" w:fill="FFFFFF"/>
        </w:rPr>
        <w:t>Hydrogen has a high energy content and is naturally available in nature in combination with oxygen gas. It is a significant source of fuel cells that could support the drive towards carbon neutrality through the electrolysis of water using electricity generated from renewable energy sources. Although a rigorous deployment of clean fuel cells has found application in several developed countries in Europe, and developed to support their energy transition strategies; most developing countries in SSA are yet to make frantic efforts to investigate how hydrogen and fuel cells could be utilized to holistically address the like challenges confronting the region.</w:t>
      </w:r>
    </w:p>
    <w:p w14:paraId="3F5CD379" w14:textId="77777777" w:rsidR="00352855" w:rsidRPr="00E27D4E" w:rsidRDefault="00352855"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 xml:space="preserve">Niger State possesses significant renewable energy resources, including solar, biomass, and hydropower. Studies indicate that the region has high solar insolation, making it a viable candidate for solar-powered electrolysis for green hydrogen production. (Mohammed and Idris, 2021). </w:t>
      </w:r>
      <w:r w:rsidRPr="00E27D4E">
        <w:rPr>
          <w:rFonts w:ascii="Times New Roman" w:hAnsi="Times New Roman" w:cs="Times New Roman"/>
          <w:color w:val="000000" w:themeColor="text1"/>
          <w:sz w:val="22"/>
          <w:szCs w:val="22"/>
          <w:shd w:val="clear" w:color="auto" w:fill="FFFFFF"/>
        </w:rPr>
        <w:t>The development of local hydrogen energy systems tailored to Niger State's specific conditions is essential for optimizing resource use. (Ishmam et al, 2024)</w:t>
      </w:r>
    </w:p>
    <w:p w14:paraId="6FDE6C56" w14:textId="6729A6D7" w:rsidR="00352855" w:rsidRPr="00E27D4E" w:rsidRDefault="00352855" w:rsidP="00E27D4E">
      <w:pPr>
        <w:spacing w:line="240" w:lineRule="auto"/>
        <w:jc w:val="both"/>
        <w:rPr>
          <w:rFonts w:ascii="Times New Roman" w:hAnsi="Times New Roman" w:cs="Times New Roman"/>
          <w:color w:val="000000" w:themeColor="text1"/>
          <w:sz w:val="22"/>
          <w:szCs w:val="22"/>
          <w:shd w:val="clear" w:color="auto" w:fill="FFFFFF"/>
        </w:rPr>
      </w:pPr>
      <w:r w:rsidRPr="00E27D4E">
        <w:rPr>
          <w:rFonts w:ascii="Times New Roman" w:hAnsi="Times New Roman" w:cs="Times New Roman"/>
          <w:color w:val="000000" w:themeColor="text1"/>
          <w:sz w:val="22"/>
          <w:szCs w:val="22"/>
          <w:shd w:val="clear" w:color="auto" w:fill="FFFFFF"/>
        </w:rPr>
        <w:t>This study employs the suitability analysis of green hydrogen energy in Niger state, Nigeria, looking at  the analysis of the set objectives.</w:t>
      </w:r>
    </w:p>
    <w:p w14:paraId="5F3FB92B" w14:textId="10E5F5FE" w:rsidR="00352855" w:rsidRPr="00E27D4E" w:rsidRDefault="00352855"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Nigeria faces a dual challenge of meeting its increasing energy demands while transitioning to sustainable energy sources to combat climate change. With a population exceeding 200 million and an energy access rate of about 55%, there is an urgent need for innovative solutions to address the energy crisis (World Bank, 2021). Green hydrogen, generated through the electrolysis of water using renewable energy sources, has the potential to provide a clean, sustainable energy alternative. However, the exploration of its viability in Nigeria is limited by several factors, including inadequate infrastructure, high production costs, a lack of technological expertise, and insufficient policy frameworks (Akinyele &amp; Williams, 2022). This research aims to assess the feasibility of green hydrogen as a sustainable energy solution in Niger state by evaluating its features, potential and mapping out locations for green hydrogen project implementation.</w:t>
      </w:r>
    </w:p>
    <w:p w14:paraId="75FC65F7" w14:textId="77777777" w:rsidR="00352855" w:rsidRPr="00E27D4E" w:rsidRDefault="00352855" w:rsidP="00E27D4E">
      <w:pPr>
        <w:spacing w:line="240" w:lineRule="auto"/>
        <w:jc w:val="both"/>
        <w:rPr>
          <w:rFonts w:ascii="Times New Roman" w:hAnsi="Times New Roman" w:cs="Times New Roman"/>
          <w:color w:val="000000" w:themeColor="text1"/>
          <w:sz w:val="22"/>
          <w:szCs w:val="22"/>
        </w:rPr>
      </w:pPr>
    </w:p>
    <w:p w14:paraId="3BC99ABF" w14:textId="7383AB59" w:rsidR="00352855" w:rsidRPr="00E27D4E" w:rsidRDefault="00352855" w:rsidP="00E27D4E">
      <w:pPr>
        <w:spacing w:after="0" w:line="240" w:lineRule="auto"/>
        <w:jc w:val="both"/>
        <w:rPr>
          <w:rFonts w:ascii="Times New Roman" w:eastAsia="Times New Roman" w:hAnsi="Times New Roman" w:cs="Times New Roman"/>
          <w:b/>
          <w:bCs/>
          <w:color w:val="000000" w:themeColor="text1"/>
          <w:sz w:val="22"/>
          <w:szCs w:val="22"/>
          <w:lang w:eastAsia="en-GB"/>
        </w:rPr>
      </w:pPr>
      <w:r w:rsidRPr="00E27D4E">
        <w:rPr>
          <w:rFonts w:ascii="Times New Roman" w:eastAsia="Times New Roman" w:hAnsi="Times New Roman" w:cs="Times New Roman"/>
          <w:b/>
          <w:bCs/>
          <w:color w:val="000000" w:themeColor="text1"/>
          <w:sz w:val="22"/>
          <w:szCs w:val="22"/>
          <w:lang w:eastAsia="en-GB"/>
        </w:rPr>
        <w:t>Literature Review and Theoretical Framework</w:t>
      </w:r>
    </w:p>
    <w:p w14:paraId="46B5E6DF" w14:textId="77777777" w:rsidR="00E27D4E" w:rsidRPr="00E27D4E" w:rsidRDefault="00E27D4E" w:rsidP="00E27D4E">
      <w:pPr>
        <w:pStyle w:val="Heading1"/>
        <w:spacing w:after="0" w:line="240" w:lineRule="auto"/>
        <w:jc w:val="both"/>
        <w:rPr>
          <w:rFonts w:ascii="Times New Roman" w:hAnsi="Times New Roman" w:cs="Times New Roman"/>
          <w:b/>
          <w:bCs/>
          <w:color w:val="000000" w:themeColor="text1"/>
          <w:sz w:val="22"/>
          <w:szCs w:val="22"/>
          <w:shd w:val="clear" w:color="auto" w:fill="FFFFFF"/>
        </w:rPr>
      </w:pPr>
      <w:bookmarkStart w:id="2" w:name="_Toc218873740"/>
      <w:r w:rsidRPr="00E27D4E">
        <w:rPr>
          <w:rFonts w:ascii="Times New Roman" w:hAnsi="Times New Roman" w:cs="Times New Roman"/>
          <w:b/>
          <w:bCs/>
          <w:color w:val="000000" w:themeColor="text1"/>
          <w:sz w:val="22"/>
          <w:szCs w:val="22"/>
          <w:shd w:val="clear" w:color="auto" w:fill="FFFFFF"/>
        </w:rPr>
        <w:t xml:space="preserve">Conceptual </w:t>
      </w:r>
      <w:bookmarkEnd w:id="2"/>
      <w:r w:rsidRPr="00E27D4E">
        <w:rPr>
          <w:rFonts w:ascii="Times New Roman" w:hAnsi="Times New Roman" w:cs="Times New Roman"/>
          <w:b/>
          <w:bCs/>
          <w:color w:val="000000" w:themeColor="text1"/>
          <w:sz w:val="22"/>
          <w:szCs w:val="22"/>
          <w:shd w:val="clear" w:color="auto" w:fill="FFFFFF"/>
        </w:rPr>
        <w:t>Review</w:t>
      </w:r>
    </w:p>
    <w:p w14:paraId="21B8A801" w14:textId="77777777" w:rsidR="00E27D4E" w:rsidRPr="00E27D4E" w:rsidRDefault="003921B4" w:rsidP="00E27D4E">
      <w:pPr>
        <w:pStyle w:val="Heading1"/>
        <w:spacing w:line="240" w:lineRule="auto"/>
        <w:jc w:val="both"/>
        <w:rPr>
          <w:rFonts w:ascii="Times New Roman" w:hAnsi="Times New Roman" w:cs="Times New Roman"/>
          <w:b/>
          <w:bCs/>
          <w:color w:val="000000" w:themeColor="text1"/>
          <w:sz w:val="22"/>
          <w:szCs w:val="22"/>
        </w:rPr>
      </w:pPr>
      <w:r w:rsidRPr="003921B4">
        <w:rPr>
          <w:rFonts w:ascii="Times New Roman" w:hAnsi="Times New Roman" w:cs="Times New Roman"/>
          <w:b/>
          <w:bCs/>
          <w:color w:val="000000" w:themeColor="text1"/>
          <w:sz w:val="22"/>
          <w:szCs w:val="22"/>
        </w:rPr>
        <w:t>Concept of Green Hydrogen and Energy Transition</w:t>
      </w:r>
    </w:p>
    <w:p w14:paraId="3D034F82" w14:textId="411019C0" w:rsidR="003921B4" w:rsidRPr="003921B4" w:rsidRDefault="003921B4" w:rsidP="00E27D4E">
      <w:pPr>
        <w:pStyle w:val="Heading1"/>
        <w:spacing w:line="240" w:lineRule="auto"/>
        <w:jc w:val="both"/>
        <w:rPr>
          <w:rFonts w:ascii="Times New Roman" w:hAnsi="Times New Roman" w:cs="Times New Roman"/>
          <w:b/>
          <w:bCs/>
          <w:color w:val="000000" w:themeColor="text1"/>
          <w:sz w:val="22"/>
          <w:szCs w:val="22"/>
          <w:shd w:val="clear" w:color="auto" w:fill="FFFFFF"/>
        </w:rPr>
      </w:pPr>
      <w:r w:rsidRPr="003921B4">
        <w:rPr>
          <w:rFonts w:ascii="Times New Roman" w:hAnsi="Times New Roman" w:cs="Times New Roman"/>
          <w:color w:val="000000" w:themeColor="text1"/>
          <w:sz w:val="22"/>
          <w:szCs w:val="22"/>
        </w:rPr>
        <w:t>The concept of green hydrogen is situated within the global shift from fossil-fuel-dependent energy systems toward low-carbon and environmentally sustainable energy pathways. Nigeria faces increasing energy demand alongside environmental degradation caused by conventional energy consumption. Consequently, adopting green hydrogen represents a strategic pathway for climate change mitigation, improved energy security and sustainable development (Ajayi et al., 2021; Sustainable Energy for National Climate Change, Food Security and Employment Opportunities: Implications for Nigeria, 2022).</w:t>
      </w:r>
    </w:p>
    <w:p w14:paraId="430E11F5" w14:textId="77777777" w:rsidR="003921B4" w:rsidRPr="003921B4" w:rsidRDefault="003921B4" w:rsidP="00E27D4E">
      <w:pPr>
        <w:spacing w:line="240" w:lineRule="auto"/>
        <w:jc w:val="both"/>
        <w:rPr>
          <w:rFonts w:ascii="Times New Roman" w:hAnsi="Times New Roman" w:cs="Times New Roman"/>
          <w:color w:val="000000" w:themeColor="text1"/>
          <w:sz w:val="22"/>
          <w:szCs w:val="22"/>
        </w:rPr>
      </w:pPr>
      <w:r w:rsidRPr="003921B4">
        <w:rPr>
          <w:rFonts w:ascii="Times New Roman" w:hAnsi="Times New Roman" w:cs="Times New Roman"/>
          <w:color w:val="000000" w:themeColor="text1"/>
          <w:sz w:val="22"/>
          <w:szCs w:val="22"/>
        </w:rPr>
        <w:t>Green hydrogen refers to hydrogen generated through the electrolysis of water using electricity obtained from renewable energy sources such as solar, wind and hydropower. Unlike traditional hydrogen production methods, particularly steam methane reforming, which releases large amounts of carbon dioxide, green hydrogen produces no direct greenhouse gas emissions (International Energy Agency, 2021). Technological advancements in electrolyzers have significantly improved efficiency and reduced costs, making hydrogen an increasingly viable alternative energy carrier (Triollet &amp; Alvarez, 2020).</w:t>
      </w:r>
    </w:p>
    <w:p w14:paraId="0DD3B4C8" w14:textId="77777777" w:rsidR="003921B4" w:rsidRPr="003921B4" w:rsidRDefault="003921B4" w:rsidP="00E27D4E">
      <w:pPr>
        <w:spacing w:line="240" w:lineRule="auto"/>
        <w:jc w:val="both"/>
        <w:rPr>
          <w:rFonts w:ascii="Times New Roman" w:hAnsi="Times New Roman" w:cs="Times New Roman"/>
          <w:b/>
          <w:bCs/>
          <w:color w:val="000000" w:themeColor="text1"/>
          <w:sz w:val="22"/>
          <w:szCs w:val="22"/>
        </w:rPr>
      </w:pPr>
      <w:r w:rsidRPr="003921B4">
        <w:rPr>
          <w:rFonts w:ascii="Times New Roman" w:hAnsi="Times New Roman" w:cs="Times New Roman"/>
          <w:b/>
          <w:bCs/>
          <w:color w:val="000000" w:themeColor="text1"/>
          <w:sz w:val="22"/>
          <w:szCs w:val="22"/>
        </w:rPr>
        <w:t>Green Hydrogen and Sustainable Development Goal 7</w:t>
      </w:r>
    </w:p>
    <w:p w14:paraId="0DCB08CB" w14:textId="77777777" w:rsidR="003921B4" w:rsidRPr="003921B4" w:rsidRDefault="003921B4" w:rsidP="00E27D4E">
      <w:pPr>
        <w:spacing w:line="240" w:lineRule="auto"/>
        <w:jc w:val="both"/>
        <w:rPr>
          <w:rFonts w:ascii="Times New Roman" w:hAnsi="Times New Roman" w:cs="Times New Roman"/>
          <w:color w:val="000000" w:themeColor="text1"/>
          <w:sz w:val="22"/>
          <w:szCs w:val="22"/>
        </w:rPr>
      </w:pPr>
      <w:r w:rsidRPr="003921B4">
        <w:rPr>
          <w:rFonts w:ascii="Times New Roman" w:hAnsi="Times New Roman" w:cs="Times New Roman"/>
          <w:color w:val="000000" w:themeColor="text1"/>
          <w:sz w:val="22"/>
          <w:szCs w:val="22"/>
        </w:rPr>
        <w:lastRenderedPageBreak/>
        <w:t>This study is anchored on Sustainable Development Goal 7, which aims to ensure access to affordable, reliable, sustainable and modern energy for all. Green hydrogen fits within this framework because it functions both as a clean fuel and as an energy storage medium. Renewable energy sources such as solar and wind are intermittent; therefore hydrogen storage helps stabilize electricity supply by storing excess energy for later use. In this way, green hydrogen enhances energy reliability while supporting decarbonization of national energy systems.</w:t>
      </w:r>
    </w:p>
    <w:p w14:paraId="411D06B3" w14:textId="77777777" w:rsidR="003921B4" w:rsidRPr="003921B4" w:rsidRDefault="003921B4" w:rsidP="00E27D4E">
      <w:pPr>
        <w:spacing w:line="240" w:lineRule="auto"/>
        <w:jc w:val="both"/>
        <w:rPr>
          <w:rFonts w:ascii="Times New Roman" w:hAnsi="Times New Roman" w:cs="Times New Roman"/>
          <w:b/>
          <w:bCs/>
          <w:color w:val="000000" w:themeColor="text1"/>
          <w:sz w:val="22"/>
          <w:szCs w:val="22"/>
        </w:rPr>
      </w:pPr>
      <w:r w:rsidRPr="003921B4">
        <w:rPr>
          <w:rFonts w:ascii="Times New Roman" w:hAnsi="Times New Roman" w:cs="Times New Roman"/>
          <w:b/>
          <w:bCs/>
          <w:color w:val="000000" w:themeColor="text1"/>
          <w:sz w:val="22"/>
          <w:szCs w:val="22"/>
        </w:rPr>
        <w:t>Affordability and Energy Accessibility</w:t>
      </w:r>
    </w:p>
    <w:p w14:paraId="1196C84A" w14:textId="77777777" w:rsidR="003921B4" w:rsidRPr="003921B4" w:rsidRDefault="003921B4" w:rsidP="00E27D4E">
      <w:pPr>
        <w:spacing w:line="240" w:lineRule="auto"/>
        <w:jc w:val="both"/>
        <w:rPr>
          <w:rFonts w:ascii="Times New Roman" w:hAnsi="Times New Roman" w:cs="Times New Roman"/>
          <w:color w:val="000000" w:themeColor="text1"/>
          <w:sz w:val="22"/>
          <w:szCs w:val="22"/>
        </w:rPr>
      </w:pPr>
      <w:r w:rsidRPr="003921B4">
        <w:rPr>
          <w:rFonts w:ascii="Times New Roman" w:hAnsi="Times New Roman" w:cs="Times New Roman"/>
          <w:color w:val="000000" w:themeColor="text1"/>
          <w:sz w:val="22"/>
          <w:szCs w:val="22"/>
        </w:rPr>
        <w:t>In the dimension of affordability and accessibility, green hydrogen has the potential to reduce long-term energy costs and expand electricity availability in underserved and remote communities. Nigeria’s off-grid populations face persistent electricity shortages due to infrastructural limitations, and hydrogen-based decentralized systems can provide alternative supply pathways. By complementing renewable mini-grids, green hydrogen can improve energy inclusion and reduce dependence on diesel generators.</w:t>
      </w:r>
    </w:p>
    <w:p w14:paraId="608E6864" w14:textId="77777777" w:rsidR="003921B4" w:rsidRPr="003921B4" w:rsidRDefault="003921B4" w:rsidP="00E27D4E">
      <w:pPr>
        <w:spacing w:line="240" w:lineRule="auto"/>
        <w:jc w:val="both"/>
        <w:rPr>
          <w:rFonts w:ascii="Times New Roman" w:hAnsi="Times New Roman" w:cs="Times New Roman"/>
          <w:b/>
          <w:bCs/>
          <w:color w:val="000000" w:themeColor="text1"/>
          <w:sz w:val="22"/>
          <w:szCs w:val="22"/>
        </w:rPr>
      </w:pPr>
      <w:r w:rsidRPr="003921B4">
        <w:rPr>
          <w:rFonts w:ascii="Times New Roman" w:hAnsi="Times New Roman" w:cs="Times New Roman"/>
          <w:b/>
          <w:bCs/>
          <w:color w:val="000000" w:themeColor="text1"/>
          <w:sz w:val="22"/>
          <w:szCs w:val="22"/>
        </w:rPr>
        <w:t>Reliability and Modern Energy Systems</w:t>
      </w:r>
    </w:p>
    <w:p w14:paraId="5247B64B" w14:textId="77777777" w:rsidR="003921B4" w:rsidRPr="003921B4" w:rsidRDefault="003921B4" w:rsidP="00E27D4E">
      <w:pPr>
        <w:spacing w:line="240" w:lineRule="auto"/>
        <w:jc w:val="both"/>
        <w:rPr>
          <w:rFonts w:ascii="Times New Roman" w:hAnsi="Times New Roman" w:cs="Times New Roman"/>
          <w:color w:val="000000" w:themeColor="text1"/>
          <w:sz w:val="22"/>
          <w:szCs w:val="22"/>
        </w:rPr>
      </w:pPr>
      <w:r w:rsidRPr="003921B4">
        <w:rPr>
          <w:rFonts w:ascii="Times New Roman" w:hAnsi="Times New Roman" w:cs="Times New Roman"/>
          <w:color w:val="000000" w:themeColor="text1"/>
          <w:sz w:val="22"/>
          <w:szCs w:val="22"/>
        </w:rPr>
        <w:t>Green hydrogen contributes to modernization of energy systems by integrating effectively with renewable technologies. Because hydrogen can store excess renewable electricity, it improves grid stability and reliability. This capability becomes particularly important in Nigeria where power supply fluctuations remain a major constraint to economic productivity. Hydrogen energy storage therefore enables continuous energy supply despite variability in renewable generation.</w:t>
      </w:r>
    </w:p>
    <w:p w14:paraId="24293FA7" w14:textId="77777777" w:rsidR="003921B4" w:rsidRPr="003921B4" w:rsidRDefault="003921B4" w:rsidP="00E27D4E">
      <w:pPr>
        <w:spacing w:line="240" w:lineRule="auto"/>
        <w:jc w:val="both"/>
        <w:rPr>
          <w:rFonts w:ascii="Times New Roman" w:hAnsi="Times New Roman" w:cs="Times New Roman"/>
          <w:b/>
          <w:bCs/>
          <w:color w:val="000000" w:themeColor="text1"/>
          <w:sz w:val="22"/>
          <w:szCs w:val="22"/>
        </w:rPr>
      </w:pPr>
      <w:r w:rsidRPr="003921B4">
        <w:rPr>
          <w:rFonts w:ascii="Times New Roman" w:hAnsi="Times New Roman" w:cs="Times New Roman"/>
          <w:b/>
          <w:bCs/>
          <w:color w:val="000000" w:themeColor="text1"/>
          <w:sz w:val="22"/>
          <w:szCs w:val="22"/>
        </w:rPr>
        <w:t>Environmental Sustainability and Climate Change Mitigation</w:t>
      </w:r>
    </w:p>
    <w:p w14:paraId="5D7BAC6D" w14:textId="77777777" w:rsidR="003921B4" w:rsidRPr="003921B4" w:rsidRDefault="003921B4" w:rsidP="00E27D4E">
      <w:pPr>
        <w:spacing w:line="240" w:lineRule="auto"/>
        <w:jc w:val="both"/>
        <w:rPr>
          <w:rFonts w:ascii="Times New Roman" w:hAnsi="Times New Roman" w:cs="Times New Roman"/>
          <w:color w:val="000000" w:themeColor="text1"/>
          <w:sz w:val="22"/>
          <w:szCs w:val="22"/>
        </w:rPr>
      </w:pPr>
      <w:r w:rsidRPr="003921B4">
        <w:rPr>
          <w:rFonts w:ascii="Times New Roman" w:hAnsi="Times New Roman" w:cs="Times New Roman"/>
          <w:color w:val="000000" w:themeColor="text1"/>
          <w:sz w:val="22"/>
          <w:szCs w:val="22"/>
        </w:rPr>
        <w:t>From an environmental perspective, green hydrogen contributes to reducing greenhouse gas emissions and supports global climate commitments. Nigeria’s reliance on fossil fuels exposes the country to environmental degradation and climate risks. By replacing carbon-intensive fuels in transportation, industry and electricity generation, hydrogen energy supports biodiversity preservation and sustainable resource management while aligning with international decarbonization goals.</w:t>
      </w:r>
    </w:p>
    <w:p w14:paraId="6C92CBBA" w14:textId="77777777" w:rsidR="003921B4" w:rsidRPr="003921B4" w:rsidRDefault="003921B4" w:rsidP="00E27D4E">
      <w:pPr>
        <w:spacing w:line="240" w:lineRule="auto"/>
        <w:jc w:val="both"/>
        <w:rPr>
          <w:rFonts w:ascii="Times New Roman" w:hAnsi="Times New Roman" w:cs="Times New Roman"/>
          <w:b/>
          <w:bCs/>
          <w:color w:val="000000" w:themeColor="text1"/>
          <w:sz w:val="22"/>
          <w:szCs w:val="22"/>
        </w:rPr>
      </w:pPr>
      <w:r w:rsidRPr="003921B4">
        <w:rPr>
          <w:rFonts w:ascii="Times New Roman" w:hAnsi="Times New Roman" w:cs="Times New Roman"/>
          <w:b/>
          <w:bCs/>
          <w:color w:val="000000" w:themeColor="text1"/>
          <w:sz w:val="22"/>
          <w:szCs w:val="22"/>
        </w:rPr>
        <w:t>Economic Development and Energy Diversification</w:t>
      </w:r>
    </w:p>
    <w:p w14:paraId="569EA19E" w14:textId="77777777" w:rsidR="003921B4" w:rsidRPr="003921B4" w:rsidRDefault="003921B4" w:rsidP="00E27D4E">
      <w:pPr>
        <w:spacing w:line="240" w:lineRule="auto"/>
        <w:jc w:val="both"/>
        <w:rPr>
          <w:rFonts w:ascii="Times New Roman" w:hAnsi="Times New Roman" w:cs="Times New Roman"/>
          <w:color w:val="000000" w:themeColor="text1"/>
          <w:sz w:val="22"/>
          <w:szCs w:val="22"/>
        </w:rPr>
      </w:pPr>
      <w:r w:rsidRPr="003921B4">
        <w:rPr>
          <w:rFonts w:ascii="Times New Roman" w:hAnsi="Times New Roman" w:cs="Times New Roman"/>
          <w:color w:val="000000" w:themeColor="text1"/>
          <w:sz w:val="22"/>
          <w:szCs w:val="22"/>
        </w:rPr>
        <w:t>Green hydrogen also promotes economic growth through industrial diversification and job creation. The emergence of hydrogen production, storage, distribution and application industries opens new opportunities for employment and technological innovation. For Nigeria, diversification of the energy mix reduces vulnerability to oil price fluctuations and strengthens long-term economic stability.</w:t>
      </w:r>
    </w:p>
    <w:p w14:paraId="1EAB1EC4" w14:textId="77777777" w:rsidR="003921B4" w:rsidRPr="003921B4" w:rsidRDefault="003921B4" w:rsidP="00E27D4E">
      <w:pPr>
        <w:spacing w:line="240" w:lineRule="auto"/>
        <w:jc w:val="both"/>
        <w:rPr>
          <w:rFonts w:ascii="Times New Roman" w:hAnsi="Times New Roman" w:cs="Times New Roman"/>
          <w:b/>
          <w:bCs/>
          <w:color w:val="000000" w:themeColor="text1"/>
          <w:sz w:val="22"/>
          <w:szCs w:val="22"/>
        </w:rPr>
      </w:pPr>
      <w:r w:rsidRPr="003921B4">
        <w:rPr>
          <w:rFonts w:ascii="Times New Roman" w:hAnsi="Times New Roman" w:cs="Times New Roman"/>
          <w:b/>
          <w:bCs/>
          <w:color w:val="000000" w:themeColor="text1"/>
          <w:sz w:val="22"/>
          <w:szCs w:val="22"/>
        </w:rPr>
        <w:t>Policy and Institutional Framework</w:t>
      </w:r>
    </w:p>
    <w:p w14:paraId="25C7FC0D" w14:textId="77777777" w:rsidR="003921B4" w:rsidRPr="003921B4" w:rsidRDefault="003921B4" w:rsidP="00E27D4E">
      <w:pPr>
        <w:spacing w:line="240" w:lineRule="auto"/>
        <w:jc w:val="both"/>
        <w:rPr>
          <w:rFonts w:ascii="Times New Roman" w:hAnsi="Times New Roman" w:cs="Times New Roman"/>
          <w:color w:val="000000" w:themeColor="text1"/>
          <w:sz w:val="22"/>
          <w:szCs w:val="22"/>
        </w:rPr>
      </w:pPr>
      <w:r w:rsidRPr="003921B4">
        <w:rPr>
          <w:rFonts w:ascii="Times New Roman" w:hAnsi="Times New Roman" w:cs="Times New Roman"/>
          <w:color w:val="000000" w:themeColor="text1"/>
          <w:sz w:val="22"/>
          <w:szCs w:val="22"/>
        </w:rPr>
        <w:t>Successful adoption of green hydrogen depends on deliberate policy and institutional support. Government is expected to develop a national hydrogen roadmap, implement enabling regulations, and promote public-private partnerships to attract investment (Bruce et al., 2021). Effective policies and infrastructure development are necessary to integrate hydrogen into the national energy system and ensure widespread utilization.</w:t>
      </w:r>
    </w:p>
    <w:p w14:paraId="74A1E091" w14:textId="77777777" w:rsidR="003921B4" w:rsidRPr="003921B4" w:rsidRDefault="003921B4" w:rsidP="00E27D4E">
      <w:pPr>
        <w:spacing w:line="240" w:lineRule="auto"/>
        <w:jc w:val="both"/>
        <w:rPr>
          <w:rFonts w:ascii="Times New Roman" w:hAnsi="Times New Roman" w:cs="Times New Roman"/>
          <w:color w:val="000000" w:themeColor="text1"/>
          <w:sz w:val="22"/>
          <w:szCs w:val="22"/>
        </w:rPr>
      </w:pPr>
      <w:r w:rsidRPr="003921B4">
        <w:rPr>
          <w:rFonts w:ascii="Times New Roman" w:hAnsi="Times New Roman" w:cs="Times New Roman"/>
          <w:color w:val="000000" w:themeColor="text1"/>
          <w:sz w:val="22"/>
          <w:szCs w:val="22"/>
        </w:rPr>
        <w:t>Within this framework, green hydrogen serves as the mediating mechanism connecting renewable energy resources to sustainable development outcomes. Renewable energy availability enables hydrogen production; hydrogen production enhances energy security and emission reduction; and these outcomes collectively support sustainable economic growth and environmental protection. Thus, investment in renewable technologies and supportive policies are critical drivers for transitioning Nigeria toward a hydrogen-based sustainable energy economy.</w:t>
      </w:r>
    </w:p>
    <w:p w14:paraId="1A2A4C26" w14:textId="77777777" w:rsidR="00E27D4E" w:rsidRDefault="00E27D4E">
      <w:p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br w:type="page"/>
      </w:r>
    </w:p>
    <w:p w14:paraId="71299FE6" w14:textId="291B5F78" w:rsidR="005A4697" w:rsidRPr="005A4697" w:rsidRDefault="005A4697" w:rsidP="00E27D4E">
      <w:pPr>
        <w:spacing w:line="240" w:lineRule="auto"/>
        <w:jc w:val="both"/>
        <w:rPr>
          <w:rFonts w:ascii="Times New Roman" w:hAnsi="Times New Roman" w:cs="Times New Roman"/>
          <w:b/>
          <w:bCs/>
          <w:color w:val="000000" w:themeColor="text1"/>
          <w:sz w:val="22"/>
          <w:szCs w:val="22"/>
        </w:rPr>
      </w:pPr>
      <w:r w:rsidRPr="005A4697">
        <w:rPr>
          <w:rFonts w:ascii="Times New Roman" w:hAnsi="Times New Roman" w:cs="Times New Roman"/>
          <w:b/>
          <w:bCs/>
          <w:color w:val="000000" w:themeColor="text1"/>
          <w:sz w:val="22"/>
          <w:szCs w:val="22"/>
        </w:rPr>
        <w:lastRenderedPageBreak/>
        <w:t>Theoretical Framework</w:t>
      </w:r>
    </w:p>
    <w:p w14:paraId="3BF1AACD" w14:textId="77777777" w:rsidR="00E27D4E" w:rsidRPr="005A4697" w:rsidRDefault="00E27D4E" w:rsidP="00E27D4E">
      <w:pPr>
        <w:spacing w:line="240" w:lineRule="auto"/>
        <w:jc w:val="both"/>
        <w:rPr>
          <w:rFonts w:ascii="Times New Roman" w:hAnsi="Times New Roman" w:cs="Times New Roman"/>
          <w:b/>
          <w:bCs/>
          <w:color w:val="000000" w:themeColor="text1"/>
          <w:sz w:val="22"/>
          <w:szCs w:val="22"/>
        </w:rPr>
      </w:pPr>
      <w:r w:rsidRPr="005A4697">
        <w:rPr>
          <w:rFonts w:ascii="Times New Roman" w:hAnsi="Times New Roman" w:cs="Times New Roman"/>
          <w:b/>
          <w:bCs/>
          <w:color w:val="000000" w:themeColor="text1"/>
          <w:sz w:val="22"/>
          <w:szCs w:val="22"/>
        </w:rPr>
        <w:t>Energy Transition Theory</w:t>
      </w:r>
    </w:p>
    <w:p w14:paraId="64E81B6F" w14:textId="7963D971"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 xml:space="preserve">This study is anchored on Energy Transition Theory </w:t>
      </w:r>
      <w:r w:rsidR="00E27D4E">
        <w:rPr>
          <w:rFonts w:ascii="Times New Roman" w:hAnsi="Times New Roman" w:cs="Times New Roman"/>
          <w:color w:val="000000" w:themeColor="text1"/>
          <w:sz w:val="22"/>
          <w:szCs w:val="22"/>
        </w:rPr>
        <w:t xml:space="preserve">because it </w:t>
      </w:r>
      <w:r w:rsidRPr="005A4697">
        <w:rPr>
          <w:rFonts w:ascii="Times New Roman" w:hAnsi="Times New Roman" w:cs="Times New Roman"/>
          <w:color w:val="000000" w:themeColor="text1"/>
          <w:sz w:val="22"/>
          <w:szCs w:val="22"/>
        </w:rPr>
        <w:t>explain</w:t>
      </w:r>
      <w:r w:rsidR="00E27D4E">
        <w:rPr>
          <w:rFonts w:ascii="Times New Roman" w:hAnsi="Times New Roman" w:cs="Times New Roman"/>
          <w:color w:val="000000" w:themeColor="text1"/>
          <w:sz w:val="22"/>
          <w:szCs w:val="22"/>
        </w:rPr>
        <w:t>s</w:t>
      </w:r>
      <w:r w:rsidRPr="005A4697">
        <w:rPr>
          <w:rFonts w:ascii="Times New Roman" w:hAnsi="Times New Roman" w:cs="Times New Roman"/>
          <w:color w:val="000000" w:themeColor="text1"/>
          <w:sz w:val="22"/>
          <w:szCs w:val="22"/>
        </w:rPr>
        <w:t xml:space="preserve"> the transformation of national energy systems from environmentally harmful fossil-fuel dependence toward cleaner, reliable and socially beneficial energy structures. </w:t>
      </w:r>
      <w:r w:rsidR="00E27D4E">
        <w:rPr>
          <w:rFonts w:ascii="Times New Roman" w:hAnsi="Times New Roman" w:cs="Times New Roman"/>
          <w:color w:val="000000" w:themeColor="text1"/>
          <w:sz w:val="22"/>
          <w:szCs w:val="22"/>
        </w:rPr>
        <w:t xml:space="preserve">It </w:t>
      </w:r>
      <w:r w:rsidRPr="005A4697">
        <w:rPr>
          <w:rFonts w:ascii="Times New Roman" w:hAnsi="Times New Roman" w:cs="Times New Roman"/>
          <w:color w:val="000000" w:themeColor="text1"/>
          <w:sz w:val="22"/>
          <w:szCs w:val="22"/>
        </w:rPr>
        <w:t>provide</w:t>
      </w:r>
      <w:r w:rsidR="00E27D4E">
        <w:rPr>
          <w:rFonts w:ascii="Times New Roman" w:hAnsi="Times New Roman" w:cs="Times New Roman"/>
          <w:color w:val="000000" w:themeColor="text1"/>
          <w:sz w:val="22"/>
          <w:szCs w:val="22"/>
        </w:rPr>
        <w:t>s</w:t>
      </w:r>
      <w:r w:rsidRPr="005A4697">
        <w:rPr>
          <w:rFonts w:ascii="Times New Roman" w:hAnsi="Times New Roman" w:cs="Times New Roman"/>
          <w:color w:val="000000" w:themeColor="text1"/>
          <w:sz w:val="22"/>
          <w:szCs w:val="22"/>
        </w:rPr>
        <w:t xml:space="preserve"> the theoretical basis for understanding the role of green hydrogen as an alternative energy pathway capable of enhancing energy security and environmental sustainability in Nigeria.</w:t>
      </w:r>
    </w:p>
    <w:p w14:paraId="299B439E" w14:textId="77777777" w:rsidR="005A4697" w:rsidRPr="009D08EF" w:rsidRDefault="005A4697" w:rsidP="00E27D4E">
      <w:pPr>
        <w:spacing w:line="240" w:lineRule="auto"/>
        <w:jc w:val="both"/>
        <w:rPr>
          <w:rFonts w:ascii="Times New Roman" w:hAnsi="Times New Roman" w:cs="Times New Roman"/>
          <w:color w:val="EE0000"/>
          <w:sz w:val="22"/>
          <w:szCs w:val="22"/>
        </w:rPr>
      </w:pPr>
      <w:r w:rsidRPr="005A4697">
        <w:rPr>
          <w:rFonts w:ascii="Times New Roman" w:hAnsi="Times New Roman" w:cs="Times New Roman"/>
          <w:color w:val="000000" w:themeColor="text1"/>
          <w:sz w:val="22"/>
          <w:szCs w:val="22"/>
        </w:rPr>
        <w:t xml:space="preserve">Energy Transition Theory explains the gradual shift from high-carbon energy sources such as coal, oil and gas to low-carbon and renewable energy systems driven by technological innovation, policy reforms and societal adaptation (Smil, 2017). Historically, energy transitions occur in stages as new energy technologies become more efficient, affordable and widely accepted </w:t>
      </w:r>
      <w:r w:rsidRPr="009D08EF">
        <w:rPr>
          <w:rFonts w:ascii="Times New Roman" w:hAnsi="Times New Roman" w:cs="Times New Roman"/>
          <w:color w:val="EE0000"/>
          <w:sz w:val="22"/>
          <w:szCs w:val="22"/>
        </w:rPr>
        <w:t>(Grubler, 2012).</w:t>
      </w:r>
    </w:p>
    <w:p w14:paraId="447DDDDD"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Hydrogen energy is considered part of the emerging phase of global energy transition because it allows renewable electricity to be converted into a storable and transportable fuel (International Energy Agency, 2021). Renewable sources like solar and wind are intermittent; therefore hydrogen functions as an energy storage medium that stabilizes supply (IRENA, 2020). In Nigeria, persistent electricity shortages and over-reliance on fossil fuels demonstrate the need for such transition technologies. Green hydrogen can support power generation, transportation and industrial energy demand while reducing emissions, thereby facilitating the shift toward a low-carbon economy (Nwafor &amp; Anyaeji, 2022).</w:t>
      </w:r>
    </w:p>
    <w:p w14:paraId="002EE276" w14:textId="5B22868C" w:rsidR="005A4697" w:rsidRPr="005A4697" w:rsidRDefault="005A4697" w:rsidP="00E27D4E">
      <w:pPr>
        <w:spacing w:line="240" w:lineRule="auto"/>
        <w:jc w:val="both"/>
        <w:rPr>
          <w:rFonts w:ascii="Times New Roman" w:hAnsi="Times New Roman" w:cs="Times New Roman"/>
          <w:b/>
          <w:bCs/>
          <w:color w:val="000000" w:themeColor="text1"/>
          <w:sz w:val="22"/>
          <w:szCs w:val="22"/>
        </w:rPr>
      </w:pPr>
      <w:r w:rsidRPr="005A4697">
        <w:rPr>
          <w:rFonts w:ascii="Times New Roman" w:hAnsi="Times New Roman" w:cs="Times New Roman"/>
          <w:b/>
          <w:bCs/>
          <w:color w:val="000000" w:themeColor="text1"/>
          <w:sz w:val="22"/>
          <w:szCs w:val="22"/>
        </w:rPr>
        <w:t>Empirical Review</w:t>
      </w:r>
    </w:p>
    <w:p w14:paraId="21B27082"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Empirical studies on green hydrogen and renewable energy transition largely emphasize its potential to address energy insecurity, environmental degradation and economic diversification in developing economies. Evidence from both global and Nigerian-based studies demonstrates that hydrogen technology is increasingly becoming technically feasible and economically competitive as renewable energy costs decline.</w:t>
      </w:r>
    </w:p>
    <w:p w14:paraId="5592E213"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Studies focusing on Nigeria’s energy structure consistently show that the country’s heavy reliance on fossil fuels has resulted in electricity shortages and environmental challenges. Olubunmi and Akinluyi (2021) found that a large proportion of Nigeria’s population lacks reliable electricity access despite abundant natural resources, suggesting the need for alternative renewable energy pathways. Similarly, Akinbode and Makanjuo (2020) established that Nigeria possesses substantial solar and wind energy potential capable of supporting hydrogen production and reducing dependence on fossil fuels. Supporting this position, Dodo et al. (2021) revealed that full utilization of renewable energy resources could meet national electricity demand while significantly reducing emissions associated with fossil-fuel generators.</w:t>
      </w:r>
    </w:p>
    <w:p w14:paraId="7EF7D9A0"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Technological feasibility has also been examined in several studies. Mourshed and Zhao (2021) reported that improvements in electrolyzer design have increased efficiency and lowered operational costs, making green hydrogen production more viable. In addition, Nwafor and Anyaeji (2022) conducted an economic analysis and concluded that hydrogen energy could become cost-competitive with fossil fuels as renewable electricity prices fall. These findings indicate that technological advancement remains a key driver in accelerating hydrogen adoption.</w:t>
      </w:r>
    </w:p>
    <w:p w14:paraId="0564D075"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Policy and institutional factors have been identified as critical determinants of successful implementation. Adebayo and Oloyede (2023) observed that current regulatory frameworks in Nigeria remain largely oriented toward fossil fuels and require reform to accommodate hydrogen technologies. Likewise, Igbinovia and Orukpe (2020) emphasized that supportive government policies and investment incentives are necessary to attract private sector participation in hydrogen projects. Olayiwola and Agboola (2023) further noted that public awareness and community engagement significantly influence acceptance of renewable energy technologies, implying that social readiness is as important as technical readiness.</w:t>
      </w:r>
    </w:p>
    <w:p w14:paraId="079DB967"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lastRenderedPageBreak/>
        <w:t>Location-specific feasibility studies provide additional empirical insight. Adeyemo and Eniola (2020) highlighted that the viability of hydrogen production depends on the integration of renewable energy infrastructure and storage technology. In a related study, Mohammed and Idris (2021) concluded that regions with abundant renewable resources, such as Niger State, are suitable for hydrogen deployment but require strong institutional support and infrastructure development to succeed.</w:t>
      </w:r>
    </w:p>
    <w:p w14:paraId="48DE4DEE"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Global empirical evidence reinforces these national findings. The International Renewable Energy Agency (2020) reported that countries investing heavily in renewable-powered hydrogen production have experienced improved energy security and emission reductions. The Hydrogen Council (2022) projected that hydrogen could supply a significant share of global energy demand, while Deloitte (2021) showed that African countries with high solar potential are particularly well positioned for hydrogen development. These findings suggest that Nigeria’s renewable resource endowment provides a competitive advantage for green hydrogen adoption.</w:t>
      </w:r>
    </w:p>
    <w:p w14:paraId="13606F11" w14:textId="49A06721"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 xml:space="preserve">Overall, </w:t>
      </w:r>
      <w:r w:rsidRPr="00E27D4E">
        <w:rPr>
          <w:rFonts w:ascii="Times New Roman" w:hAnsi="Times New Roman" w:cs="Times New Roman"/>
          <w:color w:val="000000" w:themeColor="text1"/>
          <w:sz w:val="22"/>
          <w:szCs w:val="22"/>
        </w:rPr>
        <w:t xml:space="preserve">the </w:t>
      </w:r>
      <w:r w:rsidRPr="005A4697">
        <w:rPr>
          <w:rFonts w:ascii="Times New Roman" w:hAnsi="Times New Roman" w:cs="Times New Roman"/>
          <w:color w:val="000000" w:themeColor="text1"/>
          <w:sz w:val="22"/>
          <w:szCs w:val="22"/>
        </w:rPr>
        <w:t>empirical literature demonstrates that green hydrogen adoption depends on three interacting factors: availability of renewable resources, technological and economic feasibility, and supportive policy frameworks. Existing studies agree that Nigeria possesses the natural resource potential and growing technological feasibility, but policy implementation, infrastructure development and investment mobilization remain the primary barriers. Consequently, further research is required to evaluate specific locations and practical strategies for integrating green hydrogen into the Nigerian energy system.</w:t>
      </w:r>
    </w:p>
    <w:p w14:paraId="59C786C2" w14:textId="56909BF3" w:rsidR="005A4697" w:rsidRPr="005A4697" w:rsidRDefault="005A4697" w:rsidP="00E27D4E">
      <w:pPr>
        <w:spacing w:line="240" w:lineRule="auto"/>
        <w:jc w:val="both"/>
        <w:rPr>
          <w:rFonts w:ascii="Times New Roman" w:hAnsi="Times New Roman" w:cs="Times New Roman"/>
          <w:b/>
          <w:bCs/>
          <w:color w:val="000000" w:themeColor="text1"/>
          <w:sz w:val="22"/>
          <w:szCs w:val="22"/>
        </w:rPr>
      </w:pPr>
      <w:r w:rsidRPr="005A4697">
        <w:rPr>
          <w:rFonts w:ascii="Times New Roman" w:hAnsi="Times New Roman" w:cs="Times New Roman"/>
          <w:b/>
          <w:bCs/>
          <w:color w:val="000000" w:themeColor="text1"/>
          <w:sz w:val="22"/>
          <w:szCs w:val="22"/>
        </w:rPr>
        <w:t>Gap in Literature</w:t>
      </w:r>
    </w:p>
    <w:p w14:paraId="5689B271"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Existing empirical studies have established that green hydrogen is a promising alternative energy source capable of improving energy security, reducing emissions and supporting sustainable development. Prior research has largely concentrated on Nigeria’s abundant renewable energy potential and the general feasibility of hydrogen production (Akinbode &amp; Makanjuo, 2020; Dodo et al., 2021). Other studies have examined technological efficiency and economic competitiveness, concluding that falling renewable electricity costs may make hydrogen cost-competitive with fossil fuels (Mourshed &amp; Zhao, 2021; Nwafor &amp; Anyaeji, 2022). In addition, policy-oriented studies emphasize the need for regulatory reforms, investment incentives and public awareness to facilitate adoption (Adebayo &amp; Oloyede, 2023; Olayiwola &amp; Agboola, 2023).</w:t>
      </w:r>
    </w:p>
    <w:p w14:paraId="7B8F7D74"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Despite these contributions, the literature remains largely generalized and conceptual. Most Nigerian studies discuss hydrogen potential at the national level without identifying specific geographic locations suitable for implementation. There is limited empirical assessment of site-specific feasibility considering local renewable resource availability, infrastructure readiness and economic viability. Furthermore, while some studies acknowledge Nigeria’s renewable resource abundance, few examine how these resources can practically be integrated into hydrogen production systems within particular states or regions.</w:t>
      </w:r>
    </w:p>
    <w:p w14:paraId="4ACCB444"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Another gap lies in the absence of applied suitability analysis that combines technical, environmental and economic considerations within a single framework. Existing works often examine either technological feasibility, policy issues or economic potential independently, leaving a lack of comprehensive evaluation needed for real project planning. In particular, Niger State, despite its strong solar and hydropower potential, has received minimal scholarly attention regarding hydrogen deployment.</w:t>
      </w:r>
    </w:p>
    <w:p w14:paraId="2A2C688D"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Therefore, this study addresses the gap by conducting a location-specific suitability assessment of green hydrogen energy in Niger State. It integrates renewable resource availability, infrastructural considerations and sustainability outcomes into a unified analysis. By moving beyond general national discussions to a practical regional evaluation, the study provides empirical evidence necessary for policy formulation, investment planning and implementation of hydrogen projects in Nigeria.</w:t>
      </w:r>
    </w:p>
    <w:p w14:paraId="4403BCE2" w14:textId="6057F01A" w:rsidR="005A4697" w:rsidRPr="00E27D4E" w:rsidRDefault="00E27D4E" w:rsidP="00E27D4E">
      <w:pPr>
        <w:pStyle w:val="Heading1"/>
        <w:spacing w:line="240" w:lineRule="auto"/>
        <w:jc w:val="both"/>
        <w:rPr>
          <w:rFonts w:ascii="Times New Roman" w:hAnsi="Times New Roman" w:cs="Times New Roman"/>
          <w:b/>
          <w:bCs/>
          <w:color w:val="000000" w:themeColor="text1"/>
          <w:sz w:val="22"/>
          <w:szCs w:val="22"/>
          <w:shd w:val="clear" w:color="auto" w:fill="FFFFFF"/>
        </w:rPr>
      </w:pPr>
      <w:bookmarkStart w:id="3" w:name="_Toc218873752"/>
      <w:r w:rsidRPr="00E27D4E">
        <w:rPr>
          <w:rFonts w:ascii="Times New Roman" w:hAnsi="Times New Roman" w:cs="Times New Roman"/>
          <w:b/>
          <w:bCs/>
          <w:color w:val="000000" w:themeColor="text1"/>
          <w:sz w:val="22"/>
          <w:szCs w:val="22"/>
          <w:shd w:val="clear" w:color="auto" w:fill="FFFFFF"/>
        </w:rPr>
        <w:lastRenderedPageBreak/>
        <w:t>Methodology</w:t>
      </w:r>
      <w:bookmarkEnd w:id="3"/>
    </w:p>
    <w:p w14:paraId="5E72000B" w14:textId="28A2F14F"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shd w:val="clear" w:color="auto" w:fill="FFFFFF"/>
        </w:rPr>
      </w:pPr>
      <w:bookmarkStart w:id="4" w:name="_Toc218873753"/>
      <w:r w:rsidRPr="00E27D4E">
        <w:rPr>
          <w:rFonts w:ascii="Times New Roman" w:hAnsi="Times New Roman" w:cs="Times New Roman"/>
          <w:b/>
          <w:bCs/>
          <w:color w:val="000000" w:themeColor="text1"/>
          <w:sz w:val="22"/>
          <w:szCs w:val="22"/>
          <w:shd w:val="clear" w:color="auto" w:fill="FFFFFF"/>
        </w:rPr>
        <w:t>Research Design</w:t>
      </w:r>
      <w:bookmarkEnd w:id="4"/>
      <w:r w:rsidRPr="00E27D4E">
        <w:rPr>
          <w:rFonts w:ascii="Times New Roman" w:hAnsi="Times New Roman" w:cs="Times New Roman"/>
          <w:b/>
          <w:bCs/>
          <w:color w:val="000000" w:themeColor="text1"/>
          <w:sz w:val="22"/>
          <w:szCs w:val="22"/>
          <w:shd w:val="clear" w:color="auto" w:fill="FFFFFF"/>
        </w:rPr>
        <w:tab/>
      </w:r>
    </w:p>
    <w:p w14:paraId="56788CF2"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This chapter describes the methods and materials used in this study for achieving the research objectives successfully. The information includes description of data types and their sources, methods of data collection and analysis.</w:t>
      </w:r>
    </w:p>
    <w:p w14:paraId="69C40FC8" w14:textId="0E1031B4"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rPr>
      </w:pPr>
      <w:bookmarkStart w:id="5" w:name="_Toc218873754"/>
      <w:r w:rsidRPr="00E27D4E">
        <w:rPr>
          <w:rFonts w:ascii="Times New Roman" w:hAnsi="Times New Roman" w:cs="Times New Roman"/>
          <w:b/>
          <w:bCs/>
          <w:color w:val="000000" w:themeColor="text1"/>
          <w:sz w:val="22"/>
          <w:szCs w:val="22"/>
        </w:rPr>
        <w:t>Type of Data and Method of Data Collection</w:t>
      </w:r>
      <w:bookmarkEnd w:id="5"/>
      <w:r w:rsidRPr="00E27D4E">
        <w:rPr>
          <w:rFonts w:ascii="Times New Roman" w:hAnsi="Times New Roman" w:cs="Times New Roman"/>
          <w:b/>
          <w:bCs/>
          <w:color w:val="000000" w:themeColor="text1"/>
          <w:sz w:val="22"/>
          <w:szCs w:val="22"/>
        </w:rPr>
        <w:t xml:space="preserve"> </w:t>
      </w:r>
    </w:p>
    <w:p w14:paraId="219E4CC4"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To achieve the objectives of this study, data sources where gotten from secondary sources. Sources include the administrative map of the study area, landsat imagery, road shapefile, relevant information from journals, articles, and other publications which contain necessary data related to this study.</w:t>
      </w:r>
    </w:p>
    <w:p w14:paraId="50F3BE43" w14:textId="1E4F7D3E"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shd w:val="clear" w:color="auto" w:fill="FFFFFF"/>
        </w:rPr>
      </w:pPr>
      <w:bookmarkStart w:id="6" w:name="_Toc218873755"/>
      <w:r w:rsidRPr="00E27D4E">
        <w:rPr>
          <w:rFonts w:ascii="Times New Roman" w:hAnsi="Times New Roman" w:cs="Times New Roman"/>
          <w:b/>
          <w:bCs/>
          <w:color w:val="000000" w:themeColor="text1"/>
          <w:sz w:val="22"/>
          <w:szCs w:val="22"/>
          <w:shd w:val="clear" w:color="auto" w:fill="FFFFFF"/>
        </w:rPr>
        <w:t>Table Showing the data sources</w:t>
      </w:r>
      <w:bookmarkEnd w:id="6"/>
    </w:p>
    <w:p w14:paraId="31D6FFFC"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p>
    <w:tbl>
      <w:tblPr>
        <w:tblStyle w:val="TableGrid"/>
        <w:tblW w:w="9828" w:type="dxa"/>
        <w:tblLook w:val="04A0" w:firstRow="1" w:lastRow="0" w:firstColumn="1" w:lastColumn="0" w:noHBand="0" w:noVBand="1"/>
      </w:tblPr>
      <w:tblGrid>
        <w:gridCol w:w="590"/>
        <w:gridCol w:w="1765"/>
        <w:gridCol w:w="1297"/>
        <w:gridCol w:w="1022"/>
        <w:gridCol w:w="1447"/>
        <w:gridCol w:w="1680"/>
        <w:gridCol w:w="2027"/>
      </w:tblGrid>
      <w:tr w:rsidR="00E27D4E" w:rsidRPr="00E27D4E" w14:paraId="37AB5C49" w14:textId="77777777" w:rsidTr="00E27D4E">
        <w:trPr>
          <w:trHeight w:val="401"/>
        </w:trPr>
        <w:tc>
          <w:tcPr>
            <w:tcW w:w="590" w:type="dxa"/>
          </w:tcPr>
          <w:p w14:paraId="202732C0" w14:textId="77777777" w:rsidR="005A4697" w:rsidRPr="00E27D4E" w:rsidRDefault="005A4697" w:rsidP="00E27D4E">
            <w:pPr>
              <w:widowControl/>
              <w:rPr>
                <w:rFonts w:ascii="Times New Roman" w:eastAsiaTheme="minorHAnsi" w:hAnsi="Times New Roman" w:cs="Times New Roman"/>
                <w:b/>
                <w:bCs/>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b/>
                <w:bCs/>
                <w:color w:val="000000" w:themeColor="text1"/>
                <w:kern w:val="2"/>
                <w:sz w:val="22"/>
                <w:szCs w:val="22"/>
                <w:shd w:val="clear" w:color="auto" w:fill="FFFFFF"/>
                <w14:ligatures w14:val="standardContextual"/>
              </w:rPr>
              <w:t>S/N</w:t>
            </w:r>
          </w:p>
        </w:tc>
        <w:tc>
          <w:tcPr>
            <w:tcW w:w="1765" w:type="dxa"/>
          </w:tcPr>
          <w:p w14:paraId="1AD2BF2D" w14:textId="77777777" w:rsidR="005A4697" w:rsidRPr="00E27D4E" w:rsidRDefault="005A4697" w:rsidP="00E27D4E">
            <w:pPr>
              <w:widowControl/>
              <w:rPr>
                <w:rFonts w:ascii="Times New Roman" w:eastAsiaTheme="minorHAnsi" w:hAnsi="Times New Roman" w:cs="Times New Roman"/>
                <w:b/>
                <w:bCs/>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b/>
                <w:bCs/>
                <w:color w:val="000000" w:themeColor="text1"/>
                <w:kern w:val="2"/>
                <w:sz w:val="22"/>
                <w:szCs w:val="22"/>
                <w:shd w:val="clear" w:color="auto" w:fill="FFFFFF"/>
                <w14:ligatures w14:val="standardContextual"/>
              </w:rPr>
              <w:t>Data</w:t>
            </w:r>
          </w:p>
        </w:tc>
        <w:tc>
          <w:tcPr>
            <w:tcW w:w="1297" w:type="dxa"/>
          </w:tcPr>
          <w:p w14:paraId="21FCE981" w14:textId="77777777" w:rsidR="005A4697" w:rsidRPr="00E27D4E" w:rsidRDefault="005A4697" w:rsidP="00E27D4E">
            <w:pPr>
              <w:widowControl/>
              <w:rPr>
                <w:rFonts w:ascii="Times New Roman" w:eastAsiaTheme="minorHAnsi" w:hAnsi="Times New Roman" w:cs="Times New Roman"/>
                <w:b/>
                <w:bCs/>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b/>
                <w:bCs/>
                <w:color w:val="000000" w:themeColor="text1"/>
                <w:kern w:val="2"/>
                <w:sz w:val="22"/>
                <w:szCs w:val="22"/>
                <w:shd w:val="clear" w:color="auto" w:fill="FFFFFF"/>
                <w14:ligatures w14:val="standardContextual"/>
              </w:rPr>
              <w:t>Type</w:t>
            </w:r>
          </w:p>
        </w:tc>
        <w:tc>
          <w:tcPr>
            <w:tcW w:w="1022" w:type="dxa"/>
          </w:tcPr>
          <w:p w14:paraId="7E96D0A0" w14:textId="77777777" w:rsidR="005A4697" w:rsidRPr="00E27D4E" w:rsidRDefault="005A4697" w:rsidP="00E27D4E">
            <w:pPr>
              <w:widowControl/>
              <w:rPr>
                <w:rFonts w:ascii="Times New Roman" w:eastAsiaTheme="minorHAnsi" w:hAnsi="Times New Roman" w:cs="Times New Roman"/>
                <w:b/>
                <w:bCs/>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b/>
                <w:bCs/>
                <w:color w:val="000000" w:themeColor="text1"/>
                <w:kern w:val="2"/>
                <w:sz w:val="22"/>
                <w:szCs w:val="22"/>
                <w:shd w:val="clear" w:color="auto" w:fill="FFFFFF"/>
                <w14:ligatures w14:val="standardContextual"/>
              </w:rPr>
              <w:t>Year</w:t>
            </w:r>
          </w:p>
        </w:tc>
        <w:tc>
          <w:tcPr>
            <w:tcW w:w="1447" w:type="dxa"/>
          </w:tcPr>
          <w:p w14:paraId="7ACE975D" w14:textId="77777777" w:rsidR="005A4697" w:rsidRPr="00E27D4E" w:rsidRDefault="005A4697" w:rsidP="00E27D4E">
            <w:pPr>
              <w:widowControl/>
              <w:rPr>
                <w:rFonts w:ascii="Times New Roman" w:eastAsiaTheme="minorHAnsi" w:hAnsi="Times New Roman" w:cs="Times New Roman"/>
                <w:b/>
                <w:bCs/>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b/>
                <w:bCs/>
                <w:color w:val="000000" w:themeColor="text1"/>
                <w:kern w:val="2"/>
                <w:sz w:val="22"/>
                <w:szCs w:val="22"/>
                <w:shd w:val="clear" w:color="auto" w:fill="FFFFFF"/>
                <w14:ligatures w14:val="standardContextual"/>
              </w:rPr>
              <w:t>Format</w:t>
            </w:r>
          </w:p>
        </w:tc>
        <w:tc>
          <w:tcPr>
            <w:tcW w:w="1680" w:type="dxa"/>
          </w:tcPr>
          <w:p w14:paraId="6291B3C2" w14:textId="77777777" w:rsidR="005A4697" w:rsidRPr="00E27D4E" w:rsidRDefault="005A4697" w:rsidP="00E27D4E">
            <w:pPr>
              <w:widowControl/>
              <w:rPr>
                <w:rFonts w:ascii="Times New Roman" w:eastAsiaTheme="minorHAnsi" w:hAnsi="Times New Roman" w:cs="Times New Roman"/>
                <w:b/>
                <w:bCs/>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b/>
                <w:bCs/>
                <w:color w:val="000000" w:themeColor="text1"/>
                <w:kern w:val="2"/>
                <w:sz w:val="22"/>
                <w:szCs w:val="22"/>
                <w:shd w:val="clear" w:color="auto" w:fill="FFFFFF"/>
                <w14:ligatures w14:val="standardContextual"/>
              </w:rPr>
              <w:t>Source</w:t>
            </w:r>
          </w:p>
        </w:tc>
        <w:tc>
          <w:tcPr>
            <w:tcW w:w="2027" w:type="dxa"/>
          </w:tcPr>
          <w:p w14:paraId="0AAA05C0" w14:textId="77777777" w:rsidR="005A4697" w:rsidRPr="00E27D4E" w:rsidRDefault="005A4697" w:rsidP="00E27D4E">
            <w:pPr>
              <w:widowControl/>
              <w:rPr>
                <w:rFonts w:ascii="Times New Roman" w:eastAsiaTheme="minorHAnsi" w:hAnsi="Times New Roman" w:cs="Times New Roman"/>
                <w:b/>
                <w:bCs/>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b/>
                <w:bCs/>
                <w:color w:val="000000" w:themeColor="text1"/>
                <w:kern w:val="2"/>
                <w:sz w:val="22"/>
                <w:szCs w:val="22"/>
                <w:shd w:val="clear" w:color="auto" w:fill="FFFFFF"/>
                <w14:ligatures w14:val="standardContextual"/>
              </w:rPr>
              <w:t>Relevance</w:t>
            </w:r>
          </w:p>
        </w:tc>
      </w:tr>
      <w:tr w:rsidR="00E27D4E" w:rsidRPr="00E27D4E" w14:paraId="3B03B841" w14:textId="77777777" w:rsidTr="00E27D4E">
        <w:trPr>
          <w:trHeight w:val="548"/>
        </w:trPr>
        <w:tc>
          <w:tcPr>
            <w:tcW w:w="590" w:type="dxa"/>
          </w:tcPr>
          <w:p w14:paraId="44002593"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1</w:t>
            </w:r>
          </w:p>
        </w:tc>
        <w:tc>
          <w:tcPr>
            <w:tcW w:w="1765" w:type="dxa"/>
          </w:tcPr>
          <w:p w14:paraId="54AE5610"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Administrative boundary</w:t>
            </w:r>
          </w:p>
        </w:tc>
        <w:tc>
          <w:tcPr>
            <w:tcW w:w="1297" w:type="dxa"/>
          </w:tcPr>
          <w:p w14:paraId="3F287F9A"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Secondary</w:t>
            </w:r>
          </w:p>
        </w:tc>
        <w:tc>
          <w:tcPr>
            <w:tcW w:w="1022" w:type="dxa"/>
          </w:tcPr>
          <w:p w14:paraId="0FB3FDFB"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2024</w:t>
            </w:r>
          </w:p>
        </w:tc>
        <w:tc>
          <w:tcPr>
            <w:tcW w:w="1447" w:type="dxa"/>
          </w:tcPr>
          <w:p w14:paraId="07234128"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Shapefile</w:t>
            </w:r>
          </w:p>
        </w:tc>
        <w:tc>
          <w:tcPr>
            <w:tcW w:w="1680" w:type="dxa"/>
          </w:tcPr>
          <w:p w14:paraId="6E874D22"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OSGOF</w:t>
            </w:r>
          </w:p>
        </w:tc>
        <w:tc>
          <w:tcPr>
            <w:tcW w:w="2027" w:type="dxa"/>
          </w:tcPr>
          <w:p w14:paraId="57A6F4A1"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To delineate spatial boundary</w:t>
            </w:r>
          </w:p>
        </w:tc>
      </w:tr>
      <w:tr w:rsidR="00E27D4E" w:rsidRPr="00E27D4E" w14:paraId="046F3F11" w14:textId="77777777" w:rsidTr="00E27D4E">
        <w:trPr>
          <w:trHeight w:val="512"/>
        </w:trPr>
        <w:tc>
          <w:tcPr>
            <w:tcW w:w="590" w:type="dxa"/>
          </w:tcPr>
          <w:p w14:paraId="18C06172"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2</w:t>
            </w:r>
          </w:p>
        </w:tc>
        <w:tc>
          <w:tcPr>
            <w:tcW w:w="1765" w:type="dxa"/>
          </w:tcPr>
          <w:p w14:paraId="2766FF00"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Landsat imagery</w:t>
            </w:r>
          </w:p>
          <w:p w14:paraId="35515966" w14:textId="77777777" w:rsidR="005A4697" w:rsidRPr="00E27D4E" w:rsidRDefault="005A4697" w:rsidP="00E27D4E">
            <w:pPr>
              <w:rPr>
                <w:rFonts w:ascii="Times New Roman" w:eastAsiaTheme="minorHAnsi" w:hAnsi="Times New Roman" w:cs="Times New Roman"/>
                <w:color w:val="000000" w:themeColor="text1"/>
                <w:sz w:val="22"/>
                <w:szCs w:val="22"/>
              </w:rPr>
            </w:pPr>
          </w:p>
        </w:tc>
        <w:tc>
          <w:tcPr>
            <w:tcW w:w="1297" w:type="dxa"/>
          </w:tcPr>
          <w:p w14:paraId="0CDF72F4"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Secondary</w:t>
            </w:r>
          </w:p>
        </w:tc>
        <w:tc>
          <w:tcPr>
            <w:tcW w:w="1022" w:type="dxa"/>
          </w:tcPr>
          <w:p w14:paraId="7349A665"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2024</w:t>
            </w:r>
          </w:p>
        </w:tc>
        <w:tc>
          <w:tcPr>
            <w:tcW w:w="1447" w:type="dxa"/>
          </w:tcPr>
          <w:p w14:paraId="6B8173E3"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Geo TIFF</w:t>
            </w:r>
          </w:p>
        </w:tc>
        <w:tc>
          <w:tcPr>
            <w:tcW w:w="1680" w:type="dxa"/>
          </w:tcPr>
          <w:p w14:paraId="6047CDC3"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Earthexplorer</w:t>
            </w:r>
          </w:p>
          <w:p w14:paraId="3DADAD3F"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p>
          <w:p w14:paraId="4ADC29F2"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p>
        </w:tc>
        <w:tc>
          <w:tcPr>
            <w:tcW w:w="2027" w:type="dxa"/>
          </w:tcPr>
          <w:p w14:paraId="7B41FD81"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 xml:space="preserve">For land useland cover mapping, </w:t>
            </w:r>
          </w:p>
          <w:p w14:paraId="2DA740D7" w14:textId="77777777" w:rsidR="005A4697" w:rsidRPr="00E27D4E" w:rsidRDefault="005A4697" w:rsidP="00E27D4E">
            <w:pPr>
              <w:rPr>
                <w:rFonts w:ascii="Times New Roman" w:eastAsiaTheme="minorHAnsi" w:hAnsi="Times New Roman" w:cs="Times New Roman"/>
                <w:color w:val="000000" w:themeColor="text1"/>
                <w:sz w:val="22"/>
                <w:szCs w:val="22"/>
              </w:rPr>
            </w:pPr>
          </w:p>
        </w:tc>
      </w:tr>
      <w:tr w:rsidR="00E27D4E" w:rsidRPr="00E27D4E" w14:paraId="74E14890" w14:textId="77777777" w:rsidTr="00E27D4E">
        <w:trPr>
          <w:trHeight w:val="206"/>
        </w:trPr>
        <w:tc>
          <w:tcPr>
            <w:tcW w:w="590" w:type="dxa"/>
          </w:tcPr>
          <w:p w14:paraId="3AD3232D"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3</w:t>
            </w:r>
          </w:p>
        </w:tc>
        <w:tc>
          <w:tcPr>
            <w:tcW w:w="1765" w:type="dxa"/>
          </w:tcPr>
          <w:p w14:paraId="50F9516F"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Road Shapfile</w:t>
            </w:r>
          </w:p>
        </w:tc>
        <w:tc>
          <w:tcPr>
            <w:tcW w:w="1297" w:type="dxa"/>
          </w:tcPr>
          <w:p w14:paraId="07B5F23C"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Secondary</w:t>
            </w:r>
          </w:p>
        </w:tc>
        <w:tc>
          <w:tcPr>
            <w:tcW w:w="1022" w:type="dxa"/>
          </w:tcPr>
          <w:p w14:paraId="6A1A9247"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p>
        </w:tc>
        <w:tc>
          <w:tcPr>
            <w:tcW w:w="1447" w:type="dxa"/>
          </w:tcPr>
          <w:p w14:paraId="186AADA0"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p>
        </w:tc>
        <w:tc>
          <w:tcPr>
            <w:tcW w:w="1680" w:type="dxa"/>
          </w:tcPr>
          <w:p w14:paraId="4F9381F4"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Grid 3</w:t>
            </w:r>
          </w:p>
        </w:tc>
        <w:tc>
          <w:tcPr>
            <w:tcW w:w="2027" w:type="dxa"/>
          </w:tcPr>
          <w:p w14:paraId="68ED5BA2"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Proximity</w:t>
            </w:r>
          </w:p>
        </w:tc>
      </w:tr>
    </w:tbl>
    <w:p w14:paraId="01A9C00A" w14:textId="7E099957"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shd w:val="clear" w:color="auto" w:fill="FFFFFF"/>
        </w:rPr>
      </w:pPr>
      <w:bookmarkStart w:id="7" w:name="_Toc218873756"/>
      <w:r w:rsidRPr="00E27D4E">
        <w:rPr>
          <w:rFonts w:ascii="Times New Roman" w:hAnsi="Times New Roman" w:cs="Times New Roman"/>
          <w:b/>
          <w:bCs/>
          <w:color w:val="000000" w:themeColor="text1"/>
          <w:sz w:val="22"/>
          <w:szCs w:val="22"/>
          <w:shd w:val="clear" w:color="auto" w:fill="FFFFFF"/>
        </w:rPr>
        <w:t>Table 1: Table showing the data sources</w:t>
      </w:r>
      <w:bookmarkEnd w:id="7"/>
    </w:p>
    <w:p w14:paraId="6838FFB2" w14:textId="77777777" w:rsidR="005A4697" w:rsidRPr="00E27D4E" w:rsidRDefault="005A4697" w:rsidP="00473597">
      <w:pPr>
        <w:pStyle w:val="Heading1"/>
        <w:spacing w:line="240" w:lineRule="auto"/>
        <w:jc w:val="both"/>
        <w:rPr>
          <w:rFonts w:ascii="Times New Roman" w:hAnsi="Times New Roman" w:cs="Times New Roman"/>
          <w:b/>
          <w:bCs/>
          <w:color w:val="000000" w:themeColor="text1"/>
          <w:sz w:val="22"/>
          <w:szCs w:val="22"/>
          <w:shd w:val="clear" w:color="auto" w:fill="FFFFFF"/>
        </w:rPr>
      </w:pPr>
      <w:bookmarkStart w:id="8" w:name="_Toc218873757"/>
      <w:r w:rsidRPr="00E27D4E">
        <w:rPr>
          <w:rFonts w:ascii="Times New Roman" w:hAnsi="Times New Roman" w:cs="Times New Roman"/>
          <w:b/>
          <w:bCs/>
          <w:color w:val="000000" w:themeColor="text1"/>
          <w:sz w:val="22"/>
          <w:szCs w:val="22"/>
          <w:shd w:val="clear" w:color="auto" w:fill="FFFFFF"/>
        </w:rPr>
        <w:t>Data Collection Methods</w:t>
      </w:r>
      <w:bookmarkEnd w:id="8"/>
    </w:p>
    <w:p w14:paraId="6DB6351E"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Literature review was used to conduct review of existing academic literature, online publications and industry publications related to green hydrogen. This was used to achieve the following objectives; to explore the features of green hydrogen,</w:t>
      </w:r>
      <w:r w:rsidRPr="00E27D4E">
        <w:rPr>
          <w:rFonts w:ascii="Times New Roman" w:hAnsi="Times New Roman" w:cs="Times New Roman"/>
          <w:color w:val="000000" w:themeColor="text1"/>
          <w:sz w:val="22"/>
          <w:szCs w:val="22"/>
          <w:shd w:val="clear" w:color="auto" w:fill="FFFFFF"/>
        </w:rPr>
        <w:t xml:space="preserve"> and to analyse the potential of green hydrogen as a sustainable energy source in Nigeria. </w:t>
      </w:r>
      <w:r w:rsidRPr="00E27D4E">
        <w:rPr>
          <w:rFonts w:ascii="Times New Roman" w:hAnsi="Times New Roman" w:cs="Times New Roman"/>
          <w:color w:val="000000" w:themeColor="text1"/>
          <w:sz w:val="22"/>
          <w:szCs w:val="22"/>
        </w:rPr>
        <w:t>Satellite imageries downloaded online where used to collect data for GIS analysis to achieve mapping out areas suitable for green hydrogen projects and mapping population density and distance to road.</w:t>
      </w:r>
    </w:p>
    <w:p w14:paraId="0220A2F5" w14:textId="1F516643" w:rsidR="005A4697" w:rsidRPr="00E27D4E" w:rsidRDefault="005A4697" w:rsidP="00E27D4E">
      <w:pPr>
        <w:pStyle w:val="Heading1"/>
        <w:spacing w:line="240" w:lineRule="auto"/>
        <w:jc w:val="both"/>
        <w:rPr>
          <w:rFonts w:ascii="Times New Roman" w:eastAsia="Times New Roman" w:hAnsi="Times New Roman" w:cs="Times New Roman"/>
          <w:b/>
          <w:bCs/>
          <w:color w:val="000000" w:themeColor="text1"/>
          <w:sz w:val="22"/>
          <w:szCs w:val="22"/>
        </w:rPr>
      </w:pPr>
      <w:bookmarkStart w:id="9" w:name="_Toc218873758"/>
      <w:r w:rsidRPr="00E27D4E">
        <w:rPr>
          <w:rFonts w:ascii="Times New Roman" w:eastAsia="Times New Roman" w:hAnsi="Times New Roman" w:cs="Times New Roman"/>
          <w:b/>
          <w:bCs/>
          <w:color w:val="000000" w:themeColor="text1"/>
          <w:sz w:val="22"/>
          <w:szCs w:val="22"/>
        </w:rPr>
        <w:t>Data Analysis</w:t>
      </w:r>
      <w:bookmarkEnd w:id="9"/>
    </w:p>
    <w:p w14:paraId="39184993" w14:textId="77777777" w:rsidR="005A4697" w:rsidRPr="00E27D4E" w:rsidRDefault="005A4697" w:rsidP="00E27D4E">
      <w:pPr>
        <w:spacing w:line="240" w:lineRule="auto"/>
        <w:jc w:val="both"/>
        <w:rPr>
          <w:rFonts w:ascii="Times New Roman" w:hAnsi="Times New Roman" w:cs="Times New Roman"/>
          <w:color w:val="000000" w:themeColor="text1"/>
          <w:sz w:val="22"/>
          <w:szCs w:val="22"/>
          <w:shd w:val="clear" w:color="auto" w:fill="FFFFFF"/>
        </w:rPr>
      </w:pPr>
      <w:r w:rsidRPr="00E27D4E">
        <w:rPr>
          <w:rFonts w:ascii="Times New Roman" w:eastAsia="Times New Roman" w:hAnsi="Times New Roman" w:cs="Times New Roman"/>
          <w:color w:val="000000" w:themeColor="text1"/>
          <w:sz w:val="22"/>
          <w:szCs w:val="22"/>
        </w:rPr>
        <w:t>Arc GIS software was used for the data analysis to map out areas for sustainable green hydrogen projects in Nigeria</w:t>
      </w:r>
      <w:bookmarkStart w:id="10" w:name="_Hlk177815475"/>
      <w:r w:rsidRPr="00E27D4E">
        <w:rPr>
          <w:rFonts w:ascii="Times New Roman" w:eastAsia="Times New Roman" w:hAnsi="Times New Roman" w:cs="Times New Roman"/>
          <w:color w:val="000000" w:themeColor="text1"/>
          <w:sz w:val="22"/>
          <w:szCs w:val="22"/>
        </w:rPr>
        <w:t>.</w:t>
      </w:r>
      <w:r w:rsidRPr="00E27D4E">
        <w:rPr>
          <w:rFonts w:ascii="Times New Roman" w:hAnsi="Times New Roman" w:cs="Times New Roman"/>
          <w:color w:val="000000" w:themeColor="text1"/>
          <w:sz w:val="22"/>
          <w:szCs w:val="22"/>
          <w:shd w:val="clear" w:color="auto" w:fill="FFFFFF"/>
        </w:rPr>
        <w:t xml:space="preserve"> </w:t>
      </w:r>
      <w:r w:rsidRPr="00E27D4E">
        <w:rPr>
          <w:rFonts w:ascii="Times New Roman" w:eastAsia="DengXian" w:hAnsi="Times New Roman" w:cs="Times New Roman"/>
          <w:color w:val="000000" w:themeColor="text1"/>
          <w:kern w:val="0"/>
          <w:sz w:val="22"/>
          <w:szCs w:val="22"/>
          <w:lang w:eastAsia="zh-CN"/>
          <w14:ligatures w14:val="none"/>
        </w:rPr>
        <w:t>The following are the steps used in the achievement of mapping areas suitable for green hydrogen production in Nigeria.</w:t>
      </w:r>
    </w:p>
    <w:p w14:paraId="73CB6B90" w14:textId="77777777" w:rsidR="005A4697" w:rsidRPr="00E27D4E" w:rsidRDefault="005A4697" w:rsidP="00E27D4E">
      <w:pPr>
        <w:spacing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Phase 1: Data Collection</w:t>
      </w:r>
    </w:p>
    <w:p w14:paraId="5DEA5804" w14:textId="1AE67AFA" w:rsidR="005A4697" w:rsidRPr="00E27D4E" w:rsidRDefault="005A4697" w:rsidP="00E27D4E">
      <w:pPr>
        <w:spacing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Information was gathered on Green Hydrogen production, renewable energy sources, and existing infrastructure. Geographic Information Systems (GIS) was used to collect spatial data on:</w:t>
      </w:r>
    </w:p>
    <w:p w14:paraId="023F7017" w14:textId="77777777" w:rsidR="005A4697" w:rsidRPr="00E27D4E" w:rsidRDefault="005A4697" w:rsidP="00E27D4E">
      <w:pPr>
        <w:pStyle w:val="ListParagraph"/>
        <w:numPr>
          <w:ilvl w:val="0"/>
          <w:numId w:val="1"/>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Renewable energy resources (solar, wind, hydro)</w:t>
      </w:r>
    </w:p>
    <w:p w14:paraId="56BBE5A4" w14:textId="77777777" w:rsidR="005A4697" w:rsidRPr="00E27D4E" w:rsidRDefault="005A4697" w:rsidP="00E27D4E">
      <w:pPr>
        <w:pStyle w:val="ListParagraph"/>
        <w:numPr>
          <w:ilvl w:val="0"/>
          <w:numId w:val="1"/>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Water availability</w:t>
      </w:r>
    </w:p>
    <w:p w14:paraId="0165A2C5" w14:textId="77777777" w:rsidR="005A4697" w:rsidRPr="00E27D4E" w:rsidRDefault="005A4697" w:rsidP="00E27D4E">
      <w:pPr>
        <w:pStyle w:val="ListParagraph"/>
        <w:numPr>
          <w:ilvl w:val="0"/>
          <w:numId w:val="1"/>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 xml:space="preserve"> Land use and topography</w:t>
      </w:r>
    </w:p>
    <w:p w14:paraId="3322100C" w14:textId="77777777" w:rsidR="005A4697" w:rsidRPr="00E27D4E" w:rsidRDefault="005A4697" w:rsidP="00E27D4E">
      <w:pPr>
        <w:pStyle w:val="ListParagraph"/>
        <w:numPr>
          <w:ilvl w:val="0"/>
          <w:numId w:val="1"/>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 xml:space="preserve"> Transportation infrastructure</w:t>
      </w:r>
    </w:p>
    <w:p w14:paraId="3CCE63D8"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Phase 2: Criteria Weighting</w:t>
      </w:r>
    </w:p>
    <w:p w14:paraId="54D91F62"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 xml:space="preserve"> Evaluation criteria was determined by identifying key factors influencing Green Hydrogen production suitability. Weighs where assigned and relative importance was assigned to each criterion </w:t>
      </w:r>
      <w:r w:rsidRPr="00E27D4E">
        <w:rPr>
          <w:rFonts w:ascii="Times New Roman" w:eastAsia="DengXian" w:hAnsi="Times New Roman" w:cs="Times New Roman"/>
          <w:color w:val="000000" w:themeColor="text1"/>
          <w:kern w:val="0"/>
          <w:sz w:val="22"/>
          <w:szCs w:val="22"/>
          <w:lang w:eastAsia="zh-CN"/>
          <w14:ligatures w14:val="none"/>
        </w:rPr>
        <w:lastRenderedPageBreak/>
        <w:t>(e.g., physical 30%, economic 25%, social 20%, and technical 25%). Weighs where then normalized to ensure weigh adds up to 100%.</w:t>
      </w:r>
    </w:p>
    <w:p w14:paraId="2895E6E4"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Phase 3: Spatial Analysis</w:t>
      </w:r>
    </w:p>
    <w:p w14:paraId="19C78F13"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GIS overlay was done to combine spatial data layers to identify areas with suitable conditions. Proximity to transportation infrastructure, population density was analyzed. Proximity analysis was done to evaluate distance to renewable energy sources, water, and land.</w:t>
      </w:r>
    </w:p>
    <w:p w14:paraId="17C88201"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Phase 4: Suitability Mapping</w:t>
      </w:r>
    </w:p>
    <w:p w14:paraId="02301963"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Weighted overlay was done by Combining weighted criteria using GIS. Suitability index was calculated to get a suitability score for each location. Map classification was then done to categorize areas as suitable, moderately suitable, or not suitable.</w:t>
      </w:r>
    </w:p>
    <w:p w14:paraId="0A4AA736"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Phase 5: Site Selection</w:t>
      </w:r>
    </w:p>
    <w:p w14:paraId="6CFD7797"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Multi-Criteria Decision Analysis (MCDA) was done to evaluate potential sites using MCDA methods (e.g., AHP, TOPSIS). Site ranking was then done to prioritize sites based on suitability scores.</w:t>
      </w:r>
    </w:p>
    <w:p w14:paraId="52E1DCCC"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Phase 6: Validation</w:t>
      </w:r>
    </w:p>
    <w:p w14:paraId="3DE05FE4" w14:textId="77777777" w:rsidR="005A4697" w:rsidRPr="00E27D4E" w:rsidRDefault="005A4697" w:rsidP="00E27D4E">
      <w:pPr>
        <w:pStyle w:val="ListParagraph"/>
        <w:numPr>
          <w:ilvl w:val="0"/>
          <w:numId w:val="3"/>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Stakeholder feedback: Consult with experts and stakeholders to validate results.</w:t>
      </w:r>
    </w:p>
    <w:p w14:paraId="63CB893D" w14:textId="77777777" w:rsidR="005A4697" w:rsidRPr="00E27D4E" w:rsidRDefault="005A4697" w:rsidP="00E27D4E">
      <w:pPr>
        <w:pStyle w:val="ListParagraph"/>
        <w:numPr>
          <w:ilvl w:val="0"/>
          <w:numId w:val="3"/>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Sensitivity analysis: Test the robustness of results to changes in weights and criteria.</w:t>
      </w:r>
    </w:p>
    <w:p w14:paraId="125CDA15" w14:textId="77777777" w:rsidR="005A4697" w:rsidRPr="00E27D4E" w:rsidRDefault="005A4697" w:rsidP="00E27D4E">
      <w:pPr>
        <w:pStyle w:val="ListParagraph"/>
        <w:numPr>
          <w:ilvl w:val="0"/>
          <w:numId w:val="3"/>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Refine site selection: Adjust site selection based on feedback and analysis.</w:t>
      </w:r>
    </w:p>
    <w:p w14:paraId="0F2700D8"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Tools and Techniques:</w:t>
      </w:r>
    </w:p>
    <w:p w14:paraId="66580E32" w14:textId="77777777" w:rsidR="005A4697" w:rsidRPr="00E27D4E" w:rsidRDefault="005A4697" w:rsidP="00E27D4E">
      <w:pPr>
        <w:pStyle w:val="ListParagraph"/>
        <w:numPr>
          <w:ilvl w:val="0"/>
          <w:numId w:val="2"/>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GIS software (ArcGIS, QGIS)</w:t>
      </w:r>
    </w:p>
    <w:p w14:paraId="5B25890D" w14:textId="77777777" w:rsidR="005A4697" w:rsidRPr="00E27D4E" w:rsidRDefault="005A4697" w:rsidP="00E27D4E">
      <w:pPr>
        <w:pStyle w:val="ListParagraph"/>
        <w:numPr>
          <w:ilvl w:val="0"/>
          <w:numId w:val="2"/>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Spatial analysis techniques (overlay, buffering)</w:t>
      </w:r>
    </w:p>
    <w:p w14:paraId="4A079F59" w14:textId="77777777" w:rsidR="005A4697" w:rsidRPr="00E27D4E" w:rsidRDefault="005A4697" w:rsidP="00E27D4E">
      <w:pPr>
        <w:pStyle w:val="ListParagraph"/>
        <w:numPr>
          <w:ilvl w:val="0"/>
          <w:numId w:val="2"/>
        </w:numPr>
        <w:spacing w:after="0" w:line="240" w:lineRule="auto"/>
        <w:jc w:val="both"/>
        <w:rPr>
          <w:rFonts w:ascii="Times New Roman" w:eastAsia="DengXian" w:hAnsi="Times New Roman" w:cs="Times New Roman"/>
          <w:color w:val="000000" w:themeColor="text1"/>
          <w:kern w:val="0"/>
          <w:sz w:val="22"/>
          <w:szCs w:val="22"/>
          <w:lang w:val="it-IT"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 xml:space="preserve"> </w:t>
      </w:r>
      <w:r w:rsidRPr="00E27D4E">
        <w:rPr>
          <w:rFonts w:ascii="Times New Roman" w:eastAsia="DengXian" w:hAnsi="Times New Roman" w:cs="Times New Roman"/>
          <w:color w:val="000000" w:themeColor="text1"/>
          <w:kern w:val="0"/>
          <w:sz w:val="22"/>
          <w:szCs w:val="22"/>
          <w:lang w:val="it-IT" w:eastAsia="zh-CN"/>
          <w14:ligatures w14:val="none"/>
        </w:rPr>
        <w:t>Multi-criteria decision analysis (MCDA)</w:t>
      </w:r>
    </w:p>
    <w:p w14:paraId="2178FB31" w14:textId="77777777" w:rsidR="005A4697" w:rsidRPr="00E27D4E" w:rsidRDefault="005A4697" w:rsidP="00E27D4E">
      <w:pPr>
        <w:pStyle w:val="ListParagraph"/>
        <w:numPr>
          <w:ilvl w:val="0"/>
          <w:numId w:val="2"/>
        </w:numPr>
        <w:spacing w:after="0" w:line="240" w:lineRule="auto"/>
        <w:jc w:val="both"/>
        <w:rPr>
          <w:rFonts w:ascii="Times New Roman" w:eastAsia="DengXian" w:hAnsi="Times New Roman" w:cs="Times New Roman"/>
          <w:color w:val="000000" w:themeColor="text1"/>
          <w:kern w:val="0"/>
          <w:sz w:val="22"/>
          <w:szCs w:val="22"/>
          <w:lang w:val="it-IT" w:eastAsia="zh-CN"/>
          <w14:ligatures w14:val="none"/>
        </w:rPr>
      </w:pPr>
      <w:r w:rsidRPr="00E27D4E">
        <w:rPr>
          <w:rFonts w:ascii="Times New Roman" w:eastAsia="DengXian" w:hAnsi="Times New Roman" w:cs="Times New Roman"/>
          <w:color w:val="000000" w:themeColor="text1"/>
          <w:kern w:val="0"/>
          <w:sz w:val="22"/>
          <w:szCs w:val="22"/>
          <w:lang w:val="it-IT" w:eastAsia="zh-CN"/>
          <w14:ligatures w14:val="none"/>
        </w:rPr>
        <w:t xml:space="preserve"> </w:t>
      </w:r>
      <w:r w:rsidRPr="00E27D4E">
        <w:rPr>
          <w:rFonts w:ascii="Times New Roman" w:eastAsia="DengXian" w:hAnsi="Times New Roman" w:cs="Times New Roman"/>
          <w:color w:val="000000" w:themeColor="text1"/>
          <w:kern w:val="0"/>
          <w:sz w:val="22"/>
          <w:szCs w:val="22"/>
          <w:lang w:eastAsia="zh-CN"/>
          <w14:ligatures w14:val="none"/>
        </w:rPr>
        <w:t>Weighted overlay analysis</w:t>
      </w:r>
    </w:p>
    <w:p w14:paraId="394942D2" w14:textId="77777777" w:rsidR="005A4697" w:rsidRPr="00E27D4E" w:rsidRDefault="005A4697" w:rsidP="00E27D4E">
      <w:pPr>
        <w:pStyle w:val="ListParagraph"/>
        <w:numPr>
          <w:ilvl w:val="0"/>
          <w:numId w:val="2"/>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 xml:space="preserve"> Suitability mapping algorithms</w:t>
      </w:r>
    </w:p>
    <w:p w14:paraId="4A9538B9"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p>
    <w:p w14:paraId="59ADE127"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p>
    <w:p w14:paraId="20DCAEFC" w14:textId="17088E22"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noProof/>
          <w:color w:val="000000" w:themeColor="text1"/>
          <w:kern w:val="0"/>
          <w:sz w:val="22"/>
          <w:szCs w:val="22"/>
          <w:lang w:val="en-IN" w:eastAsia="en-IN"/>
          <w14:ligatures w14:val="none"/>
        </w:rPr>
        <mc:AlternateContent>
          <mc:Choice Requires="wpg">
            <w:drawing>
              <wp:anchor distT="0" distB="0" distL="114300" distR="114300" simplePos="0" relativeHeight="251659264" behindDoc="0" locked="0" layoutInCell="1" allowOverlap="1" wp14:anchorId="534AD7A0" wp14:editId="793EFB06">
                <wp:simplePos x="0" y="0"/>
                <wp:positionH relativeFrom="margin">
                  <wp:posOffset>836930</wp:posOffset>
                </wp:positionH>
                <wp:positionV relativeFrom="paragraph">
                  <wp:posOffset>123190</wp:posOffset>
                </wp:positionV>
                <wp:extent cx="4040505" cy="3490595"/>
                <wp:effectExtent l="0" t="0" r="17145" b="14605"/>
                <wp:wrapNone/>
                <wp:docPr id="17" name="Group 17"/>
                <wp:cNvGraphicFramePr/>
                <a:graphic xmlns:a="http://schemas.openxmlformats.org/drawingml/2006/main">
                  <a:graphicData uri="http://schemas.microsoft.com/office/word/2010/wordprocessingGroup">
                    <wpg:wgp>
                      <wpg:cNvGrpSpPr/>
                      <wpg:grpSpPr>
                        <a:xfrm>
                          <a:off x="0" y="0"/>
                          <a:ext cx="4040505" cy="3490595"/>
                          <a:chOff x="5190" y="25053"/>
                          <a:chExt cx="5702" cy="6525"/>
                        </a:xfrm>
                      </wpg:grpSpPr>
                      <wps:wsp>
                        <wps:cNvPr id="1" name="Rounded Rectangle 1"/>
                        <wps:cNvSpPr/>
                        <wps:spPr>
                          <a:xfrm>
                            <a:off x="7102" y="25053"/>
                            <a:ext cx="2280" cy="721"/>
                          </a:xfrm>
                          <a:prstGeom prst="roundRect">
                            <a:avLst/>
                          </a:prstGeom>
                          <a:noFill/>
                          <a:ln w="12700" cap="flat" cmpd="sng" algn="ctr">
                            <a:solidFill>
                              <a:srgbClr val="5B9BD5">
                                <a:lumMod val="75000"/>
                              </a:srgbClr>
                            </a:solidFill>
                            <a:prstDash val="solid"/>
                            <a:miter lim="800000"/>
                          </a:ln>
                          <a:effectLst/>
                          <a:extLst>
                            <a:ext uri="{909E8E84-426E-40DD-AFC4-6F175D3DCCD1}">
                              <a14:hiddenFill xmlns:a14="http://schemas.microsoft.com/office/drawing/2010/main">
                                <a:solidFill>
                                  <a:schemeClr val="accent1"/>
                                </a:solidFill>
                              </a14:hiddenFill>
                            </a:ext>
                          </a:extLst>
                        </wps:spPr>
                        <wps:txbx>
                          <w:txbxContent>
                            <w:p w14:paraId="574709D1" w14:textId="77777777" w:rsidR="005A4697" w:rsidRPr="00C278F1" w:rsidRDefault="005A4697" w:rsidP="005A4697">
                              <w:pPr>
                                <w:jc w:val="cente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Data Collection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Rounded Rectangle 2"/>
                        <wps:cNvSpPr/>
                        <wps:spPr>
                          <a:xfrm>
                            <a:off x="7122" y="26339"/>
                            <a:ext cx="2280" cy="721"/>
                          </a:xfrm>
                          <a:prstGeom prst="roundRect">
                            <a:avLst/>
                          </a:prstGeom>
                          <a:noFill/>
                          <a:ln w="12700" cap="flat" cmpd="sng" algn="ctr">
                            <a:solidFill>
                              <a:srgbClr val="5B9BD5">
                                <a:lumMod val="75000"/>
                              </a:srgbClr>
                            </a:solidFill>
                            <a:prstDash val="solid"/>
                            <a:miter lim="800000"/>
                          </a:ln>
                          <a:effectLst/>
                        </wps:spPr>
                        <wps:txbx>
                          <w:txbxContent>
                            <w:p w14:paraId="3844FDE7" w14:textId="77777777" w:rsidR="005A4697" w:rsidRDefault="005A4697" w:rsidP="005A4697">
                              <w:r w:rsidRPr="00C278F1">
                                <w:rPr>
                                  <w:color w:val="000000"/>
                                  <w14:textFill>
                                    <w14:solidFill>
                                      <w14:srgbClr w14:val="000000">
                                        <w14:lumMod w14:val="95000"/>
                                        <w14:lumOff w14:val="5000"/>
                                      </w14:srgbClr>
                                    </w14:solidFill>
                                  </w14:textFill>
                                </w:rPr>
                                <w:t xml:space="preserve">Criteria Weighting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 name="Rounded Rectangle 3"/>
                        <wps:cNvSpPr/>
                        <wps:spPr>
                          <a:xfrm>
                            <a:off x="8612" y="28916"/>
                            <a:ext cx="2280" cy="721"/>
                          </a:xfrm>
                          <a:prstGeom prst="roundRect">
                            <a:avLst/>
                          </a:prstGeom>
                          <a:noFill/>
                          <a:ln w="12700" cap="flat" cmpd="sng" algn="ctr">
                            <a:solidFill>
                              <a:srgbClr val="5B9BD5">
                                <a:lumMod val="75000"/>
                              </a:srgbClr>
                            </a:solidFill>
                            <a:prstDash val="solid"/>
                            <a:miter lim="800000"/>
                          </a:ln>
                          <a:effectLst/>
                        </wps:spPr>
                        <wps:txbx>
                          <w:txbxContent>
                            <w:p w14:paraId="643FC417" w14:textId="77777777" w:rsidR="005A4697" w:rsidRPr="00C278F1" w:rsidRDefault="005A4697" w:rsidP="005A4697">
                              <w:pP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Site Selection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Rounded Rectangle 5"/>
                        <wps:cNvSpPr/>
                        <wps:spPr>
                          <a:xfrm>
                            <a:off x="6973" y="27619"/>
                            <a:ext cx="2280" cy="721"/>
                          </a:xfrm>
                          <a:prstGeom prst="roundRect">
                            <a:avLst/>
                          </a:prstGeom>
                          <a:noFill/>
                          <a:ln w="12700" cap="flat" cmpd="sng" algn="ctr">
                            <a:solidFill>
                              <a:srgbClr val="5B9BD5">
                                <a:lumMod val="75000"/>
                              </a:srgbClr>
                            </a:solidFill>
                            <a:prstDash val="solid"/>
                            <a:miter lim="800000"/>
                          </a:ln>
                          <a:effectLst/>
                        </wps:spPr>
                        <wps:txbx>
                          <w:txbxContent>
                            <w:p w14:paraId="640C4D4E" w14:textId="77777777" w:rsidR="005A4697" w:rsidRPr="00C278F1" w:rsidRDefault="005A4697" w:rsidP="005A4697">
                              <w:pPr>
                                <w:jc w:val="cente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Suitability Mapping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Rounded Rectangle 6"/>
                        <wps:cNvSpPr/>
                        <wps:spPr>
                          <a:xfrm>
                            <a:off x="5190" y="28997"/>
                            <a:ext cx="2280" cy="721"/>
                          </a:xfrm>
                          <a:prstGeom prst="roundRect">
                            <a:avLst/>
                          </a:prstGeom>
                          <a:noFill/>
                          <a:ln w="12700" cap="flat" cmpd="sng" algn="ctr">
                            <a:solidFill>
                              <a:srgbClr val="5B9BD5">
                                <a:lumMod val="75000"/>
                              </a:srgbClr>
                            </a:solidFill>
                            <a:prstDash val="solid"/>
                            <a:miter lim="800000"/>
                          </a:ln>
                          <a:effectLst/>
                        </wps:spPr>
                        <wps:txbx>
                          <w:txbxContent>
                            <w:p w14:paraId="2EC15296" w14:textId="77777777" w:rsidR="005A4697" w:rsidRPr="00C278F1" w:rsidRDefault="005A4697" w:rsidP="005A4697">
                              <w:pP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Spatial Analysis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Rounded Rectangle 8"/>
                        <wps:cNvSpPr/>
                        <wps:spPr>
                          <a:xfrm>
                            <a:off x="7164" y="30782"/>
                            <a:ext cx="1958" cy="796"/>
                          </a:xfrm>
                          <a:prstGeom prst="roundRect">
                            <a:avLst/>
                          </a:prstGeom>
                          <a:noFill/>
                          <a:ln w="12700" cap="flat" cmpd="sng" algn="ctr">
                            <a:solidFill>
                              <a:srgbClr val="5B9BD5">
                                <a:lumMod val="75000"/>
                              </a:srgbClr>
                            </a:solidFill>
                            <a:prstDash val="solid"/>
                            <a:miter lim="800000"/>
                          </a:ln>
                          <a:effectLst/>
                        </wps:spPr>
                        <wps:txbx>
                          <w:txbxContent>
                            <w:p w14:paraId="52D17384" w14:textId="77777777" w:rsidR="005A4697" w:rsidRPr="00C278F1" w:rsidRDefault="005A4697" w:rsidP="005A4697">
                              <w:pP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Validation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Straight Arrow Connector 9"/>
                        <wps:cNvCnPr>
                          <a:stCxn id="1" idx="2"/>
                        </wps:cNvCnPr>
                        <wps:spPr>
                          <a:xfrm>
                            <a:off x="8242" y="25774"/>
                            <a:ext cx="8" cy="529"/>
                          </a:xfrm>
                          <a:prstGeom prst="straightConnector1">
                            <a:avLst/>
                          </a:prstGeom>
                          <a:noFill/>
                          <a:ln w="12700" cap="flat" cmpd="sng" algn="ctr">
                            <a:solidFill>
                              <a:srgbClr val="5B9BD5"/>
                            </a:solidFill>
                            <a:prstDash val="solid"/>
                            <a:miter lim="800000"/>
                            <a:tailEnd type="arrow"/>
                          </a:ln>
                          <a:effectLst/>
                        </wps:spPr>
                        <wps:bodyPr/>
                      </wps:wsp>
                      <wps:wsp>
                        <wps:cNvPr id="10" name="Straight Arrow Connector 10"/>
                        <wps:cNvCnPr/>
                        <wps:spPr>
                          <a:xfrm>
                            <a:off x="8174" y="27044"/>
                            <a:ext cx="8" cy="529"/>
                          </a:xfrm>
                          <a:prstGeom prst="straightConnector1">
                            <a:avLst/>
                          </a:prstGeom>
                          <a:noFill/>
                          <a:ln w="12700" cap="flat" cmpd="sng" algn="ctr">
                            <a:solidFill>
                              <a:srgbClr val="5B9BD5"/>
                            </a:solidFill>
                            <a:prstDash val="solid"/>
                            <a:miter lim="800000"/>
                            <a:tailEnd type="arrow"/>
                          </a:ln>
                          <a:effectLst/>
                        </wps:spPr>
                        <wps:bodyPr/>
                      </wps:wsp>
                      <wps:wsp>
                        <wps:cNvPr id="11" name="Elbow Connector 11"/>
                        <wps:cNvCnPr>
                          <a:stCxn id="5" idx="3"/>
                        </wps:cNvCnPr>
                        <wps:spPr>
                          <a:xfrm>
                            <a:off x="9253" y="27980"/>
                            <a:ext cx="261" cy="897"/>
                          </a:xfrm>
                          <a:prstGeom prst="bentConnector2">
                            <a:avLst/>
                          </a:prstGeom>
                          <a:noFill/>
                          <a:ln w="12700" cap="flat" cmpd="sng" algn="ctr">
                            <a:solidFill>
                              <a:srgbClr val="5B9BD5"/>
                            </a:solidFill>
                            <a:prstDash val="solid"/>
                            <a:miter lim="800000"/>
                          </a:ln>
                          <a:effectLst/>
                        </wps:spPr>
                        <wps:bodyPr/>
                      </wps:wsp>
                      <wps:wsp>
                        <wps:cNvPr id="12" name="Elbow Connector 12"/>
                        <wps:cNvCnPr>
                          <a:stCxn id="5" idx="1"/>
                        </wps:cNvCnPr>
                        <wps:spPr>
                          <a:xfrm rot="10800000" flipV="1">
                            <a:off x="6705" y="27979"/>
                            <a:ext cx="268" cy="999"/>
                          </a:xfrm>
                          <a:prstGeom prst="bentConnector2">
                            <a:avLst/>
                          </a:prstGeom>
                          <a:noFill/>
                          <a:ln w="12700" cap="flat" cmpd="sng" algn="ctr">
                            <a:solidFill>
                              <a:srgbClr val="5B9BD5"/>
                            </a:solidFill>
                            <a:prstDash val="solid"/>
                            <a:miter lim="800000"/>
                          </a:ln>
                          <a:effectLst/>
                        </wps:spPr>
                        <wps:bodyPr/>
                      </wps:wsp>
                      <wps:wsp>
                        <wps:cNvPr id="13" name="Straight Connector 13"/>
                        <wps:cNvCnPr/>
                        <wps:spPr>
                          <a:xfrm flipV="1">
                            <a:off x="6117" y="30288"/>
                            <a:ext cx="3633" cy="44"/>
                          </a:xfrm>
                          <a:prstGeom prst="line">
                            <a:avLst/>
                          </a:prstGeom>
                          <a:noFill/>
                          <a:ln w="12700" cap="flat" cmpd="sng" algn="ctr">
                            <a:solidFill>
                              <a:srgbClr val="5B9BD5"/>
                            </a:solidFill>
                            <a:prstDash val="solid"/>
                            <a:miter lim="800000"/>
                          </a:ln>
                          <a:effectLst/>
                        </wps:spPr>
                        <wps:bodyPr/>
                      </wps:wsp>
                      <wps:wsp>
                        <wps:cNvPr id="14" name="Straight Arrow Connector 14"/>
                        <wps:cNvCnPr>
                          <a:endCxn id="8" idx="0"/>
                        </wps:cNvCnPr>
                        <wps:spPr>
                          <a:xfrm flipH="1">
                            <a:off x="8143" y="30303"/>
                            <a:ext cx="4" cy="479"/>
                          </a:xfrm>
                          <a:prstGeom prst="straightConnector1">
                            <a:avLst/>
                          </a:prstGeom>
                          <a:noFill/>
                          <a:ln w="12700" cap="flat" cmpd="sng" algn="ctr">
                            <a:solidFill>
                              <a:srgbClr val="5B9BD5"/>
                            </a:solidFill>
                            <a:prstDash val="solid"/>
                            <a:miter lim="800000"/>
                            <a:tailEnd type="arrow"/>
                          </a:ln>
                          <a:effectLst/>
                        </wps:spPr>
                        <wps:bodyPr/>
                      </wps:wsp>
                      <wps:wsp>
                        <wps:cNvPr id="15" name="Straight Connector 15"/>
                        <wps:cNvCnPr>
                          <a:stCxn id="3" idx="2"/>
                        </wps:cNvCnPr>
                        <wps:spPr>
                          <a:xfrm>
                            <a:off x="9752" y="29637"/>
                            <a:ext cx="12" cy="651"/>
                          </a:xfrm>
                          <a:prstGeom prst="line">
                            <a:avLst/>
                          </a:prstGeom>
                          <a:noFill/>
                          <a:ln w="12700" cap="flat" cmpd="sng" algn="ctr">
                            <a:solidFill>
                              <a:srgbClr val="5B9BD5"/>
                            </a:solidFill>
                            <a:prstDash val="solid"/>
                            <a:miter lim="800000"/>
                          </a:ln>
                          <a:effectLst/>
                        </wps:spPr>
                        <wps:bodyPr/>
                      </wps:wsp>
                      <wps:wsp>
                        <wps:cNvPr id="16" name="Straight Connector 16"/>
                        <wps:cNvCnPr/>
                        <wps:spPr>
                          <a:xfrm flipH="1">
                            <a:off x="6132" y="29729"/>
                            <a:ext cx="7" cy="588"/>
                          </a:xfrm>
                          <a:prstGeom prst="line">
                            <a:avLst/>
                          </a:prstGeom>
                          <a:noFill/>
                          <a:ln w="12700" cap="flat" cmpd="sng" algn="ctr">
                            <a:solidFill>
                              <a:srgbClr val="5B9BD5"/>
                            </a:solidFill>
                            <a:prstDash val="solid"/>
                            <a:miter lim="800000"/>
                          </a:ln>
                          <a:effectLst/>
                        </wps:spPr>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4AD7A0" id="Group 17" o:spid="_x0000_s1026" style="position:absolute;left:0;text-align:left;margin-left:65.9pt;margin-top:9.7pt;width:318.15pt;height:274.85pt;z-index:251659264;mso-position-horizontal-relative:margin" coordorigin="5190,25053" coordsize="5702,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">
                <v:roundrect id="Rounded Rectangle 1" o:spid="_x0000_s1027" style="position:absolute;left:7102;top:25053;width:2280;height: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" filled="f" fillcolor="#4472c4 [3204]" strokecolor="#2e75b6" strokeweight="1pt">
                  <v:stroke joinstyle="miter"/>
                  <v:textbox>
                    <w:txbxContent>
                      <w:p w14:paraId="574709D1" w14:textId="77777777" w:rsidR="005A4697" w:rsidRPr="00C278F1" w:rsidRDefault="005A4697" w:rsidP="005A4697">
                        <w:pPr>
                          <w:jc w:val="cente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Data Collection </w:t>
                        </w:r>
                      </w:p>
                    </w:txbxContent>
                  </v:textbox>
                </v:roundrect>
                <v:roundrect id="Rounded Rectangle 2" o:spid="_x0000_s1028" style="position:absolute;left:7122;top:26339;width:2280;height: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" filled="f" strokecolor="#2e75b6" strokeweight="1pt">
                  <v:stroke joinstyle="miter"/>
                  <v:textbox>
                    <w:txbxContent>
                      <w:p w14:paraId="3844FDE7" w14:textId="77777777" w:rsidR="005A4697" w:rsidRDefault="005A4697" w:rsidP="005A4697">
                        <w:r w:rsidRPr="00C278F1">
                          <w:rPr>
                            <w:color w:val="000000"/>
                            <w14:textFill>
                              <w14:solidFill>
                                <w14:srgbClr w14:val="000000">
                                  <w14:lumMod w14:val="95000"/>
                                  <w14:lumOff w14:val="5000"/>
                                </w14:srgbClr>
                              </w14:solidFill>
                            </w14:textFill>
                          </w:rPr>
                          <w:t xml:space="preserve">Criteria Weighting </w:t>
                        </w:r>
                      </w:p>
                    </w:txbxContent>
                  </v:textbox>
                </v:roundrect>
                <v:roundrect id="Rounded Rectangle 3" o:spid="_x0000_s1029" style="position:absolute;left:8612;top:28916;width:2280;height: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" filled="f" strokecolor="#2e75b6" strokeweight="1pt">
                  <v:stroke joinstyle="miter"/>
                  <v:textbox>
                    <w:txbxContent>
                      <w:p w14:paraId="643FC417" w14:textId="77777777" w:rsidR="005A4697" w:rsidRPr="00C278F1" w:rsidRDefault="005A4697" w:rsidP="005A4697">
                        <w:pP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Site Selection  </w:t>
                        </w:r>
                      </w:p>
                    </w:txbxContent>
                  </v:textbox>
                </v:roundrect>
                <v:roundrect id="Rounded Rectangle 5" o:spid="_x0000_s1030" style="position:absolute;left:6973;top:27619;width:2280;height: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" filled="f" strokecolor="#2e75b6" strokeweight="1pt">
                  <v:stroke joinstyle="miter"/>
                  <v:textbox>
                    <w:txbxContent>
                      <w:p w14:paraId="640C4D4E" w14:textId="77777777" w:rsidR="005A4697" w:rsidRPr="00C278F1" w:rsidRDefault="005A4697" w:rsidP="005A4697">
                        <w:pPr>
                          <w:jc w:val="cente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Suitability Mapping </w:t>
                        </w:r>
                      </w:p>
                    </w:txbxContent>
                  </v:textbox>
                </v:roundrect>
                <v:roundrect id="Rounded Rectangle 6" o:spid="_x0000_s1031" style="position:absolute;left:5190;top:28997;width:2280;height: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" filled="f" strokecolor="#2e75b6" strokeweight="1pt">
                  <v:stroke joinstyle="miter"/>
                  <v:textbox>
                    <w:txbxContent>
                      <w:p w14:paraId="2EC15296" w14:textId="77777777" w:rsidR="005A4697" w:rsidRPr="00C278F1" w:rsidRDefault="005A4697" w:rsidP="005A4697">
                        <w:pP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Spatial Analysis </w:t>
                        </w:r>
                      </w:p>
                    </w:txbxContent>
                  </v:textbox>
                </v:roundrect>
                <v:roundrect id="Rounded Rectangle 8" o:spid="_x0000_s1032" style="position:absolute;left:7164;top:30782;width:1958;height:7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" filled="f" strokecolor="#2e75b6" strokeweight="1pt">
                  <v:stroke joinstyle="miter"/>
                  <v:textbox>
                    <w:txbxContent>
                      <w:p w14:paraId="52D17384" w14:textId="77777777" w:rsidR="005A4697" w:rsidRPr="00C278F1" w:rsidRDefault="005A4697" w:rsidP="005A4697">
                        <w:pP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Validation  </w:t>
                        </w:r>
                      </w:p>
                    </w:txbxContent>
                  </v:textbox>
                </v:roundrect>
                <v:shapetype id="_x0000_t32" coordsize="21600,21600" o:spt="32" o:oned="t" path="m,l21600,21600e" filled="f">
                  <v:path arrowok="t" fillok="f" o:connecttype="none"/>
                  <o:lock v:ext="edit" shapetype="t"/>
                </v:shapetype>
                <v:shape id="Straight Arrow Connector 9" o:spid="_x0000_s1033" type="#_x0000_t32" style="position:absolute;left:8242;top:25774;width:8;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" strokecolor="#5b9bd5" strokeweight="1pt">
                  <v:stroke endarrow="open" joinstyle="miter"/>
                </v:shape>
                <v:shape id="Straight Arrow Connector 10" o:spid="_x0000_s1034" type="#_x0000_t32" style="position:absolute;left:8174;top:27044;width:8;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" strokecolor="#5b9bd5" strokeweight="1pt">
                  <v:stroke endarrow="open" joinstyle="miter"/>
                </v:shape>
                <v:shapetype id="_x0000_t33" coordsize="21600,21600" o:spt="33" o:oned="t" path="m,l21600,r,21600e" filled="f">
                  <v:stroke joinstyle="miter"/>
                  <v:path arrowok="t" fillok="f" o:connecttype="none"/>
                  <o:lock v:ext="edit" shapetype="t"/>
                </v:shapetype>
                <v:shape id="Elbow Connector 11" o:spid="_x0000_s1035" type="#_x0000_t33" style="position:absolute;left:9253;top:27980;width:261;height:8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" strokecolor="#5b9bd5" strokeweight="1pt"/>
                <v:shape id="Elbow Connector 12" o:spid="_x0000_s1036" type="#_x0000_t33" style="position:absolute;left:6705;top:27979;width:268;height:99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" strokecolor="#5b9bd5" strokeweight="1pt"/>
                <v:line id="Straight Connector 13" o:spid="_x0000_s1037" style="position:absolute;flip:y;visibility:visible;mso-wrap-style:square" from="6117,30288" to="9750,3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" strokecolor="#5b9bd5" strokeweight="1pt">
                  <v:stroke joinstyle="miter"/>
                </v:line>
                <v:shape id="Straight Arrow Connector 14" o:spid="_x0000_s1038" type="#_x0000_t32" style="position:absolute;left:8143;top:30303;width:4;height:4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" strokecolor="#5b9bd5" strokeweight="1pt">
                  <v:stroke endarrow="open" joinstyle="miter"/>
                </v:shape>
                <v:line id="Straight Connector 15" o:spid="_x0000_s1039" style="position:absolute;visibility:visible;mso-wrap-style:square" from="9752,29637" to="9764,3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" strokecolor="#5b9bd5" strokeweight="1pt">
                  <v:stroke joinstyle="miter"/>
                </v:line>
                <v:line id="Straight Connector 16" o:spid="_x0000_s1040" style="position:absolute;flip:x;visibility:visible;mso-wrap-style:square" from="6132,29729" to="6139,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" strokecolor="#5b9bd5" strokeweight="1pt">
                  <v:stroke joinstyle="miter"/>
                </v:line>
                <w10:wrap anchorx="margin"/>
              </v:group>
            </w:pict>
          </mc:Fallback>
        </mc:AlternateContent>
      </w:r>
    </w:p>
    <w:p w14:paraId="4D31BBEF"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p>
    <w:p w14:paraId="0803971F"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p>
    <w:p w14:paraId="0CC924D5"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p>
    <w:p w14:paraId="1B96A512"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p>
    <w:p w14:paraId="7D476506"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p>
    <w:p w14:paraId="36FB8DF1"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 xml:space="preserve">                     </w:t>
      </w:r>
    </w:p>
    <w:p w14:paraId="6B812CA4"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 xml:space="preserve">                        </w:t>
      </w:r>
    </w:p>
    <w:p w14:paraId="559A8477"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23D8B0DC"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4B05A36A"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325AFBE4"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677E2042"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6CA87A49"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16683B75"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37BDB193"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0352257B"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01748155"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6D923C59"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1E220216"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19B6D20C"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15A4D7DA"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6D6CB285" w14:textId="77777777" w:rsidR="00E27D4E" w:rsidRDefault="00E27D4E"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6FF9703A" w14:textId="514C96B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r w:rsidRPr="00E27D4E">
        <w:rPr>
          <w:rFonts w:ascii="Times New Roman" w:eastAsia="DengXian" w:hAnsi="Times New Roman" w:cs="Times New Roman"/>
          <w:b/>
          <w:bCs/>
          <w:color w:val="000000" w:themeColor="text1"/>
          <w:kern w:val="0"/>
          <w:sz w:val="22"/>
          <w:szCs w:val="22"/>
          <w:lang w:eastAsia="zh-CN"/>
          <w14:ligatures w14:val="none"/>
        </w:rPr>
        <w:t>Figure 1: Methodology Flow Chat</w:t>
      </w:r>
      <w:bookmarkEnd w:id="10"/>
    </w:p>
    <w:p w14:paraId="4F535D73"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4C34F2B2" w14:textId="023ECAEB" w:rsidR="005A4697" w:rsidRPr="00E27D4E" w:rsidRDefault="005A4697" w:rsidP="00E27D4E">
      <w:pPr>
        <w:pStyle w:val="Heading1"/>
        <w:spacing w:line="240" w:lineRule="auto"/>
        <w:jc w:val="both"/>
        <w:rPr>
          <w:rFonts w:ascii="Times New Roman" w:eastAsia="Times New Roman" w:hAnsi="Times New Roman" w:cs="Times New Roman"/>
          <w:b/>
          <w:bCs/>
          <w:color w:val="000000" w:themeColor="text1"/>
          <w:sz w:val="22"/>
          <w:szCs w:val="22"/>
        </w:rPr>
      </w:pPr>
      <w:bookmarkStart w:id="11" w:name="_Toc218873759"/>
      <w:r w:rsidRPr="00E27D4E">
        <w:rPr>
          <w:rFonts w:ascii="Times New Roman" w:eastAsia="Times New Roman" w:hAnsi="Times New Roman" w:cs="Times New Roman"/>
          <w:b/>
          <w:bCs/>
          <w:color w:val="000000" w:themeColor="text1"/>
          <w:sz w:val="22"/>
          <w:szCs w:val="22"/>
        </w:rPr>
        <w:lastRenderedPageBreak/>
        <w:t>Report Preparation</w:t>
      </w:r>
      <w:bookmarkEnd w:id="11"/>
    </w:p>
    <w:p w14:paraId="264F826A" w14:textId="77777777" w:rsidR="005A4697" w:rsidRPr="00E27D4E" w:rsidRDefault="005A4697" w:rsidP="00E27D4E">
      <w:pPr>
        <w:spacing w:before="100" w:beforeAutospacing="1" w:after="100" w:afterAutospacing="1" w:line="240" w:lineRule="auto"/>
        <w:jc w:val="both"/>
        <w:rPr>
          <w:rFonts w:ascii="Times New Roman" w:eastAsia="Times New Roman" w:hAnsi="Times New Roman" w:cs="Times New Roman"/>
          <w:color w:val="000000" w:themeColor="text1"/>
          <w:kern w:val="0"/>
          <w:sz w:val="22"/>
          <w:szCs w:val="22"/>
          <w14:ligatures w14:val="none"/>
        </w:rPr>
      </w:pPr>
      <w:r w:rsidRPr="00E27D4E">
        <w:rPr>
          <w:rFonts w:ascii="Times New Roman" w:eastAsia="Times New Roman" w:hAnsi="Times New Roman" w:cs="Times New Roman"/>
          <w:color w:val="000000" w:themeColor="text1"/>
          <w:kern w:val="0"/>
          <w:sz w:val="22"/>
          <w:szCs w:val="22"/>
          <w14:ligatures w14:val="none"/>
        </w:rPr>
        <w:t>To compile the findings and recommendations into a comprehensive report, report was drafted incorporating literature review findings, data analysis and case studies. Actionable recommendations and a strategic plan for green hydrogen deployment in Nigeria was included.</w:t>
      </w:r>
    </w:p>
    <w:p w14:paraId="3598B655" w14:textId="580E1138" w:rsidR="005A4697" w:rsidRPr="00E27D4E" w:rsidRDefault="00E27D4E" w:rsidP="00E27D4E">
      <w:pPr>
        <w:pStyle w:val="Heading1"/>
        <w:spacing w:line="240" w:lineRule="auto"/>
        <w:jc w:val="both"/>
        <w:rPr>
          <w:rFonts w:ascii="Times New Roman" w:hAnsi="Times New Roman" w:cs="Times New Roman"/>
          <w:b/>
          <w:bCs/>
          <w:color w:val="000000" w:themeColor="text1"/>
          <w:sz w:val="22"/>
          <w:szCs w:val="22"/>
        </w:rPr>
      </w:pPr>
      <w:bookmarkStart w:id="12" w:name="_Toc218873761"/>
      <w:r w:rsidRPr="00E27D4E">
        <w:rPr>
          <w:rFonts w:ascii="Times New Roman" w:hAnsi="Times New Roman" w:cs="Times New Roman"/>
          <w:b/>
          <w:bCs/>
          <w:color w:val="000000" w:themeColor="text1"/>
          <w:sz w:val="22"/>
          <w:szCs w:val="22"/>
        </w:rPr>
        <w:t>Data Presentation and Analysis of Results</w:t>
      </w:r>
      <w:bookmarkEnd w:id="12"/>
    </w:p>
    <w:p w14:paraId="3E97A06A" w14:textId="6CA3C986"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rPr>
      </w:pPr>
      <w:bookmarkStart w:id="13" w:name="_Toc218873762"/>
      <w:r w:rsidRPr="00E27D4E">
        <w:rPr>
          <w:rFonts w:ascii="Times New Roman" w:hAnsi="Times New Roman" w:cs="Times New Roman"/>
          <w:b/>
          <w:bCs/>
          <w:color w:val="000000" w:themeColor="text1"/>
          <w:sz w:val="22"/>
          <w:szCs w:val="22"/>
        </w:rPr>
        <w:t>Observations</w:t>
      </w:r>
      <w:bookmarkEnd w:id="13"/>
    </w:p>
    <w:p w14:paraId="59F1CB90" w14:textId="62770846"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rPr>
      </w:pPr>
      <w:bookmarkStart w:id="14" w:name="_Toc218873763"/>
      <w:r w:rsidRPr="00E27D4E">
        <w:rPr>
          <w:rFonts w:ascii="Times New Roman" w:hAnsi="Times New Roman" w:cs="Times New Roman"/>
          <w:b/>
          <w:bCs/>
          <w:color w:val="000000" w:themeColor="text1"/>
          <w:sz w:val="22"/>
          <w:szCs w:val="22"/>
        </w:rPr>
        <w:t>Features of Green Hydrogen</w:t>
      </w:r>
      <w:bookmarkEnd w:id="14"/>
    </w:p>
    <w:p w14:paraId="2C1B30F9" w14:textId="77777777"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rPr>
      </w:pPr>
      <w:bookmarkStart w:id="15" w:name="_Toc218873764"/>
      <w:r w:rsidRPr="00E27D4E">
        <w:rPr>
          <w:rFonts w:ascii="Times New Roman" w:hAnsi="Times New Roman" w:cs="Times New Roman"/>
          <w:b/>
          <w:bCs/>
          <w:color w:val="000000" w:themeColor="text1"/>
          <w:sz w:val="22"/>
          <w:szCs w:val="22"/>
        </w:rPr>
        <w:t>Green Hydrogen Production</w:t>
      </w:r>
      <w:bookmarkEnd w:id="15"/>
    </w:p>
    <w:p w14:paraId="4D69BDD1" w14:textId="77777777" w:rsidR="00E27D4E" w:rsidRDefault="005A4697" w:rsidP="00E27D4E">
      <w:pPr>
        <w:spacing w:line="240" w:lineRule="auto"/>
        <w:jc w:val="both"/>
        <w:rPr>
          <w:rFonts w:ascii="Times New Roman" w:hAnsi="Times New Roman" w:cs="Times New Roman"/>
          <w:b/>
          <w:bCs/>
          <w:color w:val="000000" w:themeColor="text1"/>
          <w:sz w:val="22"/>
          <w:szCs w:val="22"/>
        </w:rPr>
      </w:pPr>
      <w:bookmarkStart w:id="16" w:name="_Hlk177819862"/>
      <w:r w:rsidRPr="00E27D4E">
        <w:rPr>
          <w:rFonts w:ascii="Times New Roman" w:hAnsi="Times New Roman" w:cs="Times New Roman"/>
          <w:color w:val="000000" w:themeColor="text1"/>
          <w:sz w:val="22"/>
          <w:szCs w:val="22"/>
        </w:rPr>
        <w:t>The result for objective one showed that green hydrogen can be efficiently produced through electrolysis powered by Nigeria’s abundant renewable energy sources, particularly solar and hydroelectric power.</w:t>
      </w:r>
      <w:bookmarkEnd w:id="16"/>
      <w:r w:rsidRPr="00E27D4E">
        <w:rPr>
          <w:rFonts w:ascii="Times New Roman" w:hAnsi="Times New Roman" w:cs="Times New Roman"/>
          <w:color w:val="000000" w:themeColor="text1"/>
          <w:sz w:val="22"/>
          <w:szCs w:val="22"/>
        </w:rPr>
        <w:t xml:space="preserve"> When we talk about green hydrogen, we mean hydrogen that has been obtained without generating pollutant emissions, i.e. sustainable hydrogen. A fuel that is already being presented as the key energy vector for achieving global decarbonisation and fulfilling the commitments made for 2050 in the fight against climate change</w:t>
      </w:r>
      <w:r w:rsidRPr="00E27D4E">
        <w:rPr>
          <w:rFonts w:ascii="Times New Roman" w:hAnsi="Times New Roman" w:cs="Times New Roman"/>
          <w:b/>
          <w:bCs/>
          <w:color w:val="000000" w:themeColor="text1"/>
          <w:sz w:val="22"/>
          <w:szCs w:val="22"/>
        </w:rPr>
        <w:t xml:space="preserve"> </w:t>
      </w:r>
      <w:r w:rsidRPr="00E27D4E">
        <w:rPr>
          <w:rFonts w:ascii="Times New Roman" w:hAnsi="Times New Roman" w:cs="Times New Roman"/>
          <w:color w:val="000000" w:themeColor="text1"/>
          <w:sz w:val="22"/>
          <w:szCs w:val="22"/>
        </w:rPr>
        <w:t>(</w:t>
      </w:r>
      <w:bookmarkStart w:id="17" w:name="_Hlk177684051"/>
      <w:r w:rsidRPr="00E27D4E">
        <w:rPr>
          <w:rFonts w:ascii="Times New Roman" w:hAnsi="Times New Roman" w:cs="Times New Roman"/>
          <w:color w:val="000000" w:themeColor="text1"/>
          <w:sz w:val="22"/>
          <w:szCs w:val="22"/>
        </w:rPr>
        <w:t xml:space="preserve">acciona.com). </w:t>
      </w:r>
      <w:bookmarkEnd w:id="17"/>
      <w:r w:rsidRPr="00E27D4E">
        <w:rPr>
          <w:rFonts w:ascii="Times New Roman" w:hAnsi="Times New Roman" w:cs="Times New Roman"/>
          <w:color w:val="000000" w:themeColor="text1"/>
          <w:sz w:val="22"/>
          <w:szCs w:val="22"/>
        </w:rPr>
        <w:t>Green hydrogen is achieved through a process of electrolysis powered by renewable energies such as wind or solar. Electrolysis involves using an electrical current to break down the water molecule into oxygen and hydrogen by electrodes. When we need to turn it into energy, hydrogen stored in specific tanks is channelled into a fuel cell. There it binds again with oxygen from the air and electricity is obtained. Thus, the only by-product of the</w:t>
      </w:r>
      <w:r w:rsidRPr="00E27D4E">
        <w:rPr>
          <w:rFonts w:ascii="Times New Roman" w:hAnsi="Times New Roman" w:cs="Times New Roman"/>
          <w:b/>
          <w:bCs/>
          <w:color w:val="000000" w:themeColor="text1"/>
          <w:sz w:val="22"/>
          <w:szCs w:val="22"/>
        </w:rPr>
        <w:t xml:space="preserve"> </w:t>
      </w:r>
      <w:r w:rsidRPr="00E27D4E">
        <w:rPr>
          <w:rFonts w:ascii="Times New Roman" w:hAnsi="Times New Roman" w:cs="Times New Roman"/>
          <w:color w:val="000000" w:themeColor="text1"/>
          <w:sz w:val="22"/>
          <w:szCs w:val="22"/>
        </w:rPr>
        <w:t xml:space="preserve">process is water, resulting in a clean, sustainable system in which zero CO₂ is emitted to produce energy. When we need to turn it into energy, hydrogen stored in specific tanks is channelled into a fuel cell. There it binds again with oxygen from the air and electricity is obtained. </w:t>
      </w:r>
      <w:r w:rsidRPr="00E27D4E">
        <w:rPr>
          <w:rFonts w:ascii="Times New Roman" w:hAnsi="Times New Roman" w:cs="Times New Roman"/>
          <w:b/>
          <w:bCs/>
          <w:color w:val="000000" w:themeColor="text1"/>
          <w:sz w:val="22"/>
          <w:szCs w:val="22"/>
        </w:rPr>
        <w:t xml:space="preserve"> </w:t>
      </w:r>
    </w:p>
    <w:p w14:paraId="2A329C3F" w14:textId="2EB769FC"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Style w:val="Heading1Char"/>
          <w:rFonts w:ascii="Times New Roman" w:hAnsi="Times New Roman" w:cs="Times New Roman"/>
          <w:b/>
          <w:bCs/>
          <w:color w:val="000000" w:themeColor="text1"/>
          <w:sz w:val="22"/>
          <w:szCs w:val="22"/>
        </w:rPr>
        <w:t>Electrolysis Overview</w:t>
      </w:r>
    </w:p>
    <w:p w14:paraId="72A0E3EA"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Electrolysis is a process that uses an electric current to drive a chemical reaction, which in this case is the splitting of water (H₂O) into hydrogen (H₂) and oxygen (O₂). The overall reaction can be summarized as follows:</w:t>
      </w:r>
    </w:p>
    <w:p w14:paraId="21548FB5"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2H2O(l)→2H2(g)+O2(g)2H₂O(l) \rightarrow 2H₂(g) + O₂(g) 2H2​O(l)→2H2​(g)+O2​(g)</w:t>
      </w:r>
    </w:p>
    <w:p w14:paraId="4419C46E" w14:textId="0B85432B"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The Electrolysis Process</w:t>
      </w:r>
    </w:p>
    <w:p w14:paraId="2B919A36"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Electrolyzer Components consists of anode, which is the positive electrode and this is where oxidation occours, generating oxygen. It then consists of the cathode, which is the negetive electrode where reduction occurs, producing hydrogen. It then has an electrolyte, which is a med ium either liquid or solid that conducts ions between the anode and cssathode</w:t>
      </w:r>
    </w:p>
    <w:p w14:paraId="0BD5D2D3"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Steps of Electrolysis</w:t>
      </w:r>
    </w:p>
    <w:p w14:paraId="2505ADE3"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 xml:space="preserve">Water is supplied to the electrolyzer. Electric current, renewable electricity (from solar panels, wind turbines, or hydroelectric sources) is supplied to the electrolyzer. Then a chemical reaction occur, the electric current causes water molecules at the anode to lose electrons (oxidation), forming oxygen gas and positively charged hydrogen ions (protons). The protons travel through the electrolyte to the cathode. Hydrogen production is achieved, at the cathode, the protons gain electrons (reduction), resulting in the formation of hydrogen gas. The next step is renewable energy integration, to produce green hydrogen, the electricity used in the electrolysis process must come from renewable sources, solar panels convert sunlight into electricity, which can then be used to power the electrolyzer. Wind turbines harness wind energy to generate electricity, suitable for electrolytic processes by </w:t>
      </w:r>
      <w:r w:rsidRPr="00E27D4E">
        <w:rPr>
          <w:rFonts w:ascii="Times New Roman" w:hAnsi="Times New Roman" w:cs="Times New Roman"/>
          <w:color w:val="000000" w:themeColor="text1"/>
          <w:sz w:val="22"/>
          <w:szCs w:val="22"/>
        </w:rPr>
        <w:lastRenderedPageBreak/>
        <w:t>Hydroelectric power plants generate electricity from flowing water, which can also be directed to electrolysis.</w:t>
      </w:r>
    </w:p>
    <w:p w14:paraId="65ECB102"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Storage and transportation of Green Hydrogen</w:t>
      </w:r>
    </w:p>
    <w:p w14:paraId="444F87DF"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Various methods for storing and transporting green hydrogen (e.g., compressed gas, liquefaction, and chemical storage) were assessed. Each method presents different benefits and challenges, with compressed gas storage being the most feasible given current infrastructure. Below is a breakdown of the whole process;</w:t>
      </w:r>
    </w:p>
    <w:p w14:paraId="6B416F17"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Compressed Gas Storage:</w:t>
      </w:r>
    </w:p>
    <w:p w14:paraId="484FAC62"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Hydrogen is compressed and stored in high-pressure tanks, typically at pressures ranging from 200 to 700 bar (approximately 2,900 to 10,000 psi). The advantage of this method is that his method is relatively straightforward and well-understood. It allows for a high energy density and is suitable for various applications, including fuel cell vehicles. The challenges is that high-pressure tanks require robust materials to withstand the pressure, and there are safety considerations related to hydrogen's flammability.</w:t>
      </w:r>
    </w:p>
    <w:p w14:paraId="3394FC27" w14:textId="77777777" w:rsidR="005A4697" w:rsidRPr="00E27D4E" w:rsidRDefault="005A4697" w:rsidP="00E27D4E">
      <w:pPr>
        <w:pStyle w:val="ListParagraph"/>
        <w:numPr>
          <w:ilvl w:val="0"/>
          <w:numId w:val="7"/>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Liquid Hydrogen Storage:</w:t>
      </w:r>
    </w:p>
    <w:p w14:paraId="759A21C2"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 xml:space="preserve"> Hydrogen is cooled to extremely low temperatures (around -253°C or -423°F) to become a liquid, which is then stored in insulated tanks. The advantage of this method is that liquid hydrogen has a higher energy density than gaseous hydrogen, making it efficient for transportation. The challenges is that that the liquefaction process is energy-intensive, and maintaining cryogenic temperatures poses technical challenges and safety concerns.</w:t>
      </w:r>
    </w:p>
    <w:p w14:paraId="350DF528" w14:textId="77777777" w:rsidR="005A4697" w:rsidRPr="00E27D4E" w:rsidRDefault="005A4697" w:rsidP="00E27D4E">
      <w:pPr>
        <w:pStyle w:val="ListParagraph"/>
        <w:numPr>
          <w:ilvl w:val="0"/>
          <w:numId w:val="7"/>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Metal Hydrides</w:t>
      </w:r>
    </w:p>
    <w:p w14:paraId="7382C5BC" w14:textId="77777777" w:rsidR="005A4697" w:rsidRPr="00E27D4E" w:rsidRDefault="005A4697" w:rsidP="00E27D4E">
      <w:pPr>
        <w:pStyle w:val="ListParagraph"/>
        <w:numPr>
          <w:ilvl w:val="0"/>
          <w:numId w:val="7"/>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Hydrogen is stored in solid form by chemically bonding it with certain metals to form metal hydrides. The advantage of this method is that this method can provide safe storage at lower pressures and ambient temperatures. It also offers a higher volumetric energy density. The challenges is the release of hydrogen from metal hydrides requires heat, and the materials can be costly and heavy.</w:t>
      </w:r>
    </w:p>
    <w:p w14:paraId="7AE8C510" w14:textId="77777777" w:rsidR="005A4697" w:rsidRPr="00E27D4E" w:rsidRDefault="005A4697" w:rsidP="00E27D4E">
      <w:pPr>
        <w:pStyle w:val="ListParagraph"/>
        <w:numPr>
          <w:ilvl w:val="0"/>
          <w:numId w:val="7"/>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Chemical Storage:</w:t>
      </w:r>
    </w:p>
    <w:p w14:paraId="4EDCFC1C"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Hydrogen can be stored in chemical compounds (e.g., ammonia or liquid organic hydrogen carriers) that release hydrogen when needed. The advantage of this method can leverage existing chemical infrastructure and is often safer than storing hydrogen gas directly. The challenges is that the conversion processes to release hydrogen may require additional energy and technology.</w:t>
      </w:r>
    </w:p>
    <w:p w14:paraId="0EC09D69"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Transportation of Green Hydrogen</w:t>
      </w:r>
    </w:p>
    <w:p w14:paraId="0E637374" w14:textId="77777777" w:rsidR="005A4697" w:rsidRPr="00E27D4E" w:rsidRDefault="005A4697" w:rsidP="00E27D4E">
      <w:pPr>
        <w:pStyle w:val="ListParagraph"/>
        <w:numPr>
          <w:ilvl w:val="0"/>
          <w:numId w:val="8"/>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Compressed Gas Transport:</w:t>
      </w:r>
    </w:p>
    <w:p w14:paraId="1850E65C"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Compressed hydrogen can be transported in high-pressure gas cylinders or tube trailers, similar to how natural gas is transported. This method is practical for shorter distances and smaller volumes. Transporting large quantities over long distances can be expensive and complex due to the required pressure and infrastructure.</w:t>
      </w:r>
    </w:p>
    <w:p w14:paraId="72A21A41" w14:textId="77777777" w:rsidR="005A4697" w:rsidRPr="00E27D4E" w:rsidRDefault="005A4697" w:rsidP="00E27D4E">
      <w:pPr>
        <w:pStyle w:val="ListParagraph"/>
        <w:numPr>
          <w:ilvl w:val="0"/>
          <w:numId w:val="8"/>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Liquid Hydrogen Transport:</w:t>
      </w:r>
    </w:p>
    <w:p w14:paraId="4FD630B7"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Liquid hydrogen can be transported in specially designed cryogenic tankers. This method is efficient for moving large volumes over longer distances. The need for cryogenic storage and the associated costs make this method less common than compressed gas transport.</w:t>
      </w:r>
    </w:p>
    <w:p w14:paraId="6717B51E" w14:textId="77777777" w:rsidR="005A4697" w:rsidRPr="00E27D4E" w:rsidRDefault="005A4697" w:rsidP="00E27D4E">
      <w:pPr>
        <w:pStyle w:val="ListParagraph"/>
        <w:numPr>
          <w:ilvl w:val="0"/>
          <w:numId w:val="8"/>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Pipelines:</w:t>
      </w:r>
    </w:p>
    <w:p w14:paraId="138C3B88"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Hydrogen can be transported through dedicated pipelines or by blending it with natural gas in existing infrastructure. Pipelines are efficient for large-scale, long-distance transportation. Hydrogen can cause embrittlement in some pipeline materials, requiring careful material selection and monitoring.</w:t>
      </w:r>
    </w:p>
    <w:p w14:paraId="05D49F03" w14:textId="77777777" w:rsidR="005A4697" w:rsidRPr="00E27D4E" w:rsidRDefault="005A4697" w:rsidP="00E27D4E">
      <w:pPr>
        <w:pStyle w:val="ListParagraph"/>
        <w:numPr>
          <w:ilvl w:val="0"/>
          <w:numId w:val="8"/>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lastRenderedPageBreak/>
        <w:t>Chemical Carriers:</w:t>
      </w:r>
    </w:p>
    <w:p w14:paraId="48E4D7F5"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 xml:space="preserve"> Hydrogen can be transported in the form of ammonia or other hydrogen-rich chemicals.</w:t>
      </w:r>
    </w:p>
    <w:p w14:paraId="0E3DAFBE"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 xml:space="preserve"> This method utilizes existing chemical transport infrastructure and is more stable and safer than transporting pure hydrogen. Converting back to hydrogen when it reaches its destination involves additional processing.</w:t>
      </w:r>
    </w:p>
    <w:p w14:paraId="6F8BC86A"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Applications of Green Hydrogen</w:t>
      </w:r>
    </w:p>
    <w:p w14:paraId="609473C8"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Green hydrogen has a wide range of applications across various sectors due to its versatility and clean energy profile. Here are some of the key applications:</w:t>
      </w:r>
    </w:p>
    <w:p w14:paraId="3A2AA170"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Transportation</w:t>
      </w:r>
    </w:p>
    <w:p w14:paraId="1080211A" w14:textId="77777777" w:rsidR="005A4697" w:rsidRPr="00E27D4E" w:rsidRDefault="005A4697" w:rsidP="00E27D4E">
      <w:pPr>
        <w:pStyle w:val="ListParagraph"/>
        <w:numPr>
          <w:ilvl w:val="0"/>
          <w:numId w:val="11"/>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Fuel Cell Vehicles (FCVs): Green hydrogen can be used as a fuel in fuel cell electric vehicles (FCEVs), providing a clean alternative to conventional gasoline or diesel engines. It produces only water vapor as a byproduct.</w:t>
      </w:r>
    </w:p>
    <w:p w14:paraId="1E82AD00" w14:textId="77777777" w:rsidR="005A4697" w:rsidRPr="00E27D4E" w:rsidRDefault="005A4697" w:rsidP="00E27D4E">
      <w:pPr>
        <w:pStyle w:val="ListParagraph"/>
        <w:numPr>
          <w:ilvl w:val="0"/>
          <w:numId w:val="11"/>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Heavy-Duty Transport: Hydrogen is particularly suitable for heavy-duty vehicles, buses, and trucks, where battery weight and range can be limiting factors.</w:t>
      </w:r>
    </w:p>
    <w:p w14:paraId="1633A894" w14:textId="77777777" w:rsidR="005A4697" w:rsidRPr="00E27D4E" w:rsidRDefault="005A4697" w:rsidP="00E27D4E">
      <w:pPr>
        <w:pStyle w:val="ListParagraph"/>
        <w:numPr>
          <w:ilvl w:val="0"/>
          <w:numId w:val="11"/>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Maritime and Aviation: Hydrogen can power ships and aircraft, reducing emissions in sectors that are challenging to electrify.</w:t>
      </w:r>
    </w:p>
    <w:p w14:paraId="56D6E57E"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Industrial Processes</w:t>
      </w:r>
    </w:p>
    <w:p w14:paraId="0D2F07AA" w14:textId="77777777" w:rsidR="005A4697" w:rsidRPr="00E27D4E" w:rsidRDefault="005A4697" w:rsidP="00E27D4E">
      <w:pPr>
        <w:pStyle w:val="ListParagraph"/>
        <w:numPr>
          <w:ilvl w:val="0"/>
          <w:numId w:val="9"/>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Ammonia Production: Green hydrogen can replace fossil fuels in ammonia synthesis, which is essential for fertilizers. This process is traditionally carbon-intensive, so using green hydrogen significantly reduces emissions.</w:t>
      </w:r>
    </w:p>
    <w:p w14:paraId="6045C605" w14:textId="77777777" w:rsidR="005A4697" w:rsidRPr="00E27D4E" w:rsidRDefault="005A4697" w:rsidP="00E27D4E">
      <w:pPr>
        <w:pStyle w:val="ListParagraph"/>
        <w:numPr>
          <w:ilvl w:val="0"/>
          <w:numId w:val="9"/>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Steel Manufacturing: Hydrogen can be used in the direct reduction of iron ore, replacing coke and reducing carbon emissions in steel production.</w:t>
      </w:r>
    </w:p>
    <w:p w14:paraId="6FCA8FAC" w14:textId="77777777" w:rsidR="005A4697" w:rsidRPr="00E27D4E" w:rsidRDefault="005A4697" w:rsidP="00E27D4E">
      <w:pPr>
        <w:pStyle w:val="ListParagraph"/>
        <w:numPr>
          <w:ilvl w:val="0"/>
          <w:numId w:val="9"/>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Chemical Production: Green hydrogen is a feedstock for various chemical processes, including methanol production and refining hydrocarbons.</w:t>
      </w:r>
    </w:p>
    <w:p w14:paraId="48F69BDD"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Energy Storage</w:t>
      </w:r>
    </w:p>
    <w:p w14:paraId="37C65A28" w14:textId="77777777" w:rsidR="005A4697" w:rsidRPr="00E27D4E" w:rsidRDefault="005A4697" w:rsidP="00E27D4E">
      <w:pPr>
        <w:pStyle w:val="ListParagraph"/>
        <w:numPr>
          <w:ilvl w:val="0"/>
          <w:numId w:val="12"/>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Grid Balancing: Green hydrogen can store excess renewable energy generated during peak production periods (e.g., sunny or windy days). This stored energy can then be converted back to electricity when needed, helping to stabilize the grid.</w:t>
      </w:r>
    </w:p>
    <w:p w14:paraId="4F7D8773" w14:textId="77777777" w:rsidR="005A4697" w:rsidRPr="00E27D4E" w:rsidRDefault="005A4697" w:rsidP="00E27D4E">
      <w:pPr>
        <w:pStyle w:val="ListParagraph"/>
        <w:numPr>
          <w:ilvl w:val="0"/>
          <w:numId w:val="12"/>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Long-Term Storage: Hydrogen offers a solution for seasonal energy storage, addressing intermittency issues associated with solar and wind energy.</w:t>
      </w:r>
    </w:p>
    <w:p w14:paraId="1DC2153B"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Power Generation</w:t>
      </w:r>
    </w:p>
    <w:p w14:paraId="39B532BB" w14:textId="77777777" w:rsidR="005A4697" w:rsidRPr="00E27D4E" w:rsidRDefault="005A4697" w:rsidP="00E27D4E">
      <w:pPr>
        <w:pStyle w:val="ListParagraph"/>
        <w:numPr>
          <w:ilvl w:val="0"/>
          <w:numId w:val="13"/>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Hydrogen Power Plants: Hydrogen can be used in gas turbines for electricity generation, either as a primary fuel or blended with natural gas.</w:t>
      </w:r>
    </w:p>
    <w:p w14:paraId="7767EF8B" w14:textId="77777777" w:rsidR="005A4697" w:rsidRPr="00E27D4E" w:rsidRDefault="005A4697" w:rsidP="00E27D4E">
      <w:pPr>
        <w:pStyle w:val="ListParagraph"/>
        <w:numPr>
          <w:ilvl w:val="0"/>
          <w:numId w:val="12"/>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Hydrogen Fuel Cells: These can generate electricity for various applications, from residential systems to larger-scale power plants, providing a clean energy source with high efficiency.</w:t>
      </w:r>
    </w:p>
    <w:p w14:paraId="695DAFDD"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Heating and Cooling</w:t>
      </w:r>
    </w:p>
    <w:p w14:paraId="4A30A19A" w14:textId="77777777" w:rsidR="005A4697" w:rsidRPr="00E27D4E" w:rsidRDefault="005A4697" w:rsidP="00E27D4E">
      <w:pPr>
        <w:pStyle w:val="ListParagraph"/>
        <w:numPr>
          <w:ilvl w:val="0"/>
          <w:numId w:val="14"/>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Residential Heating: Hydrogen can be blended with natural gas in existing gas networks for residential heating, reducing overall carbon emissions.</w:t>
      </w:r>
    </w:p>
    <w:p w14:paraId="46B47580" w14:textId="77777777" w:rsidR="005A4697" w:rsidRPr="00E27D4E" w:rsidRDefault="005A4697" w:rsidP="00E27D4E">
      <w:pPr>
        <w:pStyle w:val="ListParagraph"/>
        <w:numPr>
          <w:ilvl w:val="0"/>
          <w:numId w:val="14"/>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Industrial Heating: It can also be used in industrial processes that require high-temperature heat.</w:t>
      </w:r>
    </w:p>
    <w:p w14:paraId="140C8033"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Emerging Technologies</w:t>
      </w:r>
    </w:p>
    <w:p w14:paraId="3E9EF00E" w14:textId="77777777" w:rsidR="005A4697" w:rsidRPr="00E27D4E" w:rsidRDefault="005A4697" w:rsidP="00E27D4E">
      <w:pPr>
        <w:pStyle w:val="ListParagraph"/>
        <w:numPr>
          <w:ilvl w:val="0"/>
          <w:numId w:val="15"/>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Hydrogen as a Chemical Carrier: Hydrogen can be transported in chemical form (e.g., ammonia), which can then be converted back to hydrogen at the destination.</w:t>
      </w:r>
    </w:p>
    <w:p w14:paraId="726C2685" w14:textId="77777777" w:rsidR="005A4697" w:rsidRPr="00E27D4E" w:rsidRDefault="005A4697" w:rsidP="00E27D4E">
      <w:pPr>
        <w:pStyle w:val="ListParagraph"/>
        <w:numPr>
          <w:ilvl w:val="0"/>
          <w:numId w:val="15"/>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Synthetic Fuels: Green hydrogen can be used to produce synthetic fuels (e-fuels) that can replace fossil fuels in existing engines and</w:t>
      </w:r>
      <w:r w:rsidRPr="00E27D4E">
        <w:rPr>
          <w:rFonts w:ascii="Times New Roman" w:hAnsi="Times New Roman" w:cs="Times New Roman"/>
          <w:b/>
          <w:bCs/>
          <w:color w:val="000000" w:themeColor="text1"/>
          <w:sz w:val="22"/>
          <w:szCs w:val="22"/>
        </w:rPr>
        <w:t xml:space="preserve"> </w:t>
      </w:r>
      <w:r w:rsidRPr="00E27D4E">
        <w:rPr>
          <w:rFonts w:ascii="Times New Roman" w:hAnsi="Times New Roman" w:cs="Times New Roman"/>
          <w:color w:val="000000" w:themeColor="text1"/>
          <w:sz w:val="22"/>
          <w:szCs w:val="22"/>
        </w:rPr>
        <w:t>infrastructure.</w:t>
      </w:r>
    </w:p>
    <w:p w14:paraId="3A0EA990" w14:textId="77777777"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rPr>
      </w:pPr>
      <w:bookmarkStart w:id="18" w:name="_Toc218873765"/>
      <w:r w:rsidRPr="00E27D4E">
        <w:rPr>
          <w:rFonts w:ascii="Times New Roman" w:hAnsi="Times New Roman" w:cs="Times New Roman"/>
          <w:b/>
          <w:bCs/>
          <w:color w:val="000000" w:themeColor="text1"/>
          <w:sz w:val="22"/>
          <w:szCs w:val="22"/>
        </w:rPr>
        <w:lastRenderedPageBreak/>
        <w:t>Advantages of Green Hydrogen</w:t>
      </w:r>
      <w:bookmarkEnd w:id="18"/>
    </w:p>
    <w:p w14:paraId="5F8BCCDB" w14:textId="77777777" w:rsidR="005A4697" w:rsidRPr="00E27D4E" w:rsidRDefault="005A4697" w:rsidP="00E27D4E">
      <w:pPr>
        <w:pStyle w:val="ListParagraph"/>
        <w:numPr>
          <w:ilvl w:val="0"/>
          <w:numId w:val="10"/>
        </w:numPr>
        <w:tabs>
          <w:tab w:val="num" w:pos="1440"/>
        </w:tabs>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Zero Emissions: Green hydrogen is produced using renewable energy, resulting in minimal or no greenhouse gas emissions during its production, use, and conversion.</w:t>
      </w:r>
    </w:p>
    <w:p w14:paraId="113EDBB5" w14:textId="77777777" w:rsidR="005A4697" w:rsidRPr="00E27D4E" w:rsidRDefault="005A4697" w:rsidP="00E27D4E">
      <w:pPr>
        <w:pStyle w:val="ListParagraph"/>
        <w:numPr>
          <w:ilvl w:val="0"/>
          <w:numId w:val="10"/>
        </w:numPr>
        <w:tabs>
          <w:tab w:val="num" w:pos="1440"/>
        </w:tabs>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Reduction of Air Pollutants: It helps reduce pollutants such as sulfur dioxide and nitrogen oxides that are typically associated with fossil fuel combustion.</w:t>
      </w:r>
    </w:p>
    <w:p w14:paraId="337F62AE" w14:textId="77777777" w:rsidR="005A4697" w:rsidRPr="00E27D4E" w:rsidRDefault="005A4697" w:rsidP="00E27D4E">
      <w:pPr>
        <w:pStyle w:val="ListParagraph"/>
        <w:numPr>
          <w:ilvl w:val="0"/>
          <w:numId w:val="10"/>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Energy Storage and Flexibility: Green hydrogen can store excess renewable energy for long periods, helping to balance supply and demand in energy systems.</w:t>
      </w:r>
    </w:p>
    <w:p w14:paraId="38F98255" w14:textId="77777777" w:rsidR="005A4697" w:rsidRPr="00E27D4E" w:rsidRDefault="005A4697" w:rsidP="00E27D4E">
      <w:pPr>
        <w:pStyle w:val="ListParagraph"/>
        <w:numPr>
          <w:ilvl w:val="0"/>
          <w:numId w:val="10"/>
        </w:numPr>
        <w:tabs>
          <w:tab w:val="num" w:pos="1440"/>
        </w:tabs>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Grid Stability: It can provide a solution for intermittency issues in renewable energy generation, supporting grid stability.</w:t>
      </w:r>
    </w:p>
    <w:p w14:paraId="5709B78A" w14:textId="77777777" w:rsidR="005A4697" w:rsidRPr="00E27D4E" w:rsidRDefault="005A4697" w:rsidP="00E27D4E">
      <w:pPr>
        <w:pStyle w:val="ListParagraph"/>
        <w:numPr>
          <w:ilvl w:val="0"/>
          <w:numId w:val="10"/>
        </w:numPr>
        <w:tabs>
          <w:tab w:val="num" w:pos="1440"/>
        </w:tabs>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Green hydrogen can be utilized across various sectors, including transportation (fuel cell vehicles), industry (ammonia and steel production), power generation, and residential heating.</w:t>
      </w:r>
    </w:p>
    <w:p w14:paraId="2AD31FF8" w14:textId="77777777" w:rsidR="005A4697" w:rsidRPr="00E27D4E" w:rsidRDefault="005A4697" w:rsidP="00E27D4E">
      <w:pPr>
        <w:pStyle w:val="ListParagraph"/>
        <w:numPr>
          <w:ilvl w:val="0"/>
          <w:numId w:val="10"/>
        </w:numPr>
        <w:tabs>
          <w:tab w:val="num" w:pos="1440"/>
        </w:tabs>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By producing hydrogen from domestic renewable resources, countries can reduce reliance on imported fossil fuels, enhancing energy security.</w:t>
      </w:r>
    </w:p>
    <w:p w14:paraId="007E4A15" w14:textId="77777777" w:rsidR="005A4697" w:rsidRPr="00E27D4E" w:rsidRDefault="005A4697" w:rsidP="00E27D4E">
      <w:pPr>
        <w:pStyle w:val="ListParagraph"/>
        <w:numPr>
          <w:ilvl w:val="0"/>
          <w:numId w:val="10"/>
        </w:numPr>
        <w:tabs>
          <w:tab w:val="num" w:pos="1440"/>
        </w:tabs>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The green hydrogen sector has the potential to create jobs and stimulate economic growth through new industries and technologies.</w:t>
      </w:r>
    </w:p>
    <w:p w14:paraId="07ECCB11" w14:textId="77777777" w:rsidR="005A4697" w:rsidRPr="00E27D4E" w:rsidRDefault="005A4697" w:rsidP="00E27D4E">
      <w:pPr>
        <w:pStyle w:val="ListParagraph"/>
        <w:numPr>
          <w:ilvl w:val="0"/>
          <w:numId w:val="10"/>
        </w:numPr>
        <w:tabs>
          <w:tab w:val="num" w:pos="1440"/>
        </w:tabs>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Hydrogen can be blended with natural gas for use in existing gas pipelines and infrastructure, facilitating a gradual transition to cleaner energy sources.</w:t>
      </w:r>
    </w:p>
    <w:p w14:paraId="223710F0" w14:textId="77777777"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rPr>
      </w:pPr>
      <w:bookmarkStart w:id="19" w:name="_Toc218873766"/>
      <w:r w:rsidRPr="00E27D4E">
        <w:rPr>
          <w:rFonts w:ascii="Times New Roman" w:hAnsi="Times New Roman" w:cs="Times New Roman"/>
          <w:b/>
          <w:bCs/>
          <w:color w:val="000000" w:themeColor="text1"/>
          <w:sz w:val="22"/>
          <w:szCs w:val="22"/>
        </w:rPr>
        <w:t>Challenges of Green Hydrogen</w:t>
      </w:r>
      <w:bookmarkEnd w:id="19"/>
    </w:p>
    <w:p w14:paraId="35918A49" w14:textId="77777777" w:rsidR="005A4697" w:rsidRPr="00E27D4E" w:rsidRDefault="005A4697" w:rsidP="00E27D4E">
      <w:pPr>
        <w:pStyle w:val="ListParagraph"/>
        <w:numPr>
          <w:ilvl w:val="0"/>
          <w:numId w:val="5"/>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High Production Costs: Currently, the cost of producing green hydrogen through electrolysis is higher than that of hydrogen produced from fossil fuels, primarily due to the costs of electrolyzers and renewable energy.</w:t>
      </w:r>
    </w:p>
    <w:p w14:paraId="2B72F277" w14:textId="77777777" w:rsidR="005A4697" w:rsidRPr="00E27D4E" w:rsidRDefault="005A4697" w:rsidP="00E27D4E">
      <w:pPr>
        <w:numPr>
          <w:ilvl w:val="0"/>
          <w:numId w:val="5"/>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Infrastructure Needs: Significant investment is required to develop the infrastructure for hydrogen production, storage, and distribution. This includes pipelines, refueling stations, and storage facilities.</w:t>
      </w:r>
    </w:p>
    <w:p w14:paraId="73CC9C97" w14:textId="77777777" w:rsidR="005A4697" w:rsidRPr="00E27D4E" w:rsidRDefault="005A4697" w:rsidP="00E27D4E">
      <w:pPr>
        <w:numPr>
          <w:ilvl w:val="0"/>
          <w:numId w:val="5"/>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Energy Efficiency: The process of converting renewable electricity into hydrogen and then back into electricity (if used for power generation) involves energy losses, making it less efficient than direct electricity usage.</w:t>
      </w:r>
    </w:p>
    <w:p w14:paraId="0BA03323" w14:textId="77777777" w:rsidR="005A4697" w:rsidRPr="00E27D4E" w:rsidRDefault="005A4697" w:rsidP="00E27D4E">
      <w:pPr>
        <w:numPr>
          <w:ilvl w:val="0"/>
          <w:numId w:val="5"/>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Storage and Transport Challenges: Hydrogen has a low energy density, requiring high-pressure storage or cryogenic conditions, which can complicate transportation and increase costs. Additionally, hydrogen can cause embrittlement in some metals, necessitating careful material selection.</w:t>
      </w:r>
    </w:p>
    <w:p w14:paraId="1BD676F2" w14:textId="77777777" w:rsidR="005A4697" w:rsidRPr="00E27D4E" w:rsidRDefault="005A4697" w:rsidP="00E27D4E">
      <w:pPr>
        <w:numPr>
          <w:ilvl w:val="0"/>
          <w:numId w:val="5"/>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Regulatory and Safety Issues: The production, storage, and transport of hydrogen require stringent safety regulations due to its flammable nature. Developing appropriate regulatory frameworks is essential for public acceptance and safety.</w:t>
      </w:r>
    </w:p>
    <w:p w14:paraId="0D9DE25B" w14:textId="77777777" w:rsidR="005A4697" w:rsidRPr="00E27D4E" w:rsidRDefault="005A4697" w:rsidP="00E27D4E">
      <w:pPr>
        <w:numPr>
          <w:ilvl w:val="0"/>
          <w:numId w:val="5"/>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Technological Maturity: While hydrogen technologies are advancing, many are still in developmental or pilot phases, and widespread commercial deployment is still needed.</w:t>
      </w:r>
    </w:p>
    <w:p w14:paraId="7D0178A0"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In conclusion, green hydrogen offers significant advantages as a clean, versatile energy carrier with the potential to decarbonize various sectors. However, challenges related to cost, infrastructure, and technology must be addressed to fully realize its potential and integrate it into the global energy landscape. Continued research, investment, and supportive policies will be critical to overcoming these challenges and promoting the adoption of green hydrogen.</w:t>
      </w:r>
    </w:p>
    <w:p w14:paraId="3C7D7B7A" w14:textId="6E703B45"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rPr>
      </w:pPr>
      <w:bookmarkStart w:id="20" w:name="_Toc218873767"/>
      <w:r w:rsidRPr="00E27D4E">
        <w:rPr>
          <w:rFonts w:ascii="Times New Roman" w:hAnsi="Times New Roman" w:cs="Times New Roman"/>
          <w:b/>
          <w:bCs/>
          <w:color w:val="000000" w:themeColor="text1"/>
          <w:sz w:val="22"/>
          <w:szCs w:val="22"/>
          <w:shd w:val="clear" w:color="auto" w:fill="FFFFFF"/>
        </w:rPr>
        <w:t>Analyzing the viability of green hydrogen as a potential sustainable energy solution in Niger State</w:t>
      </w:r>
      <w:bookmarkEnd w:id="20"/>
    </w:p>
    <w:p w14:paraId="34F6B9C8" w14:textId="77777777" w:rsidR="005A4697" w:rsidRPr="00E27D4E" w:rsidRDefault="005A4697" w:rsidP="00E27D4E">
      <w:pPr>
        <w:pStyle w:val="NormalWeb"/>
        <w:jc w:val="both"/>
        <w:rPr>
          <w:color w:val="000000" w:themeColor="text1"/>
          <w:sz w:val="22"/>
          <w:szCs w:val="22"/>
          <w:shd w:val="clear" w:color="auto" w:fill="FFFFFF"/>
        </w:rPr>
      </w:pPr>
      <w:r w:rsidRPr="00E27D4E">
        <w:rPr>
          <w:color w:val="000000" w:themeColor="text1"/>
          <w:sz w:val="22"/>
          <w:szCs w:val="22"/>
          <w:shd w:val="clear" w:color="auto" w:fill="FFFFFF"/>
        </w:rPr>
        <w:t xml:space="preserve">With the renewable energy potential, green hydrogen would be emerging as a frontrunner for achieving a clean, secure, just, and affordable energy future for Nigeria and the entire Africa; this will greatly support economic opportunities for Nigeria’s economy (Africa’s Green Hydrogen Potential, </w:t>
      </w:r>
      <w:r w:rsidRPr="00E27D4E">
        <w:rPr>
          <w:color w:val="000000" w:themeColor="text1"/>
          <w:sz w:val="22"/>
          <w:szCs w:val="22"/>
          <w:shd w:val="clear" w:color="auto" w:fill="FFFFFF"/>
        </w:rPr>
        <w:lastRenderedPageBreak/>
        <w:t>2022). With the abundant wind and solar potentials, many parts of Nigeria are ideally positioned for green hydrogen production to build their energy dependence and industrialization, while also meeting rising national energy demand.</w:t>
      </w:r>
    </w:p>
    <w:p w14:paraId="78420BEA" w14:textId="77777777" w:rsidR="005A4697" w:rsidRPr="00E27D4E" w:rsidRDefault="005A4697" w:rsidP="00E27D4E">
      <w:pPr>
        <w:pStyle w:val="NormalWeb"/>
        <w:jc w:val="both"/>
        <w:rPr>
          <w:color w:val="000000" w:themeColor="text1"/>
          <w:sz w:val="22"/>
          <w:szCs w:val="22"/>
          <w:shd w:val="clear" w:color="auto" w:fill="FFFFFF"/>
        </w:rPr>
      </w:pPr>
      <w:r w:rsidRPr="00E27D4E">
        <w:rPr>
          <w:color w:val="000000" w:themeColor="text1"/>
          <w:sz w:val="22"/>
          <w:szCs w:val="22"/>
          <w:shd w:val="clear" w:color="auto" w:fill="FFFFFF"/>
        </w:rPr>
        <w:t>Further, an advisory report prepared by the Deutsche Gesellschaft fur Internationale Zusammenarbeit (GIZ) Gmbh claimed that large renewable energy systems for commercial and industrial (C&amp;I) purposes, that utilize solar PV solutions in an off-grid solar hybrid mini-grid rely heavily on diesel generator sets for backup power (Gorre &amp; Nweke-Eze, </w:t>
      </w:r>
      <w:hyperlink r:id="rId8" w:anchor="ref-CR47" w:tooltip="Gorre, J., &amp; Nweke-Eze, C. (2023). Green Hydrogen for Decentralized Energy Applications in Nigeria, Advisory Report. Deutsche Gesellschaft Fur Internationale Zusammenarbeit (GIZ) Gmbh, 1–23." w:history="1">
        <w:r w:rsidRPr="00E27D4E">
          <w:rPr>
            <w:rStyle w:val="Hyperlink"/>
            <w:rFonts w:eastAsiaTheme="majorEastAsia"/>
            <w:color w:val="000000" w:themeColor="text1"/>
            <w:sz w:val="22"/>
            <w:szCs w:val="22"/>
            <w:shd w:val="clear" w:color="auto" w:fill="FFFFFF"/>
          </w:rPr>
          <w:t>2023</w:t>
        </w:r>
      </w:hyperlink>
      <w:r w:rsidRPr="00E27D4E">
        <w:rPr>
          <w:color w:val="000000" w:themeColor="text1"/>
          <w:sz w:val="22"/>
          <w:szCs w:val="22"/>
          <w:shd w:val="clear" w:color="auto" w:fill="FFFFFF"/>
        </w:rPr>
        <w:t>). However, recent research revealed that the country such application of renewable energy can be achieved complementarily using electrolyzers and fuel cells in a decentralized framework and achieving net-zero emissions objectives, such as energy access, producing green hydrogen and displacing petrol and diesel generator sets.</w:t>
      </w:r>
    </w:p>
    <w:p w14:paraId="18CFFD2E" w14:textId="77777777" w:rsidR="005A4697" w:rsidRPr="00E27D4E" w:rsidRDefault="005A4697" w:rsidP="00E27D4E">
      <w:pPr>
        <w:pStyle w:val="NormalWeb"/>
        <w:jc w:val="both"/>
        <w:rPr>
          <w:color w:val="000000" w:themeColor="text1"/>
          <w:sz w:val="22"/>
          <w:szCs w:val="22"/>
          <w:shd w:val="clear" w:color="auto" w:fill="FFFFFF"/>
        </w:rPr>
      </w:pPr>
      <w:r w:rsidRPr="00E27D4E">
        <w:rPr>
          <w:color w:val="000000" w:themeColor="text1"/>
          <w:sz w:val="22"/>
          <w:szCs w:val="22"/>
          <w:shd w:val="clear" w:color="auto" w:fill="FFFFFF"/>
        </w:rPr>
        <w:t>In 2022, Nigeria launched its roadmap to carbon neutrality by 2060, and an estimated sum of 1.9 Trillion USD is required (ETP, </w:t>
      </w:r>
      <w:hyperlink r:id="rId9" w:anchor="ref-CR7" w:tooltip="ETP. (2022). Nigeria energy transition plan. &#10;                  https://energytransition.gov.ng/&#10;                  &#10;                " w:history="1">
        <w:r w:rsidRPr="00E27D4E">
          <w:rPr>
            <w:rStyle w:val="Hyperlink"/>
            <w:rFonts w:eastAsiaTheme="majorEastAsia"/>
            <w:color w:val="000000" w:themeColor="text1"/>
            <w:sz w:val="22"/>
            <w:szCs w:val="22"/>
            <w:shd w:val="clear" w:color="auto" w:fill="FFFFFF"/>
          </w:rPr>
          <w:t>2022</w:t>
        </w:r>
      </w:hyperlink>
      <w:r w:rsidRPr="00E27D4E">
        <w:rPr>
          <w:color w:val="000000" w:themeColor="text1"/>
          <w:sz w:val="22"/>
          <w:szCs w:val="22"/>
          <w:shd w:val="clear" w:color="auto" w:fill="FFFFFF"/>
        </w:rPr>
        <w:t>). As part of the decarbonization strategy of the country’s net-zero targets, Nigeria has made plans to include about 9 GW and 34 GW of renewable energies by 2040 and 2050, respectively, in its power mix, in addition to a 4 GW and 22 GW capacity for hydrogen electrolyzer storage by 2040 and 2050. Electricity demand of about 1 TWh and 46 TWh is projected to be met by electricity generated from electrolytic hydrogen in 2040 and 2050, respectively (ETP, </w:t>
      </w:r>
      <w:hyperlink r:id="rId10" w:anchor="ref-CR7" w:tooltip="ETP. (2022). Nigeria energy transition plan. &#10;                  https://energytransition.gov.ng/&#10;                  &#10;                " w:history="1">
        <w:r w:rsidRPr="00E27D4E">
          <w:rPr>
            <w:rStyle w:val="Hyperlink"/>
            <w:rFonts w:eastAsiaTheme="majorEastAsia"/>
            <w:color w:val="000000" w:themeColor="text1"/>
            <w:sz w:val="22"/>
            <w:szCs w:val="22"/>
            <w:shd w:val="clear" w:color="auto" w:fill="FFFFFF"/>
          </w:rPr>
          <w:t>2022</w:t>
        </w:r>
      </w:hyperlink>
      <w:r w:rsidRPr="00E27D4E">
        <w:rPr>
          <w:color w:val="000000" w:themeColor="text1"/>
          <w:sz w:val="22"/>
          <w:szCs w:val="22"/>
          <w:shd w:val="clear" w:color="auto" w:fill="FFFFFF"/>
        </w:rPr>
        <w:t>).</w:t>
      </w:r>
    </w:p>
    <w:p w14:paraId="7E309A36" w14:textId="77777777" w:rsidR="005A4697" w:rsidRPr="00E27D4E" w:rsidRDefault="005A4697" w:rsidP="00E27D4E">
      <w:pPr>
        <w:pStyle w:val="NormalWeb"/>
        <w:jc w:val="both"/>
        <w:rPr>
          <w:color w:val="000000" w:themeColor="text1"/>
          <w:sz w:val="22"/>
          <w:szCs w:val="22"/>
        </w:rPr>
      </w:pPr>
      <w:r w:rsidRPr="00E27D4E">
        <w:rPr>
          <w:color w:val="000000" w:themeColor="text1"/>
          <w:sz w:val="22"/>
          <w:szCs w:val="22"/>
        </w:rPr>
        <w:t>Niger State is endowed with significant renewable energy resources, particularly solar and biomass. Several studies have assessed the potential for solar energy, which is vital for hydrogen production. Below are results from existing literatures on renewable energy potential.</w:t>
      </w:r>
    </w:p>
    <w:p w14:paraId="2998F4EB" w14:textId="77777777" w:rsidR="005A4697" w:rsidRPr="00E27D4E" w:rsidRDefault="005A4697" w:rsidP="00E27D4E">
      <w:pPr>
        <w:pStyle w:val="NormalWeb"/>
        <w:numPr>
          <w:ilvl w:val="0"/>
          <w:numId w:val="16"/>
        </w:numPr>
        <w:jc w:val="both"/>
        <w:rPr>
          <w:b/>
          <w:bCs/>
          <w:color w:val="000000" w:themeColor="text1"/>
          <w:sz w:val="22"/>
          <w:szCs w:val="22"/>
        </w:rPr>
      </w:pPr>
      <w:r w:rsidRPr="00E27D4E">
        <w:rPr>
          <w:b/>
          <w:bCs/>
          <w:color w:val="000000" w:themeColor="text1"/>
          <w:sz w:val="22"/>
          <w:szCs w:val="22"/>
        </w:rPr>
        <w:t>Renewable Energy Potential</w:t>
      </w:r>
    </w:p>
    <w:p w14:paraId="6BF8930A" w14:textId="77777777" w:rsidR="005A4697" w:rsidRPr="00E27D4E" w:rsidRDefault="005A4697" w:rsidP="00E27D4E">
      <w:pPr>
        <w:pStyle w:val="NormalWeb"/>
        <w:numPr>
          <w:ilvl w:val="1"/>
          <w:numId w:val="6"/>
        </w:numPr>
        <w:jc w:val="both"/>
        <w:rPr>
          <w:color w:val="000000" w:themeColor="text1"/>
          <w:sz w:val="22"/>
          <w:szCs w:val="22"/>
        </w:rPr>
      </w:pPr>
      <w:r w:rsidRPr="00E27D4E">
        <w:rPr>
          <w:rStyle w:val="Strong"/>
          <w:rFonts w:eastAsiaTheme="majorEastAsia"/>
          <w:color w:val="000000" w:themeColor="text1"/>
          <w:sz w:val="22"/>
          <w:szCs w:val="22"/>
        </w:rPr>
        <w:t>Solar Energy Assessment</w:t>
      </w:r>
      <w:r w:rsidRPr="00E27D4E">
        <w:rPr>
          <w:color w:val="000000" w:themeColor="text1"/>
          <w:sz w:val="22"/>
          <w:szCs w:val="22"/>
        </w:rPr>
        <w:t>: Mohammed and Idris (2021) conducted a detailed assessment of solar energy potential in Niger State, indicating high solar radiation levels suitable for photovoltaic applications. Their findings suggest that solar energy can be harnessed effectively to support green hydrogen production. (Mohammed and Idris, 2021)</w:t>
      </w:r>
    </w:p>
    <w:p w14:paraId="3A2DE543" w14:textId="77777777" w:rsidR="005A4697" w:rsidRPr="00E27D4E" w:rsidRDefault="005A4697" w:rsidP="00E27D4E">
      <w:pPr>
        <w:pStyle w:val="NormalWeb"/>
        <w:numPr>
          <w:ilvl w:val="1"/>
          <w:numId w:val="6"/>
        </w:numPr>
        <w:jc w:val="both"/>
        <w:rPr>
          <w:rStyle w:val="Strong"/>
          <w:b w:val="0"/>
          <w:bCs w:val="0"/>
          <w:color w:val="000000" w:themeColor="text1"/>
          <w:sz w:val="22"/>
          <w:szCs w:val="22"/>
        </w:rPr>
      </w:pPr>
      <w:r w:rsidRPr="00E27D4E">
        <w:rPr>
          <w:rStyle w:val="Strong"/>
          <w:color w:val="000000" w:themeColor="text1"/>
          <w:sz w:val="22"/>
          <w:szCs w:val="22"/>
        </w:rPr>
        <w:t>Biomass Resources</w:t>
      </w:r>
      <w:r w:rsidRPr="00E27D4E">
        <w:rPr>
          <w:color w:val="000000" w:themeColor="text1"/>
          <w:sz w:val="22"/>
          <w:szCs w:val="22"/>
        </w:rPr>
        <w:t xml:space="preserve">: The availability of agricultural residues and other biomass sources in the state presents additional opportunities for hydrogen production, supporting a more diverse energy portfolio (Adeyemo &amp; Eniola, 2022). </w:t>
      </w:r>
    </w:p>
    <w:p w14:paraId="0DC11448" w14:textId="77777777" w:rsidR="005A4697" w:rsidRPr="00E27D4E" w:rsidRDefault="005A4697" w:rsidP="00E27D4E">
      <w:pPr>
        <w:pStyle w:val="NormalWeb"/>
        <w:numPr>
          <w:ilvl w:val="0"/>
          <w:numId w:val="16"/>
        </w:numPr>
        <w:jc w:val="both"/>
        <w:rPr>
          <w:color w:val="000000" w:themeColor="text1"/>
          <w:sz w:val="22"/>
          <w:szCs w:val="22"/>
        </w:rPr>
      </w:pPr>
      <w:r w:rsidRPr="00E27D4E">
        <w:rPr>
          <w:b/>
          <w:bCs/>
          <w:color w:val="000000" w:themeColor="text1"/>
          <w:sz w:val="22"/>
          <w:szCs w:val="22"/>
        </w:rPr>
        <w:t>Technological Considerations</w:t>
      </w:r>
    </w:p>
    <w:p w14:paraId="4333D8EF" w14:textId="77777777" w:rsidR="005A4697" w:rsidRPr="00E27D4E" w:rsidRDefault="005A4697" w:rsidP="00E27D4E">
      <w:pPr>
        <w:spacing w:before="100" w:beforeAutospacing="1" w:after="100" w:afterAutospacing="1" w:line="240" w:lineRule="auto"/>
        <w:jc w:val="both"/>
        <w:rPr>
          <w:rFonts w:ascii="Times New Roman" w:eastAsia="Times New Roman" w:hAnsi="Times New Roman" w:cs="Times New Roman"/>
          <w:color w:val="000000" w:themeColor="text1"/>
          <w:kern w:val="0"/>
          <w:sz w:val="22"/>
          <w:szCs w:val="22"/>
          <w14:ligatures w14:val="none"/>
        </w:rPr>
      </w:pPr>
      <w:r w:rsidRPr="00E27D4E">
        <w:rPr>
          <w:rFonts w:ascii="Times New Roman" w:eastAsia="Times New Roman" w:hAnsi="Times New Roman" w:cs="Times New Roman"/>
          <w:color w:val="000000" w:themeColor="text1"/>
          <w:kern w:val="0"/>
          <w:sz w:val="22"/>
          <w:szCs w:val="22"/>
          <w14:ligatures w14:val="none"/>
        </w:rPr>
        <w:t>The success of green hydrogen production relies heavily on the availability and suitability of technology. Different electrolysis technologies, such as alkaline and proton exchange membrane (PEM) electrolyzers, have been explored.</w:t>
      </w:r>
    </w:p>
    <w:p w14:paraId="37162D4E" w14:textId="77777777" w:rsidR="005A4697" w:rsidRPr="00E27D4E" w:rsidRDefault="005A4697" w:rsidP="00E27D4E">
      <w:pPr>
        <w:pStyle w:val="NormalWeb"/>
        <w:numPr>
          <w:ilvl w:val="0"/>
          <w:numId w:val="17"/>
        </w:numPr>
        <w:jc w:val="both"/>
        <w:rPr>
          <w:color w:val="000000" w:themeColor="text1"/>
          <w:sz w:val="22"/>
          <w:szCs w:val="22"/>
        </w:rPr>
      </w:pPr>
      <w:r w:rsidRPr="00E27D4E">
        <w:rPr>
          <w:rStyle w:val="Strong"/>
          <w:rFonts w:eastAsiaTheme="majorEastAsia"/>
          <w:color w:val="000000" w:themeColor="text1"/>
          <w:sz w:val="22"/>
          <w:szCs w:val="22"/>
        </w:rPr>
        <w:t>Electrolysis Efficiency</w:t>
      </w:r>
      <w:r w:rsidRPr="00E27D4E">
        <w:rPr>
          <w:color w:val="000000" w:themeColor="text1"/>
          <w:sz w:val="22"/>
          <w:szCs w:val="22"/>
        </w:rPr>
        <w:t>: Recent studies emphasize the importance of selecting efficient electrolyzer technologies to optimize hydrogen production. Adeyemo and Eniola (2022) highlight the need for local adaptations of these technologies to fit Niger State's unique conditions.</w:t>
      </w:r>
    </w:p>
    <w:p w14:paraId="68D4D310" w14:textId="77777777" w:rsidR="005A4697" w:rsidRPr="00E27D4E" w:rsidRDefault="005A4697" w:rsidP="00E27D4E">
      <w:pPr>
        <w:pStyle w:val="NormalWeb"/>
        <w:numPr>
          <w:ilvl w:val="0"/>
          <w:numId w:val="17"/>
        </w:numPr>
        <w:jc w:val="both"/>
        <w:rPr>
          <w:color w:val="000000" w:themeColor="text1"/>
          <w:sz w:val="22"/>
          <w:szCs w:val="22"/>
        </w:rPr>
      </w:pPr>
      <w:r w:rsidRPr="00E27D4E">
        <w:rPr>
          <w:rStyle w:val="Strong"/>
          <w:rFonts w:eastAsiaTheme="majorEastAsia"/>
          <w:color w:val="000000" w:themeColor="text1"/>
          <w:sz w:val="22"/>
          <w:szCs w:val="22"/>
        </w:rPr>
        <w:t>Storage and Distribution</w:t>
      </w:r>
      <w:r w:rsidRPr="00E27D4E">
        <w:rPr>
          <w:color w:val="000000" w:themeColor="text1"/>
          <w:sz w:val="22"/>
          <w:szCs w:val="22"/>
        </w:rPr>
        <w:t>: The development of effective hydrogen storage and distribution systems is also critical. Chatzisymeon and Aigbe (2021) discussed various storage methods and the infrastructure required for transporting hydrogen, underscoring the importance of investing in these areas.</w:t>
      </w:r>
    </w:p>
    <w:p w14:paraId="47B202D3" w14:textId="77777777" w:rsidR="005A4697" w:rsidRPr="00E27D4E" w:rsidRDefault="005A4697" w:rsidP="00E27D4E">
      <w:pPr>
        <w:pStyle w:val="Heading4"/>
        <w:numPr>
          <w:ilvl w:val="0"/>
          <w:numId w:val="16"/>
        </w:numPr>
        <w:tabs>
          <w:tab w:val="num" w:pos="360"/>
        </w:tabs>
        <w:spacing w:line="240" w:lineRule="auto"/>
        <w:ind w:left="0" w:firstLine="0"/>
        <w:jc w:val="both"/>
        <w:rPr>
          <w:rFonts w:ascii="Times New Roman" w:hAnsi="Times New Roman" w:cs="Times New Roman"/>
          <w:i w:val="0"/>
          <w:iCs w:val="0"/>
          <w:color w:val="000000" w:themeColor="text1"/>
          <w:sz w:val="22"/>
          <w:szCs w:val="22"/>
        </w:rPr>
      </w:pPr>
      <w:r w:rsidRPr="00E27D4E">
        <w:rPr>
          <w:rStyle w:val="Strong"/>
          <w:rFonts w:ascii="Times New Roman" w:hAnsi="Times New Roman" w:cs="Times New Roman"/>
          <w:i w:val="0"/>
          <w:iCs w:val="0"/>
          <w:color w:val="000000" w:themeColor="text1"/>
          <w:sz w:val="22"/>
          <w:szCs w:val="22"/>
        </w:rPr>
        <w:t>Economic Feasibility</w:t>
      </w:r>
    </w:p>
    <w:p w14:paraId="132335B7" w14:textId="77777777" w:rsidR="005A4697" w:rsidRPr="00E27D4E" w:rsidRDefault="005A4697" w:rsidP="00E27D4E">
      <w:pPr>
        <w:pStyle w:val="NormalWeb"/>
        <w:jc w:val="both"/>
        <w:rPr>
          <w:color w:val="000000" w:themeColor="text1"/>
          <w:sz w:val="22"/>
          <w:szCs w:val="22"/>
        </w:rPr>
      </w:pPr>
      <w:r w:rsidRPr="00E27D4E">
        <w:rPr>
          <w:color w:val="000000" w:themeColor="text1"/>
          <w:sz w:val="22"/>
          <w:szCs w:val="22"/>
        </w:rPr>
        <w:t>Analyzing the economic viability of green hydrogen involves assessing production costs, market potential, and investment requirements.</w:t>
      </w:r>
    </w:p>
    <w:p w14:paraId="48D077E2" w14:textId="77777777" w:rsidR="005A4697" w:rsidRPr="00E27D4E" w:rsidRDefault="005A4697" w:rsidP="00E27D4E">
      <w:pPr>
        <w:pStyle w:val="NormalWeb"/>
        <w:numPr>
          <w:ilvl w:val="0"/>
          <w:numId w:val="18"/>
        </w:numPr>
        <w:jc w:val="both"/>
        <w:rPr>
          <w:color w:val="000000" w:themeColor="text1"/>
          <w:sz w:val="22"/>
          <w:szCs w:val="22"/>
        </w:rPr>
      </w:pPr>
      <w:r w:rsidRPr="00E27D4E">
        <w:rPr>
          <w:rStyle w:val="Strong"/>
          <w:rFonts w:eastAsiaTheme="majorEastAsia"/>
          <w:color w:val="000000" w:themeColor="text1"/>
          <w:sz w:val="22"/>
          <w:szCs w:val="22"/>
        </w:rPr>
        <w:lastRenderedPageBreak/>
        <w:t>Cost Analysis</w:t>
      </w:r>
      <w:r w:rsidRPr="00E27D4E">
        <w:rPr>
          <w:color w:val="000000" w:themeColor="text1"/>
          <w:sz w:val="22"/>
          <w:szCs w:val="22"/>
        </w:rPr>
        <w:t>: Olawale and Ogundipe (2023) conducted a life cycle assessment of green hydrogen production, indicating that while initial investments are high, operational costs can be minimized through advancements in technology and scaling production.</w:t>
      </w:r>
    </w:p>
    <w:p w14:paraId="0094011B" w14:textId="77777777" w:rsidR="005A4697" w:rsidRPr="00E27D4E" w:rsidRDefault="005A4697" w:rsidP="00E27D4E">
      <w:pPr>
        <w:pStyle w:val="NormalWeb"/>
        <w:numPr>
          <w:ilvl w:val="0"/>
          <w:numId w:val="18"/>
        </w:numPr>
        <w:jc w:val="both"/>
        <w:rPr>
          <w:color w:val="000000" w:themeColor="text1"/>
          <w:sz w:val="22"/>
          <w:szCs w:val="22"/>
        </w:rPr>
      </w:pPr>
      <w:r w:rsidRPr="00E27D4E">
        <w:rPr>
          <w:rStyle w:val="Strong"/>
          <w:color w:val="000000" w:themeColor="text1"/>
          <w:sz w:val="22"/>
          <w:szCs w:val="22"/>
        </w:rPr>
        <w:t>Market Demand</w:t>
      </w:r>
      <w:r w:rsidRPr="00E27D4E">
        <w:rPr>
          <w:color w:val="000000" w:themeColor="text1"/>
          <w:sz w:val="22"/>
          <w:szCs w:val="22"/>
        </w:rPr>
        <w:t>: Understanding local market demand for hydrogen is essential for feasibility assessments. Igbinovia and Orukpe (2020) emphasized the growing interest in hydrogen applications in transportation and industry, indicating potential economic benefits for Niger State.</w:t>
      </w:r>
    </w:p>
    <w:p w14:paraId="48FB20C8" w14:textId="77777777" w:rsidR="005A4697" w:rsidRPr="00E27D4E" w:rsidRDefault="005A4697" w:rsidP="00E27D4E">
      <w:pPr>
        <w:pStyle w:val="Heading4"/>
        <w:numPr>
          <w:ilvl w:val="0"/>
          <w:numId w:val="16"/>
        </w:numPr>
        <w:tabs>
          <w:tab w:val="num" w:pos="360"/>
        </w:tabs>
        <w:spacing w:line="240" w:lineRule="auto"/>
        <w:ind w:left="0" w:firstLine="0"/>
        <w:jc w:val="both"/>
        <w:rPr>
          <w:rFonts w:ascii="Times New Roman" w:hAnsi="Times New Roman" w:cs="Times New Roman"/>
          <w:i w:val="0"/>
          <w:iCs w:val="0"/>
          <w:color w:val="000000" w:themeColor="text1"/>
          <w:sz w:val="22"/>
          <w:szCs w:val="22"/>
        </w:rPr>
      </w:pPr>
      <w:r w:rsidRPr="00E27D4E">
        <w:rPr>
          <w:rStyle w:val="Strong"/>
          <w:rFonts w:ascii="Times New Roman" w:hAnsi="Times New Roman" w:cs="Times New Roman"/>
          <w:i w:val="0"/>
          <w:iCs w:val="0"/>
          <w:color w:val="000000" w:themeColor="text1"/>
          <w:sz w:val="22"/>
          <w:szCs w:val="22"/>
        </w:rPr>
        <w:t>Environmental Impacts</w:t>
      </w:r>
    </w:p>
    <w:p w14:paraId="6525666E" w14:textId="77777777" w:rsidR="005A4697" w:rsidRPr="00E27D4E" w:rsidRDefault="005A4697" w:rsidP="00E27D4E">
      <w:pPr>
        <w:pStyle w:val="NormalWeb"/>
        <w:jc w:val="both"/>
        <w:rPr>
          <w:color w:val="000000" w:themeColor="text1"/>
          <w:sz w:val="22"/>
          <w:szCs w:val="22"/>
        </w:rPr>
      </w:pPr>
      <w:r w:rsidRPr="00E27D4E">
        <w:rPr>
          <w:color w:val="000000" w:themeColor="text1"/>
          <w:sz w:val="22"/>
          <w:szCs w:val="22"/>
        </w:rPr>
        <w:t>The environmental benefits of green hydrogen production must be evaluated alongside its economic viability.</w:t>
      </w:r>
    </w:p>
    <w:p w14:paraId="66D78418" w14:textId="77777777" w:rsidR="005A4697" w:rsidRPr="00E27D4E" w:rsidRDefault="005A4697" w:rsidP="00E27D4E">
      <w:pPr>
        <w:pStyle w:val="NormalWeb"/>
        <w:numPr>
          <w:ilvl w:val="0"/>
          <w:numId w:val="19"/>
        </w:numPr>
        <w:jc w:val="both"/>
        <w:rPr>
          <w:color w:val="000000" w:themeColor="text1"/>
          <w:sz w:val="22"/>
          <w:szCs w:val="22"/>
        </w:rPr>
      </w:pPr>
      <w:r w:rsidRPr="00E27D4E">
        <w:rPr>
          <w:rStyle w:val="Strong"/>
          <w:rFonts w:eastAsiaTheme="majorEastAsia"/>
          <w:color w:val="000000" w:themeColor="text1"/>
          <w:sz w:val="22"/>
          <w:szCs w:val="22"/>
        </w:rPr>
        <w:t>Sustainability Benefits</w:t>
      </w:r>
      <w:r w:rsidRPr="00E27D4E">
        <w:rPr>
          <w:color w:val="000000" w:themeColor="text1"/>
          <w:sz w:val="22"/>
          <w:szCs w:val="22"/>
        </w:rPr>
        <w:t>: Studies indicate that green hydrogen can significantly reduce greenhouse gas emissions compared to fossil fuels, aligning with Nigeria's climate goals (Suleiman &amp; Ibraheem, 2023).</w:t>
      </w:r>
    </w:p>
    <w:p w14:paraId="74F36967" w14:textId="77777777" w:rsidR="005A4697" w:rsidRPr="00E27D4E" w:rsidRDefault="005A4697" w:rsidP="00E27D4E">
      <w:pPr>
        <w:pStyle w:val="NormalWeb"/>
        <w:numPr>
          <w:ilvl w:val="0"/>
          <w:numId w:val="19"/>
        </w:numPr>
        <w:jc w:val="both"/>
        <w:rPr>
          <w:color w:val="000000" w:themeColor="text1"/>
          <w:sz w:val="22"/>
          <w:szCs w:val="22"/>
        </w:rPr>
      </w:pPr>
      <w:r w:rsidRPr="00E27D4E">
        <w:rPr>
          <w:rStyle w:val="Strong"/>
          <w:color w:val="000000" w:themeColor="text1"/>
          <w:sz w:val="22"/>
          <w:szCs w:val="22"/>
        </w:rPr>
        <w:t>Ecosystem Considerations</w:t>
      </w:r>
      <w:r w:rsidRPr="00E27D4E">
        <w:rPr>
          <w:color w:val="000000" w:themeColor="text1"/>
          <w:sz w:val="22"/>
          <w:szCs w:val="22"/>
        </w:rPr>
        <w:t>: Environmental assessments are crucial to understanding the impact of hydrogen production on local ecosystems. Ojo and Eniola (2022) discuss the need for sustainable practices to minimize ecological disruption.</w:t>
      </w:r>
    </w:p>
    <w:p w14:paraId="391F88B5" w14:textId="77777777" w:rsidR="005A4697" w:rsidRPr="00E27D4E" w:rsidRDefault="005A4697" w:rsidP="00E27D4E">
      <w:pPr>
        <w:pStyle w:val="Heading4"/>
        <w:numPr>
          <w:ilvl w:val="0"/>
          <w:numId w:val="16"/>
        </w:numPr>
        <w:tabs>
          <w:tab w:val="num" w:pos="360"/>
        </w:tabs>
        <w:spacing w:line="240" w:lineRule="auto"/>
        <w:ind w:left="0" w:firstLine="0"/>
        <w:jc w:val="both"/>
        <w:rPr>
          <w:rFonts w:ascii="Times New Roman" w:hAnsi="Times New Roman" w:cs="Times New Roman"/>
          <w:i w:val="0"/>
          <w:iCs w:val="0"/>
          <w:color w:val="000000" w:themeColor="text1"/>
          <w:sz w:val="22"/>
          <w:szCs w:val="22"/>
        </w:rPr>
      </w:pPr>
      <w:r w:rsidRPr="00E27D4E">
        <w:rPr>
          <w:rStyle w:val="Strong"/>
          <w:rFonts w:ascii="Times New Roman" w:hAnsi="Times New Roman" w:cs="Times New Roman"/>
          <w:i w:val="0"/>
          <w:iCs w:val="0"/>
          <w:color w:val="000000" w:themeColor="text1"/>
          <w:sz w:val="22"/>
          <w:szCs w:val="22"/>
        </w:rPr>
        <w:t>Policy and Regulatory Framework</w:t>
      </w:r>
    </w:p>
    <w:p w14:paraId="09CC5E00" w14:textId="77777777" w:rsidR="005A4697" w:rsidRPr="00E27D4E" w:rsidRDefault="005A4697" w:rsidP="00E27D4E">
      <w:pPr>
        <w:pStyle w:val="NormalWeb"/>
        <w:jc w:val="both"/>
        <w:rPr>
          <w:color w:val="000000" w:themeColor="text1"/>
          <w:sz w:val="22"/>
          <w:szCs w:val="22"/>
        </w:rPr>
      </w:pPr>
      <w:r w:rsidRPr="00E27D4E">
        <w:rPr>
          <w:color w:val="000000" w:themeColor="text1"/>
          <w:sz w:val="22"/>
          <w:szCs w:val="22"/>
        </w:rPr>
        <w:t>The role of government policies in promoting green hydrogen initiatives is vital.</w:t>
      </w:r>
    </w:p>
    <w:p w14:paraId="003EDC1A" w14:textId="77777777" w:rsidR="005A4697" w:rsidRPr="00E27D4E" w:rsidRDefault="005A4697" w:rsidP="00E27D4E">
      <w:pPr>
        <w:pStyle w:val="ListParagraph"/>
        <w:numPr>
          <w:ilvl w:val="0"/>
          <w:numId w:val="20"/>
        </w:numPr>
        <w:spacing w:before="100" w:beforeAutospacing="1" w:after="100" w:afterAutospacing="1" w:line="240" w:lineRule="auto"/>
        <w:jc w:val="both"/>
        <w:rPr>
          <w:rFonts w:ascii="Times New Roman" w:hAnsi="Times New Roman" w:cs="Times New Roman"/>
          <w:color w:val="000000" w:themeColor="text1"/>
          <w:sz w:val="22"/>
          <w:szCs w:val="22"/>
        </w:rPr>
      </w:pPr>
      <w:r w:rsidRPr="00E27D4E">
        <w:rPr>
          <w:rStyle w:val="Strong"/>
          <w:rFonts w:ascii="Times New Roman" w:hAnsi="Times New Roman" w:cs="Times New Roman"/>
          <w:color w:val="000000" w:themeColor="text1"/>
          <w:sz w:val="22"/>
          <w:szCs w:val="22"/>
        </w:rPr>
        <w:t>Government Support</w:t>
      </w:r>
      <w:r w:rsidRPr="00E27D4E">
        <w:rPr>
          <w:rFonts w:ascii="Times New Roman" w:hAnsi="Times New Roman" w:cs="Times New Roman"/>
          <w:color w:val="000000" w:themeColor="text1"/>
          <w:sz w:val="22"/>
          <w:szCs w:val="22"/>
        </w:rPr>
        <w:t>: Recent policy analyses indicate that supportive regulations and incentives are necessary to foster the growth of green hydrogen in Nigeria. Igbinovia and Orukpe (2020) highlight the need for comprehensive frameworks to facilitate investment in hydrogen technologies.</w:t>
      </w:r>
    </w:p>
    <w:p w14:paraId="2562D9D7" w14:textId="2667CF31" w:rsidR="005A4697" w:rsidRPr="00E27D4E" w:rsidRDefault="00E27D4E" w:rsidP="00E27D4E">
      <w:pPr>
        <w:pStyle w:val="NormalWeb"/>
        <w:jc w:val="both"/>
        <w:rPr>
          <w:rStyle w:val="Heading1Char"/>
          <w:rFonts w:ascii="Times New Roman" w:hAnsi="Times New Roman" w:cs="Times New Roman"/>
          <w:b/>
          <w:bCs/>
          <w:color w:val="000000" w:themeColor="text1"/>
          <w:sz w:val="22"/>
          <w:szCs w:val="22"/>
        </w:rPr>
      </w:pPr>
      <w:bookmarkStart w:id="21" w:name="_Toc218873768"/>
      <w:r w:rsidRPr="00E27D4E">
        <w:rPr>
          <w:noProof/>
          <w:color w:val="000000" w:themeColor="text1"/>
          <w:sz w:val="22"/>
          <w:szCs w:val="22"/>
          <w:shd w:val="clear" w:color="auto" w:fill="FFFFFF"/>
          <w:lang w:val="en-IN" w:eastAsia="en-IN"/>
        </w:rPr>
        <w:drawing>
          <wp:anchor distT="0" distB="0" distL="114300" distR="114300" simplePos="0" relativeHeight="251660288" behindDoc="0" locked="0" layoutInCell="1" allowOverlap="1" wp14:anchorId="0A441EF0" wp14:editId="05DB7E3D">
            <wp:simplePos x="0" y="0"/>
            <wp:positionH relativeFrom="column">
              <wp:posOffset>600075</wp:posOffset>
            </wp:positionH>
            <wp:positionV relativeFrom="paragraph">
              <wp:posOffset>321310</wp:posOffset>
            </wp:positionV>
            <wp:extent cx="4210050" cy="3157771"/>
            <wp:effectExtent l="0" t="0" r="0" b="5080"/>
            <wp:wrapThrough wrapText="bothSides">
              <wp:wrapPolygon edited="0">
                <wp:start x="0" y="0"/>
                <wp:lineTo x="0" y="21504"/>
                <wp:lineTo x="21502" y="21504"/>
                <wp:lineTo x="21502" y="0"/>
                <wp:lineTo x="0" y="0"/>
              </wp:wrapPolygon>
            </wp:wrapThrough>
            <wp:docPr id="9694706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0050" cy="315777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
    </w:p>
    <w:p w14:paraId="5C4BD073" w14:textId="3B68ED87" w:rsidR="005A4697" w:rsidRPr="00E27D4E" w:rsidRDefault="005A4697" w:rsidP="00E27D4E">
      <w:pPr>
        <w:pStyle w:val="NormalWeb"/>
        <w:jc w:val="both"/>
        <w:rPr>
          <w:noProof/>
          <w:color w:val="000000" w:themeColor="text1"/>
          <w:sz w:val="22"/>
          <w:szCs w:val="22"/>
          <w:shd w:val="clear" w:color="auto" w:fill="FFFFFF"/>
        </w:rPr>
      </w:pPr>
    </w:p>
    <w:p w14:paraId="291F06E7" w14:textId="77777777" w:rsidR="00E27D4E" w:rsidRDefault="00E27D4E" w:rsidP="00E27D4E">
      <w:pPr>
        <w:pStyle w:val="NormalWeb"/>
        <w:jc w:val="both"/>
        <w:rPr>
          <w:b/>
          <w:bCs/>
          <w:noProof/>
          <w:color w:val="000000" w:themeColor="text1"/>
          <w:sz w:val="22"/>
          <w:szCs w:val="22"/>
          <w:shd w:val="clear" w:color="auto" w:fill="FFFFFF"/>
        </w:rPr>
      </w:pPr>
    </w:p>
    <w:p w14:paraId="31579B19" w14:textId="77777777" w:rsidR="00E27D4E" w:rsidRDefault="00E27D4E" w:rsidP="00E27D4E">
      <w:pPr>
        <w:pStyle w:val="NormalWeb"/>
        <w:jc w:val="both"/>
        <w:rPr>
          <w:b/>
          <w:bCs/>
          <w:noProof/>
          <w:color w:val="000000" w:themeColor="text1"/>
          <w:sz w:val="22"/>
          <w:szCs w:val="22"/>
          <w:shd w:val="clear" w:color="auto" w:fill="FFFFFF"/>
        </w:rPr>
      </w:pPr>
    </w:p>
    <w:p w14:paraId="76979F0F" w14:textId="77777777" w:rsidR="00E27D4E" w:rsidRDefault="00E27D4E" w:rsidP="00E27D4E">
      <w:pPr>
        <w:pStyle w:val="NormalWeb"/>
        <w:jc w:val="both"/>
        <w:rPr>
          <w:b/>
          <w:bCs/>
          <w:noProof/>
          <w:color w:val="000000" w:themeColor="text1"/>
          <w:sz w:val="22"/>
          <w:szCs w:val="22"/>
          <w:shd w:val="clear" w:color="auto" w:fill="FFFFFF"/>
        </w:rPr>
      </w:pPr>
    </w:p>
    <w:p w14:paraId="60A3DBFC" w14:textId="77777777" w:rsidR="00E27D4E" w:rsidRDefault="00E27D4E" w:rsidP="00E27D4E">
      <w:pPr>
        <w:pStyle w:val="NormalWeb"/>
        <w:jc w:val="both"/>
        <w:rPr>
          <w:b/>
          <w:bCs/>
          <w:noProof/>
          <w:color w:val="000000" w:themeColor="text1"/>
          <w:sz w:val="22"/>
          <w:szCs w:val="22"/>
          <w:shd w:val="clear" w:color="auto" w:fill="FFFFFF"/>
        </w:rPr>
      </w:pPr>
    </w:p>
    <w:p w14:paraId="3ED1FBC0" w14:textId="77777777" w:rsidR="00E27D4E" w:rsidRDefault="00E27D4E" w:rsidP="00E27D4E">
      <w:pPr>
        <w:pStyle w:val="NormalWeb"/>
        <w:jc w:val="both"/>
        <w:rPr>
          <w:b/>
          <w:bCs/>
          <w:noProof/>
          <w:color w:val="000000" w:themeColor="text1"/>
          <w:sz w:val="22"/>
          <w:szCs w:val="22"/>
          <w:shd w:val="clear" w:color="auto" w:fill="FFFFFF"/>
        </w:rPr>
      </w:pPr>
    </w:p>
    <w:p w14:paraId="41CA8DE7" w14:textId="77777777" w:rsidR="00E27D4E" w:rsidRDefault="00E27D4E" w:rsidP="00E27D4E">
      <w:pPr>
        <w:pStyle w:val="NormalWeb"/>
        <w:jc w:val="both"/>
        <w:rPr>
          <w:b/>
          <w:bCs/>
          <w:noProof/>
          <w:color w:val="000000" w:themeColor="text1"/>
          <w:sz w:val="22"/>
          <w:szCs w:val="22"/>
          <w:shd w:val="clear" w:color="auto" w:fill="FFFFFF"/>
        </w:rPr>
      </w:pPr>
    </w:p>
    <w:p w14:paraId="6C64B1F3" w14:textId="77777777" w:rsidR="00E27D4E" w:rsidRDefault="00E27D4E" w:rsidP="00E27D4E">
      <w:pPr>
        <w:pStyle w:val="NormalWeb"/>
        <w:jc w:val="both"/>
        <w:rPr>
          <w:b/>
          <w:bCs/>
          <w:noProof/>
          <w:color w:val="000000" w:themeColor="text1"/>
          <w:sz w:val="22"/>
          <w:szCs w:val="22"/>
          <w:shd w:val="clear" w:color="auto" w:fill="FFFFFF"/>
        </w:rPr>
      </w:pPr>
    </w:p>
    <w:p w14:paraId="4DB992FC" w14:textId="77777777" w:rsidR="00E27D4E" w:rsidRDefault="00E27D4E" w:rsidP="00E27D4E">
      <w:pPr>
        <w:pStyle w:val="NormalWeb"/>
        <w:jc w:val="both"/>
        <w:rPr>
          <w:b/>
          <w:bCs/>
          <w:noProof/>
          <w:color w:val="000000" w:themeColor="text1"/>
          <w:sz w:val="22"/>
          <w:szCs w:val="22"/>
          <w:shd w:val="clear" w:color="auto" w:fill="FFFFFF"/>
        </w:rPr>
      </w:pPr>
    </w:p>
    <w:p w14:paraId="77CE35AA" w14:textId="77777777" w:rsidR="00E27D4E" w:rsidRDefault="00E27D4E" w:rsidP="00E27D4E">
      <w:pPr>
        <w:pStyle w:val="NormalWeb"/>
        <w:jc w:val="both"/>
        <w:rPr>
          <w:b/>
          <w:bCs/>
          <w:noProof/>
          <w:color w:val="000000" w:themeColor="text1"/>
          <w:sz w:val="22"/>
          <w:szCs w:val="22"/>
          <w:shd w:val="clear" w:color="auto" w:fill="FFFFFF"/>
        </w:rPr>
      </w:pPr>
    </w:p>
    <w:p w14:paraId="6388C067" w14:textId="1ADA972F"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E27D4E">
        <w:rPr>
          <w:b/>
          <w:bCs/>
          <w:noProof/>
          <w:color w:val="000000" w:themeColor="text1"/>
          <w:sz w:val="22"/>
          <w:szCs w:val="22"/>
          <w:shd w:val="clear" w:color="auto" w:fill="FFFFFF"/>
        </w:rPr>
        <w:t>2</w:t>
      </w:r>
      <w:r w:rsidRPr="00E27D4E">
        <w:rPr>
          <w:b/>
          <w:bCs/>
          <w:noProof/>
          <w:color w:val="000000" w:themeColor="text1"/>
          <w:sz w:val="22"/>
          <w:szCs w:val="22"/>
          <w:shd w:val="clear" w:color="auto" w:fill="FFFFFF"/>
        </w:rPr>
        <w:t>: Map showing locations where green hydrogen projects can be implemented in Niger State</w:t>
      </w:r>
    </w:p>
    <w:p w14:paraId="104A11E1"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shd w:val="clear" w:color="auto" w:fill="FFFFFF"/>
        </w:rPr>
        <w:lastRenderedPageBreak/>
        <w:t>The map above shows proposed locations where green hydrogen energy sites can be implemented in Niger State, Nigeria. From the result displayed on the map, we can see that Borgu local government has the most potential because of the availability of abundant water body. Making this region the best location in Niger state to site a green hydrogen project site as availability of water is a major criteria for site selection.</w:t>
      </w:r>
    </w:p>
    <w:p w14:paraId="049C8BC8" w14:textId="77777777" w:rsidR="005A4697" w:rsidRPr="00E27D4E" w:rsidRDefault="005A4697" w:rsidP="00E27D4E">
      <w:pPr>
        <w:pStyle w:val="NormalWeb"/>
        <w:jc w:val="both"/>
        <w:rPr>
          <w:color w:val="000000" w:themeColor="text1"/>
          <w:sz w:val="22"/>
          <w:szCs w:val="22"/>
          <w:shd w:val="clear" w:color="auto" w:fill="FFFFFF"/>
        </w:rPr>
      </w:pPr>
    </w:p>
    <w:p w14:paraId="04AB1D20"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lang w:val="en-IN" w:eastAsia="en-IN"/>
        </w:rPr>
        <w:drawing>
          <wp:inline distT="0" distB="0" distL="114300" distR="114300" wp14:anchorId="729D2550" wp14:editId="77AC6DFC">
            <wp:extent cx="4101628" cy="3076575"/>
            <wp:effectExtent l="0" t="0" r="0" b="0"/>
            <wp:docPr id="1017738098" name="Picture 1017738098" descr="LAND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NDUSE"/>
                    <pic:cNvPicPr>
                      <a:picLocks noChangeAspect="1"/>
                    </pic:cNvPicPr>
                  </pic:nvPicPr>
                  <pic:blipFill>
                    <a:blip r:embed="rId12"/>
                    <a:stretch>
                      <a:fillRect/>
                    </a:stretch>
                  </pic:blipFill>
                  <pic:spPr>
                    <a:xfrm>
                      <a:off x="0" y="0"/>
                      <a:ext cx="4103143" cy="3077711"/>
                    </a:xfrm>
                    <a:prstGeom prst="rect">
                      <a:avLst/>
                    </a:prstGeom>
                  </pic:spPr>
                </pic:pic>
              </a:graphicData>
            </a:graphic>
          </wp:inline>
        </w:drawing>
      </w:r>
    </w:p>
    <w:p w14:paraId="33890135" w14:textId="020A6BF7"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E27D4E">
        <w:rPr>
          <w:b/>
          <w:bCs/>
          <w:noProof/>
          <w:color w:val="000000" w:themeColor="text1"/>
          <w:sz w:val="22"/>
          <w:szCs w:val="22"/>
          <w:shd w:val="clear" w:color="auto" w:fill="FFFFFF"/>
        </w:rPr>
        <w:t>3</w:t>
      </w:r>
      <w:r w:rsidRPr="00E27D4E">
        <w:rPr>
          <w:b/>
          <w:bCs/>
          <w:noProof/>
          <w:color w:val="000000" w:themeColor="text1"/>
          <w:sz w:val="22"/>
          <w:szCs w:val="22"/>
          <w:shd w:val="clear" w:color="auto" w:fill="FFFFFF"/>
        </w:rPr>
        <w:t>: Map showing land use land cover of Niger State</w:t>
      </w:r>
    </w:p>
    <w:p w14:paraId="2A002B04" w14:textId="77777777" w:rsidR="005A4697" w:rsidRPr="00E27D4E" w:rsidRDefault="005A4697" w:rsidP="00E27D4E">
      <w:pPr>
        <w:pStyle w:val="NormalWeb"/>
        <w:jc w:val="both"/>
        <w:rPr>
          <w:b/>
          <w:bCs/>
          <w:noProof/>
          <w:color w:val="000000" w:themeColor="text1"/>
          <w:sz w:val="22"/>
          <w:szCs w:val="22"/>
          <w:shd w:val="clear" w:color="auto" w:fill="FFFFFF"/>
        </w:rPr>
      </w:pPr>
      <w:r w:rsidRPr="00E27D4E">
        <w:rPr>
          <w:noProof/>
          <w:color w:val="000000" w:themeColor="text1"/>
          <w:sz w:val="22"/>
          <w:szCs w:val="22"/>
          <w:shd w:val="clear" w:color="auto" w:fill="FFFFFF"/>
        </w:rPr>
        <w:t>The map above shows result of landuse landcover map of Niger state. Result shows the different landuse classes in Niger state showing how they are distributed across the state. The land use classes are builtup areas, grasses and shrubs, forest area, farm land, water body and bare surface.</w:t>
      </w:r>
    </w:p>
    <w:p w14:paraId="1C2FE175" w14:textId="77777777" w:rsidR="005A4697" w:rsidRPr="00E27D4E" w:rsidRDefault="005A4697" w:rsidP="00E27D4E">
      <w:pPr>
        <w:pStyle w:val="NormalWeb"/>
        <w:jc w:val="both"/>
        <w:rPr>
          <w:b/>
          <w:bCs/>
          <w:noProof/>
          <w:color w:val="000000" w:themeColor="text1"/>
          <w:sz w:val="22"/>
          <w:szCs w:val="22"/>
          <w:shd w:val="clear" w:color="auto" w:fill="FFFFFF"/>
        </w:rPr>
      </w:pPr>
      <w:bookmarkStart w:id="22" w:name="_Hlk179017845"/>
      <w:r w:rsidRPr="00E27D4E">
        <w:rPr>
          <w:b/>
          <w:bCs/>
          <w:color w:val="000000" w:themeColor="text1"/>
          <w:sz w:val="22"/>
          <w:szCs w:val="22"/>
        </w:rPr>
        <w:t>Statistical analysis of Land use in Niger state</w:t>
      </w:r>
    </w:p>
    <w:tbl>
      <w:tblPr>
        <w:tblStyle w:val="TableGrid"/>
        <w:tblW w:w="0" w:type="auto"/>
        <w:tblLook w:val="04A0" w:firstRow="1" w:lastRow="0" w:firstColumn="1" w:lastColumn="0" w:noHBand="0" w:noVBand="1"/>
      </w:tblPr>
      <w:tblGrid>
        <w:gridCol w:w="1656"/>
        <w:gridCol w:w="1657"/>
        <w:gridCol w:w="1657"/>
        <w:gridCol w:w="1657"/>
      </w:tblGrid>
      <w:tr w:rsidR="00E27D4E" w:rsidRPr="00E27D4E" w14:paraId="08430B29" w14:textId="77777777" w:rsidTr="00E27D4E">
        <w:trPr>
          <w:trHeight w:val="420"/>
        </w:trPr>
        <w:tc>
          <w:tcPr>
            <w:tcW w:w="1656" w:type="dxa"/>
            <w:vAlign w:val="center"/>
          </w:tcPr>
          <w:p w14:paraId="73E8FBF9" w14:textId="77777777" w:rsidR="005A4697" w:rsidRPr="00E27D4E" w:rsidRDefault="005A4697" w:rsidP="00E27D4E">
            <w:pPr>
              <w:widowControl/>
              <w:textAlignment w:val="center"/>
              <w:rPr>
                <w:rFonts w:ascii="Times New Roman" w:hAnsi="Times New Roman" w:cs="Times New Roman"/>
                <w:b/>
                <w:bCs/>
                <w:color w:val="000000" w:themeColor="text1"/>
                <w:sz w:val="22"/>
                <w:szCs w:val="22"/>
              </w:rPr>
            </w:pPr>
            <w:r w:rsidRPr="00E27D4E">
              <w:rPr>
                <w:rFonts w:ascii="Times New Roman" w:eastAsia="SimSun" w:hAnsi="Times New Roman" w:cs="Times New Roman"/>
                <w:b/>
                <w:bCs/>
                <w:color w:val="000000" w:themeColor="text1"/>
                <w:sz w:val="22"/>
                <w:szCs w:val="22"/>
                <w:lang w:eastAsia="zh-CN" w:bidi="ar"/>
              </w:rPr>
              <w:t>Class</w:t>
            </w:r>
          </w:p>
        </w:tc>
        <w:tc>
          <w:tcPr>
            <w:tcW w:w="1657" w:type="dxa"/>
            <w:vAlign w:val="center"/>
          </w:tcPr>
          <w:p w14:paraId="4C1781AF" w14:textId="77777777" w:rsidR="005A4697" w:rsidRPr="00E27D4E" w:rsidRDefault="005A4697" w:rsidP="00E27D4E">
            <w:pPr>
              <w:widowControl/>
              <w:textAlignment w:val="center"/>
              <w:rPr>
                <w:rFonts w:ascii="Times New Roman" w:hAnsi="Times New Roman" w:cs="Times New Roman"/>
                <w:b/>
                <w:bCs/>
                <w:color w:val="000000" w:themeColor="text1"/>
                <w:sz w:val="22"/>
                <w:szCs w:val="22"/>
              </w:rPr>
            </w:pPr>
            <w:r w:rsidRPr="00E27D4E">
              <w:rPr>
                <w:rFonts w:ascii="Times New Roman" w:eastAsia="SimSun" w:hAnsi="Times New Roman" w:cs="Times New Roman"/>
                <w:b/>
                <w:bCs/>
                <w:color w:val="000000" w:themeColor="text1"/>
                <w:sz w:val="22"/>
                <w:szCs w:val="22"/>
                <w:lang w:eastAsia="zh-CN" w:bidi="ar"/>
              </w:rPr>
              <w:t>Area in Sqkm</w:t>
            </w:r>
          </w:p>
        </w:tc>
        <w:tc>
          <w:tcPr>
            <w:tcW w:w="1657" w:type="dxa"/>
            <w:vAlign w:val="center"/>
          </w:tcPr>
          <w:p w14:paraId="3CD6E4BA" w14:textId="77777777" w:rsidR="005A4697" w:rsidRPr="00E27D4E" w:rsidRDefault="005A4697" w:rsidP="00E27D4E">
            <w:pPr>
              <w:widowControl/>
              <w:textAlignment w:val="center"/>
              <w:rPr>
                <w:rFonts w:ascii="Times New Roman" w:hAnsi="Times New Roman" w:cs="Times New Roman"/>
                <w:b/>
                <w:bCs/>
                <w:color w:val="000000" w:themeColor="text1"/>
                <w:sz w:val="22"/>
                <w:szCs w:val="22"/>
              </w:rPr>
            </w:pPr>
            <w:r w:rsidRPr="00E27D4E">
              <w:rPr>
                <w:rFonts w:ascii="Times New Roman" w:eastAsia="SimSun" w:hAnsi="Times New Roman" w:cs="Times New Roman"/>
                <w:b/>
                <w:bCs/>
                <w:color w:val="000000" w:themeColor="text1"/>
                <w:sz w:val="22"/>
                <w:szCs w:val="22"/>
                <w:lang w:eastAsia="zh-CN" w:bidi="ar"/>
              </w:rPr>
              <w:t>Area (%)</w:t>
            </w:r>
          </w:p>
        </w:tc>
        <w:tc>
          <w:tcPr>
            <w:tcW w:w="1657" w:type="dxa"/>
            <w:vAlign w:val="center"/>
          </w:tcPr>
          <w:p w14:paraId="1B11785B" w14:textId="77777777" w:rsidR="005A4697" w:rsidRPr="00E27D4E" w:rsidRDefault="005A4697" w:rsidP="00E27D4E">
            <w:pPr>
              <w:widowControl/>
              <w:textAlignment w:val="center"/>
              <w:rPr>
                <w:rFonts w:ascii="Times New Roman" w:hAnsi="Times New Roman" w:cs="Times New Roman"/>
                <w:b/>
                <w:bCs/>
                <w:color w:val="000000" w:themeColor="text1"/>
                <w:sz w:val="22"/>
                <w:szCs w:val="22"/>
              </w:rPr>
            </w:pPr>
            <w:r w:rsidRPr="00E27D4E">
              <w:rPr>
                <w:rFonts w:ascii="Times New Roman" w:eastAsia="SimSun" w:hAnsi="Times New Roman" w:cs="Times New Roman"/>
                <w:b/>
                <w:bCs/>
                <w:color w:val="000000" w:themeColor="text1"/>
                <w:sz w:val="22"/>
                <w:szCs w:val="22"/>
                <w:lang w:eastAsia="zh-CN" w:bidi="ar"/>
              </w:rPr>
              <w:t>Class</w:t>
            </w:r>
          </w:p>
        </w:tc>
      </w:tr>
      <w:tr w:rsidR="00E27D4E" w:rsidRPr="00E27D4E" w14:paraId="1D3AFBD7" w14:textId="77777777" w:rsidTr="00E27D4E">
        <w:trPr>
          <w:trHeight w:val="420"/>
        </w:trPr>
        <w:tc>
          <w:tcPr>
            <w:tcW w:w="1656" w:type="dxa"/>
            <w:vAlign w:val="center"/>
          </w:tcPr>
          <w:p w14:paraId="0F0FDE0B"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Water body</w:t>
            </w:r>
          </w:p>
        </w:tc>
        <w:tc>
          <w:tcPr>
            <w:tcW w:w="1657" w:type="dxa"/>
            <w:vAlign w:val="center"/>
          </w:tcPr>
          <w:p w14:paraId="6EC5FDAC"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1733.01</w:t>
            </w:r>
          </w:p>
        </w:tc>
        <w:tc>
          <w:tcPr>
            <w:tcW w:w="1657" w:type="dxa"/>
            <w:vAlign w:val="center"/>
          </w:tcPr>
          <w:p w14:paraId="3CA199BC"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2.41%</w:t>
            </w:r>
          </w:p>
        </w:tc>
        <w:tc>
          <w:tcPr>
            <w:tcW w:w="1657" w:type="dxa"/>
            <w:vAlign w:val="center"/>
          </w:tcPr>
          <w:p w14:paraId="1E938AA7"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Water body</w:t>
            </w:r>
          </w:p>
        </w:tc>
      </w:tr>
      <w:tr w:rsidR="00E27D4E" w:rsidRPr="00E27D4E" w14:paraId="4DA65C8E" w14:textId="77777777" w:rsidTr="00E27D4E">
        <w:trPr>
          <w:trHeight w:val="420"/>
        </w:trPr>
        <w:tc>
          <w:tcPr>
            <w:tcW w:w="1656" w:type="dxa"/>
            <w:vAlign w:val="center"/>
          </w:tcPr>
          <w:p w14:paraId="7ADC3268"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Vegetation</w:t>
            </w:r>
          </w:p>
        </w:tc>
        <w:tc>
          <w:tcPr>
            <w:tcW w:w="1657" w:type="dxa"/>
            <w:vAlign w:val="center"/>
          </w:tcPr>
          <w:p w14:paraId="6C86AEAC"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7193.74</w:t>
            </w:r>
          </w:p>
        </w:tc>
        <w:tc>
          <w:tcPr>
            <w:tcW w:w="1657" w:type="dxa"/>
            <w:vAlign w:val="center"/>
          </w:tcPr>
          <w:p w14:paraId="05E7F619"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9.99%</w:t>
            </w:r>
          </w:p>
        </w:tc>
        <w:tc>
          <w:tcPr>
            <w:tcW w:w="1657" w:type="dxa"/>
            <w:vAlign w:val="center"/>
          </w:tcPr>
          <w:p w14:paraId="2ED8C911"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Vegetation</w:t>
            </w:r>
          </w:p>
        </w:tc>
      </w:tr>
      <w:tr w:rsidR="00E27D4E" w:rsidRPr="00E27D4E" w14:paraId="2615FF10" w14:textId="77777777" w:rsidTr="00E27D4E">
        <w:trPr>
          <w:trHeight w:val="420"/>
        </w:trPr>
        <w:tc>
          <w:tcPr>
            <w:tcW w:w="1656" w:type="dxa"/>
            <w:vAlign w:val="center"/>
          </w:tcPr>
          <w:p w14:paraId="02398317"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Crop land</w:t>
            </w:r>
          </w:p>
        </w:tc>
        <w:tc>
          <w:tcPr>
            <w:tcW w:w="1657" w:type="dxa"/>
            <w:vAlign w:val="center"/>
          </w:tcPr>
          <w:p w14:paraId="7366B21D"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15575.69</w:t>
            </w:r>
          </w:p>
        </w:tc>
        <w:tc>
          <w:tcPr>
            <w:tcW w:w="1657" w:type="dxa"/>
            <w:vAlign w:val="center"/>
          </w:tcPr>
          <w:p w14:paraId="45CBFB8C"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21.62%</w:t>
            </w:r>
          </w:p>
        </w:tc>
        <w:tc>
          <w:tcPr>
            <w:tcW w:w="1657" w:type="dxa"/>
            <w:vAlign w:val="center"/>
          </w:tcPr>
          <w:p w14:paraId="3D7E01C0"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Crop land</w:t>
            </w:r>
          </w:p>
        </w:tc>
      </w:tr>
      <w:tr w:rsidR="00E27D4E" w:rsidRPr="00E27D4E" w14:paraId="200650B6" w14:textId="77777777" w:rsidTr="00E27D4E">
        <w:trPr>
          <w:trHeight w:val="420"/>
        </w:trPr>
        <w:tc>
          <w:tcPr>
            <w:tcW w:w="1656" w:type="dxa"/>
            <w:vAlign w:val="center"/>
          </w:tcPr>
          <w:p w14:paraId="34E6DA43"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Built up area</w:t>
            </w:r>
          </w:p>
        </w:tc>
        <w:tc>
          <w:tcPr>
            <w:tcW w:w="1657" w:type="dxa"/>
            <w:vAlign w:val="center"/>
          </w:tcPr>
          <w:p w14:paraId="175000D4"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783.89</w:t>
            </w:r>
          </w:p>
        </w:tc>
        <w:tc>
          <w:tcPr>
            <w:tcW w:w="1657" w:type="dxa"/>
            <w:vAlign w:val="center"/>
          </w:tcPr>
          <w:p w14:paraId="733C793D"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1.09%</w:t>
            </w:r>
          </w:p>
        </w:tc>
        <w:tc>
          <w:tcPr>
            <w:tcW w:w="1657" w:type="dxa"/>
            <w:vAlign w:val="center"/>
          </w:tcPr>
          <w:p w14:paraId="72040A26"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Built up area</w:t>
            </w:r>
          </w:p>
        </w:tc>
      </w:tr>
      <w:tr w:rsidR="00E27D4E" w:rsidRPr="00E27D4E" w14:paraId="59528A57" w14:textId="77777777" w:rsidTr="00E27D4E">
        <w:trPr>
          <w:trHeight w:val="441"/>
        </w:trPr>
        <w:tc>
          <w:tcPr>
            <w:tcW w:w="1656" w:type="dxa"/>
            <w:vAlign w:val="center"/>
          </w:tcPr>
          <w:p w14:paraId="2D53282A"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Bare surface</w:t>
            </w:r>
          </w:p>
        </w:tc>
        <w:tc>
          <w:tcPr>
            <w:tcW w:w="1657" w:type="dxa"/>
            <w:vAlign w:val="center"/>
          </w:tcPr>
          <w:p w14:paraId="6A38A920"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46747.00</w:t>
            </w:r>
          </w:p>
        </w:tc>
        <w:tc>
          <w:tcPr>
            <w:tcW w:w="1657" w:type="dxa"/>
            <w:vAlign w:val="center"/>
          </w:tcPr>
          <w:p w14:paraId="1ABD109C"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64.90%</w:t>
            </w:r>
          </w:p>
        </w:tc>
        <w:tc>
          <w:tcPr>
            <w:tcW w:w="1657" w:type="dxa"/>
            <w:vAlign w:val="center"/>
          </w:tcPr>
          <w:p w14:paraId="6232FE4C"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Bare surface</w:t>
            </w:r>
          </w:p>
        </w:tc>
      </w:tr>
    </w:tbl>
    <w:p w14:paraId="4E92188D" w14:textId="1B670380"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Table </w:t>
      </w:r>
      <w:r w:rsidR="00E27D4E">
        <w:rPr>
          <w:b/>
          <w:bCs/>
          <w:noProof/>
          <w:color w:val="000000" w:themeColor="text1"/>
          <w:sz w:val="22"/>
          <w:szCs w:val="22"/>
          <w:shd w:val="clear" w:color="auto" w:fill="FFFFFF"/>
        </w:rPr>
        <w:t>2</w:t>
      </w:r>
      <w:r w:rsidRPr="00E27D4E">
        <w:rPr>
          <w:b/>
          <w:bCs/>
          <w:noProof/>
          <w:color w:val="000000" w:themeColor="text1"/>
          <w:sz w:val="22"/>
          <w:szCs w:val="22"/>
          <w:shd w:val="clear" w:color="auto" w:fill="FFFFFF"/>
        </w:rPr>
        <w:t>: Statistical Analysis of the land use land cover map of Niger State</w:t>
      </w:r>
    </w:p>
    <w:p w14:paraId="55C4B71B"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lang w:val="en-IN" w:eastAsia="en-IN"/>
        </w:rPr>
        <w:lastRenderedPageBreak/>
        <w:drawing>
          <wp:inline distT="0" distB="0" distL="114300" distR="114300" wp14:anchorId="433E518A" wp14:editId="47DEBB7D">
            <wp:extent cx="4481830" cy="2529205"/>
            <wp:effectExtent l="0" t="0" r="13970" b="4445"/>
            <wp:docPr id="19267965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bookmarkEnd w:id="22"/>
    <w:p w14:paraId="76B1777F" w14:textId="003F753F"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E27D4E">
        <w:rPr>
          <w:b/>
          <w:bCs/>
          <w:noProof/>
          <w:color w:val="000000" w:themeColor="text1"/>
          <w:sz w:val="22"/>
          <w:szCs w:val="22"/>
          <w:shd w:val="clear" w:color="auto" w:fill="FFFFFF"/>
        </w:rPr>
        <w:t>4</w:t>
      </w:r>
      <w:r w:rsidRPr="00E27D4E">
        <w:rPr>
          <w:b/>
          <w:bCs/>
          <w:noProof/>
          <w:color w:val="000000" w:themeColor="text1"/>
          <w:sz w:val="22"/>
          <w:szCs w:val="22"/>
          <w:shd w:val="clear" w:color="auto" w:fill="FFFFFF"/>
        </w:rPr>
        <w:t>: Land use land cover chart of Niger State showing percentage cover</w:t>
      </w:r>
    </w:p>
    <w:p w14:paraId="11424A89" w14:textId="77777777" w:rsidR="005A4697" w:rsidRPr="00E27D4E" w:rsidRDefault="005A4697" w:rsidP="00E27D4E">
      <w:pPr>
        <w:pStyle w:val="NormalWeb"/>
        <w:jc w:val="both"/>
        <w:rPr>
          <w:noProof/>
          <w:color w:val="000000" w:themeColor="text1"/>
          <w:sz w:val="22"/>
          <w:szCs w:val="22"/>
          <w:shd w:val="clear" w:color="auto" w:fill="FFFFFF"/>
        </w:rPr>
      </w:pPr>
    </w:p>
    <w:p w14:paraId="19E63C8F" w14:textId="77777777"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lang w:val="en-IN" w:eastAsia="en-IN"/>
        </w:rPr>
        <w:drawing>
          <wp:inline distT="0" distB="0" distL="0" distR="0" wp14:anchorId="2D33257C" wp14:editId="2D5E78E2">
            <wp:extent cx="4010025" cy="3007741"/>
            <wp:effectExtent l="0" t="0" r="0" b="2540"/>
            <wp:docPr id="1043396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8980" cy="3014458"/>
                    </a:xfrm>
                    <a:prstGeom prst="rect">
                      <a:avLst/>
                    </a:prstGeom>
                    <a:noFill/>
                    <a:ln>
                      <a:noFill/>
                    </a:ln>
                  </pic:spPr>
                </pic:pic>
              </a:graphicData>
            </a:graphic>
          </wp:inline>
        </w:drawing>
      </w:r>
    </w:p>
    <w:p w14:paraId="30AE01A8" w14:textId="3C9554F0"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E27D4E">
        <w:rPr>
          <w:b/>
          <w:bCs/>
          <w:noProof/>
          <w:color w:val="000000" w:themeColor="text1"/>
          <w:sz w:val="22"/>
          <w:szCs w:val="22"/>
          <w:shd w:val="clear" w:color="auto" w:fill="FFFFFF"/>
        </w:rPr>
        <w:t>5</w:t>
      </w:r>
      <w:r w:rsidRPr="00E27D4E">
        <w:rPr>
          <w:b/>
          <w:bCs/>
          <w:noProof/>
          <w:color w:val="000000" w:themeColor="text1"/>
          <w:sz w:val="22"/>
          <w:szCs w:val="22"/>
          <w:shd w:val="clear" w:color="auto" w:fill="FFFFFF"/>
        </w:rPr>
        <w:t xml:space="preserve">: Study Area Map of Borgo Local Government showing proposed site for Green Hydrogen Energy </w:t>
      </w:r>
    </w:p>
    <w:p w14:paraId="482F46F3" w14:textId="1E825D5B" w:rsidR="005A4697" w:rsidRPr="00E27D4E" w:rsidRDefault="005A4697" w:rsidP="00E27D4E">
      <w:pPr>
        <w:spacing w:line="240" w:lineRule="auto"/>
        <w:jc w:val="both"/>
        <w:rPr>
          <w:rFonts w:ascii="Times New Roman" w:hAnsi="Times New Roman" w:cs="Times New Roman"/>
          <w:noProof/>
          <w:color w:val="000000" w:themeColor="text1"/>
          <w:sz w:val="22"/>
          <w:szCs w:val="22"/>
          <w:shd w:val="clear" w:color="auto" w:fill="FFFFFF"/>
        </w:rPr>
      </w:pPr>
      <w:r w:rsidRPr="00E27D4E">
        <w:rPr>
          <w:rFonts w:ascii="Times New Roman" w:hAnsi="Times New Roman" w:cs="Times New Roman"/>
          <w:noProof/>
          <w:color w:val="000000" w:themeColor="text1"/>
          <w:sz w:val="22"/>
          <w:szCs w:val="22"/>
          <w:shd w:val="clear" w:color="auto" w:fill="FFFFFF"/>
        </w:rPr>
        <w:t>The map above shows the proposed site for green hydrogen energy in Borgu local government area of Niger State. Five locations where picked which meets the main criteria for green hydrogen site selection which is water body. The longitude and latitude of these locations are shown in the table below for easy identification of the specific areas.</w:t>
      </w:r>
    </w:p>
    <w:p w14:paraId="5EDBDC23" w14:textId="77777777" w:rsidR="005A4697" w:rsidRPr="00E27D4E" w:rsidRDefault="005A4697" w:rsidP="00E27D4E">
      <w:pPr>
        <w:pStyle w:val="NormalWeb"/>
        <w:jc w:val="both"/>
        <w:rPr>
          <w:b/>
          <w:bCs/>
          <w:noProof/>
          <w:color w:val="000000" w:themeColor="text1"/>
          <w:sz w:val="22"/>
          <w:szCs w:val="22"/>
          <w:shd w:val="clear" w:color="auto" w:fill="FFFFFF"/>
        </w:rPr>
      </w:pPr>
    </w:p>
    <w:p w14:paraId="33991304" w14:textId="77777777" w:rsidR="005A4697" w:rsidRDefault="005A4697" w:rsidP="00E27D4E">
      <w:pPr>
        <w:pStyle w:val="NormalWeb"/>
        <w:jc w:val="both"/>
        <w:rPr>
          <w:b/>
          <w:bCs/>
          <w:noProof/>
          <w:color w:val="000000" w:themeColor="text1"/>
          <w:sz w:val="22"/>
          <w:szCs w:val="22"/>
          <w:shd w:val="clear" w:color="auto" w:fill="FFFFFF"/>
        </w:rPr>
      </w:pPr>
    </w:p>
    <w:p w14:paraId="0710AEC6" w14:textId="77777777" w:rsidR="00473597" w:rsidRPr="00E27D4E" w:rsidRDefault="00473597" w:rsidP="00E27D4E">
      <w:pPr>
        <w:pStyle w:val="NormalWeb"/>
        <w:jc w:val="both"/>
        <w:rPr>
          <w:b/>
          <w:bCs/>
          <w:noProof/>
          <w:color w:val="000000" w:themeColor="text1"/>
          <w:sz w:val="22"/>
          <w:szCs w:val="22"/>
          <w:shd w:val="clear" w:color="auto" w:fill="FFFFFF"/>
        </w:rPr>
      </w:pPr>
    </w:p>
    <w:tbl>
      <w:tblPr>
        <w:tblStyle w:val="TableGrid"/>
        <w:tblW w:w="0" w:type="auto"/>
        <w:tblLook w:val="04A0" w:firstRow="1" w:lastRow="0" w:firstColumn="1" w:lastColumn="0" w:noHBand="0" w:noVBand="1"/>
      </w:tblPr>
      <w:tblGrid>
        <w:gridCol w:w="3005"/>
        <w:gridCol w:w="3005"/>
        <w:gridCol w:w="3006"/>
      </w:tblGrid>
      <w:tr w:rsidR="00E27D4E" w:rsidRPr="00E27D4E" w14:paraId="791886D7" w14:textId="77777777" w:rsidTr="00391DD5">
        <w:tc>
          <w:tcPr>
            <w:tcW w:w="3005" w:type="dxa"/>
          </w:tcPr>
          <w:p w14:paraId="127B544D" w14:textId="77777777" w:rsidR="005A4697" w:rsidRPr="00E27D4E" w:rsidRDefault="005A4697" w:rsidP="00E27D4E">
            <w:pPr>
              <w:pStyle w:val="NormalWeb"/>
              <w:rPr>
                <w:b/>
                <w:bCs/>
                <w:noProof/>
                <w:color w:val="000000" w:themeColor="text1"/>
                <w:sz w:val="22"/>
                <w:szCs w:val="22"/>
                <w:shd w:val="clear" w:color="auto" w:fill="FFFFFF"/>
              </w:rPr>
            </w:pPr>
            <w:r w:rsidRPr="00E27D4E">
              <w:rPr>
                <w:b/>
                <w:bCs/>
                <w:noProof/>
                <w:color w:val="000000" w:themeColor="text1"/>
                <w:sz w:val="22"/>
                <w:szCs w:val="22"/>
                <w:shd w:val="clear" w:color="auto" w:fill="FFFFFF"/>
              </w:rPr>
              <w:lastRenderedPageBreak/>
              <w:t>Location</w:t>
            </w:r>
          </w:p>
        </w:tc>
        <w:tc>
          <w:tcPr>
            <w:tcW w:w="3005" w:type="dxa"/>
          </w:tcPr>
          <w:p w14:paraId="205DCB44" w14:textId="77777777" w:rsidR="005A4697" w:rsidRPr="00E27D4E" w:rsidRDefault="005A4697" w:rsidP="00E27D4E">
            <w:pPr>
              <w:pStyle w:val="NormalWeb"/>
              <w:rPr>
                <w:b/>
                <w:bCs/>
                <w:noProof/>
                <w:color w:val="000000" w:themeColor="text1"/>
                <w:sz w:val="22"/>
                <w:szCs w:val="22"/>
                <w:shd w:val="clear" w:color="auto" w:fill="FFFFFF"/>
              </w:rPr>
            </w:pPr>
            <w:r w:rsidRPr="00E27D4E">
              <w:rPr>
                <w:b/>
                <w:bCs/>
                <w:noProof/>
                <w:color w:val="000000" w:themeColor="text1"/>
                <w:sz w:val="22"/>
                <w:szCs w:val="22"/>
                <w:shd w:val="clear" w:color="auto" w:fill="FFFFFF"/>
              </w:rPr>
              <w:t>Longitude</w:t>
            </w:r>
          </w:p>
        </w:tc>
        <w:tc>
          <w:tcPr>
            <w:tcW w:w="3006" w:type="dxa"/>
          </w:tcPr>
          <w:p w14:paraId="494BB982" w14:textId="77777777" w:rsidR="005A4697" w:rsidRPr="00E27D4E" w:rsidRDefault="005A4697" w:rsidP="00E27D4E">
            <w:pPr>
              <w:pStyle w:val="NormalWeb"/>
              <w:rPr>
                <w:b/>
                <w:bCs/>
                <w:noProof/>
                <w:color w:val="000000" w:themeColor="text1"/>
                <w:sz w:val="22"/>
                <w:szCs w:val="22"/>
                <w:shd w:val="clear" w:color="auto" w:fill="FFFFFF"/>
              </w:rPr>
            </w:pPr>
            <w:r w:rsidRPr="00E27D4E">
              <w:rPr>
                <w:b/>
                <w:bCs/>
                <w:noProof/>
                <w:color w:val="000000" w:themeColor="text1"/>
                <w:sz w:val="22"/>
                <w:szCs w:val="22"/>
                <w:shd w:val="clear" w:color="auto" w:fill="FFFFFF"/>
              </w:rPr>
              <w:t>Latitude</w:t>
            </w:r>
          </w:p>
        </w:tc>
      </w:tr>
      <w:tr w:rsidR="00E27D4E" w:rsidRPr="00E27D4E" w14:paraId="10CC1A9B" w14:textId="77777777" w:rsidTr="00391DD5">
        <w:tc>
          <w:tcPr>
            <w:tcW w:w="3005" w:type="dxa"/>
          </w:tcPr>
          <w:p w14:paraId="3CF9E569"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1</w:t>
            </w:r>
          </w:p>
        </w:tc>
        <w:tc>
          <w:tcPr>
            <w:tcW w:w="3005" w:type="dxa"/>
          </w:tcPr>
          <w:p w14:paraId="59E2B7FF"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4.018</w:t>
            </w:r>
          </w:p>
        </w:tc>
        <w:tc>
          <w:tcPr>
            <w:tcW w:w="3006" w:type="dxa"/>
          </w:tcPr>
          <w:p w14:paraId="69B99D15"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10.783</w:t>
            </w:r>
          </w:p>
        </w:tc>
      </w:tr>
      <w:tr w:rsidR="00E27D4E" w:rsidRPr="00E27D4E" w14:paraId="3D5B2377" w14:textId="77777777" w:rsidTr="00391DD5">
        <w:tc>
          <w:tcPr>
            <w:tcW w:w="3005" w:type="dxa"/>
          </w:tcPr>
          <w:p w14:paraId="012555F9"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2</w:t>
            </w:r>
          </w:p>
        </w:tc>
        <w:tc>
          <w:tcPr>
            <w:tcW w:w="3005" w:type="dxa"/>
          </w:tcPr>
          <w:p w14:paraId="105FE4A3"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4.21</w:t>
            </w:r>
          </w:p>
        </w:tc>
        <w:tc>
          <w:tcPr>
            <w:tcW w:w="3006" w:type="dxa"/>
          </w:tcPr>
          <w:p w14:paraId="49D2F704"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10.38</w:t>
            </w:r>
          </w:p>
        </w:tc>
      </w:tr>
      <w:tr w:rsidR="00E27D4E" w:rsidRPr="00E27D4E" w14:paraId="6224BE14" w14:textId="77777777" w:rsidTr="00391DD5">
        <w:tc>
          <w:tcPr>
            <w:tcW w:w="3005" w:type="dxa"/>
          </w:tcPr>
          <w:p w14:paraId="6C6C67A4"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3</w:t>
            </w:r>
          </w:p>
        </w:tc>
        <w:tc>
          <w:tcPr>
            <w:tcW w:w="3005" w:type="dxa"/>
          </w:tcPr>
          <w:p w14:paraId="15D0EF7F"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4.323</w:t>
            </w:r>
          </w:p>
        </w:tc>
        <w:tc>
          <w:tcPr>
            <w:tcW w:w="3006" w:type="dxa"/>
          </w:tcPr>
          <w:p w14:paraId="0B80AACA"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10.137</w:t>
            </w:r>
          </w:p>
        </w:tc>
      </w:tr>
      <w:tr w:rsidR="00E27D4E" w:rsidRPr="00E27D4E" w14:paraId="0E038D2D" w14:textId="77777777" w:rsidTr="00391DD5">
        <w:tc>
          <w:tcPr>
            <w:tcW w:w="3005" w:type="dxa"/>
          </w:tcPr>
          <w:p w14:paraId="369CF609"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4</w:t>
            </w:r>
          </w:p>
        </w:tc>
        <w:tc>
          <w:tcPr>
            <w:tcW w:w="3005" w:type="dxa"/>
          </w:tcPr>
          <w:p w14:paraId="3E9778E8"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4.511</w:t>
            </w:r>
          </w:p>
        </w:tc>
        <w:tc>
          <w:tcPr>
            <w:tcW w:w="3006" w:type="dxa"/>
          </w:tcPr>
          <w:p w14:paraId="54063A9D"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9.549</w:t>
            </w:r>
          </w:p>
        </w:tc>
      </w:tr>
      <w:tr w:rsidR="00E27D4E" w:rsidRPr="00E27D4E" w14:paraId="56E48217" w14:textId="77777777" w:rsidTr="00391DD5">
        <w:tc>
          <w:tcPr>
            <w:tcW w:w="3005" w:type="dxa"/>
          </w:tcPr>
          <w:p w14:paraId="394BBFA7"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5</w:t>
            </w:r>
          </w:p>
        </w:tc>
        <w:tc>
          <w:tcPr>
            <w:tcW w:w="3005" w:type="dxa"/>
          </w:tcPr>
          <w:p w14:paraId="2A044E60"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4.487</w:t>
            </w:r>
          </w:p>
        </w:tc>
        <w:tc>
          <w:tcPr>
            <w:tcW w:w="3006" w:type="dxa"/>
          </w:tcPr>
          <w:p w14:paraId="023F7126"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9.884</w:t>
            </w:r>
          </w:p>
        </w:tc>
      </w:tr>
    </w:tbl>
    <w:p w14:paraId="175F8A8C" w14:textId="34891C72" w:rsidR="005A4697" w:rsidRPr="00E27D4E" w:rsidRDefault="005A4697" w:rsidP="00E27D4E">
      <w:pPr>
        <w:pStyle w:val="NormalWeb"/>
        <w:jc w:val="both"/>
        <w:rPr>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Table </w:t>
      </w:r>
      <w:r w:rsidR="00E27D4E">
        <w:rPr>
          <w:b/>
          <w:bCs/>
          <w:noProof/>
          <w:color w:val="000000" w:themeColor="text1"/>
          <w:sz w:val="22"/>
          <w:szCs w:val="22"/>
          <w:shd w:val="clear" w:color="auto" w:fill="FFFFFF"/>
        </w:rPr>
        <w:t>3</w:t>
      </w:r>
      <w:r w:rsidRPr="00E27D4E">
        <w:rPr>
          <w:b/>
          <w:bCs/>
          <w:noProof/>
          <w:color w:val="000000" w:themeColor="text1"/>
          <w:sz w:val="22"/>
          <w:szCs w:val="22"/>
          <w:shd w:val="clear" w:color="auto" w:fill="FFFFFF"/>
        </w:rPr>
        <w:t>: Table showing longitude and latitude of proposed green hydrogen sites in Borgu local government area</w:t>
      </w:r>
      <w:r w:rsidRPr="00E27D4E">
        <w:rPr>
          <w:noProof/>
          <w:color w:val="000000" w:themeColor="text1"/>
          <w:sz w:val="22"/>
          <w:szCs w:val="22"/>
          <w:shd w:val="clear" w:color="auto" w:fill="FFFFFF"/>
        </w:rPr>
        <w:t>.</w:t>
      </w:r>
    </w:p>
    <w:p w14:paraId="4752CD56"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shd w:val="clear" w:color="auto" w:fill="FFFFFF"/>
          <w:lang w:val="en-IN" w:eastAsia="en-IN"/>
        </w:rPr>
        <w:drawing>
          <wp:inline distT="0" distB="0" distL="0" distR="0" wp14:anchorId="486C1F44" wp14:editId="3C3DE3F1">
            <wp:extent cx="4048125" cy="3036318"/>
            <wp:effectExtent l="0" t="0" r="0" b="0"/>
            <wp:docPr id="18223074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4872" cy="3041379"/>
                    </a:xfrm>
                    <a:prstGeom prst="rect">
                      <a:avLst/>
                    </a:prstGeom>
                    <a:noFill/>
                    <a:ln>
                      <a:noFill/>
                    </a:ln>
                  </pic:spPr>
                </pic:pic>
              </a:graphicData>
            </a:graphic>
          </wp:inline>
        </w:drawing>
      </w:r>
    </w:p>
    <w:p w14:paraId="4E9C4A16" w14:textId="45262F36"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E27D4E">
        <w:rPr>
          <w:b/>
          <w:bCs/>
          <w:noProof/>
          <w:color w:val="000000" w:themeColor="text1"/>
          <w:sz w:val="22"/>
          <w:szCs w:val="22"/>
          <w:shd w:val="clear" w:color="auto" w:fill="FFFFFF"/>
        </w:rPr>
        <w:t>6</w:t>
      </w:r>
      <w:r w:rsidRPr="00E27D4E">
        <w:rPr>
          <w:b/>
          <w:bCs/>
          <w:noProof/>
          <w:color w:val="000000" w:themeColor="text1"/>
          <w:sz w:val="22"/>
          <w:szCs w:val="22"/>
          <w:shd w:val="clear" w:color="auto" w:fill="FFFFFF"/>
        </w:rPr>
        <w:t>: Map showing land use land cover of Borgu local Government</w:t>
      </w:r>
    </w:p>
    <w:p w14:paraId="5CD312C5"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shd w:val="clear" w:color="auto" w:fill="FFFFFF"/>
        </w:rPr>
        <w:t>The map above shows the various land use classes in Borgu local government area in Niger state. Land use classes include water body, vegetation, crop land, built up area and bare surface. Below is a table showing the area per square meter and percentage cover of the various land use classes.</w:t>
      </w:r>
    </w:p>
    <w:tbl>
      <w:tblPr>
        <w:tblStyle w:val="TableGrid"/>
        <w:tblW w:w="8538" w:type="dxa"/>
        <w:tblLook w:val="04A0" w:firstRow="1" w:lastRow="0" w:firstColumn="1" w:lastColumn="0" w:noHBand="0" w:noVBand="1"/>
      </w:tblPr>
      <w:tblGrid>
        <w:gridCol w:w="2134"/>
        <w:gridCol w:w="2134"/>
        <w:gridCol w:w="2135"/>
        <w:gridCol w:w="2135"/>
      </w:tblGrid>
      <w:tr w:rsidR="00E27D4E" w:rsidRPr="00E27D4E" w14:paraId="7892C989" w14:textId="77777777" w:rsidTr="00391DD5">
        <w:trPr>
          <w:trHeight w:val="494"/>
        </w:trPr>
        <w:tc>
          <w:tcPr>
            <w:tcW w:w="2134" w:type="dxa"/>
          </w:tcPr>
          <w:p w14:paraId="2883F52C" w14:textId="77777777" w:rsidR="005A4697" w:rsidRPr="00E27D4E" w:rsidRDefault="005A4697" w:rsidP="00E27D4E">
            <w:pPr>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S/N</w:t>
            </w:r>
          </w:p>
        </w:tc>
        <w:tc>
          <w:tcPr>
            <w:tcW w:w="2134" w:type="dxa"/>
            <w:vAlign w:val="center"/>
          </w:tcPr>
          <w:p w14:paraId="69615826" w14:textId="77777777" w:rsidR="005A4697" w:rsidRPr="00E27D4E" w:rsidRDefault="005A4697" w:rsidP="00E27D4E">
            <w:pPr>
              <w:widowControl/>
              <w:textAlignment w:val="center"/>
              <w:rPr>
                <w:rFonts w:ascii="Times New Roman" w:hAnsi="Times New Roman" w:cs="Times New Roman"/>
                <w:b/>
                <w:bCs/>
                <w:color w:val="000000" w:themeColor="text1"/>
                <w:sz w:val="22"/>
                <w:szCs w:val="22"/>
              </w:rPr>
            </w:pPr>
            <w:r w:rsidRPr="00E27D4E">
              <w:rPr>
                <w:rFonts w:ascii="Times New Roman" w:eastAsia="SimSun" w:hAnsi="Times New Roman" w:cs="Times New Roman"/>
                <w:b/>
                <w:bCs/>
                <w:color w:val="000000" w:themeColor="text1"/>
                <w:sz w:val="22"/>
                <w:szCs w:val="22"/>
                <w:lang w:eastAsia="zh-CN" w:bidi="ar"/>
              </w:rPr>
              <w:t>Class</w:t>
            </w:r>
          </w:p>
        </w:tc>
        <w:tc>
          <w:tcPr>
            <w:tcW w:w="2135" w:type="dxa"/>
            <w:vAlign w:val="center"/>
          </w:tcPr>
          <w:p w14:paraId="567F885D" w14:textId="77777777" w:rsidR="005A4697" w:rsidRPr="00E27D4E" w:rsidRDefault="005A4697" w:rsidP="00E27D4E">
            <w:pPr>
              <w:widowControl/>
              <w:textAlignment w:val="center"/>
              <w:rPr>
                <w:rFonts w:ascii="Times New Roman" w:hAnsi="Times New Roman" w:cs="Times New Roman"/>
                <w:b/>
                <w:bCs/>
                <w:color w:val="000000" w:themeColor="text1"/>
                <w:sz w:val="22"/>
                <w:szCs w:val="22"/>
              </w:rPr>
            </w:pPr>
            <w:r w:rsidRPr="00E27D4E">
              <w:rPr>
                <w:rFonts w:ascii="Times New Roman" w:eastAsia="SimSun" w:hAnsi="Times New Roman" w:cs="Times New Roman"/>
                <w:b/>
                <w:bCs/>
                <w:color w:val="000000" w:themeColor="text1"/>
                <w:sz w:val="22"/>
                <w:szCs w:val="22"/>
                <w:lang w:eastAsia="zh-CN" w:bidi="ar"/>
              </w:rPr>
              <w:t>Area (Sqkm)</w:t>
            </w:r>
          </w:p>
        </w:tc>
        <w:tc>
          <w:tcPr>
            <w:tcW w:w="2135" w:type="dxa"/>
            <w:vAlign w:val="center"/>
          </w:tcPr>
          <w:p w14:paraId="759F3A76" w14:textId="77777777" w:rsidR="005A4697" w:rsidRPr="00E27D4E" w:rsidRDefault="005A4697" w:rsidP="00E27D4E">
            <w:pPr>
              <w:widowControl/>
              <w:textAlignment w:val="center"/>
              <w:rPr>
                <w:rFonts w:ascii="Times New Roman" w:hAnsi="Times New Roman" w:cs="Times New Roman"/>
                <w:b/>
                <w:bCs/>
                <w:color w:val="000000" w:themeColor="text1"/>
                <w:sz w:val="22"/>
                <w:szCs w:val="22"/>
              </w:rPr>
            </w:pPr>
            <w:r w:rsidRPr="00E27D4E">
              <w:rPr>
                <w:rFonts w:ascii="Times New Roman" w:eastAsia="SimSun" w:hAnsi="Times New Roman" w:cs="Times New Roman"/>
                <w:b/>
                <w:bCs/>
                <w:color w:val="000000" w:themeColor="text1"/>
                <w:sz w:val="22"/>
                <w:szCs w:val="22"/>
                <w:lang w:eastAsia="zh-CN" w:bidi="ar"/>
              </w:rPr>
              <w:t>Area(%)</w:t>
            </w:r>
          </w:p>
        </w:tc>
      </w:tr>
      <w:tr w:rsidR="00E27D4E" w:rsidRPr="00E27D4E" w14:paraId="07B3830B" w14:textId="77777777" w:rsidTr="00391DD5">
        <w:trPr>
          <w:trHeight w:val="494"/>
        </w:trPr>
        <w:tc>
          <w:tcPr>
            <w:tcW w:w="2134" w:type="dxa"/>
          </w:tcPr>
          <w:p w14:paraId="324A7299" w14:textId="77777777" w:rsidR="005A4697" w:rsidRPr="00E27D4E" w:rsidRDefault="005A4697" w:rsidP="00E27D4E">
            <w:pPr>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1</w:t>
            </w:r>
          </w:p>
        </w:tc>
        <w:tc>
          <w:tcPr>
            <w:tcW w:w="2134" w:type="dxa"/>
            <w:vAlign w:val="center"/>
          </w:tcPr>
          <w:p w14:paraId="6D1B2BB9"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Water body</w:t>
            </w:r>
          </w:p>
        </w:tc>
        <w:tc>
          <w:tcPr>
            <w:tcW w:w="2135" w:type="dxa"/>
            <w:vAlign w:val="center"/>
          </w:tcPr>
          <w:p w14:paraId="466957BC"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355.07</w:t>
            </w:r>
          </w:p>
        </w:tc>
        <w:tc>
          <w:tcPr>
            <w:tcW w:w="2135" w:type="dxa"/>
            <w:vAlign w:val="center"/>
          </w:tcPr>
          <w:p w14:paraId="5257A721"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3.16%</w:t>
            </w:r>
          </w:p>
        </w:tc>
      </w:tr>
      <w:tr w:rsidR="00E27D4E" w:rsidRPr="00E27D4E" w14:paraId="7AF94104" w14:textId="77777777" w:rsidTr="00391DD5">
        <w:trPr>
          <w:trHeight w:val="494"/>
        </w:trPr>
        <w:tc>
          <w:tcPr>
            <w:tcW w:w="2134" w:type="dxa"/>
          </w:tcPr>
          <w:p w14:paraId="0CB6FF9C" w14:textId="77777777" w:rsidR="005A4697" w:rsidRPr="00E27D4E" w:rsidRDefault="005A4697" w:rsidP="00E27D4E">
            <w:pPr>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2</w:t>
            </w:r>
          </w:p>
        </w:tc>
        <w:tc>
          <w:tcPr>
            <w:tcW w:w="2134" w:type="dxa"/>
            <w:vAlign w:val="center"/>
          </w:tcPr>
          <w:p w14:paraId="6378C981"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Vegetation</w:t>
            </w:r>
          </w:p>
        </w:tc>
        <w:tc>
          <w:tcPr>
            <w:tcW w:w="2135" w:type="dxa"/>
            <w:vAlign w:val="center"/>
          </w:tcPr>
          <w:p w14:paraId="2BD73ECB"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1577.78</w:t>
            </w:r>
          </w:p>
        </w:tc>
        <w:tc>
          <w:tcPr>
            <w:tcW w:w="2135" w:type="dxa"/>
            <w:vAlign w:val="center"/>
          </w:tcPr>
          <w:p w14:paraId="7B90BEEB"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14.03%</w:t>
            </w:r>
          </w:p>
        </w:tc>
      </w:tr>
      <w:tr w:rsidR="00E27D4E" w:rsidRPr="00E27D4E" w14:paraId="7889175C" w14:textId="77777777" w:rsidTr="00391DD5">
        <w:trPr>
          <w:trHeight w:val="494"/>
        </w:trPr>
        <w:tc>
          <w:tcPr>
            <w:tcW w:w="2134" w:type="dxa"/>
          </w:tcPr>
          <w:p w14:paraId="47403C33" w14:textId="77777777" w:rsidR="005A4697" w:rsidRPr="00E27D4E" w:rsidRDefault="005A4697" w:rsidP="00E27D4E">
            <w:pPr>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3</w:t>
            </w:r>
          </w:p>
        </w:tc>
        <w:tc>
          <w:tcPr>
            <w:tcW w:w="2134" w:type="dxa"/>
            <w:vAlign w:val="center"/>
          </w:tcPr>
          <w:p w14:paraId="06525336"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Crop land</w:t>
            </w:r>
          </w:p>
        </w:tc>
        <w:tc>
          <w:tcPr>
            <w:tcW w:w="2135" w:type="dxa"/>
            <w:vAlign w:val="center"/>
          </w:tcPr>
          <w:p w14:paraId="1F4EFA90"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589.62</w:t>
            </w:r>
          </w:p>
        </w:tc>
        <w:tc>
          <w:tcPr>
            <w:tcW w:w="2135" w:type="dxa"/>
            <w:vAlign w:val="center"/>
          </w:tcPr>
          <w:p w14:paraId="33EF25C7"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5.24%</w:t>
            </w:r>
          </w:p>
        </w:tc>
      </w:tr>
      <w:tr w:rsidR="00E27D4E" w:rsidRPr="00E27D4E" w14:paraId="515715F6" w14:textId="77777777" w:rsidTr="00391DD5">
        <w:trPr>
          <w:trHeight w:val="494"/>
        </w:trPr>
        <w:tc>
          <w:tcPr>
            <w:tcW w:w="2134" w:type="dxa"/>
          </w:tcPr>
          <w:p w14:paraId="3E521CFB" w14:textId="77777777" w:rsidR="005A4697" w:rsidRPr="00E27D4E" w:rsidRDefault="005A4697" w:rsidP="00E27D4E">
            <w:pPr>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4</w:t>
            </w:r>
          </w:p>
        </w:tc>
        <w:tc>
          <w:tcPr>
            <w:tcW w:w="2134" w:type="dxa"/>
            <w:vAlign w:val="center"/>
          </w:tcPr>
          <w:p w14:paraId="6F2EAD0F"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Built up area</w:t>
            </w:r>
          </w:p>
        </w:tc>
        <w:tc>
          <w:tcPr>
            <w:tcW w:w="2135" w:type="dxa"/>
            <w:vAlign w:val="center"/>
          </w:tcPr>
          <w:p w14:paraId="6CB21D85"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38.49</w:t>
            </w:r>
          </w:p>
        </w:tc>
        <w:tc>
          <w:tcPr>
            <w:tcW w:w="2135" w:type="dxa"/>
            <w:vAlign w:val="center"/>
          </w:tcPr>
          <w:p w14:paraId="082367F0"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0.34%</w:t>
            </w:r>
          </w:p>
        </w:tc>
      </w:tr>
      <w:tr w:rsidR="00E27D4E" w:rsidRPr="00E27D4E" w14:paraId="2408E704" w14:textId="77777777" w:rsidTr="00391DD5">
        <w:trPr>
          <w:trHeight w:val="494"/>
        </w:trPr>
        <w:tc>
          <w:tcPr>
            <w:tcW w:w="2134" w:type="dxa"/>
          </w:tcPr>
          <w:p w14:paraId="14F26BEA" w14:textId="77777777" w:rsidR="005A4697" w:rsidRPr="00E27D4E" w:rsidRDefault="005A4697" w:rsidP="00E27D4E">
            <w:pPr>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5</w:t>
            </w:r>
          </w:p>
        </w:tc>
        <w:tc>
          <w:tcPr>
            <w:tcW w:w="2134" w:type="dxa"/>
            <w:vAlign w:val="center"/>
          </w:tcPr>
          <w:p w14:paraId="3322B8EA"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Bare surface</w:t>
            </w:r>
          </w:p>
        </w:tc>
        <w:tc>
          <w:tcPr>
            <w:tcW w:w="2135" w:type="dxa"/>
            <w:vAlign w:val="center"/>
          </w:tcPr>
          <w:p w14:paraId="561CB8BB"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8684.91</w:t>
            </w:r>
          </w:p>
        </w:tc>
        <w:tc>
          <w:tcPr>
            <w:tcW w:w="2135" w:type="dxa"/>
            <w:vAlign w:val="center"/>
          </w:tcPr>
          <w:p w14:paraId="26E7C1F7"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77.23%</w:t>
            </w:r>
          </w:p>
        </w:tc>
      </w:tr>
      <w:tr w:rsidR="00E27D4E" w:rsidRPr="00E27D4E" w14:paraId="62A8EF96" w14:textId="77777777" w:rsidTr="00391DD5">
        <w:trPr>
          <w:trHeight w:val="512"/>
        </w:trPr>
        <w:tc>
          <w:tcPr>
            <w:tcW w:w="2134" w:type="dxa"/>
          </w:tcPr>
          <w:p w14:paraId="04934678" w14:textId="77777777" w:rsidR="005A4697" w:rsidRPr="00E27D4E" w:rsidRDefault="005A4697" w:rsidP="00E27D4E">
            <w:pPr>
              <w:rPr>
                <w:rFonts w:ascii="Times New Roman" w:hAnsi="Times New Roman" w:cs="Times New Roman"/>
                <w:color w:val="000000" w:themeColor="text1"/>
                <w:sz w:val="22"/>
                <w:szCs w:val="22"/>
              </w:rPr>
            </w:pPr>
          </w:p>
        </w:tc>
        <w:tc>
          <w:tcPr>
            <w:tcW w:w="2134" w:type="dxa"/>
            <w:vAlign w:val="center"/>
          </w:tcPr>
          <w:p w14:paraId="21031E0C"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Total</w:t>
            </w:r>
          </w:p>
        </w:tc>
        <w:tc>
          <w:tcPr>
            <w:tcW w:w="2135" w:type="dxa"/>
            <w:vAlign w:val="center"/>
          </w:tcPr>
          <w:p w14:paraId="0FA46B88"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11245.87</w:t>
            </w:r>
          </w:p>
        </w:tc>
        <w:tc>
          <w:tcPr>
            <w:tcW w:w="2135" w:type="dxa"/>
            <w:vAlign w:val="center"/>
          </w:tcPr>
          <w:p w14:paraId="31BE0A96"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100.00%</w:t>
            </w:r>
          </w:p>
        </w:tc>
      </w:tr>
    </w:tbl>
    <w:p w14:paraId="05FC3832" w14:textId="18480409"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Table </w:t>
      </w:r>
      <w:r w:rsidR="00E27D4E">
        <w:rPr>
          <w:b/>
          <w:bCs/>
          <w:noProof/>
          <w:color w:val="000000" w:themeColor="text1"/>
          <w:sz w:val="22"/>
          <w:szCs w:val="22"/>
          <w:shd w:val="clear" w:color="auto" w:fill="FFFFFF"/>
        </w:rPr>
        <w:t>4</w:t>
      </w:r>
      <w:r w:rsidRPr="00E27D4E">
        <w:rPr>
          <w:b/>
          <w:bCs/>
          <w:noProof/>
          <w:color w:val="000000" w:themeColor="text1"/>
          <w:sz w:val="22"/>
          <w:szCs w:val="22"/>
          <w:shd w:val="clear" w:color="auto" w:fill="FFFFFF"/>
        </w:rPr>
        <w:t>: Table showing the different land use classes and their areas per square meter and percentage cover</w:t>
      </w:r>
    </w:p>
    <w:p w14:paraId="38047C74" w14:textId="77777777" w:rsidR="005A4697" w:rsidRPr="00E27D4E" w:rsidRDefault="005A4697" w:rsidP="00E27D4E">
      <w:pPr>
        <w:pStyle w:val="NormalWeb"/>
        <w:jc w:val="both"/>
        <w:rPr>
          <w:b/>
          <w:bCs/>
          <w:noProof/>
          <w:color w:val="000000" w:themeColor="text1"/>
          <w:sz w:val="22"/>
          <w:szCs w:val="22"/>
          <w:shd w:val="clear" w:color="auto" w:fill="FFFFFF"/>
        </w:rPr>
      </w:pPr>
      <w:r w:rsidRPr="00E27D4E">
        <w:rPr>
          <w:noProof/>
          <w:color w:val="000000" w:themeColor="text1"/>
          <w:sz w:val="22"/>
          <w:szCs w:val="22"/>
          <w:lang w:val="en-IN" w:eastAsia="en-IN"/>
        </w:rPr>
        <w:lastRenderedPageBreak/>
        <w:drawing>
          <wp:inline distT="0" distB="0" distL="114300" distR="114300" wp14:anchorId="2DE36942" wp14:editId="0849CA8B">
            <wp:extent cx="4826000" cy="2743200"/>
            <wp:effectExtent l="4445" t="4445" r="8255" b="14605"/>
            <wp:docPr id="71671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274103" w14:textId="0598DF10"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21632D">
        <w:rPr>
          <w:b/>
          <w:bCs/>
          <w:noProof/>
          <w:color w:val="000000" w:themeColor="text1"/>
          <w:sz w:val="22"/>
          <w:szCs w:val="22"/>
          <w:shd w:val="clear" w:color="auto" w:fill="FFFFFF"/>
        </w:rPr>
        <w:t>7</w:t>
      </w:r>
      <w:r w:rsidRPr="00E27D4E">
        <w:rPr>
          <w:b/>
          <w:bCs/>
          <w:noProof/>
          <w:color w:val="000000" w:themeColor="text1"/>
          <w:sz w:val="22"/>
          <w:szCs w:val="22"/>
          <w:shd w:val="clear" w:color="auto" w:fill="FFFFFF"/>
        </w:rPr>
        <w:t>; Land use land cover chart of Borgu local government showing area per square meter</w:t>
      </w:r>
    </w:p>
    <w:p w14:paraId="3FF5E5E2" w14:textId="77777777" w:rsidR="005A4697" w:rsidRPr="00E27D4E" w:rsidRDefault="005A4697" w:rsidP="00E27D4E">
      <w:pPr>
        <w:pStyle w:val="NormalWeb"/>
        <w:jc w:val="both"/>
        <w:rPr>
          <w:b/>
          <w:bCs/>
          <w:noProof/>
          <w:color w:val="000000" w:themeColor="text1"/>
          <w:sz w:val="22"/>
          <w:szCs w:val="22"/>
          <w:shd w:val="clear" w:color="auto" w:fill="FFFFFF"/>
        </w:rPr>
      </w:pPr>
      <w:r w:rsidRPr="00E27D4E">
        <w:rPr>
          <w:noProof/>
          <w:color w:val="000000" w:themeColor="text1"/>
          <w:sz w:val="22"/>
          <w:szCs w:val="22"/>
          <w:lang w:val="en-IN" w:eastAsia="en-IN"/>
        </w:rPr>
        <w:drawing>
          <wp:inline distT="0" distB="0" distL="114300" distR="114300" wp14:anchorId="11EBE781" wp14:editId="221CEB66">
            <wp:extent cx="4826000" cy="2529205"/>
            <wp:effectExtent l="0" t="0" r="12700" b="4445"/>
            <wp:docPr id="124478960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80E81E" w14:textId="4ED4A17D"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21632D">
        <w:rPr>
          <w:b/>
          <w:bCs/>
          <w:noProof/>
          <w:color w:val="000000" w:themeColor="text1"/>
          <w:sz w:val="22"/>
          <w:szCs w:val="22"/>
          <w:shd w:val="clear" w:color="auto" w:fill="FFFFFF"/>
        </w:rPr>
        <w:t>8</w:t>
      </w:r>
      <w:r w:rsidRPr="00E27D4E">
        <w:rPr>
          <w:b/>
          <w:bCs/>
          <w:noProof/>
          <w:color w:val="000000" w:themeColor="text1"/>
          <w:sz w:val="22"/>
          <w:szCs w:val="22"/>
          <w:shd w:val="clear" w:color="auto" w:fill="FFFFFF"/>
        </w:rPr>
        <w:t>: Land use land cover chart of Borgu local government showing percentage cover.</w:t>
      </w:r>
    </w:p>
    <w:p w14:paraId="075598A6" w14:textId="77777777" w:rsidR="005A4697" w:rsidRPr="00E27D4E" w:rsidRDefault="005A4697" w:rsidP="00E27D4E">
      <w:pPr>
        <w:pStyle w:val="Heading1"/>
        <w:spacing w:line="240" w:lineRule="auto"/>
        <w:jc w:val="both"/>
        <w:rPr>
          <w:rFonts w:ascii="Times New Roman" w:hAnsi="Times New Roman" w:cs="Times New Roman"/>
          <w:b/>
          <w:bCs/>
          <w:noProof/>
          <w:color w:val="000000" w:themeColor="text1"/>
          <w:sz w:val="22"/>
          <w:szCs w:val="22"/>
          <w:shd w:val="clear" w:color="auto" w:fill="FFFFFF"/>
        </w:rPr>
      </w:pPr>
    </w:p>
    <w:p w14:paraId="68099E13" w14:textId="77777777"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lang w:val="en-IN" w:eastAsia="en-IN"/>
        </w:rPr>
        <w:drawing>
          <wp:inline distT="0" distB="0" distL="0" distR="0" wp14:anchorId="4A7F6FFC" wp14:editId="58C94D7F">
            <wp:extent cx="3822417" cy="2867025"/>
            <wp:effectExtent l="0" t="0" r="6985" b="0"/>
            <wp:docPr id="11329057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5819" cy="2877077"/>
                    </a:xfrm>
                    <a:prstGeom prst="rect">
                      <a:avLst/>
                    </a:prstGeom>
                    <a:noFill/>
                    <a:ln>
                      <a:noFill/>
                    </a:ln>
                  </pic:spPr>
                </pic:pic>
              </a:graphicData>
            </a:graphic>
          </wp:inline>
        </w:drawing>
      </w:r>
    </w:p>
    <w:p w14:paraId="54023178" w14:textId="768B0C36"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21632D">
        <w:rPr>
          <w:b/>
          <w:bCs/>
          <w:noProof/>
          <w:color w:val="000000" w:themeColor="text1"/>
          <w:sz w:val="22"/>
          <w:szCs w:val="22"/>
          <w:shd w:val="clear" w:color="auto" w:fill="FFFFFF"/>
        </w:rPr>
        <w:t>9</w:t>
      </w:r>
      <w:r w:rsidRPr="00E27D4E">
        <w:rPr>
          <w:b/>
          <w:bCs/>
          <w:noProof/>
          <w:color w:val="000000" w:themeColor="text1"/>
          <w:sz w:val="22"/>
          <w:szCs w:val="22"/>
          <w:shd w:val="clear" w:color="auto" w:fill="FFFFFF"/>
        </w:rPr>
        <w:t>: Map showing distance to road networks in Niger State</w:t>
      </w:r>
    </w:p>
    <w:p w14:paraId="73309804"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shd w:val="clear" w:color="auto" w:fill="FFFFFF"/>
        </w:rPr>
        <w:t>The map above shows distance to road networks across Niger state. The value for distance to road are in meters and are displayed on the map. We can see that Borgu local government has close proximity to road, which meets up with a very good criteria for green hydrogen site selection, for easy transportation of products.</w:t>
      </w:r>
    </w:p>
    <w:p w14:paraId="2A44BFF9" w14:textId="77777777" w:rsidR="005A4697" w:rsidRPr="00E27D4E" w:rsidRDefault="005A4697" w:rsidP="00E27D4E">
      <w:pPr>
        <w:pStyle w:val="NormalWeb"/>
        <w:jc w:val="both"/>
        <w:rPr>
          <w:b/>
          <w:bCs/>
          <w:noProof/>
          <w:color w:val="000000" w:themeColor="text1"/>
          <w:sz w:val="22"/>
          <w:szCs w:val="22"/>
          <w:shd w:val="clear" w:color="auto" w:fill="FFFFFF"/>
        </w:rPr>
      </w:pPr>
      <w:r w:rsidRPr="00E27D4E">
        <w:rPr>
          <w:noProof/>
          <w:color w:val="000000" w:themeColor="text1"/>
          <w:sz w:val="22"/>
          <w:szCs w:val="22"/>
          <w:lang w:val="en-IN" w:eastAsia="en-IN"/>
        </w:rPr>
        <w:drawing>
          <wp:inline distT="0" distB="0" distL="114300" distR="114300" wp14:anchorId="65F5BECE" wp14:editId="2EB7909E">
            <wp:extent cx="3682704" cy="2762250"/>
            <wp:effectExtent l="0" t="0" r="0" b="0"/>
            <wp:docPr id="1836705957" name="Picture 1836705957" descr="POP 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OP DENS"/>
                    <pic:cNvPicPr>
                      <a:picLocks noChangeAspect="1"/>
                    </pic:cNvPicPr>
                  </pic:nvPicPr>
                  <pic:blipFill>
                    <a:blip r:embed="rId19"/>
                    <a:stretch>
                      <a:fillRect/>
                    </a:stretch>
                  </pic:blipFill>
                  <pic:spPr>
                    <a:xfrm>
                      <a:off x="0" y="0"/>
                      <a:ext cx="3690166" cy="2767847"/>
                    </a:xfrm>
                    <a:prstGeom prst="rect">
                      <a:avLst/>
                    </a:prstGeom>
                  </pic:spPr>
                </pic:pic>
              </a:graphicData>
            </a:graphic>
          </wp:inline>
        </w:drawing>
      </w:r>
    </w:p>
    <w:p w14:paraId="2A858A4D" w14:textId="702D88E8"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21632D">
        <w:rPr>
          <w:b/>
          <w:bCs/>
          <w:noProof/>
          <w:color w:val="000000" w:themeColor="text1"/>
          <w:sz w:val="22"/>
          <w:szCs w:val="22"/>
          <w:shd w:val="clear" w:color="auto" w:fill="FFFFFF"/>
        </w:rPr>
        <w:t>10</w:t>
      </w:r>
      <w:r w:rsidRPr="00E27D4E">
        <w:rPr>
          <w:b/>
          <w:bCs/>
          <w:noProof/>
          <w:color w:val="000000" w:themeColor="text1"/>
          <w:sz w:val="22"/>
          <w:szCs w:val="22"/>
          <w:shd w:val="clear" w:color="auto" w:fill="FFFFFF"/>
        </w:rPr>
        <w:t>: Map showing Population density of Niger state</w:t>
      </w:r>
    </w:p>
    <w:p w14:paraId="60177374"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shd w:val="clear" w:color="auto" w:fill="FFFFFF"/>
        </w:rPr>
        <w:t>The map above shows the population density of Niger state. Niger state comprises of areas of very low, low, moderate, high and very high population density. Borgo local government which is our selected site also comprises of very low, low, moderate, high and very high population density.</w:t>
      </w:r>
    </w:p>
    <w:p w14:paraId="7EB50DEA" w14:textId="77777777" w:rsidR="005A4697" w:rsidRPr="00E27D4E" w:rsidRDefault="005A4697" w:rsidP="00E27D4E">
      <w:pPr>
        <w:pStyle w:val="NormalWeb"/>
        <w:jc w:val="both"/>
        <w:rPr>
          <w:noProof/>
          <w:color w:val="000000" w:themeColor="text1"/>
          <w:sz w:val="22"/>
          <w:szCs w:val="22"/>
          <w:shd w:val="clear" w:color="auto" w:fill="FFFFFF"/>
        </w:rPr>
      </w:pPr>
    </w:p>
    <w:p w14:paraId="02E3D5FA" w14:textId="77777777" w:rsidR="005A4697" w:rsidRPr="00E27D4E" w:rsidRDefault="005A4697" w:rsidP="00E27D4E">
      <w:pPr>
        <w:pStyle w:val="NormalWeb"/>
        <w:jc w:val="both"/>
        <w:rPr>
          <w:b/>
          <w:bCs/>
          <w:noProof/>
          <w:color w:val="000000" w:themeColor="text1"/>
          <w:sz w:val="22"/>
          <w:szCs w:val="22"/>
          <w:shd w:val="clear" w:color="auto" w:fill="FFFFFF"/>
        </w:rPr>
      </w:pPr>
      <w:r w:rsidRPr="00E27D4E">
        <w:rPr>
          <w:noProof/>
          <w:color w:val="000000" w:themeColor="text1"/>
          <w:sz w:val="22"/>
          <w:szCs w:val="22"/>
          <w:lang w:val="en-IN" w:eastAsia="en-IN"/>
        </w:rPr>
        <w:lastRenderedPageBreak/>
        <w:drawing>
          <wp:inline distT="0" distB="0" distL="114300" distR="114300" wp14:anchorId="36A76C77" wp14:editId="199629C8">
            <wp:extent cx="4050974" cy="3038475"/>
            <wp:effectExtent l="0" t="0" r="6985" b="0"/>
            <wp:docPr id="1198712512" name="Picture 1198712512" descr="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OP"/>
                    <pic:cNvPicPr>
                      <a:picLocks noChangeAspect="1"/>
                    </pic:cNvPicPr>
                  </pic:nvPicPr>
                  <pic:blipFill>
                    <a:blip r:embed="rId20"/>
                    <a:stretch>
                      <a:fillRect/>
                    </a:stretch>
                  </pic:blipFill>
                  <pic:spPr>
                    <a:xfrm>
                      <a:off x="0" y="0"/>
                      <a:ext cx="4055146" cy="3041604"/>
                    </a:xfrm>
                    <a:prstGeom prst="rect">
                      <a:avLst/>
                    </a:prstGeom>
                  </pic:spPr>
                </pic:pic>
              </a:graphicData>
            </a:graphic>
          </wp:inline>
        </w:drawing>
      </w:r>
    </w:p>
    <w:p w14:paraId="799496FB" w14:textId="19B0ED2F"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21632D">
        <w:rPr>
          <w:b/>
          <w:bCs/>
          <w:noProof/>
          <w:color w:val="000000" w:themeColor="text1"/>
          <w:sz w:val="22"/>
          <w:szCs w:val="22"/>
          <w:shd w:val="clear" w:color="auto" w:fill="FFFFFF"/>
        </w:rPr>
        <w:t>11</w:t>
      </w:r>
      <w:r w:rsidRPr="00E27D4E">
        <w:rPr>
          <w:b/>
          <w:bCs/>
          <w:noProof/>
          <w:color w:val="000000" w:themeColor="text1"/>
          <w:sz w:val="22"/>
          <w:szCs w:val="22"/>
          <w:shd w:val="clear" w:color="auto" w:fill="FFFFFF"/>
        </w:rPr>
        <w:t>: Map showing population size of Niger State</w:t>
      </w:r>
    </w:p>
    <w:p w14:paraId="5471201C"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shd w:val="clear" w:color="auto" w:fill="FFFFFF"/>
        </w:rPr>
        <w:t>The map above shows the population size of Niger state. The size of the population is in thousand. Niger state has areas that have both high and low population size distributed across the various local government regions. Borgu local government also has areas of low to large population size.</w:t>
      </w:r>
    </w:p>
    <w:p w14:paraId="12E9A592" w14:textId="77777777" w:rsidR="005A4697" w:rsidRPr="00E27D4E" w:rsidRDefault="005A4697" w:rsidP="00E27D4E">
      <w:pPr>
        <w:pStyle w:val="NormalWeb"/>
        <w:jc w:val="both"/>
        <w:rPr>
          <w:b/>
          <w:bCs/>
          <w:noProof/>
          <w:color w:val="000000" w:themeColor="text1"/>
          <w:sz w:val="22"/>
          <w:szCs w:val="22"/>
          <w:shd w:val="clear" w:color="auto" w:fill="FFFFFF"/>
        </w:rPr>
      </w:pPr>
    </w:p>
    <w:p w14:paraId="2526986A" w14:textId="77777777" w:rsidR="005A4697" w:rsidRPr="00E27D4E" w:rsidRDefault="005A4697" w:rsidP="00E27D4E">
      <w:pPr>
        <w:pStyle w:val="NormalWeb"/>
        <w:jc w:val="both"/>
        <w:rPr>
          <w:b/>
          <w:bCs/>
          <w:noProof/>
          <w:color w:val="000000" w:themeColor="text1"/>
          <w:sz w:val="22"/>
          <w:szCs w:val="22"/>
          <w:shd w:val="clear" w:color="auto" w:fill="FFFFFF"/>
        </w:rPr>
      </w:pPr>
      <w:r w:rsidRPr="00E27D4E">
        <w:rPr>
          <w:noProof/>
          <w:color w:val="000000" w:themeColor="text1"/>
          <w:sz w:val="22"/>
          <w:szCs w:val="22"/>
          <w:lang w:val="en-IN" w:eastAsia="en-IN"/>
        </w:rPr>
        <w:drawing>
          <wp:inline distT="0" distB="0" distL="114300" distR="114300" wp14:anchorId="1B6A62B2" wp14:editId="527C63A4">
            <wp:extent cx="3784296" cy="2838450"/>
            <wp:effectExtent l="0" t="0" r="6985" b="0"/>
            <wp:docPr id="46666067" name="Picture 46666067" descr="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opulation"/>
                    <pic:cNvPicPr>
                      <a:picLocks noChangeAspect="1"/>
                    </pic:cNvPicPr>
                  </pic:nvPicPr>
                  <pic:blipFill>
                    <a:blip r:embed="rId21"/>
                    <a:stretch>
                      <a:fillRect/>
                    </a:stretch>
                  </pic:blipFill>
                  <pic:spPr>
                    <a:xfrm>
                      <a:off x="0" y="0"/>
                      <a:ext cx="3789015" cy="2841990"/>
                    </a:xfrm>
                    <a:prstGeom prst="rect">
                      <a:avLst/>
                    </a:prstGeom>
                  </pic:spPr>
                </pic:pic>
              </a:graphicData>
            </a:graphic>
          </wp:inline>
        </w:drawing>
      </w:r>
    </w:p>
    <w:p w14:paraId="54B1EDD4" w14:textId="27F746B5"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21632D">
        <w:rPr>
          <w:b/>
          <w:bCs/>
          <w:noProof/>
          <w:color w:val="000000" w:themeColor="text1"/>
          <w:sz w:val="22"/>
          <w:szCs w:val="22"/>
          <w:shd w:val="clear" w:color="auto" w:fill="FFFFFF"/>
        </w:rPr>
        <w:t>12</w:t>
      </w:r>
      <w:r w:rsidRPr="00E27D4E">
        <w:rPr>
          <w:b/>
          <w:bCs/>
          <w:noProof/>
          <w:color w:val="000000" w:themeColor="text1"/>
          <w:sz w:val="22"/>
          <w:szCs w:val="22"/>
          <w:shd w:val="clear" w:color="auto" w:fill="FFFFFF"/>
        </w:rPr>
        <w:t>: Map of Niger state showing mean population size</w:t>
      </w:r>
    </w:p>
    <w:p w14:paraId="48FDB741"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shd w:val="clear" w:color="auto" w:fill="FFFFFF"/>
        </w:rPr>
        <w:t xml:space="preserve">The map above shows the mean population size of the local governments in Niger state. The population sizes are in thousand. Borgu local government has a mean population size ranging from </w:t>
      </w:r>
      <w:bookmarkStart w:id="23" w:name="_Hlk181300234"/>
      <w:r w:rsidRPr="00E27D4E">
        <w:rPr>
          <w:noProof/>
          <w:color w:val="000000" w:themeColor="text1"/>
          <w:sz w:val="22"/>
          <w:szCs w:val="22"/>
          <w:shd w:val="clear" w:color="auto" w:fill="FFFFFF"/>
        </w:rPr>
        <w:t>305,000 to 438,000</w:t>
      </w:r>
      <w:bookmarkEnd w:id="23"/>
      <w:r w:rsidRPr="00E27D4E">
        <w:rPr>
          <w:noProof/>
          <w:color w:val="000000" w:themeColor="text1"/>
          <w:sz w:val="22"/>
          <w:szCs w:val="22"/>
          <w:shd w:val="clear" w:color="auto" w:fill="FFFFFF"/>
        </w:rPr>
        <w:t>. The mean population size of Borgu local government is very okay and it meets the criteria for setting up a green hydrogen plant as labour will be needed in carrying out operations.</w:t>
      </w:r>
    </w:p>
    <w:p w14:paraId="7201D376" w14:textId="5E490F34" w:rsidR="005A4697" w:rsidRPr="005A4697" w:rsidRDefault="005A4697" w:rsidP="00E27D4E">
      <w:pPr>
        <w:spacing w:line="240" w:lineRule="auto"/>
        <w:jc w:val="both"/>
        <w:rPr>
          <w:rFonts w:ascii="Times New Roman" w:hAnsi="Times New Roman" w:cs="Times New Roman"/>
          <w:b/>
          <w:bCs/>
          <w:color w:val="000000" w:themeColor="text1"/>
          <w:sz w:val="22"/>
          <w:szCs w:val="22"/>
        </w:rPr>
      </w:pPr>
      <w:r w:rsidRPr="005A4697">
        <w:rPr>
          <w:rFonts w:ascii="Times New Roman" w:hAnsi="Times New Roman" w:cs="Times New Roman"/>
          <w:b/>
          <w:bCs/>
          <w:color w:val="000000" w:themeColor="text1"/>
          <w:sz w:val="22"/>
          <w:szCs w:val="22"/>
        </w:rPr>
        <w:lastRenderedPageBreak/>
        <w:t>Conclusion</w:t>
      </w:r>
      <w:r w:rsidRPr="00E27D4E">
        <w:rPr>
          <w:rFonts w:ascii="Times New Roman" w:hAnsi="Times New Roman" w:cs="Times New Roman"/>
          <w:b/>
          <w:bCs/>
          <w:color w:val="000000" w:themeColor="text1"/>
          <w:sz w:val="22"/>
          <w:szCs w:val="22"/>
        </w:rPr>
        <w:t xml:space="preserve"> and Recommendations</w:t>
      </w:r>
    </w:p>
    <w:p w14:paraId="4B1A455C"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The study examined the suitability of green hydrogen development in Niger State by analyzing its production requirements, transportation considerations and spatial feasibility using GIS techniques. The findings revealed that the state possesses strong renewable energy potential, particularly hydro-based resources linked to abundant water bodies required for electrolysis. Through spatial mapping of proximity to water bodies, population density and road accessibility, Borgu Local Government Area emerged as the most suitable location for siting a green hydrogen facility because it combines adequate water availability, moderate population concentration and accessible transport networks.</w:t>
      </w:r>
    </w:p>
    <w:p w14:paraId="597361BB" w14:textId="19FE9E92" w:rsidR="005A4697" w:rsidRPr="00E27D4E"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The study recommends initiating pilot green hydrogen projects to demonstrate feasibility and attract investment, promoting international partnerships for funding and technology transfer, and creating monitoring frameworks to evaluate environmental and economic impacts. It also emphasizes public awareness and education programmes to improve acceptance of hydrogen energy. Implementing these measures would enable Niger State to harness its renewable resources effectively and advance a sustainable energy future.</w:t>
      </w:r>
    </w:p>
    <w:p w14:paraId="5DEDAEFC"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p>
    <w:p w14:paraId="0F5E1AE9" w14:textId="283B10E0"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br w:type="page"/>
      </w:r>
    </w:p>
    <w:p w14:paraId="1B2C7B41" w14:textId="77777777" w:rsidR="00EE3FFA" w:rsidRPr="00EE3FFA" w:rsidRDefault="00EE3FFA" w:rsidP="00EE3FFA">
      <w:pPr>
        <w:spacing w:line="240" w:lineRule="auto"/>
        <w:ind w:left="720" w:hanging="720"/>
        <w:jc w:val="both"/>
        <w:rPr>
          <w:rFonts w:ascii="Times New Roman" w:hAnsi="Times New Roman" w:cs="Times New Roman"/>
          <w:b/>
          <w:bCs/>
          <w:color w:val="000000" w:themeColor="text1"/>
          <w:sz w:val="22"/>
          <w:szCs w:val="22"/>
        </w:rPr>
      </w:pPr>
      <w:r w:rsidRPr="00EE3FFA">
        <w:rPr>
          <w:rFonts w:ascii="Times New Roman" w:hAnsi="Times New Roman" w:cs="Times New Roman"/>
          <w:b/>
          <w:bCs/>
          <w:color w:val="000000" w:themeColor="text1"/>
          <w:sz w:val="22"/>
          <w:szCs w:val="22"/>
        </w:rPr>
        <w:lastRenderedPageBreak/>
        <w:t>References</w:t>
      </w:r>
    </w:p>
    <w:p w14:paraId="14813034" w14:textId="77777777"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Adebayo, A. S., &amp; Oloyede, S. (2023). </w:t>
      </w:r>
      <w:r w:rsidRPr="00EE3FFA">
        <w:rPr>
          <w:rFonts w:ascii="Times New Roman" w:hAnsi="Times New Roman" w:cs="Times New Roman"/>
          <w:i/>
          <w:iCs/>
          <w:color w:val="000000" w:themeColor="text1"/>
          <w:sz w:val="22"/>
          <w:szCs w:val="22"/>
        </w:rPr>
        <w:t>Renewable energy policies in Nigeria: An analysis of Africa’s green hydrogen potential</w:t>
      </w:r>
      <w:r w:rsidRPr="00EE3FFA">
        <w:rPr>
          <w:rFonts w:ascii="Times New Roman" w:hAnsi="Times New Roman" w:cs="Times New Roman"/>
          <w:color w:val="000000" w:themeColor="text1"/>
          <w:sz w:val="22"/>
          <w:szCs w:val="22"/>
        </w:rPr>
        <w:t xml:space="preserve"> (Issue November). World Energy Outlook Special Report. </w:t>
      </w:r>
      <w:hyperlink r:id="rId22" w:history="1">
        <w:r w:rsidRPr="00EE3FFA">
          <w:rPr>
            <w:rStyle w:val="Hyperlink"/>
            <w:rFonts w:ascii="Times New Roman" w:hAnsi="Times New Roman" w:cs="Times New Roman"/>
            <w:sz w:val="22"/>
            <w:szCs w:val="22"/>
          </w:rPr>
          <w:t>https://doi.org/10.178</w:t>
        </w:r>
      </w:hyperlink>
      <w:r w:rsidRPr="00EE3FFA">
        <w:rPr>
          <w:rFonts w:ascii="Times New Roman" w:hAnsi="Times New Roman" w:cs="Times New Roman"/>
          <w:color w:val="000000" w:themeColor="text1"/>
          <w:sz w:val="22"/>
          <w:szCs w:val="22"/>
        </w:rPr>
        <w:t>...</w:t>
      </w:r>
    </w:p>
    <w:p w14:paraId="3B22E839" w14:textId="7E7731EF"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Adeyemo, A., &amp; Eniola, O. (2020). </w:t>
      </w:r>
      <w:r w:rsidRPr="00EE3FFA">
        <w:rPr>
          <w:rFonts w:ascii="Times New Roman" w:hAnsi="Times New Roman" w:cs="Times New Roman"/>
          <w:i/>
          <w:iCs/>
          <w:color w:val="000000" w:themeColor="text1"/>
          <w:sz w:val="22"/>
          <w:szCs w:val="22"/>
        </w:rPr>
        <w:t>Renewable energy infrastructure integration for hydrogen production feasibility</w:t>
      </w:r>
      <w:r w:rsidRPr="00EE3FFA">
        <w:rPr>
          <w:rFonts w:ascii="Times New Roman" w:hAnsi="Times New Roman" w:cs="Times New Roman"/>
          <w:color w:val="000000" w:themeColor="text1"/>
          <w:sz w:val="22"/>
          <w:szCs w:val="22"/>
        </w:rPr>
        <w:t>.</w:t>
      </w:r>
    </w:p>
    <w:p w14:paraId="4533A86D" w14:textId="2FD79985"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Adeyemo, A., &amp; Eniola, O. (2022). </w:t>
      </w:r>
      <w:r w:rsidRPr="00EE3FFA">
        <w:rPr>
          <w:rFonts w:ascii="Times New Roman" w:hAnsi="Times New Roman" w:cs="Times New Roman"/>
          <w:i/>
          <w:iCs/>
          <w:color w:val="000000" w:themeColor="text1"/>
          <w:sz w:val="22"/>
          <w:szCs w:val="22"/>
        </w:rPr>
        <w:t>Biomass resources and electrolysis adaptation for hydrogen production in Niger State</w:t>
      </w:r>
      <w:r w:rsidRPr="00EE3FFA">
        <w:rPr>
          <w:rFonts w:ascii="Times New Roman" w:hAnsi="Times New Roman" w:cs="Times New Roman"/>
          <w:color w:val="000000" w:themeColor="text1"/>
          <w:sz w:val="22"/>
          <w:szCs w:val="22"/>
        </w:rPr>
        <w:t>.</w:t>
      </w:r>
    </w:p>
    <w:p w14:paraId="69D12FA4" w14:textId="7D2960F9"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Africa’s Green Hydrogen Potential. (2022). </w:t>
      </w:r>
      <w:r w:rsidRPr="00EE3FFA">
        <w:rPr>
          <w:rFonts w:ascii="Times New Roman" w:hAnsi="Times New Roman" w:cs="Times New Roman"/>
          <w:i/>
          <w:iCs/>
          <w:color w:val="000000" w:themeColor="text1"/>
          <w:sz w:val="22"/>
          <w:szCs w:val="22"/>
        </w:rPr>
        <w:t>Green hydrogen opportunities for Africa’s energy transition</w:t>
      </w:r>
      <w:r w:rsidRPr="00EE3FFA">
        <w:rPr>
          <w:rFonts w:ascii="Times New Roman" w:hAnsi="Times New Roman" w:cs="Times New Roman"/>
          <w:color w:val="000000" w:themeColor="text1"/>
          <w:sz w:val="22"/>
          <w:szCs w:val="22"/>
        </w:rPr>
        <w:t>.</w:t>
      </w:r>
    </w:p>
    <w:p w14:paraId="191DA2D0" w14:textId="65F451C7"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Ajayi, O., et al. (2021). </w:t>
      </w:r>
      <w:r w:rsidRPr="00EE3FFA">
        <w:rPr>
          <w:rFonts w:ascii="Times New Roman" w:hAnsi="Times New Roman" w:cs="Times New Roman"/>
          <w:i/>
          <w:iCs/>
          <w:color w:val="000000" w:themeColor="text1"/>
          <w:sz w:val="22"/>
          <w:szCs w:val="22"/>
        </w:rPr>
        <w:t>Green hydrogen adoption and sustainable development in Nigeria</w:t>
      </w:r>
      <w:r w:rsidRPr="00EE3FFA">
        <w:rPr>
          <w:rFonts w:ascii="Times New Roman" w:hAnsi="Times New Roman" w:cs="Times New Roman"/>
          <w:color w:val="000000" w:themeColor="text1"/>
          <w:sz w:val="22"/>
          <w:szCs w:val="22"/>
        </w:rPr>
        <w:t>.</w:t>
      </w:r>
    </w:p>
    <w:p w14:paraId="20FBBF2F" w14:textId="68F22797"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Akinbode, A., &amp; Makanjuo, A. (2020). </w:t>
      </w:r>
      <w:r w:rsidRPr="00EE3FFA">
        <w:rPr>
          <w:rFonts w:ascii="Times New Roman" w:hAnsi="Times New Roman" w:cs="Times New Roman"/>
          <w:i/>
          <w:iCs/>
          <w:color w:val="000000" w:themeColor="text1"/>
          <w:sz w:val="22"/>
          <w:szCs w:val="22"/>
        </w:rPr>
        <w:t>Renewable energy resources and hydrogen production potential in Nigeria</w:t>
      </w:r>
      <w:r w:rsidRPr="00EE3FFA">
        <w:rPr>
          <w:rFonts w:ascii="Times New Roman" w:hAnsi="Times New Roman" w:cs="Times New Roman"/>
          <w:color w:val="000000" w:themeColor="text1"/>
          <w:sz w:val="22"/>
          <w:szCs w:val="22"/>
        </w:rPr>
        <w:t xml:space="preserve">. </w:t>
      </w:r>
    </w:p>
    <w:p w14:paraId="74E23BB2" w14:textId="2CE5C611"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Akinyele, D., &amp; Williams, A. (2022). </w:t>
      </w:r>
      <w:r w:rsidRPr="00EE3FFA">
        <w:rPr>
          <w:rFonts w:ascii="Times New Roman" w:hAnsi="Times New Roman" w:cs="Times New Roman"/>
          <w:i/>
          <w:iCs/>
          <w:color w:val="000000" w:themeColor="text1"/>
          <w:sz w:val="22"/>
          <w:szCs w:val="22"/>
        </w:rPr>
        <w:t>Barriers to green hydrogen development in Nigeria</w:t>
      </w:r>
      <w:r w:rsidRPr="00EE3FFA">
        <w:rPr>
          <w:rFonts w:ascii="Times New Roman" w:hAnsi="Times New Roman" w:cs="Times New Roman"/>
          <w:color w:val="000000" w:themeColor="text1"/>
          <w:sz w:val="22"/>
          <w:szCs w:val="22"/>
        </w:rPr>
        <w:t>.</w:t>
      </w:r>
    </w:p>
    <w:p w14:paraId="261922C3" w14:textId="05EC3779"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Bruce, S., et al. (2021). </w:t>
      </w:r>
      <w:r w:rsidRPr="00EE3FFA">
        <w:rPr>
          <w:rFonts w:ascii="Times New Roman" w:hAnsi="Times New Roman" w:cs="Times New Roman"/>
          <w:i/>
          <w:iCs/>
          <w:color w:val="000000" w:themeColor="text1"/>
          <w:sz w:val="22"/>
          <w:szCs w:val="22"/>
        </w:rPr>
        <w:t>Policy pathways for hydrogen economy development</w:t>
      </w:r>
      <w:r w:rsidRPr="00EE3FFA">
        <w:rPr>
          <w:rFonts w:ascii="Times New Roman" w:hAnsi="Times New Roman" w:cs="Times New Roman"/>
          <w:color w:val="000000" w:themeColor="text1"/>
          <w:sz w:val="22"/>
          <w:szCs w:val="22"/>
        </w:rPr>
        <w:t>.</w:t>
      </w:r>
    </w:p>
    <w:p w14:paraId="2D575980" w14:textId="1A99DFAD"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Chatzisymeon, E., &amp; Aigbe, U. (2021). </w:t>
      </w:r>
      <w:r w:rsidRPr="00EE3FFA">
        <w:rPr>
          <w:rFonts w:ascii="Times New Roman" w:hAnsi="Times New Roman" w:cs="Times New Roman"/>
          <w:i/>
          <w:iCs/>
          <w:color w:val="000000" w:themeColor="text1"/>
          <w:sz w:val="22"/>
          <w:szCs w:val="22"/>
        </w:rPr>
        <w:t>Hydrogen storage and transportation technologies</w:t>
      </w:r>
      <w:r w:rsidRPr="00EE3FFA">
        <w:rPr>
          <w:rFonts w:ascii="Times New Roman" w:hAnsi="Times New Roman" w:cs="Times New Roman"/>
          <w:color w:val="000000" w:themeColor="text1"/>
          <w:sz w:val="22"/>
          <w:szCs w:val="22"/>
        </w:rPr>
        <w:t>.</w:t>
      </w:r>
    </w:p>
    <w:p w14:paraId="0B1141FE" w14:textId="77777777"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Deloitte. (2021). </w:t>
      </w:r>
      <w:r w:rsidRPr="00EE3FFA">
        <w:rPr>
          <w:rFonts w:ascii="Times New Roman" w:hAnsi="Times New Roman" w:cs="Times New Roman"/>
          <w:i/>
          <w:iCs/>
          <w:color w:val="000000" w:themeColor="text1"/>
          <w:sz w:val="22"/>
          <w:szCs w:val="22"/>
        </w:rPr>
        <w:t>Hydrogen: A future energy opportunity for Africa</w:t>
      </w:r>
      <w:r w:rsidRPr="00EE3FFA">
        <w:rPr>
          <w:rFonts w:ascii="Times New Roman" w:hAnsi="Times New Roman" w:cs="Times New Roman"/>
          <w:color w:val="000000" w:themeColor="text1"/>
          <w:sz w:val="22"/>
          <w:szCs w:val="22"/>
        </w:rPr>
        <w:t>. Deloitte Insights.</w:t>
      </w:r>
    </w:p>
    <w:p w14:paraId="301D737C" w14:textId="1131FA61"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Deutsche Gesellschaft für Internationale Zusammenarbeit (GIZ). (2023). </w:t>
      </w:r>
      <w:r w:rsidRPr="00EE3FFA">
        <w:rPr>
          <w:rFonts w:ascii="Times New Roman" w:hAnsi="Times New Roman" w:cs="Times New Roman"/>
          <w:i/>
          <w:iCs/>
          <w:color w:val="000000" w:themeColor="text1"/>
          <w:sz w:val="22"/>
          <w:szCs w:val="22"/>
        </w:rPr>
        <w:t>Renewable energy hybrid mini-grid systems in Nigeria</w:t>
      </w:r>
      <w:r w:rsidRPr="00EE3FFA">
        <w:rPr>
          <w:rFonts w:ascii="Times New Roman" w:hAnsi="Times New Roman" w:cs="Times New Roman"/>
          <w:color w:val="000000" w:themeColor="text1"/>
          <w:sz w:val="22"/>
          <w:szCs w:val="22"/>
        </w:rPr>
        <w:t>.</w:t>
      </w:r>
    </w:p>
    <w:p w14:paraId="74E41716" w14:textId="6C5C81C9"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Dodo, M., et al. (2021). </w:t>
      </w:r>
      <w:r w:rsidRPr="00EE3FFA">
        <w:rPr>
          <w:rFonts w:ascii="Times New Roman" w:hAnsi="Times New Roman" w:cs="Times New Roman"/>
          <w:i/>
          <w:iCs/>
          <w:color w:val="000000" w:themeColor="text1"/>
          <w:sz w:val="22"/>
          <w:szCs w:val="22"/>
        </w:rPr>
        <w:t>Renewable energy utilization and emission reduction in Nigeria</w:t>
      </w:r>
      <w:r w:rsidRPr="00EE3FFA">
        <w:rPr>
          <w:rFonts w:ascii="Times New Roman" w:hAnsi="Times New Roman" w:cs="Times New Roman"/>
          <w:color w:val="000000" w:themeColor="text1"/>
          <w:sz w:val="22"/>
          <w:szCs w:val="22"/>
        </w:rPr>
        <w:t>.</w:t>
      </w:r>
    </w:p>
    <w:p w14:paraId="6D56AC4A" w14:textId="33EBF208"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Energy Transition Plan (ETP). (2022). </w:t>
      </w:r>
      <w:r w:rsidRPr="00EE3FFA">
        <w:rPr>
          <w:rFonts w:ascii="Times New Roman" w:hAnsi="Times New Roman" w:cs="Times New Roman"/>
          <w:i/>
          <w:iCs/>
          <w:color w:val="000000" w:themeColor="text1"/>
          <w:sz w:val="22"/>
          <w:szCs w:val="22"/>
        </w:rPr>
        <w:t>Nigeria’s pathway to carbon neutrality by 2060</w:t>
      </w:r>
      <w:r w:rsidRPr="00EE3FFA">
        <w:rPr>
          <w:rFonts w:ascii="Times New Roman" w:hAnsi="Times New Roman" w:cs="Times New Roman"/>
          <w:color w:val="000000" w:themeColor="text1"/>
          <w:sz w:val="22"/>
          <w:szCs w:val="22"/>
        </w:rPr>
        <w:t>.</w:t>
      </w:r>
    </w:p>
    <w:p w14:paraId="311C721E" w14:textId="7DB0FA0A"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Eriksen, S., et al. (2021). </w:t>
      </w:r>
      <w:r w:rsidRPr="00EE3FFA">
        <w:rPr>
          <w:rFonts w:ascii="Times New Roman" w:hAnsi="Times New Roman" w:cs="Times New Roman"/>
          <w:i/>
          <w:iCs/>
          <w:color w:val="000000" w:themeColor="text1"/>
          <w:sz w:val="22"/>
          <w:szCs w:val="22"/>
        </w:rPr>
        <w:t>Climate adaptation, resilience and development</w:t>
      </w:r>
      <w:r w:rsidRPr="00EE3FFA">
        <w:rPr>
          <w:rFonts w:ascii="Times New Roman" w:hAnsi="Times New Roman" w:cs="Times New Roman"/>
          <w:color w:val="000000" w:themeColor="text1"/>
          <w:sz w:val="22"/>
          <w:szCs w:val="22"/>
        </w:rPr>
        <w:t>.</w:t>
      </w:r>
    </w:p>
    <w:p w14:paraId="2B52BDA5" w14:textId="0975495F"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Fawzy, S., et al. (2020). </w:t>
      </w:r>
      <w:r w:rsidRPr="00EE3FFA">
        <w:rPr>
          <w:rFonts w:ascii="Times New Roman" w:hAnsi="Times New Roman" w:cs="Times New Roman"/>
          <w:i/>
          <w:iCs/>
          <w:color w:val="000000" w:themeColor="text1"/>
          <w:sz w:val="22"/>
          <w:szCs w:val="22"/>
        </w:rPr>
        <w:t>Climate change mitigation commitments in developing countries</w:t>
      </w:r>
      <w:r w:rsidRPr="00EE3FFA">
        <w:rPr>
          <w:rFonts w:ascii="Times New Roman" w:hAnsi="Times New Roman" w:cs="Times New Roman"/>
          <w:color w:val="000000" w:themeColor="text1"/>
          <w:sz w:val="22"/>
          <w:szCs w:val="22"/>
        </w:rPr>
        <w:t>.</w:t>
      </w:r>
    </w:p>
    <w:p w14:paraId="20422721" w14:textId="738C7F2D"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Grubler, A. (2012). </w:t>
      </w:r>
      <w:r w:rsidRPr="00EE3FFA">
        <w:rPr>
          <w:rFonts w:ascii="Times New Roman" w:hAnsi="Times New Roman" w:cs="Times New Roman"/>
          <w:i/>
          <w:iCs/>
          <w:color w:val="000000" w:themeColor="text1"/>
          <w:sz w:val="22"/>
          <w:szCs w:val="22"/>
        </w:rPr>
        <w:t>Energy transitions research and long-term technological change</w:t>
      </w:r>
      <w:r w:rsidRPr="00EE3FFA">
        <w:rPr>
          <w:rFonts w:ascii="Times New Roman" w:hAnsi="Times New Roman" w:cs="Times New Roman"/>
          <w:color w:val="000000" w:themeColor="text1"/>
          <w:sz w:val="22"/>
          <w:szCs w:val="22"/>
        </w:rPr>
        <w:t>.</w:t>
      </w:r>
    </w:p>
    <w:p w14:paraId="24E3DBB5" w14:textId="6FF7CDFE"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Hydrogen Council. (2022). </w:t>
      </w:r>
      <w:r w:rsidRPr="00EE3FFA">
        <w:rPr>
          <w:rFonts w:ascii="Times New Roman" w:hAnsi="Times New Roman" w:cs="Times New Roman"/>
          <w:i/>
          <w:iCs/>
          <w:color w:val="000000" w:themeColor="text1"/>
          <w:sz w:val="22"/>
          <w:szCs w:val="22"/>
        </w:rPr>
        <w:t>Global hydrogen demand and energy outlook</w:t>
      </w:r>
      <w:r w:rsidRPr="00EE3FFA">
        <w:rPr>
          <w:rFonts w:ascii="Times New Roman" w:hAnsi="Times New Roman" w:cs="Times New Roman"/>
          <w:color w:val="000000" w:themeColor="text1"/>
          <w:sz w:val="22"/>
          <w:szCs w:val="22"/>
        </w:rPr>
        <w:t>.</w:t>
      </w:r>
    </w:p>
    <w:p w14:paraId="54706381" w14:textId="10A671CD"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Igbinovia, S., &amp; Orukpe, P. (2020). </w:t>
      </w:r>
      <w:r w:rsidRPr="00EE3FFA">
        <w:rPr>
          <w:rFonts w:ascii="Times New Roman" w:hAnsi="Times New Roman" w:cs="Times New Roman"/>
          <w:i/>
          <w:iCs/>
          <w:color w:val="000000" w:themeColor="text1"/>
          <w:sz w:val="22"/>
          <w:szCs w:val="22"/>
        </w:rPr>
        <w:t>Policy incentives and investment in hydrogen energy in Nigeria</w:t>
      </w:r>
      <w:r w:rsidRPr="00EE3FFA">
        <w:rPr>
          <w:rFonts w:ascii="Times New Roman" w:hAnsi="Times New Roman" w:cs="Times New Roman"/>
          <w:color w:val="000000" w:themeColor="text1"/>
          <w:sz w:val="22"/>
          <w:szCs w:val="22"/>
        </w:rPr>
        <w:t>.</w:t>
      </w:r>
    </w:p>
    <w:p w14:paraId="76A620E7" w14:textId="77777777"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International Energy Agency. (2020). </w:t>
      </w:r>
      <w:r w:rsidRPr="00EE3FFA">
        <w:rPr>
          <w:rFonts w:ascii="Times New Roman" w:hAnsi="Times New Roman" w:cs="Times New Roman"/>
          <w:i/>
          <w:iCs/>
          <w:color w:val="000000" w:themeColor="text1"/>
          <w:sz w:val="22"/>
          <w:szCs w:val="22"/>
        </w:rPr>
        <w:t>Energy sector role in emission reduction</w:t>
      </w:r>
      <w:r w:rsidRPr="00EE3FFA">
        <w:rPr>
          <w:rFonts w:ascii="Times New Roman" w:hAnsi="Times New Roman" w:cs="Times New Roman"/>
          <w:color w:val="000000" w:themeColor="text1"/>
          <w:sz w:val="22"/>
          <w:szCs w:val="22"/>
        </w:rPr>
        <w:t>. IEA Publications.</w:t>
      </w:r>
    </w:p>
    <w:p w14:paraId="5E494456" w14:textId="77777777"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International Energy Agency. (2021). </w:t>
      </w:r>
      <w:r w:rsidRPr="00EE3FFA">
        <w:rPr>
          <w:rFonts w:ascii="Times New Roman" w:hAnsi="Times New Roman" w:cs="Times New Roman"/>
          <w:i/>
          <w:iCs/>
          <w:color w:val="000000" w:themeColor="text1"/>
          <w:sz w:val="22"/>
          <w:szCs w:val="22"/>
        </w:rPr>
        <w:t>The future of hydrogen</w:t>
      </w:r>
      <w:r w:rsidRPr="00EE3FFA">
        <w:rPr>
          <w:rFonts w:ascii="Times New Roman" w:hAnsi="Times New Roman" w:cs="Times New Roman"/>
          <w:color w:val="000000" w:themeColor="text1"/>
          <w:sz w:val="22"/>
          <w:szCs w:val="22"/>
        </w:rPr>
        <w:t>. IEA Publications.</w:t>
      </w:r>
    </w:p>
    <w:p w14:paraId="3BCF925A" w14:textId="77777777"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International Renewable Energy Agency (IRENA). (2020). </w:t>
      </w:r>
      <w:r w:rsidRPr="00EE3FFA">
        <w:rPr>
          <w:rFonts w:ascii="Times New Roman" w:hAnsi="Times New Roman" w:cs="Times New Roman"/>
          <w:i/>
          <w:iCs/>
          <w:color w:val="000000" w:themeColor="text1"/>
          <w:sz w:val="22"/>
          <w:szCs w:val="22"/>
        </w:rPr>
        <w:t>Hydrogen: A renewable energy perspective</w:t>
      </w:r>
      <w:r w:rsidRPr="00EE3FFA">
        <w:rPr>
          <w:rFonts w:ascii="Times New Roman" w:hAnsi="Times New Roman" w:cs="Times New Roman"/>
          <w:color w:val="000000" w:themeColor="text1"/>
          <w:sz w:val="22"/>
          <w:szCs w:val="22"/>
        </w:rPr>
        <w:t>. IRENA.</w:t>
      </w:r>
    </w:p>
    <w:p w14:paraId="252E4AE2" w14:textId="5C6887EF"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Ishmam, M., et al. (2024). </w:t>
      </w:r>
      <w:r w:rsidRPr="00EE3FFA">
        <w:rPr>
          <w:rFonts w:ascii="Times New Roman" w:hAnsi="Times New Roman" w:cs="Times New Roman"/>
          <w:i/>
          <w:iCs/>
          <w:color w:val="000000" w:themeColor="text1"/>
          <w:sz w:val="22"/>
          <w:szCs w:val="22"/>
        </w:rPr>
        <w:t>Local hydrogen systems and resource optimization in Niger State</w:t>
      </w:r>
      <w:r w:rsidRPr="00EE3FFA">
        <w:rPr>
          <w:rFonts w:ascii="Times New Roman" w:hAnsi="Times New Roman" w:cs="Times New Roman"/>
          <w:color w:val="000000" w:themeColor="text1"/>
          <w:sz w:val="22"/>
          <w:szCs w:val="22"/>
        </w:rPr>
        <w:t>.</w:t>
      </w:r>
    </w:p>
    <w:p w14:paraId="7BFB7ED0" w14:textId="2876A4CD"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Michoud, B., &amp; Hafner, M. (2021). </w:t>
      </w:r>
      <w:r w:rsidRPr="00EE3FFA">
        <w:rPr>
          <w:rFonts w:ascii="Times New Roman" w:hAnsi="Times New Roman" w:cs="Times New Roman"/>
          <w:i/>
          <w:iCs/>
          <w:color w:val="000000" w:themeColor="text1"/>
          <w:sz w:val="22"/>
          <w:szCs w:val="22"/>
        </w:rPr>
        <w:t>Energy access challenges in sub-Saharan Africa</w:t>
      </w:r>
      <w:r w:rsidRPr="00EE3FFA">
        <w:rPr>
          <w:rFonts w:ascii="Times New Roman" w:hAnsi="Times New Roman" w:cs="Times New Roman"/>
          <w:color w:val="000000" w:themeColor="text1"/>
          <w:sz w:val="22"/>
          <w:szCs w:val="22"/>
        </w:rPr>
        <w:t>.</w:t>
      </w:r>
    </w:p>
    <w:p w14:paraId="7A3CF309" w14:textId="6A9D18E6"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Mohammed, S., &amp; Idris, A. (2021). </w:t>
      </w:r>
      <w:r w:rsidRPr="00EE3FFA">
        <w:rPr>
          <w:rFonts w:ascii="Times New Roman" w:hAnsi="Times New Roman" w:cs="Times New Roman"/>
          <w:i/>
          <w:iCs/>
          <w:color w:val="000000" w:themeColor="text1"/>
          <w:sz w:val="22"/>
          <w:szCs w:val="22"/>
        </w:rPr>
        <w:t>Solar energy potential assessment in Niger State, Nigeria</w:t>
      </w:r>
      <w:r w:rsidRPr="00EE3FFA">
        <w:rPr>
          <w:rFonts w:ascii="Times New Roman" w:hAnsi="Times New Roman" w:cs="Times New Roman"/>
          <w:color w:val="000000" w:themeColor="text1"/>
          <w:sz w:val="22"/>
          <w:szCs w:val="22"/>
        </w:rPr>
        <w:t>.</w:t>
      </w:r>
    </w:p>
    <w:p w14:paraId="0F449BAE" w14:textId="27D113E3"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Mourshed, M., &amp; Zhao, Y. (2021). </w:t>
      </w:r>
      <w:r w:rsidRPr="00EE3FFA">
        <w:rPr>
          <w:rFonts w:ascii="Times New Roman" w:hAnsi="Times New Roman" w:cs="Times New Roman"/>
          <w:i/>
          <w:iCs/>
          <w:color w:val="000000" w:themeColor="text1"/>
          <w:sz w:val="22"/>
          <w:szCs w:val="22"/>
        </w:rPr>
        <w:t>Electrolyzer efficiency improvements and hydrogen viability</w:t>
      </w:r>
      <w:r w:rsidRPr="00EE3FFA">
        <w:rPr>
          <w:rFonts w:ascii="Times New Roman" w:hAnsi="Times New Roman" w:cs="Times New Roman"/>
          <w:color w:val="000000" w:themeColor="text1"/>
          <w:sz w:val="22"/>
          <w:szCs w:val="22"/>
        </w:rPr>
        <w:t>.</w:t>
      </w:r>
    </w:p>
    <w:p w14:paraId="56151BFB" w14:textId="36C166DE"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Nwafor, C., &amp; Anyaeji, C. (2022). </w:t>
      </w:r>
      <w:r w:rsidRPr="00EE3FFA">
        <w:rPr>
          <w:rFonts w:ascii="Times New Roman" w:hAnsi="Times New Roman" w:cs="Times New Roman"/>
          <w:i/>
          <w:iCs/>
          <w:color w:val="000000" w:themeColor="text1"/>
          <w:sz w:val="22"/>
          <w:szCs w:val="22"/>
        </w:rPr>
        <w:t>Economic competitiveness of hydrogen energy in Nigeria</w:t>
      </w:r>
      <w:r w:rsidRPr="00EE3FFA">
        <w:rPr>
          <w:rFonts w:ascii="Times New Roman" w:hAnsi="Times New Roman" w:cs="Times New Roman"/>
          <w:color w:val="000000" w:themeColor="text1"/>
          <w:sz w:val="22"/>
          <w:szCs w:val="22"/>
        </w:rPr>
        <w:t>.</w:t>
      </w:r>
    </w:p>
    <w:p w14:paraId="02DF47C0" w14:textId="34942EF6"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Ojo, T., &amp; Eniola, O. (2022). </w:t>
      </w:r>
      <w:r w:rsidRPr="00EE3FFA">
        <w:rPr>
          <w:rFonts w:ascii="Times New Roman" w:hAnsi="Times New Roman" w:cs="Times New Roman"/>
          <w:i/>
          <w:iCs/>
          <w:color w:val="000000" w:themeColor="text1"/>
          <w:sz w:val="22"/>
          <w:szCs w:val="22"/>
        </w:rPr>
        <w:t>Environmental sustainability assessment of hydrogen production</w:t>
      </w:r>
      <w:r w:rsidRPr="00EE3FFA">
        <w:rPr>
          <w:rFonts w:ascii="Times New Roman" w:hAnsi="Times New Roman" w:cs="Times New Roman"/>
          <w:color w:val="000000" w:themeColor="text1"/>
          <w:sz w:val="22"/>
          <w:szCs w:val="22"/>
        </w:rPr>
        <w:t>.</w:t>
      </w:r>
    </w:p>
    <w:p w14:paraId="4AD042E0" w14:textId="33DA64D1"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Olawale, R., &amp; Ogundipe, K. (2023). </w:t>
      </w:r>
      <w:r w:rsidRPr="00EE3FFA">
        <w:rPr>
          <w:rFonts w:ascii="Times New Roman" w:hAnsi="Times New Roman" w:cs="Times New Roman"/>
          <w:i/>
          <w:iCs/>
          <w:color w:val="000000" w:themeColor="text1"/>
          <w:sz w:val="22"/>
          <w:szCs w:val="22"/>
        </w:rPr>
        <w:t>Life-cycle cost analysis of green hydrogen production</w:t>
      </w:r>
      <w:r w:rsidRPr="00EE3FFA">
        <w:rPr>
          <w:rFonts w:ascii="Times New Roman" w:hAnsi="Times New Roman" w:cs="Times New Roman"/>
          <w:color w:val="000000" w:themeColor="text1"/>
          <w:sz w:val="22"/>
          <w:szCs w:val="22"/>
        </w:rPr>
        <w:t>.</w:t>
      </w:r>
    </w:p>
    <w:p w14:paraId="32A27913" w14:textId="5C5A6A69"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lastRenderedPageBreak/>
        <w:t xml:space="preserve">Olubunmi, A., &amp; Akinluyi, T. (2021). </w:t>
      </w:r>
      <w:r w:rsidRPr="00EE3FFA">
        <w:rPr>
          <w:rFonts w:ascii="Times New Roman" w:hAnsi="Times New Roman" w:cs="Times New Roman"/>
          <w:i/>
          <w:iCs/>
          <w:color w:val="000000" w:themeColor="text1"/>
          <w:sz w:val="22"/>
          <w:szCs w:val="22"/>
        </w:rPr>
        <w:t>Electricity access challenges in Nigeria</w:t>
      </w:r>
      <w:r w:rsidRPr="00EE3FFA">
        <w:rPr>
          <w:rFonts w:ascii="Times New Roman" w:hAnsi="Times New Roman" w:cs="Times New Roman"/>
          <w:color w:val="000000" w:themeColor="text1"/>
          <w:sz w:val="22"/>
          <w:szCs w:val="22"/>
        </w:rPr>
        <w:t>.</w:t>
      </w:r>
    </w:p>
    <w:p w14:paraId="1E0B9563" w14:textId="13B118BC"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Olayiwola, S., &amp; Agboola, O. (2023). </w:t>
      </w:r>
      <w:r w:rsidRPr="00EE3FFA">
        <w:rPr>
          <w:rFonts w:ascii="Times New Roman" w:hAnsi="Times New Roman" w:cs="Times New Roman"/>
          <w:i/>
          <w:iCs/>
          <w:color w:val="000000" w:themeColor="text1"/>
          <w:sz w:val="22"/>
          <w:szCs w:val="22"/>
        </w:rPr>
        <w:t>Public acceptance of renewable energy technologies</w:t>
      </w:r>
      <w:r w:rsidRPr="00EE3FFA">
        <w:rPr>
          <w:rFonts w:ascii="Times New Roman" w:hAnsi="Times New Roman" w:cs="Times New Roman"/>
          <w:color w:val="000000" w:themeColor="text1"/>
          <w:sz w:val="22"/>
          <w:szCs w:val="22"/>
        </w:rPr>
        <w:t>.</w:t>
      </w:r>
    </w:p>
    <w:p w14:paraId="3D6EB561" w14:textId="77777777"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Smil, V. (2017). </w:t>
      </w:r>
      <w:r w:rsidRPr="00EE3FFA">
        <w:rPr>
          <w:rFonts w:ascii="Times New Roman" w:hAnsi="Times New Roman" w:cs="Times New Roman"/>
          <w:i/>
          <w:iCs/>
          <w:color w:val="000000" w:themeColor="text1"/>
          <w:sz w:val="22"/>
          <w:szCs w:val="22"/>
        </w:rPr>
        <w:t>Energy transitions: Global and historical perspectives</w:t>
      </w:r>
      <w:r w:rsidRPr="00EE3FFA">
        <w:rPr>
          <w:rFonts w:ascii="Times New Roman" w:hAnsi="Times New Roman" w:cs="Times New Roman"/>
          <w:color w:val="000000" w:themeColor="text1"/>
          <w:sz w:val="22"/>
          <w:szCs w:val="22"/>
        </w:rPr>
        <w:t>. MIT Press.</w:t>
      </w:r>
    </w:p>
    <w:p w14:paraId="5B312FD7" w14:textId="0C0EAEEE"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Suleiman, M., &amp; Ibraheem, H. (2023). </w:t>
      </w:r>
      <w:r w:rsidRPr="00EE3FFA">
        <w:rPr>
          <w:rFonts w:ascii="Times New Roman" w:hAnsi="Times New Roman" w:cs="Times New Roman"/>
          <w:i/>
          <w:iCs/>
          <w:color w:val="000000" w:themeColor="text1"/>
          <w:sz w:val="22"/>
          <w:szCs w:val="22"/>
        </w:rPr>
        <w:t>Environmental benefits of hydrogen energy adoption</w:t>
      </w:r>
      <w:r w:rsidRPr="00EE3FFA">
        <w:rPr>
          <w:rFonts w:ascii="Times New Roman" w:hAnsi="Times New Roman" w:cs="Times New Roman"/>
          <w:color w:val="000000" w:themeColor="text1"/>
          <w:sz w:val="22"/>
          <w:szCs w:val="22"/>
        </w:rPr>
        <w:t>.</w:t>
      </w:r>
    </w:p>
    <w:p w14:paraId="090530A3" w14:textId="2A5990A4"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Sustainable Energy for National Climate Change, Food Security and Employment Opportunities: Implications for Nigeria. (2022).</w:t>
      </w:r>
    </w:p>
    <w:p w14:paraId="2727956A" w14:textId="490EB58D"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Triollet, F., &amp; Alvarez, G. (2020). </w:t>
      </w:r>
      <w:r w:rsidRPr="00EE3FFA">
        <w:rPr>
          <w:rFonts w:ascii="Times New Roman" w:hAnsi="Times New Roman" w:cs="Times New Roman"/>
          <w:i/>
          <w:iCs/>
          <w:color w:val="000000" w:themeColor="text1"/>
          <w:sz w:val="22"/>
          <w:szCs w:val="22"/>
        </w:rPr>
        <w:t>Advances in hydrogen electrolyzer technologies</w:t>
      </w:r>
      <w:r w:rsidRPr="00EE3FFA">
        <w:rPr>
          <w:rFonts w:ascii="Times New Roman" w:hAnsi="Times New Roman" w:cs="Times New Roman"/>
          <w:color w:val="000000" w:themeColor="text1"/>
          <w:sz w:val="22"/>
          <w:szCs w:val="22"/>
        </w:rPr>
        <w:t>.</w:t>
      </w:r>
    </w:p>
    <w:p w14:paraId="7D031CA4" w14:textId="5457B11F" w:rsidR="005A4697"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World Bank. (2021). </w:t>
      </w:r>
      <w:r w:rsidRPr="00EE3FFA">
        <w:rPr>
          <w:rFonts w:ascii="Times New Roman" w:hAnsi="Times New Roman" w:cs="Times New Roman"/>
          <w:i/>
          <w:iCs/>
          <w:color w:val="000000" w:themeColor="text1"/>
          <w:sz w:val="22"/>
          <w:szCs w:val="22"/>
        </w:rPr>
        <w:t>Nigeria energy access statistics</w:t>
      </w:r>
      <w:r w:rsidRPr="00EE3FFA">
        <w:rPr>
          <w:rFonts w:ascii="Times New Roman" w:hAnsi="Times New Roman" w:cs="Times New Roman"/>
          <w:color w:val="000000" w:themeColor="text1"/>
          <w:sz w:val="22"/>
          <w:szCs w:val="22"/>
        </w:rPr>
        <w:t>. World Bank Data.</w:t>
      </w:r>
    </w:p>
    <w:sectPr w:rsidR="005A4697" w:rsidRPr="00EE3FFA" w:rsidSect="005A4697">
      <w:footerReference w:type="default" r:id="rId2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5DE002" w14:textId="77777777" w:rsidR="001F575B" w:rsidRDefault="001F575B" w:rsidP="00E27D4E">
      <w:pPr>
        <w:spacing w:after="0" w:line="240" w:lineRule="auto"/>
      </w:pPr>
      <w:r>
        <w:separator/>
      </w:r>
    </w:p>
  </w:endnote>
  <w:endnote w:type="continuationSeparator" w:id="0">
    <w:p w14:paraId="7D072CD6" w14:textId="77777777" w:rsidR="001F575B" w:rsidRDefault="001F575B" w:rsidP="00E27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399516"/>
      <w:docPartObj>
        <w:docPartGallery w:val="Page Numbers (Bottom of Page)"/>
        <w:docPartUnique/>
      </w:docPartObj>
    </w:sdtPr>
    <w:sdtEndPr>
      <w:rPr>
        <w:noProof/>
      </w:rPr>
    </w:sdtEndPr>
    <w:sdtContent>
      <w:p w14:paraId="0A8CFCC9" w14:textId="2947353F" w:rsidR="00E27D4E" w:rsidRDefault="00E27D4E">
        <w:pPr>
          <w:pStyle w:val="Footer"/>
          <w:jc w:val="center"/>
        </w:pPr>
        <w:r>
          <w:fldChar w:fldCharType="begin"/>
        </w:r>
        <w:r>
          <w:instrText xml:space="preserve"> PAGE   \* MERGEFORMAT </w:instrText>
        </w:r>
        <w:r>
          <w:fldChar w:fldCharType="separate"/>
        </w:r>
        <w:r w:rsidR="00075DBD">
          <w:rPr>
            <w:noProof/>
          </w:rPr>
          <w:t>22</w:t>
        </w:r>
        <w:r>
          <w:rPr>
            <w:noProof/>
          </w:rPr>
          <w:fldChar w:fldCharType="end"/>
        </w:r>
      </w:p>
    </w:sdtContent>
  </w:sdt>
  <w:p w14:paraId="4698CC56" w14:textId="77777777" w:rsidR="00E27D4E" w:rsidRDefault="00E27D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D32E9" w14:textId="77777777" w:rsidR="001F575B" w:rsidRDefault="001F575B" w:rsidP="00E27D4E">
      <w:pPr>
        <w:spacing w:after="0" w:line="240" w:lineRule="auto"/>
      </w:pPr>
      <w:r>
        <w:separator/>
      </w:r>
    </w:p>
  </w:footnote>
  <w:footnote w:type="continuationSeparator" w:id="0">
    <w:p w14:paraId="5BAA449C" w14:textId="77777777" w:rsidR="001F575B" w:rsidRDefault="001F575B" w:rsidP="00E27D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C7F36"/>
    <w:multiLevelType w:val="hybridMultilevel"/>
    <w:tmpl w:val="036A70A4"/>
    <w:lvl w:ilvl="0" w:tplc="4CB05F1A">
      <w:start w:val="1"/>
      <w:numFmt w:val="lowerLetter"/>
      <w:lvlText w:val="%1."/>
      <w:lvlJc w:val="left"/>
      <w:pPr>
        <w:ind w:left="810" w:hanging="360"/>
      </w:pPr>
      <w:rPr>
        <w:rFonts w:eastAsiaTheme="majorEastAsia" w:hint="default"/>
        <w:b/>
      </w:rPr>
    </w:lvl>
    <w:lvl w:ilvl="1" w:tplc="20000019" w:tentative="1">
      <w:start w:val="1"/>
      <w:numFmt w:val="lowerLetter"/>
      <w:lvlText w:val="%2."/>
      <w:lvlJc w:val="left"/>
      <w:pPr>
        <w:ind w:left="1530" w:hanging="360"/>
      </w:pPr>
    </w:lvl>
    <w:lvl w:ilvl="2" w:tplc="2000001B" w:tentative="1">
      <w:start w:val="1"/>
      <w:numFmt w:val="lowerRoman"/>
      <w:lvlText w:val="%3."/>
      <w:lvlJc w:val="right"/>
      <w:pPr>
        <w:ind w:left="2250" w:hanging="180"/>
      </w:pPr>
    </w:lvl>
    <w:lvl w:ilvl="3" w:tplc="2000000F" w:tentative="1">
      <w:start w:val="1"/>
      <w:numFmt w:val="decimal"/>
      <w:lvlText w:val="%4."/>
      <w:lvlJc w:val="left"/>
      <w:pPr>
        <w:ind w:left="2970" w:hanging="360"/>
      </w:pPr>
    </w:lvl>
    <w:lvl w:ilvl="4" w:tplc="20000019" w:tentative="1">
      <w:start w:val="1"/>
      <w:numFmt w:val="lowerLetter"/>
      <w:lvlText w:val="%5."/>
      <w:lvlJc w:val="left"/>
      <w:pPr>
        <w:ind w:left="3690" w:hanging="360"/>
      </w:pPr>
    </w:lvl>
    <w:lvl w:ilvl="5" w:tplc="2000001B" w:tentative="1">
      <w:start w:val="1"/>
      <w:numFmt w:val="lowerRoman"/>
      <w:lvlText w:val="%6."/>
      <w:lvlJc w:val="right"/>
      <w:pPr>
        <w:ind w:left="4410" w:hanging="180"/>
      </w:pPr>
    </w:lvl>
    <w:lvl w:ilvl="6" w:tplc="2000000F" w:tentative="1">
      <w:start w:val="1"/>
      <w:numFmt w:val="decimal"/>
      <w:lvlText w:val="%7."/>
      <w:lvlJc w:val="left"/>
      <w:pPr>
        <w:ind w:left="5130" w:hanging="360"/>
      </w:pPr>
    </w:lvl>
    <w:lvl w:ilvl="7" w:tplc="20000019" w:tentative="1">
      <w:start w:val="1"/>
      <w:numFmt w:val="lowerLetter"/>
      <w:lvlText w:val="%8."/>
      <w:lvlJc w:val="left"/>
      <w:pPr>
        <w:ind w:left="5850" w:hanging="360"/>
      </w:pPr>
    </w:lvl>
    <w:lvl w:ilvl="8" w:tplc="2000001B" w:tentative="1">
      <w:start w:val="1"/>
      <w:numFmt w:val="lowerRoman"/>
      <w:lvlText w:val="%9."/>
      <w:lvlJc w:val="right"/>
      <w:pPr>
        <w:ind w:left="6570" w:hanging="180"/>
      </w:pPr>
    </w:lvl>
  </w:abstractNum>
  <w:abstractNum w:abstractNumId="1">
    <w:nsid w:val="08292BE2"/>
    <w:multiLevelType w:val="hybridMultilevel"/>
    <w:tmpl w:val="F3A0DFB4"/>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nsid w:val="097E4649"/>
    <w:multiLevelType w:val="multilevel"/>
    <w:tmpl w:val="77EAEC5E"/>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lowerLetter"/>
      <w:lvlText w:val="%2."/>
      <w:lvlJc w:val="left"/>
      <w:pPr>
        <w:ind w:left="720" w:hanging="360"/>
      </w:pPr>
      <w:rPr>
        <w:rFonts w:eastAsiaTheme="majorEastAsia" w:hint="default"/>
        <w:b/>
      </w:rPr>
    </w:lvl>
    <w:lvl w:ilvl="2">
      <w:start w:val="1"/>
      <w:numFmt w:val="decimal"/>
      <w:lvlText w:val="%3."/>
      <w:lvlJc w:val="left"/>
      <w:pPr>
        <w:ind w:left="3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A5566F"/>
    <w:multiLevelType w:val="multilevel"/>
    <w:tmpl w:val="2DD2176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2E25F9"/>
    <w:multiLevelType w:val="hybridMultilevel"/>
    <w:tmpl w:val="88EA20E4"/>
    <w:lvl w:ilvl="0" w:tplc="20000017">
      <w:start w:val="1"/>
      <w:numFmt w:val="lowerLetter"/>
      <w:lvlText w:val="%1)"/>
      <w:lvlJc w:val="left"/>
      <w:pPr>
        <w:ind w:left="780" w:hanging="360"/>
      </w:p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abstractNum w:abstractNumId="5">
    <w:nsid w:val="16EF7412"/>
    <w:multiLevelType w:val="hybridMultilevel"/>
    <w:tmpl w:val="14B83646"/>
    <w:lvl w:ilvl="0" w:tplc="20000017">
      <w:start w:val="1"/>
      <w:numFmt w:val="lowerLetter"/>
      <w:lvlText w:val="%1)"/>
      <w:lvlJc w:val="left"/>
      <w:pPr>
        <w:ind w:left="838" w:hanging="360"/>
      </w:pPr>
    </w:lvl>
    <w:lvl w:ilvl="1" w:tplc="20000019" w:tentative="1">
      <w:start w:val="1"/>
      <w:numFmt w:val="lowerLetter"/>
      <w:lvlText w:val="%2."/>
      <w:lvlJc w:val="left"/>
      <w:pPr>
        <w:ind w:left="1558" w:hanging="360"/>
      </w:pPr>
    </w:lvl>
    <w:lvl w:ilvl="2" w:tplc="2000001B" w:tentative="1">
      <w:start w:val="1"/>
      <w:numFmt w:val="lowerRoman"/>
      <w:lvlText w:val="%3."/>
      <w:lvlJc w:val="right"/>
      <w:pPr>
        <w:ind w:left="2278" w:hanging="180"/>
      </w:pPr>
    </w:lvl>
    <w:lvl w:ilvl="3" w:tplc="2000000F" w:tentative="1">
      <w:start w:val="1"/>
      <w:numFmt w:val="decimal"/>
      <w:lvlText w:val="%4."/>
      <w:lvlJc w:val="left"/>
      <w:pPr>
        <w:ind w:left="2998" w:hanging="360"/>
      </w:pPr>
    </w:lvl>
    <w:lvl w:ilvl="4" w:tplc="20000019" w:tentative="1">
      <w:start w:val="1"/>
      <w:numFmt w:val="lowerLetter"/>
      <w:lvlText w:val="%5."/>
      <w:lvlJc w:val="left"/>
      <w:pPr>
        <w:ind w:left="3718" w:hanging="360"/>
      </w:pPr>
    </w:lvl>
    <w:lvl w:ilvl="5" w:tplc="2000001B" w:tentative="1">
      <w:start w:val="1"/>
      <w:numFmt w:val="lowerRoman"/>
      <w:lvlText w:val="%6."/>
      <w:lvlJc w:val="right"/>
      <w:pPr>
        <w:ind w:left="4438" w:hanging="180"/>
      </w:pPr>
    </w:lvl>
    <w:lvl w:ilvl="6" w:tplc="2000000F" w:tentative="1">
      <w:start w:val="1"/>
      <w:numFmt w:val="decimal"/>
      <w:lvlText w:val="%7."/>
      <w:lvlJc w:val="left"/>
      <w:pPr>
        <w:ind w:left="5158" w:hanging="360"/>
      </w:pPr>
    </w:lvl>
    <w:lvl w:ilvl="7" w:tplc="20000019" w:tentative="1">
      <w:start w:val="1"/>
      <w:numFmt w:val="lowerLetter"/>
      <w:lvlText w:val="%8."/>
      <w:lvlJc w:val="left"/>
      <w:pPr>
        <w:ind w:left="5878" w:hanging="360"/>
      </w:pPr>
    </w:lvl>
    <w:lvl w:ilvl="8" w:tplc="2000001B" w:tentative="1">
      <w:start w:val="1"/>
      <w:numFmt w:val="lowerRoman"/>
      <w:lvlText w:val="%9."/>
      <w:lvlJc w:val="right"/>
      <w:pPr>
        <w:ind w:left="6598" w:hanging="180"/>
      </w:pPr>
    </w:lvl>
  </w:abstractNum>
  <w:abstractNum w:abstractNumId="6">
    <w:nsid w:val="206455A0"/>
    <w:multiLevelType w:val="hybridMultilevel"/>
    <w:tmpl w:val="606C76B2"/>
    <w:lvl w:ilvl="0" w:tplc="7276854E">
      <w:start w:val="1"/>
      <w:numFmt w:val="lowerLetter"/>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
    <w:nsid w:val="28CC569A"/>
    <w:multiLevelType w:val="hybridMultilevel"/>
    <w:tmpl w:val="A746B086"/>
    <w:lvl w:ilvl="0" w:tplc="20000017">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
    <w:nsid w:val="2B4A63AC"/>
    <w:multiLevelType w:val="hybridMultilevel"/>
    <w:tmpl w:val="0A76C50A"/>
    <w:lvl w:ilvl="0" w:tplc="D1B6EACA">
      <w:start w:val="1"/>
      <w:numFmt w:val="lowerLetter"/>
      <w:lvlText w:val="%1)"/>
      <w:lvlJc w:val="left"/>
      <w:pPr>
        <w:ind w:left="420" w:hanging="360"/>
      </w:pPr>
      <w:rPr>
        <w:rFonts w:hint="default"/>
      </w:rPr>
    </w:lvl>
    <w:lvl w:ilvl="1" w:tplc="20000019" w:tentative="1">
      <w:start w:val="1"/>
      <w:numFmt w:val="lowerLetter"/>
      <w:lvlText w:val="%2."/>
      <w:lvlJc w:val="left"/>
      <w:pPr>
        <w:ind w:left="1140" w:hanging="360"/>
      </w:pPr>
    </w:lvl>
    <w:lvl w:ilvl="2" w:tplc="2000001B" w:tentative="1">
      <w:start w:val="1"/>
      <w:numFmt w:val="lowerRoman"/>
      <w:lvlText w:val="%3."/>
      <w:lvlJc w:val="right"/>
      <w:pPr>
        <w:ind w:left="1860" w:hanging="180"/>
      </w:pPr>
    </w:lvl>
    <w:lvl w:ilvl="3" w:tplc="2000000F" w:tentative="1">
      <w:start w:val="1"/>
      <w:numFmt w:val="decimal"/>
      <w:lvlText w:val="%4."/>
      <w:lvlJc w:val="left"/>
      <w:pPr>
        <w:ind w:left="2580" w:hanging="360"/>
      </w:pPr>
    </w:lvl>
    <w:lvl w:ilvl="4" w:tplc="20000019" w:tentative="1">
      <w:start w:val="1"/>
      <w:numFmt w:val="lowerLetter"/>
      <w:lvlText w:val="%5."/>
      <w:lvlJc w:val="left"/>
      <w:pPr>
        <w:ind w:left="3300" w:hanging="360"/>
      </w:pPr>
    </w:lvl>
    <w:lvl w:ilvl="5" w:tplc="2000001B" w:tentative="1">
      <w:start w:val="1"/>
      <w:numFmt w:val="lowerRoman"/>
      <w:lvlText w:val="%6."/>
      <w:lvlJc w:val="right"/>
      <w:pPr>
        <w:ind w:left="4020" w:hanging="180"/>
      </w:pPr>
    </w:lvl>
    <w:lvl w:ilvl="6" w:tplc="2000000F" w:tentative="1">
      <w:start w:val="1"/>
      <w:numFmt w:val="decimal"/>
      <w:lvlText w:val="%7."/>
      <w:lvlJc w:val="left"/>
      <w:pPr>
        <w:ind w:left="4740" w:hanging="360"/>
      </w:pPr>
    </w:lvl>
    <w:lvl w:ilvl="7" w:tplc="20000019" w:tentative="1">
      <w:start w:val="1"/>
      <w:numFmt w:val="lowerLetter"/>
      <w:lvlText w:val="%8."/>
      <w:lvlJc w:val="left"/>
      <w:pPr>
        <w:ind w:left="5460" w:hanging="360"/>
      </w:pPr>
    </w:lvl>
    <w:lvl w:ilvl="8" w:tplc="2000001B" w:tentative="1">
      <w:start w:val="1"/>
      <w:numFmt w:val="lowerRoman"/>
      <w:lvlText w:val="%9."/>
      <w:lvlJc w:val="right"/>
      <w:pPr>
        <w:ind w:left="6180" w:hanging="180"/>
      </w:pPr>
    </w:lvl>
  </w:abstractNum>
  <w:abstractNum w:abstractNumId="9">
    <w:nsid w:val="2C237F2A"/>
    <w:multiLevelType w:val="hybridMultilevel"/>
    <w:tmpl w:val="D290672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35DF6590"/>
    <w:multiLevelType w:val="hybridMultilevel"/>
    <w:tmpl w:val="2174BECC"/>
    <w:lvl w:ilvl="0" w:tplc="F636289A">
      <w:start w:val="1"/>
      <w:numFmt w:val="lowerLetter"/>
      <w:lvlText w:val="%1)"/>
      <w:lvlJc w:val="left"/>
      <w:pPr>
        <w:ind w:left="420" w:hanging="360"/>
      </w:pPr>
      <w:rPr>
        <w:rFonts w:hint="default"/>
      </w:rPr>
    </w:lvl>
    <w:lvl w:ilvl="1" w:tplc="20000019" w:tentative="1">
      <w:start w:val="1"/>
      <w:numFmt w:val="lowerLetter"/>
      <w:lvlText w:val="%2."/>
      <w:lvlJc w:val="left"/>
      <w:pPr>
        <w:ind w:left="1140" w:hanging="360"/>
      </w:pPr>
    </w:lvl>
    <w:lvl w:ilvl="2" w:tplc="2000001B" w:tentative="1">
      <w:start w:val="1"/>
      <w:numFmt w:val="lowerRoman"/>
      <w:lvlText w:val="%3."/>
      <w:lvlJc w:val="right"/>
      <w:pPr>
        <w:ind w:left="1860" w:hanging="180"/>
      </w:pPr>
    </w:lvl>
    <w:lvl w:ilvl="3" w:tplc="2000000F" w:tentative="1">
      <w:start w:val="1"/>
      <w:numFmt w:val="decimal"/>
      <w:lvlText w:val="%4."/>
      <w:lvlJc w:val="left"/>
      <w:pPr>
        <w:ind w:left="2580" w:hanging="360"/>
      </w:pPr>
    </w:lvl>
    <w:lvl w:ilvl="4" w:tplc="20000019" w:tentative="1">
      <w:start w:val="1"/>
      <w:numFmt w:val="lowerLetter"/>
      <w:lvlText w:val="%5."/>
      <w:lvlJc w:val="left"/>
      <w:pPr>
        <w:ind w:left="3300" w:hanging="360"/>
      </w:pPr>
    </w:lvl>
    <w:lvl w:ilvl="5" w:tplc="2000001B" w:tentative="1">
      <w:start w:val="1"/>
      <w:numFmt w:val="lowerRoman"/>
      <w:lvlText w:val="%6."/>
      <w:lvlJc w:val="right"/>
      <w:pPr>
        <w:ind w:left="4020" w:hanging="180"/>
      </w:pPr>
    </w:lvl>
    <w:lvl w:ilvl="6" w:tplc="2000000F" w:tentative="1">
      <w:start w:val="1"/>
      <w:numFmt w:val="decimal"/>
      <w:lvlText w:val="%7."/>
      <w:lvlJc w:val="left"/>
      <w:pPr>
        <w:ind w:left="4740" w:hanging="360"/>
      </w:pPr>
    </w:lvl>
    <w:lvl w:ilvl="7" w:tplc="20000019" w:tentative="1">
      <w:start w:val="1"/>
      <w:numFmt w:val="lowerLetter"/>
      <w:lvlText w:val="%8."/>
      <w:lvlJc w:val="left"/>
      <w:pPr>
        <w:ind w:left="5460" w:hanging="360"/>
      </w:pPr>
    </w:lvl>
    <w:lvl w:ilvl="8" w:tplc="2000001B" w:tentative="1">
      <w:start w:val="1"/>
      <w:numFmt w:val="lowerRoman"/>
      <w:lvlText w:val="%9."/>
      <w:lvlJc w:val="right"/>
      <w:pPr>
        <w:ind w:left="6180" w:hanging="180"/>
      </w:pPr>
    </w:lvl>
  </w:abstractNum>
  <w:abstractNum w:abstractNumId="11">
    <w:nsid w:val="3D8007A5"/>
    <w:multiLevelType w:val="hybridMultilevel"/>
    <w:tmpl w:val="74D0DEC2"/>
    <w:lvl w:ilvl="0" w:tplc="5D44873C">
      <w:start w:val="1"/>
      <w:numFmt w:val="lowerLetter"/>
      <w:lvlText w:val="%1."/>
      <w:lvlJc w:val="left"/>
      <w:pPr>
        <w:ind w:left="630" w:hanging="360"/>
      </w:pPr>
      <w:rPr>
        <w:rFonts w:eastAsiaTheme="majorEastAsia" w:hint="default"/>
        <w:b/>
      </w:rPr>
    </w:lvl>
    <w:lvl w:ilvl="1" w:tplc="20000019" w:tentative="1">
      <w:start w:val="1"/>
      <w:numFmt w:val="lowerLetter"/>
      <w:lvlText w:val="%2."/>
      <w:lvlJc w:val="left"/>
      <w:pPr>
        <w:ind w:left="1350" w:hanging="360"/>
      </w:pPr>
    </w:lvl>
    <w:lvl w:ilvl="2" w:tplc="2000001B" w:tentative="1">
      <w:start w:val="1"/>
      <w:numFmt w:val="lowerRoman"/>
      <w:lvlText w:val="%3."/>
      <w:lvlJc w:val="right"/>
      <w:pPr>
        <w:ind w:left="2070" w:hanging="180"/>
      </w:pPr>
    </w:lvl>
    <w:lvl w:ilvl="3" w:tplc="2000000F" w:tentative="1">
      <w:start w:val="1"/>
      <w:numFmt w:val="decimal"/>
      <w:lvlText w:val="%4."/>
      <w:lvlJc w:val="left"/>
      <w:pPr>
        <w:ind w:left="2790" w:hanging="360"/>
      </w:pPr>
    </w:lvl>
    <w:lvl w:ilvl="4" w:tplc="20000019" w:tentative="1">
      <w:start w:val="1"/>
      <w:numFmt w:val="lowerLetter"/>
      <w:lvlText w:val="%5."/>
      <w:lvlJc w:val="left"/>
      <w:pPr>
        <w:ind w:left="3510" w:hanging="360"/>
      </w:pPr>
    </w:lvl>
    <w:lvl w:ilvl="5" w:tplc="2000001B" w:tentative="1">
      <w:start w:val="1"/>
      <w:numFmt w:val="lowerRoman"/>
      <w:lvlText w:val="%6."/>
      <w:lvlJc w:val="right"/>
      <w:pPr>
        <w:ind w:left="4230" w:hanging="180"/>
      </w:pPr>
    </w:lvl>
    <w:lvl w:ilvl="6" w:tplc="2000000F" w:tentative="1">
      <w:start w:val="1"/>
      <w:numFmt w:val="decimal"/>
      <w:lvlText w:val="%7."/>
      <w:lvlJc w:val="left"/>
      <w:pPr>
        <w:ind w:left="4950" w:hanging="360"/>
      </w:pPr>
    </w:lvl>
    <w:lvl w:ilvl="7" w:tplc="20000019" w:tentative="1">
      <w:start w:val="1"/>
      <w:numFmt w:val="lowerLetter"/>
      <w:lvlText w:val="%8."/>
      <w:lvlJc w:val="left"/>
      <w:pPr>
        <w:ind w:left="5670" w:hanging="360"/>
      </w:pPr>
    </w:lvl>
    <w:lvl w:ilvl="8" w:tplc="2000001B" w:tentative="1">
      <w:start w:val="1"/>
      <w:numFmt w:val="lowerRoman"/>
      <w:lvlText w:val="%9."/>
      <w:lvlJc w:val="right"/>
      <w:pPr>
        <w:ind w:left="6390" w:hanging="180"/>
      </w:pPr>
    </w:lvl>
  </w:abstractNum>
  <w:abstractNum w:abstractNumId="12">
    <w:nsid w:val="406056D6"/>
    <w:multiLevelType w:val="hybridMultilevel"/>
    <w:tmpl w:val="94A89300"/>
    <w:lvl w:ilvl="0" w:tplc="6A5229CA">
      <w:start w:val="1"/>
      <w:numFmt w:val="lowerLetter"/>
      <w:lvlText w:val="%1."/>
      <w:lvlJc w:val="left"/>
      <w:pPr>
        <w:ind w:left="1080" w:hanging="360"/>
      </w:pPr>
      <w:rPr>
        <w:rFonts w:eastAsiaTheme="majorEastAsia"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3">
    <w:nsid w:val="41453D87"/>
    <w:multiLevelType w:val="hybridMultilevel"/>
    <w:tmpl w:val="95264D7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419D5672"/>
    <w:multiLevelType w:val="hybridMultilevel"/>
    <w:tmpl w:val="5FCED46E"/>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5B517ECF"/>
    <w:multiLevelType w:val="hybridMultilevel"/>
    <w:tmpl w:val="E940D98E"/>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6">
    <w:nsid w:val="68B3631E"/>
    <w:multiLevelType w:val="hybridMultilevel"/>
    <w:tmpl w:val="75387C4C"/>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6A132932"/>
    <w:multiLevelType w:val="hybridMultilevel"/>
    <w:tmpl w:val="787A654C"/>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8">
    <w:nsid w:val="6AC25D27"/>
    <w:multiLevelType w:val="multilevel"/>
    <w:tmpl w:val="F4EE020A"/>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90484E"/>
    <w:multiLevelType w:val="hybridMultilevel"/>
    <w:tmpl w:val="1400CB6A"/>
    <w:lvl w:ilvl="0" w:tplc="20000017">
      <w:start w:val="1"/>
      <w:numFmt w:val="lowerLetter"/>
      <w:lvlText w:val="%1)"/>
      <w:lvlJc w:val="left"/>
      <w:pPr>
        <w:ind w:left="780" w:hanging="360"/>
      </w:p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abstractNum w:abstractNumId="20">
    <w:nsid w:val="7D5B58DB"/>
    <w:multiLevelType w:val="hybridMultilevel"/>
    <w:tmpl w:val="79146F5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9"/>
  </w:num>
  <w:num w:numId="2">
    <w:abstractNumId w:val="16"/>
  </w:num>
  <w:num w:numId="3">
    <w:abstractNumId w:val="4"/>
  </w:num>
  <w:num w:numId="4">
    <w:abstractNumId w:val="3"/>
  </w:num>
  <w:num w:numId="5">
    <w:abstractNumId w:val="18"/>
  </w:num>
  <w:num w:numId="6">
    <w:abstractNumId w:val="2"/>
  </w:num>
  <w:num w:numId="7">
    <w:abstractNumId w:val="15"/>
  </w:num>
  <w:num w:numId="8">
    <w:abstractNumId w:val="17"/>
  </w:num>
  <w:num w:numId="9">
    <w:abstractNumId w:val="20"/>
  </w:num>
  <w:num w:numId="10">
    <w:abstractNumId w:val="13"/>
  </w:num>
  <w:num w:numId="11">
    <w:abstractNumId w:val="7"/>
  </w:num>
  <w:num w:numId="12">
    <w:abstractNumId w:val="14"/>
  </w:num>
  <w:num w:numId="13">
    <w:abstractNumId w:val="9"/>
  </w:num>
  <w:num w:numId="14">
    <w:abstractNumId w:val="10"/>
  </w:num>
  <w:num w:numId="15">
    <w:abstractNumId w:val="8"/>
  </w:num>
  <w:num w:numId="16">
    <w:abstractNumId w:val="1"/>
  </w:num>
  <w:num w:numId="17">
    <w:abstractNumId w:val="11"/>
  </w:num>
  <w:num w:numId="18">
    <w:abstractNumId w:val="0"/>
  </w:num>
  <w:num w:numId="19">
    <w:abstractNumId w:val="12"/>
  </w:num>
  <w:num w:numId="20">
    <w:abstractNumId w:val="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855"/>
    <w:rsid w:val="00075DBD"/>
    <w:rsid w:val="001477E7"/>
    <w:rsid w:val="001F575B"/>
    <w:rsid w:val="0021632D"/>
    <w:rsid w:val="002F07BC"/>
    <w:rsid w:val="00352855"/>
    <w:rsid w:val="003921B4"/>
    <w:rsid w:val="0039285A"/>
    <w:rsid w:val="00473597"/>
    <w:rsid w:val="004C5EC0"/>
    <w:rsid w:val="005A4697"/>
    <w:rsid w:val="00642CDD"/>
    <w:rsid w:val="007556CB"/>
    <w:rsid w:val="00872451"/>
    <w:rsid w:val="00930289"/>
    <w:rsid w:val="00994A2C"/>
    <w:rsid w:val="009D08EF"/>
    <w:rsid w:val="00A507E4"/>
    <w:rsid w:val="00A71379"/>
    <w:rsid w:val="00B25182"/>
    <w:rsid w:val="00E27D4E"/>
    <w:rsid w:val="00E70F39"/>
    <w:rsid w:val="00EE3FFA"/>
    <w:rsid w:val="00FC1A84"/>
    <w:rsid w:val="00FF4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3D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28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528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528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528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528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528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28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28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28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8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528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528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528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528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528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28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28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2855"/>
    <w:rPr>
      <w:rFonts w:eastAsiaTheme="majorEastAsia" w:cstheme="majorBidi"/>
      <w:color w:val="272727" w:themeColor="text1" w:themeTint="D8"/>
    </w:rPr>
  </w:style>
  <w:style w:type="paragraph" w:styleId="Title">
    <w:name w:val="Title"/>
    <w:basedOn w:val="Normal"/>
    <w:next w:val="Normal"/>
    <w:link w:val="TitleChar"/>
    <w:uiPriority w:val="10"/>
    <w:qFormat/>
    <w:rsid w:val="003528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28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28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28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2855"/>
    <w:pPr>
      <w:spacing w:before="160"/>
      <w:jc w:val="center"/>
    </w:pPr>
    <w:rPr>
      <w:i/>
      <w:iCs/>
      <w:color w:val="404040" w:themeColor="text1" w:themeTint="BF"/>
    </w:rPr>
  </w:style>
  <w:style w:type="character" w:customStyle="1" w:styleId="QuoteChar">
    <w:name w:val="Quote Char"/>
    <w:basedOn w:val="DefaultParagraphFont"/>
    <w:link w:val="Quote"/>
    <w:uiPriority w:val="29"/>
    <w:rsid w:val="00352855"/>
    <w:rPr>
      <w:i/>
      <w:iCs/>
      <w:color w:val="404040" w:themeColor="text1" w:themeTint="BF"/>
    </w:rPr>
  </w:style>
  <w:style w:type="paragraph" w:styleId="ListParagraph">
    <w:name w:val="List Paragraph"/>
    <w:basedOn w:val="Normal"/>
    <w:uiPriority w:val="34"/>
    <w:qFormat/>
    <w:rsid w:val="00352855"/>
    <w:pPr>
      <w:ind w:left="720"/>
      <w:contextualSpacing/>
    </w:pPr>
  </w:style>
  <w:style w:type="character" w:styleId="IntenseEmphasis">
    <w:name w:val="Intense Emphasis"/>
    <w:basedOn w:val="DefaultParagraphFont"/>
    <w:uiPriority w:val="21"/>
    <w:qFormat/>
    <w:rsid w:val="00352855"/>
    <w:rPr>
      <w:i/>
      <w:iCs/>
      <w:color w:val="2F5496" w:themeColor="accent1" w:themeShade="BF"/>
    </w:rPr>
  </w:style>
  <w:style w:type="paragraph" w:styleId="IntenseQuote">
    <w:name w:val="Intense Quote"/>
    <w:basedOn w:val="Normal"/>
    <w:next w:val="Normal"/>
    <w:link w:val="IntenseQuoteChar"/>
    <w:uiPriority w:val="30"/>
    <w:qFormat/>
    <w:rsid w:val="003528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52855"/>
    <w:rPr>
      <w:i/>
      <w:iCs/>
      <w:color w:val="2F5496" w:themeColor="accent1" w:themeShade="BF"/>
    </w:rPr>
  </w:style>
  <w:style w:type="character" w:styleId="IntenseReference">
    <w:name w:val="Intense Reference"/>
    <w:basedOn w:val="DefaultParagraphFont"/>
    <w:uiPriority w:val="32"/>
    <w:qFormat/>
    <w:rsid w:val="00352855"/>
    <w:rPr>
      <w:b/>
      <w:bCs/>
      <w:smallCaps/>
      <w:color w:val="2F5496" w:themeColor="accent1" w:themeShade="BF"/>
      <w:spacing w:val="5"/>
    </w:rPr>
  </w:style>
  <w:style w:type="table" w:styleId="TableGrid">
    <w:name w:val="Table Grid"/>
    <w:basedOn w:val="TableNormal"/>
    <w:rsid w:val="005A4697"/>
    <w:pPr>
      <w:widowControl w:val="0"/>
      <w:spacing w:after="0" w:line="240" w:lineRule="auto"/>
      <w:jc w:val="both"/>
    </w:pPr>
    <w:rPr>
      <w:rFonts w:eastAsia="DengXi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A4697"/>
    <w:rPr>
      <w:color w:val="0563C1" w:themeColor="hyperlink"/>
      <w:u w:val="single"/>
    </w:rPr>
  </w:style>
  <w:style w:type="paragraph" w:styleId="NormalWeb">
    <w:name w:val="Normal (Web)"/>
    <w:basedOn w:val="Normal"/>
    <w:uiPriority w:val="99"/>
    <w:unhideWhenUsed/>
    <w:rsid w:val="005A469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5A4697"/>
    <w:rPr>
      <w:b/>
      <w:bCs/>
    </w:rPr>
  </w:style>
  <w:style w:type="paragraph" w:styleId="Header">
    <w:name w:val="header"/>
    <w:basedOn w:val="Normal"/>
    <w:link w:val="HeaderChar"/>
    <w:uiPriority w:val="99"/>
    <w:unhideWhenUsed/>
    <w:rsid w:val="00E27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D4E"/>
  </w:style>
  <w:style w:type="paragraph" w:styleId="Footer">
    <w:name w:val="footer"/>
    <w:basedOn w:val="Normal"/>
    <w:link w:val="FooterChar"/>
    <w:uiPriority w:val="99"/>
    <w:unhideWhenUsed/>
    <w:rsid w:val="00E27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D4E"/>
  </w:style>
  <w:style w:type="character" w:customStyle="1" w:styleId="UnresolvedMention">
    <w:name w:val="Unresolved Mention"/>
    <w:basedOn w:val="DefaultParagraphFont"/>
    <w:uiPriority w:val="99"/>
    <w:semiHidden/>
    <w:unhideWhenUsed/>
    <w:rsid w:val="00EE3FF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28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528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528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528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528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528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28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28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28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8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528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528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528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528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528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28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28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2855"/>
    <w:rPr>
      <w:rFonts w:eastAsiaTheme="majorEastAsia" w:cstheme="majorBidi"/>
      <w:color w:val="272727" w:themeColor="text1" w:themeTint="D8"/>
    </w:rPr>
  </w:style>
  <w:style w:type="paragraph" w:styleId="Title">
    <w:name w:val="Title"/>
    <w:basedOn w:val="Normal"/>
    <w:next w:val="Normal"/>
    <w:link w:val="TitleChar"/>
    <w:uiPriority w:val="10"/>
    <w:qFormat/>
    <w:rsid w:val="003528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28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28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28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2855"/>
    <w:pPr>
      <w:spacing w:before="160"/>
      <w:jc w:val="center"/>
    </w:pPr>
    <w:rPr>
      <w:i/>
      <w:iCs/>
      <w:color w:val="404040" w:themeColor="text1" w:themeTint="BF"/>
    </w:rPr>
  </w:style>
  <w:style w:type="character" w:customStyle="1" w:styleId="QuoteChar">
    <w:name w:val="Quote Char"/>
    <w:basedOn w:val="DefaultParagraphFont"/>
    <w:link w:val="Quote"/>
    <w:uiPriority w:val="29"/>
    <w:rsid w:val="00352855"/>
    <w:rPr>
      <w:i/>
      <w:iCs/>
      <w:color w:val="404040" w:themeColor="text1" w:themeTint="BF"/>
    </w:rPr>
  </w:style>
  <w:style w:type="paragraph" w:styleId="ListParagraph">
    <w:name w:val="List Paragraph"/>
    <w:basedOn w:val="Normal"/>
    <w:uiPriority w:val="34"/>
    <w:qFormat/>
    <w:rsid w:val="00352855"/>
    <w:pPr>
      <w:ind w:left="720"/>
      <w:contextualSpacing/>
    </w:pPr>
  </w:style>
  <w:style w:type="character" w:styleId="IntenseEmphasis">
    <w:name w:val="Intense Emphasis"/>
    <w:basedOn w:val="DefaultParagraphFont"/>
    <w:uiPriority w:val="21"/>
    <w:qFormat/>
    <w:rsid w:val="00352855"/>
    <w:rPr>
      <w:i/>
      <w:iCs/>
      <w:color w:val="2F5496" w:themeColor="accent1" w:themeShade="BF"/>
    </w:rPr>
  </w:style>
  <w:style w:type="paragraph" w:styleId="IntenseQuote">
    <w:name w:val="Intense Quote"/>
    <w:basedOn w:val="Normal"/>
    <w:next w:val="Normal"/>
    <w:link w:val="IntenseQuoteChar"/>
    <w:uiPriority w:val="30"/>
    <w:qFormat/>
    <w:rsid w:val="003528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52855"/>
    <w:rPr>
      <w:i/>
      <w:iCs/>
      <w:color w:val="2F5496" w:themeColor="accent1" w:themeShade="BF"/>
    </w:rPr>
  </w:style>
  <w:style w:type="character" w:styleId="IntenseReference">
    <w:name w:val="Intense Reference"/>
    <w:basedOn w:val="DefaultParagraphFont"/>
    <w:uiPriority w:val="32"/>
    <w:qFormat/>
    <w:rsid w:val="00352855"/>
    <w:rPr>
      <w:b/>
      <w:bCs/>
      <w:smallCaps/>
      <w:color w:val="2F5496" w:themeColor="accent1" w:themeShade="BF"/>
      <w:spacing w:val="5"/>
    </w:rPr>
  </w:style>
  <w:style w:type="table" w:styleId="TableGrid">
    <w:name w:val="Table Grid"/>
    <w:basedOn w:val="TableNormal"/>
    <w:rsid w:val="005A4697"/>
    <w:pPr>
      <w:widowControl w:val="0"/>
      <w:spacing w:after="0" w:line="240" w:lineRule="auto"/>
      <w:jc w:val="both"/>
    </w:pPr>
    <w:rPr>
      <w:rFonts w:eastAsia="DengXi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A4697"/>
    <w:rPr>
      <w:color w:val="0563C1" w:themeColor="hyperlink"/>
      <w:u w:val="single"/>
    </w:rPr>
  </w:style>
  <w:style w:type="paragraph" w:styleId="NormalWeb">
    <w:name w:val="Normal (Web)"/>
    <w:basedOn w:val="Normal"/>
    <w:uiPriority w:val="99"/>
    <w:unhideWhenUsed/>
    <w:rsid w:val="005A469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5A4697"/>
    <w:rPr>
      <w:b/>
      <w:bCs/>
    </w:rPr>
  </w:style>
  <w:style w:type="paragraph" w:styleId="Header">
    <w:name w:val="header"/>
    <w:basedOn w:val="Normal"/>
    <w:link w:val="HeaderChar"/>
    <w:uiPriority w:val="99"/>
    <w:unhideWhenUsed/>
    <w:rsid w:val="00E27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D4E"/>
  </w:style>
  <w:style w:type="paragraph" w:styleId="Footer">
    <w:name w:val="footer"/>
    <w:basedOn w:val="Normal"/>
    <w:link w:val="FooterChar"/>
    <w:uiPriority w:val="99"/>
    <w:unhideWhenUsed/>
    <w:rsid w:val="00E27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D4E"/>
  </w:style>
  <w:style w:type="character" w:customStyle="1" w:styleId="UnresolvedMention">
    <w:name w:val="Unresolved Mention"/>
    <w:basedOn w:val="DefaultParagraphFont"/>
    <w:uiPriority w:val="99"/>
    <w:semiHidden/>
    <w:unhideWhenUsed/>
    <w:rsid w:val="00EE3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stainenergyres.springeropen.com/articles/10.1186/s40807-024-00107-1" TargetMode="External"/><Relationship Id="rId13" Type="http://schemas.openxmlformats.org/officeDocument/2006/relationships/chart" Target="charts/chart1.xm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s://sustainenergyres.springeropen.com/articles/10.1186/s40807-024-00107-1"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sustainenergyres.springeropen.com/articles/10.1186/s40807-024-00107-1" TargetMode="External"/><Relationship Id="rId14" Type="http://schemas.openxmlformats.org/officeDocument/2006/relationships/image" Target="media/image3.jpeg"/><Relationship Id="rId22" Type="http://schemas.openxmlformats.org/officeDocument/2006/relationships/hyperlink" Target="https://doi.org/10.17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rPr lang="en-US"/>
              <a:t>LULC Chart</a:t>
            </a:r>
          </a:p>
        </c:rich>
      </c:tx>
      <c:overlay val="0"/>
      <c:spPr>
        <a:noFill/>
        <a:ln>
          <a:noFill/>
        </a:ln>
        <a:effectLst/>
      </c:spPr>
    </c:title>
    <c:autoTitleDeleted val="0"/>
    <c:plotArea>
      <c:layout/>
      <c:barChart>
        <c:barDir val="col"/>
        <c:grouping val="clustered"/>
        <c:varyColors val="0"/>
        <c:ser>
          <c:idx val="0"/>
          <c:order val="0"/>
          <c:tx>
            <c:strRef>
              <c:f>[Book1]Sheet1!$D$1</c:f>
              <c:strCache>
                <c:ptCount val="1"/>
              </c:strCache>
            </c:strRef>
          </c:tx>
          <c:spPr>
            <a:solidFill>
              <a:schemeClr val="accent1"/>
            </a:solidFill>
            <a:ln>
              <a:noFill/>
            </a:ln>
            <a:effectLst/>
          </c:spPr>
          <c:invertIfNegative val="0"/>
          <c:cat>
            <c:strRef>
              <c:f>[Book1]Sheet1!$C$2:$C$7</c:f>
              <c:strCache>
                <c:ptCount val="6"/>
                <c:pt idx="0">
                  <c:v>Water body</c:v>
                </c:pt>
                <c:pt idx="1">
                  <c:v>Vegetation</c:v>
                </c:pt>
                <c:pt idx="2">
                  <c:v>Crop land</c:v>
                </c:pt>
                <c:pt idx="3">
                  <c:v>Built up area</c:v>
                </c:pt>
                <c:pt idx="4">
                  <c:v>Bare surface</c:v>
                </c:pt>
                <c:pt idx="5">
                  <c:v>Total</c:v>
                </c:pt>
              </c:strCache>
            </c:strRef>
          </c:cat>
          <c:val>
            <c:numRef>
              <c:f>[Book1]Sheet1!$D$2:$D$7</c:f>
              <c:numCache>
                <c:formatCode>General</c:formatCode>
                <c:ptCount val="6"/>
              </c:numCache>
            </c:numRef>
          </c:val>
          <c:extLst xmlns:c16r2="http://schemas.microsoft.com/office/drawing/2015/06/chart">
            <c:ext xmlns:c16="http://schemas.microsoft.com/office/drawing/2014/chart" uri="{C3380CC4-5D6E-409C-BE32-E72D297353CC}">
              <c16:uniqueId val="{00000000-E3D8-4504-8751-269B374BD54A}"/>
            </c:ext>
          </c:extLst>
        </c:ser>
        <c:ser>
          <c:idx val="1"/>
          <c:order val="1"/>
          <c:tx>
            <c:strRef>
              <c:f>[Book1]Sheet1!$E$1</c:f>
              <c:strCache>
                <c:ptCount val="1"/>
                <c:pt idx="0">
                  <c:v>Area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[Book1]Sheet1!$C$2:$C$7</c:f>
              <c:strCache>
                <c:ptCount val="6"/>
                <c:pt idx="0">
                  <c:v>Water body</c:v>
                </c:pt>
                <c:pt idx="1">
                  <c:v>Vegetation</c:v>
                </c:pt>
                <c:pt idx="2">
                  <c:v>Crop land</c:v>
                </c:pt>
                <c:pt idx="3">
                  <c:v>Built up area</c:v>
                </c:pt>
                <c:pt idx="4">
                  <c:v>Bare surface</c:v>
                </c:pt>
                <c:pt idx="5">
                  <c:v>Total</c:v>
                </c:pt>
              </c:strCache>
            </c:strRef>
          </c:cat>
          <c:val>
            <c:numRef>
              <c:f>[Book1]Sheet1!$E$2:$E$7</c:f>
              <c:numCache>
                <c:formatCode>0.00%</c:formatCode>
                <c:ptCount val="6"/>
                <c:pt idx="0">
                  <c:v>2.40584431980101E-2</c:v>
                </c:pt>
                <c:pt idx="1">
                  <c:v>9.9866807463558693E-2</c:v>
                </c:pt>
                <c:pt idx="2">
                  <c:v>0.21622900414906199</c:v>
                </c:pt>
                <c:pt idx="3">
                  <c:v>1.08822593106135E-2</c:v>
                </c:pt>
                <c:pt idx="4">
                  <c:v>0.64896348587875596</c:v>
                </c:pt>
                <c:pt idx="5">
                  <c:v>1</c:v>
                </c:pt>
              </c:numCache>
            </c:numRef>
          </c:val>
          <c:extLst xmlns:c16r2="http://schemas.microsoft.com/office/drawing/2015/06/chart">
            <c:ext xmlns:c16="http://schemas.microsoft.com/office/drawing/2014/chart" uri="{C3380CC4-5D6E-409C-BE32-E72D297353CC}">
              <c16:uniqueId val="{00000001-E3D8-4504-8751-269B374BD54A}"/>
            </c:ext>
          </c:extLst>
        </c:ser>
        <c:dLbls>
          <c:showLegendKey val="0"/>
          <c:showVal val="0"/>
          <c:showCatName val="0"/>
          <c:showSerName val="0"/>
          <c:showPercent val="0"/>
          <c:showBubbleSize val="0"/>
        </c:dLbls>
        <c:gapWidth val="246"/>
        <c:overlap val="-28"/>
        <c:axId val="262909440"/>
        <c:axId val="304771008"/>
      </c:barChart>
      <c:catAx>
        <c:axId val="2629094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4771008"/>
        <c:crosses val="autoZero"/>
        <c:auto val="1"/>
        <c:lblAlgn val="ctr"/>
        <c:lblOffset val="100"/>
        <c:noMultiLvlLbl val="0"/>
      </c:catAx>
      <c:valAx>
        <c:axId val="304771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290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uri="{0b15fc19-7d7d-44ad-8c2d-2c3a37ce22c3}">
        <chartProps xmlns="https://web.wps.cn/et/2018/main" chartId="{aadf14d6-71af-4573-8c9c-7dee6e2f7546}"/>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rPr lang="en-US"/>
              <a:t>Borku curve</a:t>
            </a:r>
          </a:p>
        </c:rich>
      </c:tx>
      <c:overlay val="0"/>
      <c:spPr>
        <a:noFill/>
        <a:ln>
          <a:noFill/>
        </a:ln>
        <a:effectLst/>
      </c:spPr>
    </c:title>
    <c:autoTitleDeleted val="0"/>
    <c:plotArea>
      <c:layout/>
      <c:barChart>
        <c:barDir val="col"/>
        <c:grouping val="clustered"/>
        <c:varyColors val="0"/>
        <c:ser>
          <c:idx val="0"/>
          <c:order val="0"/>
          <c:tx>
            <c:strRef>
              <c:f>[Book2]Sheet1!$D$2</c:f>
              <c:strCache>
                <c:ptCount val="1"/>
                <c:pt idx="0">
                  <c:v>Area (Sqkm)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[Book2]Sheet1!$C$3:$C$8</c:f>
              <c:strCache>
                <c:ptCount val="6"/>
                <c:pt idx="0">
                  <c:v>Water body</c:v>
                </c:pt>
                <c:pt idx="1">
                  <c:v>Vegetation</c:v>
                </c:pt>
                <c:pt idx="2">
                  <c:v>Crop land</c:v>
                </c:pt>
                <c:pt idx="3">
                  <c:v>Built up area</c:v>
                </c:pt>
                <c:pt idx="4">
                  <c:v>Bare surface</c:v>
                </c:pt>
                <c:pt idx="5">
                  <c:v>Total</c:v>
                </c:pt>
              </c:strCache>
            </c:strRef>
          </c:cat>
          <c:val>
            <c:numRef>
              <c:f>[Book2]Sheet1!$D$3:$D$8</c:f>
              <c:numCache>
                <c:formatCode>General</c:formatCode>
                <c:ptCount val="6"/>
                <c:pt idx="0">
                  <c:v>355.07</c:v>
                </c:pt>
                <c:pt idx="1">
                  <c:v>1577.78</c:v>
                </c:pt>
                <c:pt idx="2">
                  <c:v>589.62</c:v>
                </c:pt>
                <c:pt idx="3">
                  <c:v>38.49</c:v>
                </c:pt>
                <c:pt idx="4">
                  <c:v>8684.91</c:v>
                </c:pt>
                <c:pt idx="5">
                  <c:v>11245.87</c:v>
                </c:pt>
              </c:numCache>
            </c:numRef>
          </c:val>
          <c:extLst xmlns:c16r2="http://schemas.microsoft.com/office/drawing/2015/06/chart">
            <c:ext xmlns:c16="http://schemas.microsoft.com/office/drawing/2014/chart" uri="{C3380CC4-5D6E-409C-BE32-E72D297353CC}">
              <c16:uniqueId val="{00000000-44B8-4BC9-8F64-FB11F285C845}"/>
            </c:ext>
          </c:extLst>
        </c:ser>
        <c:dLbls>
          <c:showLegendKey val="0"/>
          <c:showVal val="1"/>
          <c:showCatName val="0"/>
          <c:showSerName val="0"/>
          <c:showPercent val="0"/>
          <c:showBubbleSize val="0"/>
        </c:dLbls>
        <c:gapWidth val="246"/>
        <c:overlap val="-28"/>
        <c:axId val="262908416"/>
        <c:axId val="304772736"/>
      </c:barChart>
      <c:catAx>
        <c:axId val="2629084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4772736"/>
        <c:crosses val="autoZero"/>
        <c:auto val="1"/>
        <c:lblAlgn val="ctr"/>
        <c:lblOffset val="100"/>
        <c:noMultiLvlLbl val="0"/>
      </c:catAx>
      <c:valAx>
        <c:axId val="30477273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290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uri="{0b15fc19-7d7d-44ad-8c2d-2c3a37ce22c3}">
        <chartProps xmlns="https://web.wps.cn/et/2018/main" chartId="{05d5b124-7dbb-4fd7-a115-9fcc65a5e28e}"/>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rPr lang="en-US"/>
              <a:t>Chart in percentage</a:t>
            </a:r>
          </a:p>
        </c:rich>
      </c:tx>
      <c:overlay val="0"/>
      <c:spPr>
        <a:noFill/>
        <a:ln>
          <a:noFill/>
        </a:ln>
        <a:effectLst/>
      </c:spPr>
    </c:title>
    <c:autoTitleDeleted val="0"/>
    <c:plotArea>
      <c:layout/>
      <c:barChart>
        <c:barDir val="col"/>
        <c:grouping val="clustered"/>
        <c:varyColors val="0"/>
        <c:ser>
          <c:idx val="0"/>
          <c:order val="0"/>
          <c:tx>
            <c:strRef>
              <c:f>[Book2]Sheet2!$E$3</c:f>
              <c:strCache>
                <c:ptCount val="1"/>
              </c:strCache>
            </c:strRef>
          </c:tx>
          <c:spPr>
            <a:solidFill>
              <a:schemeClr val="accent1"/>
            </a:solidFill>
            <a:ln>
              <a:noFill/>
            </a:ln>
            <a:effectLst/>
          </c:spPr>
          <c:invertIfNegative val="0"/>
          <c:cat>
            <c:strRef>
              <c:f>[Book2]Sheet2!$D$4:$D$9</c:f>
              <c:strCache>
                <c:ptCount val="6"/>
                <c:pt idx="0">
                  <c:v>Water body</c:v>
                </c:pt>
                <c:pt idx="1">
                  <c:v>Vegetation</c:v>
                </c:pt>
                <c:pt idx="2">
                  <c:v>Crop land</c:v>
                </c:pt>
                <c:pt idx="3">
                  <c:v>Built up area</c:v>
                </c:pt>
                <c:pt idx="4">
                  <c:v>Bare surface</c:v>
                </c:pt>
                <c:pt idx="5">
                  <c:v>Total</c:v>
                </c:pt>
              </c:strCache>
            </c:strRef>
          </c:cat>
          <c:val>
            <c:numRef>
              <c:f>[Book2]Sheet2!$E$4:$E$9</c:f>
              <c:numCache>
                <c:formatCode>General</c:formatCode>
                <c:ptCount val="6"/>
              </c:numCache>
            </c:numRef>
          </c:val>
          <c:extLst xmlns:c16r2="http://schemas.microsoft.com/office/drawing/2015/06/chart">
            <c:ext xmlns:c16="http://schemas.microsoft.com/office/drawing/2014/chart" uri="{C3380CC4-5D6E-409C-BE32-E72D297353CC}">
              <c16:uniqueId val="{00000000-5AF2-450C-AFA0-D515143929B8}"/>
            </c:ext>
          </c:extLst>
        </c:ser>
        <c:ser>
          <c:idx val="1"/>
          <c:order val="1"/>
          <c:tx>
            <c:strRef>
              <c:f>[Book2]Sheet2!$F$3</c:f>
              <c:strCache>
                <c:ptCount val="1"/>
                <c:pt idx="0">
                  <c:v>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[Book2]Sheet2!$D$4:$D$9</c:f>
              <c:strCache>
                <c:ptCount val="6"/>
                <c:pt idx="0">
                  <c:v>Water body</c:v>
                </c:pt>
                <c:pt idx="1">
                  <c:v>Vegetation</c:v>
                </c:pt>
                <c:pt idx="2">
                  <c:v>Crop land</c:v>
                </c:pt>
                <c:pt idx="3">
                  <c:v>Built up area</c:v>
                </c:pt>
                <c:pt idx="4">
                  <c:v>Bare surface</c:v>
                </c:pt>
                <c:pt idx="5">
                  <c:v>Total</c:v>
                </c:pt>
              </c:strCache>
            </c:strRef>
          </c:cat>
          <c:val>
            <c:numRef>
              <c:f>[Book2]Sheet2!$F$4:$F$9</c:f>
              <c:numCache>
                <c:formatCode>0.00%</c:formatCode>
                <c:ptCount val="6"/>
                <c:pt idx="0">
                  <c:v>3.15733687122473E-2</c:v>
                </c:pt>
                <c:pt idx="1">
                  <c:v>0.140298616292025</c:v>
                </c:pt>
                <c:pt idx="2">
                  <c:v>5.2429914270750097E-2</c:v>
                </c:pt>
                <c:pt idx="3">
                  <c:v>3.4225898040791901E-3</c:v>
                </c:pt>
                <c:pt idx="4">
                  <c:v>0.77227551092089797</c:v>
                </c:pt>
                <c:pt idx="5">
                  <c:v>1</c:v>
                </c:pt>
              </c:numCache>
            </c:numRef>
          </c:val>
          <c:extLst xmlns:c16r2="http://schemas.microsoft.com/office/drawing/2015/06/chart">
            <c:ext xmlns:c16="http://schemas.microsoft.com/office/drawing/2014/chart" uri="{C3380CC4-5D6E-409C-BE32-E72D297353CC}">
              <c16:uniqueId val="{00000001-5AF2-450C-AFA0-D515143929B8}"/>
            </c:ext>
          </c:extLst>
        </c:ser>
        <c:dLbls>
          <c:showLegendKey val="0"/>
          <c:showVal val="0"/>
          <c:showCatName val="0"/>
          <c:showSerName val="0"/>
          <c:showPercent val="0"/>
          <c:showBubbleSize val="0"/>
        </c:dLbls>
        <c:gapWidth val="246"/>
        <c:overlap val="-28"/>
        <c:axId val="305278976"/>
        <c:axId val="304774464"/>
      </c:barChart>
      <c:catAx>
        <c:axId val="3052789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4774464"/>
        <c:crosses val="autoZero"/>
        <c:auto val="1"/>
        <c:lblAlgn val="ctr"/>
        <c:lblOffset val="100"/>
        <c:noMultiLvlLbl val="0"/>
      </c:catAx>
      <c:valAx>
        <c:axId val="30477446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527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uri="{0b15fc19-7d7d-44ad-8c2d-2c3a37ce22c3}">
        <chartProps xmlns="https://web.wps.cn/et/2018/main" chartId="{7173b73e-f4b0-455d-8383-adec277d3e39}"/>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7641</Words>
  <Characters>43555</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APEX ICT CONZULT</dc:creator>
  <cp:keywords/>
  <dc:description/>
  <cp:lastModifiedBy>qwert</cp:lastModifiedBy>
  <cp:revision>8</cp:revision>
  <dcterms:created xsi:type="dcterms:W3CDTF">2026-02-15T23:12:00Z</dcterms:created>
  <dcterms:modified xsi:type="dcterms:W3CDTF">2026-04-25T12:00:00Z</dcterms:modified>
</cp:coreProperties>
</file>