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6B839" w14:textId="77777777" w:rsidR="00C070AB" w:rsidRDefault="00E83A2B" w:rsidP="00A47E75">
      <w:pPr>
        <w:spacing w:line="360" w:lineRule="auto"/>
        <w:jc w:val="both"/>
        <w:rPr>
          <w:rFonts w:ascii="Times New Roman" w:hAnsi="Times New Roman" w:cs="Times New Roman"/>
          <w:b/>
          <w:sz w:val="24"/>
          <w:szCs w:val="24"/>
        </w:rPr>
      </w:pPr>
      <w:r w:rsidRPr="00E83A2B">
        <w:rPr>
          <w:rFonts w:ascii="Times New Roman" w:hAnsi="Times New Roman" w:cs="Times New Roman"/>
          <w:b/>
          <w:sz w:val="24"/>
          <w:szCs w:val="24"/>
        </w:rPr>
        <w:t>A Comparative Study on the Effectiveness of Nutrition Education Among Caregivers on Dietary Diversification</w:t>
      </w:r>
      <w:r w:rsidR="00D16512">
        <w:rPr>
          <w:rFonts w:ascii="Times New Roman" w:hAnsi="Times New Roman" w:cs="Times New Roman"/>
          <w:b/>
          <w:sz w:val="24"/>
          <w:szCs w:val="24"/>
        </w:rPr>
        <w:t xml:space="preserve"> on children</w:t>
      </w:r>
      <w:r w:rsidRPr="00E83A2B">
        <w:rPr>
          <w:rFonts w:ascii="Times New Roman" w:hAnsi="Times New Roman" w:cs="Times New Roman"/>
          <w:b/>
          <w:sz w:val="24"/>
          <w:szCs w:val="24"/>
        </w:rPr>
        <w:t xml:space="preserve"> in Urban vs. Rural </w:t>
      </w:r>
      <w:r w:rsidR="00D16512">
        <w:rPr>
          <w:rFonts w:ascii="Times New Roman" w:hAnsi="Times New Roman" w:cs="Times New Roman"/>
          <w:b/>
          <w:sz w:val="24"/>
          <w:szCs w:val="24"/>
        </w:rPr>
        <w:t xml:space="preserve">Central </w:t>
      </w:r>
      <w:r w:rsidRPr="00E83A2B">
        <w:rPr>
          <w:rFonts w:ascii="Times New Roman" w:hAnsi="Times New Roman" w:cs="Times New Roman"/>
          <w:b/>
          <w:sz w:val="24"/>
          <w:szCs w:val="24"/>
        </w:rPr>
        <w:t>Kajiado, Kenya</w:t>
      </w:r>
    </w:p>
    <w:p w14:paraId="522A3BD0" w14:textId="685ADF20" w:rsidR="008A2CEF" w:rsidRPr="008A2CEF" w:rsidRDefault="008A2CEF" w:rsidP="008A2CEF">
      <w:pPr>
        <w:pBdr>
          <w:top w:val="nil"/>
          <w:left w:val="nil"/>
          <w:bottom w:val="nil"/>
          <w:right w:val="nil"/>
          <w:between w:val="nil"/>
        </w:pBdr>
        <w:spacing w:before="240" w:after="0" w:line="240" w:lineRule="auto"/>
        <w:jc w:val="both"/>
        <w:rPr>
          <w:rFonts w:ascii="Georgia" w:eastAsia="Georgia" w:hAnsi="Georgia" w:cs="Georgia"/>
          <w:color w:val="000000"/>
          <w:sz w:val="20"/>
          <w:szCs w:val="20"/>
        </w:rPr>
      </w:pPr>
      <w:bookmarkStart w:id="0" w:name="_GoBack"/>
      <w:bookmarkEnd w:id="0"/>
    </w:p>
    <w:p w14:paraId="39456E09" w14:textId="77777777" w:rsidR="00CE0111" w:rsidRDefault="00CE0111" w:rsidP="00A47E75">
      <w:pPr>
        <w:spacing w:line="360" w:lineRule="auto"/>
        <w:jc w:val="both"/>
        <w:rPr>
          <w:rFonts w:ascii="Times New Roman" w:hAnsi="Times New Roman" w:cs="Times New Roman"/>
          <w:b/>
          <w:sz w:val="24"/>
          <w:szCs w:val="24"/>
        </w:rPr>
      </w:pPr>
    </w:p>
    <w:p w14:paraId="379B1015" w14:textId="77777777" w:rsidR="00D70A21" w:rsidRDefault="00D70A21" w:rsidP="00A47E75">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2C4D40A" w14:textId="77777777" w:rsidR="004B6F20" w:rsidRDefault="004B6F20" w:rsidP="00EE64E1">
      <w:pPr>
        <w:spacing w:line="240" w:lineRule="auto"/>
        <w:jc w:val="both"/>
        <w:rPr>
          <w:rFonts w:ascii="Times New Roman" w:hAnsi="Times New Roman" w:cs="Times New Roman"/>
          <w:sz w:val="24"/>
          <w:szCs w:val="24"/>
        </w:rPr>
      </w:pPr>
      <w:r w:rsidRPr="004B6F20">
        <w:rPr>
          <w:rFonts w:ascii="Times New Roman" w:hAnsi="Times New Roman" w:cs="Times New Roman"/>
          <w:sz w:val="24"/>
          <w:szCs w:val="24"/>
        </w:rPr>
        <w:t xml:space="preserve">Dietary diversification is essential for optimal child nutrition, particularly in regions facing food insecurity like Kajiado County, Kenya. </w:t>
      </w:r>
      <w:r w:rsidR="00953911" w:rsidRPr="00953911">
        <w:rPr>
          <w:rFonts w:ascii="Times New Roman" w:hAnsi="Times New Roman" w:cs="Times New Roman"/>
          <w:sz w:val="24"/>
          <w:szCs w:val="24"/>
        </w:rPr>
        <w:t>This study examined the demographic and socio-economic characteristics of mothers and evaluated the effectiveness of a nutrition education intervention on dietary divers</w:t>
      </w:r>
      <w:r w:rsidR="00953911">
        <w:rPr>
          <w:rFonts w:ascii="Times New Roman" w:hAnsi="Times New Roman" w:cs="Times New Roman"/>
          <w:sz w:val="24"/>
          <w:szCs w:val="24"/>
        </w:rPr>
        <w:t xml:space="preserve">ity </w:t>
      </w:r>
      <w:r w:rsidRPr="004B6F20">
        <w:rPr>
          <w:rFonts w:ascii="Times New Roman" w:hAnsi="Times New Roman" w:cs="Times New Roman"/>
          <w:sz w:val="24"/>
          <w:szCs w:val="24"/>
        </w:rPr>
        <w:t xml:space="preserve">among caregivers of children aged 6–59 months in both rural and urban areas of Kajiado Central. A mixed-methods approach was employed, involving 294 participants equally drawn from rural and urban settings. Caregivers received structured nutrition education, and changes in their nutrition knowledge and children's dietary diversity scores (DDS) were measured pre- and post-intervention. Quantitative data were analyzed using SPSS Version 26, while qualitative insights from focus group discussions were thematically analyzed. The majority of caregivers were female (98.6%), with notable differences in age, marital status, household size, and income between rural and urban areas. While both groups demonstrated high levels of education and nutrition knowledge, dietary diversity remained low, particularly in rural areas. Post-intervention, urban caregivers showed a statistically significant improvement in dietary diversity (mean DDS increase from 5.15 to 6.35, </w:t>
      </w:r>
      <w:r w:rsidRPr="004B6F20">
        <w:rPr>
          <w:rFonts w:ascii="Times New Roman" w:hAnsi="Times New Roman" w:cs="Times New Roman"/>
          <w:i/>
          <w:iCs/>
          <w:sz w:val="24"/>
          <w:szCs w:val="24"/>
        </w:rPr>
        <w:t>p</w:t>
      </w:r>
      <w:r w:rsidRPr="004B6F20">
        <w:rPr>
          <w:rFonts w:ascii="Times New Roman" w:hAnsi="Times New Roman" w:cs="Times New Roman"/>
          <w:sz w:val="24"/>
          <w:szCs w:val="24"/>
        </w:rPr>
        <w:t xml:space="preserve"> = 0.002), while rural improvements were marginal and not statistically significant (mean DDS increase from 3.15 to 3.45, </w:t>
      </w:r>
      <w:r w:rsidRPr="004B6F20">
        <w:rPr>
          <w:rFonts w:ascii="Times New Roman" w:hAnsi="Times New Roman" w:cs="Times New Roman"/>
          <w:i/>
          <w:iCs/>
          <w:sz w:val="24"/>
          <w:szCs w:val="24"/>
        </w:rPr>
        <w:t>p</w:t>
      </w:r>
      <w:r w:rsidRPr="004B6F20">
        <w:rPr>
          <w:rFonts w:ascii="Times New Roman" w:hAnsi="Times New Roman" w:cs="Times New Roman"/>
          <w:sz w:val="24"/>
          <w:szCs w:val="24"/>
        </w:rPr>
        <w:t xml:space="preserve"> = 0.074). Qualitative findings revealed cultural beliefs, limited market access, and male-dominated decision-making as key barriers in rural settings, whereas urban caregivers cited financial constraints and time limitations. The study concludes that while nutrition education improves knowledge, its effectiveness on behavior change is contingent on addressing structural, economic, and cultural barriers. A multifaceted, context-specific approach is recommended to sustainably enhance dietary practices.</w:t>
      </w:r>
    </w:p>
    <w:p w14:paraId="64075860" w14:textId="0E39081B" w:rsidR="00EE64E1" w:rsidRDefault="00567AB5" w:rsidP="00EE64E1">
      <w:pPr>
        <w:spacing w:line="240" w:lineRule="auto"/>
        <w:jc w:val="both"/>
        <w:rPr>
          <w:rFonts w:ascii="Times New Roman" w:hAnsi="Times New Roman" w:cs="Times New Roman"/>
          <w:sz w:val="24"/>
          <w:szCs w:val="24"/>
        </w:rPr>
      </w:pPr>
      <w:r w:rsidRPr="00567AB5">
        <w:rPr>
          <w:rFonts w:ascii="Times New Roman" w:hAnsi="Times New Roman" w:cs="Times New Roman"/>
          <w:b/>
          <w:sz w:val="24"/>
          <w:szCs w:val="24"/>
        </w:rPr>
        <w:t>Key words:</w:t>
      </w:r>
      <w:r>
        <w:rPr>
          <w:rFonts w:ascii="Times New Roman" w:hAnsi="Times New Roman" w:cs="Times New Roman"/>
          <w:sz w:val="24"/>
          <w:szCs w:val="24"/>
        </w:rPr>
        <w:t xml:space="preserve"> </w:t>
      </w:r>
      <w:r w:rsidRPr="00567AB5">
        <w:rPr>
          <w:rFonts w:ascii="Times New Roman" w:hAnsi="Times New Roman" w:cs="Times New Roman"/>
          <w:sz w:val="24"/>
          <w:szCs w:val="24"/>
        </w:rPr>
        <w:t>Nutrition Education</w:t>
      </w:r>
      <w:r>
        <w:rPr>
          <w:rFonts w:ascii="Times New Roman" w:hAnsi="Times New Roman" w:cs="Times New Roman"/>
          <w:sz w:val="24"/>
          <w:szCs w:val="24"/>
        </w:rPr>
        <w:t xml:space="preserve">, </w:t>
      </w:r>
      <w:r w:rsidRPr="00567AB5">
        <w:rPr>
          <w:rFonts w:ascii="Times New Roman" w:hAnsi="Times New Roman" w:cs="Times New Roman"/>
          <w:sz w:val="24"/>
          <w:szCs w:val="24"/>
        </w:rPr>
        <w:t>Dietary Diversity</w:t>
      </w:r>
      <w:r>
        <w:rPr>
          <w:rFonts w:ascii="Times New Roman" w:hAnsi="Times New Roman" w:cs="Times New Roman"/>
          <w:sz w:val="24"/>
          <w:szCs w:val="24"/>
        </w:rPr>
        <w:t xml:space="preserve">, </w:t>
      </w:r>
      <w:r w:rsidRPr="00567AB5">
        <w:rPr>
          <w:rFonts w:ascii="Times New Roman" w:hAnsi="Times New Roman" w:cs="Times New Roman"/>
          <w:sz w:val="24"/>
          <w:szCs w:val="24"/>
        </w:rPr>
        <w:t>Rural-Urban Differences</w:t>
      </w:r>
      <w:r w:rsidR="00B815C2">
        <w:rPr>
          <w:rFonts w:ascii="Times New Roman" w:hAnsi="Times New Roman" w:cs="Times New Roman"/>
          <w:sz w:val="24"/>
          <w:szCs w:val="24"/>
        </w:rPr>
        <w:t>, Cultural Barriers</w:t>
      </w:r>
      <w:r>
        <w:rPr>
          <w:rFonts w:ascii="Times New Roman" w:hAnsi="Times New Roman" w:cs="Times New Roman"/>
          <w:sz w:val="24"/>
          <w:szCs w:val="24"/>
        </w:rPr>
        <w:t xml:space="preserve"> </w:t>
      </w:r>
    </w:p>
    <w:p w14:paraId="3CF8A3D7" w14:textId="77777777" w:rsidR="00EE64E1" w:rsidRDefault="00EE64E1">
      <w:pPr>
        <w:rPr>
          <w:rFonts w:ascii="Times New Roman" w:hAnsi="Times New Roman" w:cs="Times New Roman"/>
          <w:sz w:val="24"/>
          <w:szCs w:val="24"/>
        </w:rPr>
      </w:pPr>
      <w:r>
        <w:rPr>
          <w:rFonts w:ascii="Times New Roman" w:hAnsi="Times New Roman" w:cs="Times New Roman"/>
          <w:sz w:val="24"/>
          <w:szCs w:val="24"/>
        </w:rPr>
        <w:br w:type="page"/>
      </w:r>
    </w:p>
    <w:p w14:paraId="08D6456D" w14:textId="77777777" w:rsidR="00567AB5" w:rsidRPr="004B6F20" w:rsidRDefault="00567AB5" w:rsidP="00EE64E1">
      <w:pPr>
        <w:pStyle w:val="NoSpacing"/>
      </w:pPr>
    </w:p>
    <w:p w14:paraId="1F322551" w14:textId="77777777" w:rsidR="00CE0111" w:rsidRDefault="00CE0111" w:rsidP="00A47E75">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1CE492C"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Dietary diversification is a crucial component of achieving optimal nutrition and health, especially among children. It involves consuming a wide variety of foods that supply essential nutrients for physical growth, cognitive development, and immune system strength. Limited dietary diversity has been linked to micronutrient deficiencies and malnutrition, which remain persistent challenges in many developing regions, including Kenya. Children are particularly vulnerable to the adverse effects of poor nutrition, which can result in stunted growth, weakened immunity, and impaired cognitive abilities. Therefore, addressing dietary diversification in children is of paramount importance to enhance their overall nutritional status and health outcomes.</w:t>
      </w:r>
    </w:p>
    <w:p w14:paraId="41DA1864"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Dietary diversification is influenced by various factors, such as socio-economic conditions, cultural practices, food availability, and caregiver awareness. Among these, nutrition education stands out as a critical intervention that empowers caregivers with the knowledge and skills to incorporate diverse foods into children's diets. By improving caregivers' understanding of nutrition, dietary habits at the household level can be positively influenced, ultimately enhancing children's health and reducing malnutrition rates (Black et al., 2017).</w:t>
      </w:r>
    </w:p>
    <w:p w14:paraId="66E69462"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Kajiado County, located in the arid and semi-arid lands (ASALs) of Kenya, presents a unique case for studying dietary diversification due to its documented food insecurity. ASAL regions are often characterized by unpredictable rainfall, limited agricultural productivity, and high poverty levels, leading to food shortages and poor dietary diversity (GoK, 2018). In such regions, food insecurity directly correlates with malnutrition, as limited food access restricts dietary diversity, affecting children's growth and health outcomes (WFP, 2019).</w:t>
      </w:r>
    </w:p>
    <w:p w14:paraId="631D14DE" w14:textId="77777777" w:rsidR="00EE64E1"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Rural Kajiado is predominantly inhabited by the Maasai community, who are traditionally pastoralists. </w:t>
      </w:r>
    </w:p>
    <w:p w14:paraId="36D76E8F" w14:textId="19801E74"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Their diet is mainly composed of animal products such as milk, meat, and blood, with minimal consumption of plant-based foods due to cultural practices and limited agricultural activities (</w:t>
      </w:r>
      <w:proofErr w:type="spellStart"/>
      <w:r w:rsidRPr="006614BD">
        <w:rPr>
          <w:rFonts w:ascii="Times New Roman" w:hAnsi="Times New Roman" w:cs="Times New Roman"/>
          <w:bCs/>
          <w:sz w:val="24"/>
          <w:szCs w:val="24"/>
        </w:rPr>
        <w:t>Njarui</w:t>
      </w:r>
      <w:proofErr w:type="spellEnd"/>
      <w:r w:rsidRPr="006614BD">
        <w:rPr>
          <w:rFonts w:ascii="Times New Roman" w:hAnsi="Times New Roman" w:cs="Times New Roman"/>
          <w:bCs/>
          <w:sz w:val="24"/>
          <w:szCs w:val="24"/>
        </w:rPr>
        <w:t xml:space="preserve"> et al., 2016). Their socio-economic structure revolves around livestock rearing, with most households relying on cattle for sustenance and income generation. Their land, being less arable, is primarily used for grazing, and farming is not widely practiced. Consequently, their dietary </w:t>
      </w:r>
      <w:r w:rsidRPr="006614BD">
        <w:rPr>
          <w:rFonts w:ascii="Times New Roman" w:hAnsi="Times New Roman" w:cs="Times New Roman"/>
          <w:bCs/>
          <w:sz w:val="24"/>
          <w:szCs w:val="24"/>
        </w:rPr>
        <w:lastRenderedPageBreak/>
        <w:t>diversity is often low, increasing their vulnerability to malnutrition (Kimani-Murage et al., 2015).</w:t>
      </w:r>
    </w:p>
    <w:p w14:paraId="01B94091"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The Maasai community's cultural norms and economic reliance on pastoralism present unique challenges to improving dietary diversity. At the same time, urban areas within Kajiado showcase a contrasting dynamic. Urban Kajiado is home to a diverse population, including individuals from various ethnic groups such as Kikuyu, Kamba, and Somali, alongside the Maasai. Many urban residents engage in formal employment or business activities, resulting in a less dominant influence of Maasai cultural practices on dietary habits. Unlike the rural areas, urban Kajiado is less influenced by traditional Maasai dietary patterns, as residents have access to markets offering a variety of food items. However, urban residents may face other challenges related to food diversity, such as economic constraints or access to affordable nutritious foods (KNBS, 2022).</w:t>
      </w:r>
    </w:p>
    <w:p w14:paraId="3AEE9B45"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Previous studies have largely focused on rural Kajiado, often overlooking urban areas, thereby providing an incomplete representation of dietary practices in the county. Given the disparities in cultural influence, socio-economic activities, and food access, it is crucial to examine whether nutrition education has a different </w:t>
      </w:r>
      <w:r w:rsidR="00AD0648">
        <w:rPr>
          <w:rFonts w:ascii="Times New Roman" w:hAnsi="Times New Roman" w:cs="Times New Roman"/>
          <w:bCs/>
          <w:sz w:val="24"/>
          <w:szCs w:val="24"/>
        </w:rPr>
        <w:t>effect</w:t>
      </w:r>
      <w:r w:rsidRPr="006614BD">
        <w:rPr>
          <w:rFonts w:ascii="Times New Roman" w:hAnsi="Times New Roman" w:cs="Times New Roman"/>
          <w:bCs/>
          <w:sz w:val="24"/>
          <w:szCs w:val="24"/>
        </w:rPr>
        <w:t xml:space="preserve"> on dietary diversification among caregivers in rural versus urban Kajiado. Understanding these differences will help in designing targeted nutrition education programs that effectively address dietary challenges in both settings.</w:t>
      </w:r>
    </w:p>
    <w:p w14:paraId="6EC7806E"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This study, therefore, seeks to compare the effectiveness of nutrition education among caregivers on dietary diversification in urban and rural Kajiado. By examining the influence of nutrition education across these distinct settings, the study aims to generate evidence-based insights that can inform targeted interventions to improve dietary diversity and nutritional outcomes in children.</w:t>
      </w:r>
    </w:p>
    <w:p w14:paraId="175D9F91" w14:textId="3460C339" w:rsidR="006614BD" w:rsidRDefault="00567AB5" w:rsidP="00EE64E1">
      <w:pPr>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6614BD">
        <w:rPr>
          <w:rFonts w:ascii="Times New Roman" w:hAnsi="Times New Roman" w:cs="Times New Roman"/>
          <w:b/>
          <w:bCs/>
          <w:sz w:val="24"/>
          <w:szCs w:val="24"/>
        </w:rPr>
        <w:t>Methods</w:t>
      </w:r>
    </w:p>
    <w:p w14:paraId="7DBF290E"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Study Design</w:t>
      </w:r>
    </w:p>
    <w:p w14:paraId="299704CF"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This study employed both qualitative and quantitative research methods to examine the effects of nutrition education on dietary diversification among children aged 6–59 months in rural and urban Kajiado Central. A comparative approach was used to assess the effectiveness of nutrition education in these two settings.</w:t>
      </w:r>
    </w:p>
    <w:p w14:paraId="21A04375"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lastRenderedPageBreak/>
        <w:t>Study Area</w:t>
      </w:r>
    </w:p>
    <w:p w14:paraId="275C8D53" w14:textId="77777777" w:rsidR="00EE64E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 xml:space="preserve">The study was conducted in Kajiado County, specifically in Kajiado South District, Central Division. This region was purposively selected due to its classification as an arid and semi-arid land (ASAL) where food security is a significant concern. </w:t>
      </w:r>
    </w:p>
    <w:p w14:paraId="1C489335" w14:textId="7F2E1EB2"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The region’s harsh climatic conditions contribute to food insecurity, limiting access to diverse and nutrient-rich diets (Kemboi et al., 2021). Additionally, the pastoral lifestyle of the Maasai community in rural areas often leads to poor dietary diversity (Cheg</w:t>
      </w:r>
      <w:r w:rsidR="00A853B9">
        <w:rPr>
          <w:rFonts w:ascii="Times New Roman" w:hAnsi="Times New Roman" w:cs="Times New Roman"/>
          <w:bCs/>
          <w:sz w:val="24"/>
          <w:szCs w:val="24"/>
        </w:rPr>
        <w:t xml:space="preserve">e et al., 2015). Four locations; </w:t>
      </w:r>
      <w:proofErr w:type="spellStart"/>
      <w:r w:rsidRPr="00E149D1">
        <w:rPr>
          <w:rFonts w:ascii="Times New Roman" w:hAnsi="Times New Roman" w:cs="Times New Roman"/>
          <w:bCs/>
          <w:sz w:val="24"/>
          <w:szCs w:val="24"/>
        </w:rPr>
        <w:t>Sajiloni</w:t>
      </w:r>
      <w:proofErr w:type="spellEnd"/>
      <w:r w:rsidRPr="00E149D1">
        <w:rPr>
          <w:rFonts w:ascii="Times New Roman" w:hAnsi="Times New Roman" w:cs="Times New Roman"/>
          <w:bCs/>
          <w:sz w:val="24"/>
          <w:szCs w:val="24"/>
        </w:rPr>
        <w:t xml:space="preserve">, </w:t>
      </w:r>
      <w:proofErr w:type="spellStart"/>
      <w:r w:rsidRPr="00E149D1">
        <w:rPr>
          <w:rFonts w:ascii="Times New Roman" w:hAnsi="Times New Roman" w:cs="Times New Roman"/>
          <w:bCs/>
          <w:sz w:val="24"/>
          <w:szCs w:val="24"/>
        </w:rPr>
        <w:t>Kiloriti</w:t>
      </w:r>
      <w:proofErr w:type="spellEnd"/>
      <w:r w:rsidRPr="00E149D1">
        <w:rPr>
          <w:rFonts w:ascii="Times New Roman" w:hAnsi="Times New Roman" w:cs="Times New Roman"/>
          <w:bCs/>
          <w:sz w:val="24"/>
          <w:szCs w:val="24"/>
        </w:rPr>
        <w:t xml:space="preserve">, </w:t>
      </w:r>
      <w:proofErr w:type="spellStart"/>
      <w:r w:rsidRPr="00E149D1">
        <w:rPr>
          <w:rFonts w:ascii="Times New Roman" w:hAnsi="Times New Roman" w:cs="Times New Roman"/>
          <w:bCs/>
          <w:sz w:val="24"/>
          <w:szCs w:val="24"/>
        </w:rPr>
        <w:t>Nalepo</w:t>
      </w:r>
      <w:proofErr w:type="spellEnd"/>
      <w:r w:rsidR="00A853B9">
        <w:rPr>
          <w:rFonts w:ascii="Times New Roman" w:hAnsi="Times New Roman" w:cs="Times New Roman"/>
          <w:bCs/>
          <w:sz w:val="24"/>
          <w:szCs w:val="24"/>
        </w:rPr>
        <w:t xml:space="preserve"> and </w:t>
      </w:r>
      <w:proofErr w:type="spellStart"/>
      <w:r w:rsidR="00A853B9">
        <w:rPr>
          <w:rFonts w:ascii="Times New Roman" w:hAnsi="Times New Roman" w:cs="Times New Roman"/>
          <w:bCs/>
          <w:sz w:val="24"/>
          <w:szCs w:val="24"/>
        </w:rPr>
        <w:t>Majengo</w:t>
      </w:r>
      <w:proofErr w:type="spellEnd"/>
      <w:r w:rsidR="00A853B9">
        <w:rPr>
          <w:rFonts w:ascii="Times New Roman" w:hAnsi="Times New Roman" w:cs="Times New Roman"/>
          <w:bCs/>
          <w:sz w:val="24"/>
          <w:szCs w:val="24"/>
        </w:rPr>
        <w:t xml:space="preserve"> </w:t>
      </w:r>
      <w:r w:rsidRPr="00E149D1">
        <w:rPr>
          <w:rFonts w:ascii="Times New Roman" w:hAnsi="Times New Roman" w:cs="Times New Roman"/>
          <w:bCs/>
          <w:sz w:val="24"/>
          <w:szCs w:val="24"/>
        </w:rPr>
        <w:t>were randomly selected for the study. Three of these locations (</w:t>
      </w:r>
      <w:proofErr w:type="spellStart"/>
      <w:r w:rsidRPr="00E149D1">
        <w:rPr>
          <w:rFonts w:ascii="Times New Roman" w:hAnsi="Times New Roman" w:cs="Times New Roman"/>
          <w:bCs/>
          <w:sz w:val="24"/>
          <w:szCs w:val="24"/>
        </w:rPr>
        <w:t>Sajiloni</w:t>
      </w:r>
      <w:proofErr w:type="spellEnd"/>
      <w:r w:rsidRPr="00E149D1">
        <w:rPr>
          <w:rFonts w:ascii="Times New Roman" w:hAnsi="Times New Roman" w:cs="Times New Roman"/>
          <w:bCs/>
          <w:sz w:val="24"/>
          <w:szCs w:val="24"/>
        </w:rPr>
        <w:t xml:space="preserve">, </w:t>
      </w:r>
      <w:proofErr w:type="spellStart"/>
      <w:r w:rsidRPr="00E149D1">
        <w:rPr>
          <w:rFonts w:ascii="Times New Roman" w:hAnsi="Times New Roman" w:cs="Times New Roman"/>
          <w:bCs/>
          <w:sz w:val="24"/>
          <w:szCs w:val="24"/>
        </w:rPr>
        <w:t>Kiloriti</w:t>
      </w:r>
      <w:proofErr w:type="spellEnd"/>
      <w:r w:rsidRPr="00E149D1">
        <w:rPr>
          <w:rFonts w:ascii="Times New Roman" w:hAnsi="Times New Roman" w:cs="Times New Roman"/>
          <w:bCs/>
          <w:sz w:val="24"/>
          <w:szCs w:val="24"/>
        </w:rPr>
        <w:t xml:space="preserve">, and </w:t>
      </w:r>
      <w:proofErr w:type="spellStart"/>
      <w:r w:rsidRPr="00E149D1">
        <w:rPr>
          <w:rFonts w:ascii="Times New Roman" w:hAnsi="Times New Roman" w:cs="Times New Roman"/>
          <w:bCs/>
          <w:sz w:val="24"/>
          <w:szCs w:val="24"/>
        </w:rPr>
        <w:t>Nalepo</w:t>
      </w:r>
      <w:proofErr w:type="spellEnd"/>
      <w:r w:rsidRPr="00E149D1">
        <w:rPr>
          <w:rFonts w:ascii="Times New Roman" w:hAnsi="Times New Roman" w:cs="Times New Roman"/>
          <w:bCs/>
          <w:sz w:val="24"/>
          <w:szCs w:val="24"/>
        </w:rPr>
        <w:t xml:space="preserve">) represented rural areas, while </w:t>
      </w:r>
      <w:proofErr w:type="spellStart"/>
      <w:r w:rsidRPr="00E149D1">
        <w:rPr>
          <w:rFonts w:ascii="Times New Roman" w:hAnsi="Times New Roman" w:cs="Times New Roman"/>
          <w:bCs/>
          <w:sz w:val="24"/>
          <w:szCs w:val="24"/>
        </w:rPr>
        <w:t>M</w:t>
      </w:r>
      <w:r w:rsidR="00A853B9">
        <w:rPr>
          <w:rFonts w:ascii="Times New Roman" w:hAnsi="Times New Roman" w:cs="Times New Roman"/>
          <w:bCs/>
          <w:sz w:val="24"/>
          <w:szCs w:val="24"/>
        </w:rPr>
        <w:t>a</w:t>
      </w:r>
      <w:r w:rsidRPr="00E149D1">
        <w:rPr>
          <w:rFonts w:ascii="Times New Roman" w:hAnsi="Times New Roman" w:cs="Times New Roman"/>
          <w:bCs/>
          <w:sz w:val="24"/>
          <w:szCs w:val="24"/>
        </w:rPr>
        <w:t>jengo</w:t>
      </w:r>
      <w:proofErr w:type="spellEnd"/>
      <w:r w:rsidRPr="00E149D1">
        <w:rPr>
          <w:rFonts w:ascii="Times New Roman" w:hAnsi="Times New Roman" w:cs="Times New Roman"/>
          <w:bCs/>
          <w:sz w:val="24"/>
          <w:szCs w:val="24"/>
        </w:rPr>
        <w:t xml:space="preserve"> was selected to represent the urban setup.</w:t>
      </w:r>
    </w:p>
    <w:p w14:paraId="27441878"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Sample Size and Sampling Procedure</w:t>
      </w:r>
    </w:p>
    <w:p w14:paraId="7A6B809E" w14:textId="77777777" w:rsidR="00E149D1" w:rsidRPr="00E149D1" w:rsidRDefault="00A853B9" w:rsidP="00A47E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total sample size of 29</w:t>
      </w:r>
      <w:r w:rsidR="00E149D1" w:rsidRPr="00E149D1">
        <w:rPr>
          <w:rFonts w:ascii="Times New Roman" w:hAnsi="Times New Roman" w:cs="Times New Roman"/>
          <w:bCs/>
          <w:sz w:val="24"/>
          <w:szCs w:val="24"/>
        </w:rPr>
        <w:t xml:space="preserve">4 participants was </w:t>
      </w:r>
      <w:r>
        <w:rPr>
          <w:rFonts w:ascii="Times New Roman" w:hAnsi="Times New Roman" w:cs="Times New Roman"/>
          <w:bCs/>
          <w:sz w:val="24"/>
          <w:szCs w:val="24"/>
        </w:rPr>
        <w:t>computed</w:t>
      </w:r>
      <w:r w:rsidR="00E149D1" w:rsidRPr="00E149D1">
        <w:rPr>
          <w:rFonts w:ascii="Times New Roman" w:hAnsi="Times New Roman" w:cs="Times New Roman"/>
          <w:bCs/>
          <w:sz w:val="24"/>
          <w:szCs w:val="24"/>
        </w:rPr>
        <w:t>. The sample was divided equally into tw</w:t>
      </w:r>
      <w:r>
        <w:rPr>
          <w:rFonts w:ascii="Times New Roman" w:hAnsi="Times New Roman" w:cs="Times New Roman"/>
          <w:bCs/>
          <w:sz w:val="24"/>
          <w:szCs w:val="24"/>
        </w:rPr>
        <w:t>o groups: 147</w:t>
      </w:r>
      <w:r w:rsidR="00E149D1" w:rsidRPr="00E149D1">
        <w:rPr>
          <w:rFonts w:ascii="Times New Roman" w:hAnsi="Times New Roman" w:cs="Times New Roman"/>
          <w:bCs/>
          <w:sz w:val="24"/>
          <w:szCs w:val="24"/>
        </w:rPr>
        <w:t xml:space="preserve"> parti</w:t>
      </w:r>
      <w:r>
        <w:rPr>
          <w:rFonts w:ascii="Times New Roman" w:hAnsi="Times New Roman" w:cs="Times New Roman"/>
          <w:bCs/>
          <w:sz w:val="24"/>
          <w:szCs w:val="24"/>
        </w:rPr>
        <w:t>cipants from rural areas and 147</w:t>
      </w:r>
      <w:r w:rsidR="00E149D1" w:rsidRPr="00E149D1">
        <w:rPr>
          <w:rFonts w:ascii="Times New Roman" w:hAnsi="Times New Roman" w:cs="Times New Roman"/>
          <w:bCs/>
          <w:sz w:val="24"/>
          <w:szCs w:val="24"/>
        </w:rPr>
        <w:t xml:space="preserve"> from the urban area. The three rural locations were </w:t>
      </w:r>
      <w:r>
        <w:rPr>
          <w:rFonts w:ascii="Times New Roman" w:hAnsi="Times New Roman" w:cs="Times New Roman"/>
          <w:bCs/>
          <w:sz w:val="24"/>
          <w:szCs w:val="24"/>
        </w:rPr>
        <w:t>proportionally allocated the 147</w:t>
      </w:r>
      <w:r w:rsidR="00E149D1" w:rsidRPr="00E149D1">
        <w:rPr>
          <w:rFonts w:ascii="Times New Roman" w:hAnsi="Times New Roman" w:cs="Times New Roman"/>
          <w:bCs/>
          <w:sz w:val="24"/>
          <w:szCs w:val="24"/>
        </w:rPr>
        <w:t xml:space="preserve"> participants. Households with children aged 6–59 months were randomly selected to ensure representativeness. Purposive sampling was employed to select a homogenous group of mothers for focus group discussions (</w:t>
      </w:r>
      <w:r>
        <w:rPr>
          <w:rFonts w:ascii="Times New Roman" w:hAnsi="Times New Roman" w:cs="Times New Roman"/>
          <w:bCs/>
          <w:sz w:val="24"/>
          <w:szCs w:val="24"/>
        </w:rPr>
        <w:t xml:space="preserve">FGDs). Four FGDs were conducted; </w:t>
      </w:r>
      <w:r w:rsidR="00E149D1" w:rsidRPr="00E149D1">
        <w:rPr>
          <w:rFonts w:ascii="Times New Roman" w:hAnsi="Times New Roman" w:cs="Times New Roman"/>
          <w:bCs/>
          <w:sz w:val="24"/>
          <w:szCs w:val="24"/>
        </w:rPr>
        <w:t xml:space="preserve">two in the rural </w:t>
      </w:r>
      <w:r>
        <w:rPr>
          <w:rFonts w:ascii="Times New Roman" w:hAnsi="Times New Roman" w:cs="Times New Roman"/>
          <w:bCs/>
          <w:sz w:val="24"/>
          <w:szCs w:val="24"/>
        </w:rPr>
        <w:t xml:space="preserve">areas and two in the urban area, </w:t>
      </w:r>
      <w:r w:rsidR="00E149D1" w:rsidRPr="00E149D1">
        <w:rPr>
          <w:rFonts w:ascii="Times New Roman" w:hAnsi="Times New Roman" w:cs="Times New Roman"/>
          <w:bCs/>
          <w:sz w:val="24"/>
          <w:szCs w:val="24"/>
        </w:rPr>
        <w:t>with each group consisting of 10 mothers.</w:t>
      </w:r>
    </w:p>
    <w:p w14:paraId="0932231D"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Data Collection Methods</w:t>
      </w:r>
    </w:p>
    <w:p w14:paraId="2AB915A5" w14:textId="77777777" w:rsidR="00EE64E1" w:rsidRDefault="003928FE" w:rsidP="00A47E75">
      <w:pPr>
        <w:spacing w:line="360" w:lineRule="auto"/>
        <w:jc w:val="both"/>
        <w:rPr>
          <w:rFonts w:ascii="Times New Roman" w:hAnsi="Times New Roman" w:cs="Times New Roman"/>
          <w:bCs/>
          <w:iCs/>
          <w:sz w:val="24"/>
          <w:szCs w:val="24"/>
          <w:lang w:val="en-GB"/>
        </w:rPr>
      </w:pPr>
      <w:r w:rsidRPr="003928FE">
        <w:rPr>
          <w:rFonts w:ascii="Times New Roman" w:hAnsi="Times New Roman" w:cs="Times New Roman"/>
          <w:bCs/>
          <w:iCs/>
          <w:sz w:val="24"/>
          <w:szCs w:val="24"/>
          <w:lang w:val="en-GB"/>
        </w:rPr>
        <w:t xml:space="preserve">Data was collected using a pre-tested semi-structured questionnaire </w:t>
      </w:r>
      <w:r w:rsidRPr="003928FE">
        <w:rPr>
          <w:rFonts w:ascii="Times New Roman" w:hAnsi="Times New Roman" w:cs="Times New Roman"/>
          <w:bCs/>
          <w:iCs/>
          <w:sz w:val="24"/>
          <w:szCs w:val="24"/>
        </w:rPr>
        <w:t>which was divided into 2 sect</w:t>
      </w:r>
      <w:r>
        <w:rPr>
          <w:rFonts w:ascii="Times New Roman" w:hAnsi="Times New Roman" w:cs="Times New Roman"/>
          <w:bCs/>
          <w:iCs/>
          <w:sz w:val="24"/>
          <w:szCs w:val="24"/>
        </w:rPr>
        <w:t xml:space="preserve">ions. Section A, focused on </w:t>
      </w:r>
      <w:r w:rsidRPr="003928FE">
        <w:rPr>
          <w:rFonts w:ascii="Times New Roman" w:hAnsi="Times New Roman" w:cs="Times New Roman"/>
          <w:bCs/>
          <w:iCs/>
          <w:sz w:val="24"/>
          <w:szCs w:val="24"/>
        </w:rPr>
        <w:t>the social-demographic and socio-economic characteristics of the caregiver while section B collected data on the car</w:t>
      </w:r>
      <w:r>
        <w:rPr>
          <w:rFonts w:ascii="Times New Roman" w:hAnsi="Times New Roman" w:cs="Times New Roman"/>
          <w:bCs/>
          <w:iCs/>
          <w:sz w:val="24"/>
          <w:szCs w:val="24"/>
        </w:rPr>
        <w:t>egiver’s nutrition knowledge</w:t>
      </w:r>
      <w:r w:rsidRPr="003928FE">
        <w:rPr>
          <w:rFonts w:ascii="Times New Roman" w:hAnsi="Times New Roman" w:cs="Times New Roman"/>
          <w:bCs/>
          <w:iCs/>
          <w:sz w:val="24"/>
          <w:szCs w:val="24"/>
        </w:rPr>
        <w:t xml:space="preserve">. </w:t>
      </w:r>
      <w:r w:rsidRPr="003928FE">
        <w:rPr>
          <w:rFonts w:ascii="Times New Roman" w:hAnsi="Times New Roman" w:cs="Times New Roman"/>
          <w:bCs/>
          <w:iCs/>
          <w:sz w:val="24"/>
          <w:szCs w:val="24"/>
          <w:lang w:val="en-GB"/>
        </w:rPr>
        <w:t xml:space="preserve">The questionnaire was validated by using a panel of research nutrition professionals along with a field test. </w:t>
      </w:r>
    </w:p>
    <w:p w14:paraId="6379D0CC" w14:textId="706340C7" w:rsidR="003928FE" w:rsidRPr="003928FE" w:rsidRDefault="003928FE" w:rsidP="00A47E75">
      <w:pPr>
        <w:spacing w:line="360" w:lineRule="auto"/>
        <w:jc w:val="both"/>
        <w:rPr>
          <w:rFonts w:ascii="Times New Roman" w:hAnsi="Times New Roman" w:cs="Times New Roman"/>
          <w:bCs/>
          <w:iCs/>
          <w:sz w:val="24"/>
          <w:szCs w:val="24"/>
          <w:lang w:val="en-GB"/>
        </w:rPr>
      </w:pPr>
      <w:r w:rsidRPr="003928FE">
        <w:rPr>
          <w:rFonts w:ascii="Times New Roman" w:hAnsi="Times New Roman" w:cs="Times New Roman"/>
          <w:bCs/>
          <w:iCs/>
          <w:sz w:val="24"/>
          <w:szCs w:val="24"/>
          <w:lang w:val="en-GB"/>
        </w:rPr>
        <w:t>The nutritional knowledge of caregivers was determined through a nutrition test with a set of 20 questions given to the caregivers. The questions focused on breastfeeding, complementary feeding, frequency of feeding, dietary divers</w:t>
      </w:r>
      <w:r>
        <w:rPr>
          <w:rFonts w:ascii="Times New Roman" w:hAnsi="Times New Roman" w:cs="Times New Roman"/>
          <w:bCs/>
          <w:iCs/>
          <w:sz w:val="24"/>
          <w:szCs w:val="24"/>
          <w:lang w:val="en-GB"/>
        </w:rPr>
        <w:t xml:space="preserve">ity, food groups, food balance and </w:t>
      </w:r>
      <w:r w:rsidRPr="003928FE">
        <w:rPr>
          <w:rFonts w:ascii="Times New Roman" w:hAnsi="Times New Roman" w:cs="Times New Roman"/>
          <w:bCs/>
          <w:iCs/>
          <w:sz w:val="24"/>
          <w:szCs w:val="24"/>
          <w:lang w:val="en-GB"/>
        </w:rPr>
        <w:t xml:space="preserve">responsive </w:t>
      </w:r>
      <w:r w:rsidRPr="003928FE">
        <w:rPr>
          <w:rFonts w:ascii="Times New Roman" w:hAnsi="Times New Roman" w:cs="Times New Roman"/>
          <w:bCs/>
          <w:iCs/>
          <w:sz w:val="24"/>
          <w:szCs w:val="24"/>
          <w:lang w:val="en-GB"/>
        </w:rPr>
        <w:lastRenderedPageBreak/>
        <w:t>feeding. The scores were rated as a percentage; 0 - 20 (very low), 21 - 40 (low), 41 - 60 (moderate), 61 - 80 (high), and &gt; 81 (very high).</w:t>
      </w:r>
    </w:p>
    <w:p w14:paraId="358D96D7" w14:textId="77777777" w:rsidR="00EE64E1" w:rsidRDefault="003928FE" w:rsidP="00A47E75">
      <w:pPr>
        <w:spacing w:line="360" w:lineRule="auto"/>
        <w:jc w:val="both"/>
        <w:rPr>
          <w:rFonts w:ascii="Times New Roman" w:hAnsi="Times New Roman" w:cs="Times New Roman"/>
          <w:bCs/>
          <w:sz w:val="24"/>
          <w:szCs w:val="24"/>
        </w:rPr>
      </w:pPr>
      <w:r>
        <w:rPr>
          <w:rFonts w:ascii="Times New Roman" w:hAnsi="Times New Roman" w:cs="Times New Roman"/>
          <w:bCs/>
          <w:iCs/>
          <w:sz w:val="24"/>
          <w:szCs w:val="24"/>
          <w:lang w:val="en-GB"/>
        </w:rPr>
        <w:t>Dietary diversity was</w:t>
      </w:r>
      <w:r w:rsidRPr="003928FE">
        <w:rPr>
          <w:rFonts w:ascii="Times New Roman" w:hAnsi="Times New Roman" w:cs="Times New Roman"/>
          <w:bCs/>
          <w:iCs/>
          <w:sz w:val="24"/>
          <w:szCs w:val="24"/>
          <w:lang w:val="en-GB"/>
        </w:rPr>
        <w:t xml:space="preserve"> assessed using a 24-hour recall. In addition to the 24-hour recall, food diversity score was conducted by analysing the number of food groups consumed by the child from a set of 12 food groups. A dietary diversity score cut-off-point of 6 food groups was used as per the WHO guidelines.</w:t>
      </w:r>
      <w:r w:rsidR="00EE64E1">
        <w:rPr>
          <w:rFonts w:ascii="Times New Roman" w:hAnsi="Times New Roman" w:cs="Times New Roman"/>
          <w:bCs/>
          <w:iCs/>
          <w:sz w:val="24"/>
          <w:szCs w:val="24"/>
          <w:lang w:val="en-GB"/>
        </w:rPr>
        <w:t xml:space="preserve"> </w:t>
      </w:r>
      <w:r w:rsidR="00E149D1" w:rsidRPr="00E149D1">
        <w:rPr>
          <w:rFonts w:ascii="Times New Roman" w:hAnsi="Times New Roman" w:cs="Times New Roman"/>
          <w:bCs/>
          <w:sz w:val="24"/>
          <w:szCs w:val="24"/>
        </w:rPr>
        <w:t xml:space="preserve">FGDs were used to explore the perceptions of mothers regarding factors influencing dietary diversification among their children. Each FGD session lasted approximately 60 minutes and was conducted in Kiswahili and </w:t>
      </w:r>
      <w:proofErr w:type="spellStart"/>
      <w:r w:rsidR="00E149D1" w:rsidRPr="00E149D1">
        <w:rPr>
          <w:rFonts w:ascii="Times New Roman" w:hAnsi="Times New Roman" w:cs="Times New Roman"/>
          <w:bCs/>
          <w:sz w:val="24"/>
          <w:szCs w:val="24"/>
        </w:rPr>
        <w:t>Kimaasai</w:t>
      </w:r>
      <w:proofErr w:type="spellEnd"/>
      <w:r w:rsidR="00E149D1" w:rsidRPr="00E149D1">
        <w:rPr>
          <w:rFonts w:ascii="Times New Roman" w:hAnsi="Times New Roman" w:cs="Times New Roman"/>
          <w:bCs/>
          <w:sz w:val="24"/>
          <w:szCs w:val="24"/>
        </w:rPr>
        <w:t xml:space="preserve">. </w:t>
      </w:r>
    </w:p>
    <w:p w14:paraId="2640FD1D" w14:textId="5CEAC4D2" w:rsidR="00E149D1" w:rsidRPr="00EE64E1" w:rsidRDefault="00E149D1" w:rsidP="00A47E75">
      <w:pPr>
        <w:spacing w:line="360" w:lineRule="auto"/>
        <w:jc w:val="both"/>
        <w:rPr>
          <w:rFonts w:ascii="Times New Roman" w:hAnsi="Times New Roman" w:cs="Times New Roman"/>
          <w:bCs/>
          <w:iCs/>
          <w:sz w:val="24"/>
          <w:szCs w:val="24"/>
          <w:lang w:val="en-GB"/>
        </w:rPr>
      </w:pPr>
      <w:r w:rsidRPr="00E149D1">
        <w:rPr>
          <w:rFonts w:ascii="Times New Roman" w:hAnsi="Times New Roman" w:cs="Times New Roman"/>
          <w:bCs/>
          <w:sz w:val="24"/>
          <w:szCs w:val="24"/>
        </w:rPr>
        <w:t>The discussions were audio-recorded, and field notes were taken. The interviewers transcribed the recordings, ensuring that handwritten notes were used to fill any gaps. The transcripts, originally in Kiswahili, were translated into English for analysis.</w:t>
      </w:r>
    </w:p>
    <w:p w14:paraId="263B07F8" w14:textId="77777777" w:rsidR="00E53DFD" w:rsidRPr="00E53DFD" w:rsidRDefault="00E53DFD" w:rsidP="00A47E75">
      <w:pPr>
        <w:spacing w:line="360" w:lineRule="auto"/>
        <w:jc w:val="both"/>
        <w:rPr>
          <w:rFonts w:ascii="Times New Roman" w:hAnsi="Times New Roman" w:cs="Times New Roman"/>
          <w:bCs/>
          <w:sz w:val="24"/>
          <w:szCs w:val="24"/>
        </w:rPr>
      </w:pPr>
      <w:r w:rsidRPr="00E53DFD">
        <w:rPr>
          <w:rFonts w:ascii="Times New Roman" w:hAnsi="Times New Roman" w:cs="Times New Roman"/>
          <w:bCs/>
          <w:sz w:val="24"/>
          <w:szCs w:val="24"/>
        </w:rPr>
        <w:t>Nutrition education intervention was given.</w:t>
      </w:r>
      <w:r>
        <w:rPr>
          <w:rFonts w:ascii="Times New Roman" w:hAnsi="Times New Roman" w:cs="Times New Roman"/>
          <w:b/>
          <w:bCs/>
          <w:sz w:val="24"/>
          <w:szCs w:val="24"/>
        </w:rPr>
        <w:t xml:space="preserve"> </w:t>
      </w:r>
      <w:r w:rsidRPr="00E53DFD">
        <w:rPr>
          <w:rFonts w:ascii="Times New Roman" w:hAnsi="Times New Roman" w:cs="Times New Roman"/>
          <w:bCs/>
          <w:sz w:val="24"/>
          <w:szCs w:val="24"/>
        </w:rPr>
        <w:t xml:space="preserve">Participants received structured nutrition education sessions focusing on the importance of dietary diversification, food preparation methods, and meal planning. The intervention aimed to equip caregivers with the knowledge and skills necessary to improve the dietary diversity of their children. Nutrition knowledge was assessed before and after the intervention, and changes in dietary </w:t>
      </w:r>
      <w:r w:rsidR="005118B3">
        <w:rPr>
          <w:rFonts w:ascii="Times New Roman" w:hAnsi="Times New Roman" w:cs="Times New Roman"/>
          <w:bCs/>
          <w:sz w:val="24"/>
          <w:szCs w:val="24"/>
        </w:rPr>
        <w:t>diversification</w:t>
      </w:r>
      <w:r w:rsidRPr="00E53DFD">
        <w:rPr>
          <w:rFonts w:ascii="Times New Roman" w:hAnsi="Times New Roman" w:cs="Times New Roman"/>
          <w:bCs/>
          <w:sz w:val="24"/>
          <w:szCs w:val="24"/>
        </w:rPr>
        <w:t xml:space="preserve"> were recorded. The dietary diversity score was analyzed pre- and post-intervention to evaluate nutrition education effectiveness in both rural and urban settings. The impact of nutrition education was compared between the two groups to determine any significant differences.</w:t>
      </w:r>
    </w:p>
    <w:p w14:paraId="41AD850B" w14:textId="77777777" w:rsidR="00E53DFD" w:rsidRPr="00E149D1" w:rsidRDefault="00E53DFD" w:rsidP="00EE64E1">
      <w:pPr>
        <w:pStyle w:val="NoSpacing"/>
      </w:pPr>
    </w:p>
    <w:p w14:paraId="38D5C991"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Ethical Considerations</w:t>
      </w:r>
    </w:p>
    <w:p w14:paraId="7CA29FF5"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 xml:space="preserve">Ethical clearance for the study was obtained from the Kabarak University Ethics Review Committee (KUSERC) (Ref: </w:t>
      </w:r>
      <w:proofErr w:type="spellStart"/>
      <w:r w:rsidRPr="00E149D1">
        <w:rPr>
          <w:rFonts w:ascii="Times New Roman" w:hAnsi="Times New Roman" w:cs="Times New Roman"/>
          <w:bCs/>
          <w:sz w:val="24"/>
          <w:szCs w:val="24"/>
        </w:rPr>
        <w:t>Kabu</w:t>
      </w:r>
      <w:proofErr w:type="spellEnd"/>
      <w:r w:rsidRPr="00E149D1">
        <w:rPr>
          <w:rFonts w:ascii="Times New Roman" w:hAnsi="Times New Roman" w:cs="Times New Roman"/>
          <w:bCs/>
          <w:sz w:val="24"/>
          <w:szCs w:val="24"/>
        </w:rPr>
        <w:t xml:space="preserve"> 01/KUREC/001/14/10/23) and the National Commission for Science, Technology, and Innovation (NACOSTI) (Ref No: 801277). Approval was also sought from the Kajiado County Health</w:t>
      </w:r>
      <w:r w:rsidR="00D82A88">
        <w:rPr>
          <w:rFonts w:ascii="Times New Roman" w:hAnsi="Times New Roman" w:cs="Times New Roman"/>
          <w:bCs/>
          <w:sz w:val="24"/>
          <w:szCs w:val="24"/>
        </w:rPr>
        <w:t xml:space="preserve"> Director</w:t>
      </w:r>
      <w:r w:rsidRPr="00E149D1">
        <w:rPr>
          <w:rFonts w:ascii="Times New Roman" w:hAnsi="Times New Roman" w:cs="Times New Roman"/>
          <w:bCs/>
          <w:sz w:val="24"/>
          <w:szCs w:val="24"/>
        </w:rPr>
        <w:t xml:space="preserve">. Informed consent was obtained from all participants before the study commenced. The study objectives and protocols were explained to the local administration, community leaders, and respondents. </w:t>
      </w:r>
    </w:p>
    <w:p w14:paraId="05DF6382"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Data Analysis</w:t>
      </w:r>
    </w:p>
    <w:p w14:paraId="65F91C1C" w14:textId="77777777" w:rsidR="00E53DFD" w:rsidRPr="00E53DFD" w:rsidRDefault="00E53DFD" w:rsidP="00A47E75">
      <w:pPr>
        <w:spacing w:line="360" w:lineRule="auto"/>
        <w:jc w:val="both"/>
        <w:rPr>
          <w:rFonts w:ascii="Times New Roman" w:hAnsi="Times New Roman" w:cs="Times New Roman"/>
          <w:bCs/>
          <w:sz w:val="24"/>
          <w:szCs w:val="24"/>
        </w:rPr>
      </w:pPr>
      <w:r w:rsidRPr="00E53DFD">
        <w:rPr>
          <w:rFonts w:ascii="Times New Roman" w:hAnsi="Times New Roman" w:cs="Times New Roman"/>
          <w:bCs/>
          <w:sz w:val="24"/>
          <w:szCs w:val="24"/>
        </w:rPr>
        <w:lastRenderedPageBreak/>
        <w:t>Quantitative data was entered into SPSS Version 26 for statistical analysis. Nutrition knowledge was assessed before and after the intervention to determine changes in awareness. Similarly, dietary diversity scores (DDS) were measured pre- and post-intervention to assess differences in dietary diversification. The analysis focused on identifying changes in DDS and comparing these changes between rural and urban participants.</w:t>
      </w:r>
    </w:p>
    <w:p w14:paraId="24EE7767" w14:textId="77777777" w:rsidR="00EE64E1" w:rsidRDefault="00E53DFD" w:rsidP="00A47E75">
      <w:pPr>
        <w:spacing w:line="360" w:lineRule="auto"/>
        <w:jc w:val="both"/>
        <w:rPr>
          <w:rFonts w:ascii="Times New Roman" w:hAnsi="Times New Roman" w:cs="Times New Roman"/>
          <w:bCs/>
          <w:sz w:val="24"/>
          <w:szCs w:val="24"/>
        </w:rPr>
      </w:pPr>
      <w:r w:rsidRPr="00E53DFD">
        <w:rPr>
          <w:rFonts w:ascii="Times New Roman" w:hAnsi="Times New Roman" w:cs="Times New Roman"/>
          <w:bCs/>
          <w:sz w:val="24"/>
          <w:szCs w:val="24"/>
        </w:rPr>
        <w:t>To</w:t>
      </w:r>
      <w:r w:rsidR="00167AE2">
        <w:rPr>
          <w:rFonts w:ascii="Times New Roman" w:hAnsi="Times New Roman" w:cs="Times New Roman"/>
          <w:bCs/>
          <w:sz w:val="24"/>
          <w:szCs w:val="24"/>
        </w:rPr>
        <w:t xml:space="preserve"> compare dietary diversity</w:t>
      </w:r>
      <w:r w:rsidRPr="00E53DFD">
        <w:rPr>
          <w:rFonts w:ascii="Times New Roman" w:hAnsi="Times New Roman" w:cs="Times New Roman"/>
          <w:bCs/>
          <w:sz w:val="24"/>
          <w:szCs w:val="24"/>
        </w:rPr>
        <w:t xml:space="preserve"> scores before and after the intervention, paired t-tests were conducted for within-group analysis to determine if there was a significant change in DDS over time. </w:t>
      </w:r>
    </w:p>
    <w:p w14:paraId="20B84C9E" w14:textId="13E074D3" w:rsidR="00E53DFD" w:rsidRPr="00E53DFD" w:rsidRDefault="00A47E75" w:rsidP="00A47E75">
      <w:pPr>
        <w:spacing w:line="360" w:lineRule="auto"/>
        <w:jc w:val="both"/>
        <w:rPr>
          <w:rFonts w:ascii="Times New Roman" w:hAnsi="Times New Roman" w:cs="Times New Roman"/>
          <w:bCs/>
          <w:sz w:val="24"/>
          <w:szCs w:val="24"/>
        </w:rPr>
      </w:pPr>
      <w:r w:rsidRPr="00A47E75">
        <w:rPr>
          <w:rFonts w:ascii="Times New Roman" w:hAnsi="Times New Roman" w:cs="Times New Roman"/>
          <w:bCs/>
          <w:sz w:val="24"/>
          <w:szCs w:val="24"/>
        </w:rPr>
        <w:t xml:space="preserve">To determine whether the difference in the mean changes between the two groups was statistically significant, an independent sample </w:t>
      </w:r>
      <w:r w:rsidRPr="00A47E75">
        <w:rPr>
          <w:rFonts w:ascii="Times New Roman" w:hAnsi="Times New Roman" w:cs="Times New Roman"/>
          <w:bCs/>
          <w:i/>
          <w:iCs/>
          <w:sz w:val="24"/>
          <w:szCs w:val="24"/>
        </w:rPr>
        <w:t>t</w:t>
      </w:r>
      <w:r w:rsidRPr="00A47E75">
        <w:rPr>
          <w:rFonts w:ascii="Times New Roman" w:hAnsi="Times New Roman" w:cs="Times New Roman"/>
          <w:bCs/>
          <w:sz w:val="24"/>
          <w:szCs w:val="24"/>
        </w:rPr>
        <w:t>-test was performed c</w:t>
      </w:r>
      <w:r>
        <w:rPr>
          <w:rFonts w:ascii="Times New Roman" w:hAnsi="Times New Roman" w:cs="Times New Roman"/>
          <w:bCs/>
          <w:sz w:val="24"/>
          <w:szCs w:val="24"/>
        </w:rPr>
        <w:t xml:space="preserve">omparing the mean change in DDS. </w:t>
      </w:r>
      <w:r w:rsidR="00E53DFD" w:rsidRPr="00E53DFD">
        <w:rPr>
          <w:rFonts w:ascii="Times New Roman" w:hAnsi="Times New Roman" w:cs="Times New Roman"/>
          <w:bCs/>
          <w:sz w:val="24"/>
          <w:szCs w:val="24"/>
        </w:rPr>
        <w:t>Statistical significance was set at p&lt;0.05.</w:t>
      </w:r>
    </w:p>
    <w:p w14:paraId="59601932"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For qualitative data, thematic analysis was performed. The transcripts from FGDs were analyzed to identify emerging themes related to caregivers' perceptions of dietary diversity. A verbatim transcript of each discussion was generated and compared with handwritten notes to ensure completeness. The data were then coded and categorized into themes for interpretation.</w:t>
      </w:r>
    </w:p>
    <w:p w14:paraId="56B37E29"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 xml:space="preserve">By </w:t>
      </w:r>
      <w:r w:rsidR="00167AE2">
        <w:rPr>
          <w:rFonts w:ascii="Times New Roman" w:hAnsi="Times New Roman" w:cs="Times New Roman"/>
          <w:bCs/>
          <w:sz w:val="24"/>
          <w:szCs w:val="24"/>
        </w:rPr>
        <w:t xml:space="preserve">triangulating </w:t>
      </w:r>
      <w:r w:rsidRPr="00E149D1">
        <w:rPr>
          <w:rFonts w:ascii="Times New Roman" w:hAnsi="Times New Roman" w:cs="Times New Roman"/>
          <w:bCs/>
          <w:sz w:val="24"/>
          <w:szCs w:val="24"/>
        </w:rPr>
        <w:t>qualitative and quantitative methodologies, this study provided a comprehensive understanding of how nutrition education influences dietary diversification in different socio-economic and cultural contexts within Kajiado County.</w:t>
      </w:r>
    </w:p>
    <w:p w14:paraId="3EFBD36B" w14:textId="77777777" w:rsidR="006614BD" w:rsidRDefault="006614BD" w:rsidP="00EE64E1">
      <w:pPr>
        <w:pStyle w:val="NoSpacing"/>
      </w:pPr>
    </w:p>
    <w:p w14:paraId="5DEA989F" w14:textId="77777777" w:rsidR="006614BD" w:rsidRPr="00E53DFD" w:rsidRDefault="00E53DFD" w:rsidP="00A47E75">
      <w:pPr>
        <w:spacing w:line="360" w:lineRule="auto"/>
        <w:jc w:val="both"/>
        <w:rPr>
          <w:rFonts w:ascii="Times New Roman" w:hAnsi="Times New Roman" w:cs="Times New Roman"/>
          <w:b/>
          <w:bCs/>
          <w:sz w:val="24"/>
          <w:szCs w:val="24"/>
        </w:rPr>
      </w:pPr>
      <w:r w:rsidRPr="00E53DFD">
        <w:rPr>
          <w:rFonts w:ascii="Times New Roman" w:hAnsi="Times New Roman" w:cs="Times New Roman"/>
          <w:b/>
          <w:bCs/>
          <w:sz w:val="24"/>
          <w:szCs w:val="24"/>
        </w:rPr>
        <w:t xml:space="preserve">Results </w:t>
      </w:r>
    </w:p>
    <w:p w14:paraId="0BEDE30F" w14:textId="77777777" w:rsidR="00440C62" w:rsidRPr="00440C62" w:rsidRDefault="00440C62" w:rsidP="00A47E75">
      <w:pPr>
        <w:spacing w:line="360" w:lineRule="auto"/>
        <w:jc w:val="both"/>
        <w:rPr>
          <w:rFonts w:ascii="Times New Roman" w:hAnsi="Times New Roman" w:cs="Times New Roman"/>
          <w:b/>
          <w:bCs/>
          <w:sz w:val="24"/>
          <w:szCs w:val="24"/>
        </w:rPr>
      </w:pPr>
      <w:r w:rsidRPr="00440C62">
        <w:rPr>
          <w:rFonts w:ascii="Times New Roman" w:hAnsi="Times New Roman" w:cs="Times New Roman"/>
          <w:b/>
          <w:bCs/>
          <w:sz w:val="24"/>
          <w:szCs w:val="24"/>
        </w:rPr>
        <w:t>Demographic and Socio-Economic Characteristics of the Mothers</w:t>
      </w:r>
    </w:p>
    <w:p w14:paraId="402C5B04" w14:textId="77777777" w:rsidR="006E788E"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The majority (98.6%) of the caregivers were female. The ages of the caregivers ranged from 18 to 51 ye</w:t>
      </w:r>
      <w:r w:rsidR="00FF121F">
        <w:rPr>
          <w:rFonts w:ascii="Times New Roman" w:hAnsi="Times New Roman" w:cs="Times New Roman"/>
          <w:bCs/>
          <w:sz w:val="24"/>
          <w:szCs w:val="24"/>
        </w:rPr>
        <w:t>ars</w:t>
      </w:r>
      <w:r w:rsidRPr="00440C62">
        <w:rPr>
          <w:rFonts w:ascii="Times New Roman" w:hAnsi="Times New Roman" w:cs="Times New Roman"/>
          <w:bCs/>
          <w:sz w:val="24"/>
          <w:szCs w:val="24"/>
        </w:rPr>
        <w:t>. In rural areas, over 81% of t</w:t>
      </w:r>
      <w:r w:rsidR="006E788E">
        <w:rPr>
          <w:rFonts w:ascii="Times New Roman" w:hAnsi="Times New Roman" w:cs="Times New Roman"/>
          <w:bCs/>
          <w:sz w:val="24"/>
          <w:szCs w:val="24"/>
        </w:rPr>
        <w:t xml:space="preserve">he mothers were below 29 years. </w:t>
      </w:r>
      <w:r w:rsidRPr="00440C62">
        <w:rPr>
          <w:rFonts w:ascii="Times New Roman" w:hAnsi="Times New Roman" w:cs="Times New Roman"/>
          <w:bCs/>
          <w:sz w:val="24"/>
          <w:szCs w:val="24"/>
        </w:rPr>
        <w:t>Conversely, in urban areas, most mothers (76%) were between 24 and 34 years</w:t>
      </w:r>
      <w:r w:rsidR="006E788E">
        <w:rPr>
          <w:rFonts w:ascii="Times New Roman" w:hAnsi="Times New Roman" w:cs="Times New Roman"/>
          <w:bCs/>
          <w:sz w:val="24"/>
          <w:szCs w:val="24"/>
        </w:rPr>
        <w:t xml:space="preserve">. </w:t>
      </w:r>
    </w:p>
    <w:p w14:paraId="00AC7482" w14:textId="77777777" w:rsidR="00440C62" w:rsidRPr="00440C62"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In the rura</w:t>
      </w:r>
      <w:r w:rsidR="006E788E">
        <w:rPr>
          <w:rFonts w:ascii="Times New Roman" w:hAnsi="Times New Roman" w:cs="Times New Roman"/>
          <w:bCs/>
          <w:sz w:val="24"/>
          <w:szCs w:val="24"/>
        </w:rPr>
        <w:t>l setting, most caregivers (93.1</w:t>
      </w:r>
      <w:r w:rsidRPr="00440C62">
        <w:rPr>
          <w:rFonts w:ascii="Times New Roman" w:hAnsi="Times New Roman" w:cs="Times New Roman"/>
          <w:bCs/>
          <w:sz w:val="24"/>
          <w:szCs w:val="24"/>
        </w:rPr>
        <w:t xml:space="preserve">%) </w:t>
      </w:r>
      <w:r w:rsidR="006E788E">
        <w:rPr>
          <w:rFonts w:ascii="Times New Roman" w:hAnsi="Times New Roman" w:cs="Times New Roman"/>
          <w:bCs/>
          <w:sz w:val="24"/>
          <w:szCs w:val="24"/>
        </w:rPr>
        <w:t>were married, with fewer than 7</w:t>
      </w:r>
      <w:r w:rsidRPr="00440C62">
        <w:rPr>
          <w:rFonts w:ascii="Times New Roman" w:hAnsi="Times New Roman" w:cs="Times New Roman"/>
          <w:bCs/>
          <w:sz w:val="24"/>
          <w:szCs w:val="24"/>
        </w:rPr>
        <w:t>% being single, separated, divorced, or widowed. Similarly, in urban areas, the majority (80%) were married, though the proportion of single, widowed, divorced, or separated mothers was slightly higher</w:t>
      </w:r>
      <w:r w:rsidR="006E788E">
        <w:rPr>
          <w:rFonts w:ascii="Times New Roman" w:hAnsi="Times New Roman" w:cs="Times New Roman"/>
          <w:bCs/>
          <w:sz w:val="24"/>
          <w:szCs w:val="24"/>
        </w:rPr>
        <w:t xml:space="preserve"> 19.9% as compared to the rural</w:t>
      </w:r>
      <w:r w:rsidRPr="00440C62">
        <w:rPr>
          <w:rFonts w:ascii="Times New Roman" w:hAnsi="Times New Roman" w:cs="Times New Roman"/>
          <w:bCs/>
          <w:sz w:val="24"/>
          <w:szCs w:val="24"/>
        </w:rPr>
        <w:t xml:space="preserve">. </w:t>
      </w:r>
    </w:p>
    <w:p w14:paraId="72FE60B6" w14:textId="77777777" w:rsidR="00440C62" w:rsidRPr="00440C62"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lastRenderedPageBreak/>
        <w:t xml:space="preserve">Educational attainment was relatively high in both settings, with 50% of respondents having completed secondary education. </w:t>
      </w:r>
      <w:r w:rsidR="006E788E">
        <w:rPr>
          <w:rFonts w:ascii="Times New Roman" w:hAnsi="Times New Roman" w:cs="Times New Roman"/>
          <w:bCs/>
          <w:sz w:val="24"/>
          <w:szCs w:val="24"/>
        </w:rPr>
        <w:t xml:space="preserve"> </w:t>
      </w:r>
      <w:r w:rsidRPr="00440C62">
        <w:rPr>
          <w:rFonts w:ascii="Times New Roman" w:hAnsi="Times New Roman" w:cs="Times New Roman"/>
          <w:bCs/>
          <w:sz w:val="24"/>
          <w:szCs w:val="24"/>
        </w:rPr>
        <w:t>Household sizes differed significantly between rural and urban areas. In rural households, the most common size was five members (</w:t>
      </w:r>
      <w:r w:rsidR="006E788E">
        <w:rPr>
          <w:rFonts w:ascii="Times New Roman" w:hAnsi="Times New Roman" w:cs="Times New Roman"/>
          <w:bCs/>
          <w:sz w:val="24"/>
          <w:szCs w:val="24"/>
        </w:rPr>
        <w:t>4</w:t>
      </w:r>
      <w:r w:rsidRPr="00440C62">
        <w:rPr>
          <w:rFonts w:ascii="Times New Roman" w:hAnsi="Times New Roman" w:cs="Times New Roman"/>
          <w:bCs/>
          <w:sz w:val="24"/>
          <w:szCs w:val="24"/>
        </w:rPr>
        <w:t xml:space="preserve">3.3%), with a mean household size of 5.2 ± </w:t>
      </w:r>
      <w:r w:rsidR="006E788E">
        <w:rPr>
          <w:rFonts w:ascii="Times New Roman" w:hAnsi="Times New Roman" w:cs="Times New Roman"/>
          <w:bCs/>
          <w:sz w:val="24"/>
          <w:szCs w:val="24"/>
        </w:rPr>
        <w:t xml:space="preserve">1.54 SD. </w:t>
      </w:r>
      <w:r w:rsidRPr="00440C62">
        <w:rPr>
          <w:rFonts w:ascii="Times New Roman" w:hAnsi="Times New Roman" w:cs="Times New Roman"/>
          <w:bCs/>
          <w:sz w:val="24"/>
          <w:szCs w:val="24"/>
        </w:rPr>
        <w:t>In urban areas, household sizes ranged from 1 to 5 member</w:t>
      </w:r>
      <w:r w:rsidR="006E788E">
        <w:rPr>
          <w:rFonts w:ascii="Times New Roman" w:hAnsi="Times New Roman" w:cs="Times New Roman"/>
          <w:bCs/>
          <w:sz w:val="24"/>
          <w:szCs w:val="24"/>
        </w:rPr>
        <w:t>s, with a mean of 2.2 ± 1.54 SD</w:t>
      </w:r>
      <w:r w:rsidRPr="00440C62">
        <w:rPr>
          <w:rFonts w:ascii="Times New Roman" w:hAnsi="Times New Roman" w:cs="Times New Roman"/>
          <w:bCs/>
          <w:sz w:val="24"/>
          <w:szCs w:val="24"/>
        </w:rPr>
        <w:t>.</w:t>
      </w:r>
    </w:p>
    <w:p w14:paraId="23D11CE2" w14:textId="77777777" w:rsidR="00440C62" w:rsidRPr="00440C62"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Income levels also varied markedly. In rural areas, most households (58.3%) earned between 4,001–6,000 KES per month, with an average income of 5,391.3 ± 1,520 SD. In urban areas, most households (59.7%) ea</w:t>
      </w:r>
      <w:r w:rsidR="006E788E">
        <w:rPr>
          <w:rFonts w:ascii="Times New Roman" w:hAnsi="Times New Roman" w:cs="Times New Roman"/>
          <w:bCs/>
          <w:sz w:val="24"/>
          <w:szCs w:val="24"/>
        </w:rPr>
        <w:t xml:space="preserve">rned between 15,000–30,000 KES. </w:t>
      </w:r>
    </w:p>
    <w:p w14:paraId="284DC55F" w14:textId="77777777" w:rsidR="00440C62" w:rsidRPr="00440C62" w:rsidRDefault="00525E1E" w:rsidP="00A47E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Nutrition</w:t>
      </w:r>
      <w:r w:rsidR="00440C62" w:rsidRPr="00440C62">
        <w:rPr>
          <w:rFonts w:ascii="Times New Roman" w:hAnsi="Times New Roman" w:cs="Times New Roman"/>
          <w:b/>
          <w:bCs/>
          <w:sz w:val="24"/>
          <w:szCs w:val="24"/>
        </w:rPr>
        <w:t xml:space="preserve"> Knowledge and Dietary Diversity</w:t>
      </w:r>
      <w:r w:rsidR="00167AE2">
        <w:rPr>
          <w:rFonts w:ascii="Times New Roman" w:hAnsi="Times New Roman" w:cs="Times New Roman"/>
          <w:b/>
          <w:bCs/>
          <w:sz w:val="24"/>
          <w:szCs w:val="24"/>
        </w:rPr>
        <w:t xml:space="preserve"> Score</w:t>
      </w:r>
    </w:p>
    <w:p w14:paraId="4A999AFD" w14:textId="77777777" w:rsidR="00440C62" w:rsidRPr="00440C62" w:rsidRDefault="00525E1E" w:rsidP="00A47E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At baseline, nutrition</w:t>
      </w:r>
      <w:r w:rsidR="00440C62" w:rsidRPr="00440C62">
        <w:rPr>
          <w:rFonts w:ascii="Times New Roman" w:hAnsi="Times New Roman" w:cs="Times New Roman"/>
          <w:bCs/>
          <w:sz w:val="24"/>
          <w:szCs w:val="24"/>
        </w:rPr>
        <w:t xml:space="preserve"> knowledge levels were relatively high in both settings, with 60.9% (rural) and 71% (urban) caregivers scoring in the high category. Post-intervention, k</w:t>
      </w:r>
      <w:r>
        <w:rPr>
          <w:rFonts w:ascii="Times New Roman" w:hAnsi="Times New Roman" w:cs="Times New Roman"/>
          <w:bCs/>
          <w:sz w:val="24"/>
          <w:szCs w:val="24"/>
        </w:rPr>
        <w:t>nowledge levels improved significantly</w:t>
      </w:r>
      <w:r w:rsidR="00440C62" w:rsidRPr="00440C62">
        <w:rPr>
          <w:rFonts w:ascii="Times New Roman" w:hAnsi="Times New Roman" w:cs="Times New Roman"/>
          <w:bCs/>
          <w:sz w:val="24"/>
          <w:szCs w:val="24"/>
        </w:rPr>
        <w:t xml:space="preserve">, with a mean score </w:t>
      </w:r>
      <w:r w:rsidR="006E788E">
        <w:rPr>
          <w:rFonts w:ascii="Times New Roman" w:hAnsi="Times New Roman" w:cs="Times New Roman"/>
          <w:bCs/>
          <w:sz w:val="24"/>
          <w:szCs w:val="24"/>
        </w:rPr>
        <w:t>increase from 61.0 ± 1.2 SD to 7</w:t>
      </w:r>
      <w:r w:rsidR="00440C62" w:rsidRPr="00440C62">
        <w:rPr>
          <w:rFonts w:ascii="Times New Roman" w:hAnsi="Times New Roman" w:cs="Times New Roman"/>
          <w:bCs/>
          <w:sz w:val="24"/>
          <w:szCs w:val="24"/>
        </w:rPr>
        <w:t>5.0 ± 1</w:t>
      </w:r>
      <w:r w:rsidR="006E788E">
        <w:rPr>
          <w:rFonts w:ascii="Times New Roman" w:hAnsi="Times New Roman" w:cs="Times New Roman"/>
          <w:bCs/>
          <w:sz w:val="24"/>
          <w:szCs w:val="24"/>
        </w:rPr>
        <w:t>.2 SD in rural areas and from 71.0 ± 1.2 SD to 8</w:t>
      </w:r>
      <w:r w:rsidR="00440C62" w:rsidRPr="00440C62">
        <w:rPr>
          <w:rFonts w:ascii="Times New Roman" w:hAnsi="Times New Roman" w:cs="Times New Roman"/>
          <w:bCs/>
          <w:sz w:val="24"/>
          <w:szCs w:val="24"/>
        </w:rPr>
        <w:t>8.0 ± 1.2 SD in urban areas.</w:t>
      </w:r>
    </w:p>
    <w:p w14:paraId="01DBAEB6" w14:textId="77777777" w:rsidR="006E788E"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 xml:space="preserve">Dietary diversity remained low in rural areas despite the intervention. At baseline, 83% of rural children consumed three meals per day, with an average DDS of 3.15 ± 1.2. Post-intervention, the DDS increased marginally to 3.45 ± 1.2. In contrast, urban children showed a significant improvement, with their DDS increasing from 5.15 ± 1.2 to 6.35 ± 1.2 post-intervention. </w:t>
      </w:r>
    </w:p>
    <w:p w14:paraId="63CA2494" w14:textId="77777777" w:rsidR="00805E97" w:rsidRPr="00805E97" w:rsidRDefault="00805E97" w:rsidP="00A47E75">
      <w:pPr>
        <w:spacing w:line="360" w:lineRule="auto"/>
        <w:jc w:val="both"/>
        <w:rPr>
          <w:rFonts w:ascii="Times New Roman" w:hAnsi="Times New Roman" w:cs="Times New Roman"/>
          <w:bCs/>
          <w:sz w:val="24"/>
          <w:szCs w:val="24"/>
        </w:rPr>
      </w:pPr>
      <w:r w:rsidRPr="00805E97">
        <w:rPr>
          <w:rFonts w:ascii="Times New Roman" w:hAnsi="Times New Roman" w:cs="Times New Roman"/>
          <w:bCs/>
          <w:sz w:val="24"/>
          <w:szCs w:val="24"/>
        </w:rPr>
        <w:t xml:space="preserve">To assess the effectiveness of the nutrition education intervention, a paired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 xml:space="preserve">-test was conducted within each group to compare dietary diversity scores (DDS) at baseline and post-intervention. In the rural group, the mean DDS increased marginally from 3.15 ± 1.2 to 3.45 ± 1.2, resulting in a mean change of 0.3. The paired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-test indicated that this change was not statistically significant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 0.074,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&gt; 0.05).</w:t>
      </w:r>
    </w:p>
    <w:p w14:paraId="5CEA1EE7" w14:textId="77777777" w:rsidR="00805E97" w:rsidRPr="00805E97" w:rsidRDefault="00805E97" w:rsidP="00A47E75">
      <w:pPr>
        <w:spacing w:line="360" w:lineRule="auto"/>
        <w:jc w:val="both"/>
        <w:rPr>
          <w:rFonts w:ascii="Times New Roman" w:hAnsi="Times New Roman" w:cs="Times New Roman"/>
          <w:bCs/>
          <w:sz w:val="24"/>
          <w:szCs w:val="24"/>
        </w:rPr>
      </w:pPr>
      <w:r w:rsidRPr="00805E97">
        <w:rPr>
          <w:rFonts w:ascii="Times New Roman" w:hAnsi="Times New Roman" w:cs="Times New Roman"/>
          <w:bCs/>
          <w:sz w:val="24"/>
          <w:szCs w:val="24"/>
        </w:rPr>
        <w:t xml:space="preserve">Conversely, in the urban group, the mean DDS increased from 5.15 ± 1.2 to 6.35 ± 1.2, with a mean change of 1.2. The paired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-test showed that this increase was statistically significant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 0.002,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&lt; 0.05), suggesting a notable improvement in dietary diversity post-intervention.</w:t>
      </w:r>
    </w:p>
    <w:p w14:paraId="1CB06C4C" w14:textId="77777777" w:rsidR="00805E97" w:rsidRPr="00805E97" w:rsidRDefault="00805E97" w:rsidP="00A47E75">
      <w:pPr>
        <w:spacing w:line="360" w:lineRule="auto"/>
        <w:jc w:val="both"/>
        <w:rPr>
          <w:rFonts w:ascii="Times New Roman" w:hAnsi="Times New Roman" w:cs="Times New Roman"/>
          <w:bCs/>
          <w:sz w:val="24"/>
          <w:szCs w:val="24"/>
        </w:rPr>
      </w:pPr>
      <w:r w:rsidRPr="00805E97">
        <w:rPr>
          <w:rFonts w:ascii="Times New Roman" w:hAnsi="Times New Roman" w:cs="Times New Roman"/>
          <w:bCs/>
          <w:sz w:val="24"/>
          <w:szCs w:val="24"/>
        </w:rPr>
        <w:t xml:space="preserve">To determine whether the difference in the mean changes between the two groups was statistically significant, an independent sample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-test was performed comparing the mean change in DDS (0.3 in rural vs. 1.2 in urban). The results revealed a statistically significant difference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w:t>
      </w:r>
      <w:r w:rsidRPr="00805E97">
        <w:rPr>
          <w:rFonts w:ascii="Times New Roman" w:hAnsi="Times New Roman" w:cs="Times New Roman"/>
          <w:bCs/>
          <w:sz w:val="24"/>
          <w:szCs w:val="24"/>
        </w:rPr>
        <w:lastRenderedPageBreak/>
        <w:t xml:space="preserve">= 0.013,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&lt; 0.05), indicating that the intervention had a significantly greater impact on dietary diversity in urban areas compared to rural areas.</w:t>
      </w:r>
    </w:p>
    <w:p w14:paraId="3737540F" w14:textId="77777777" w:rsidR="00A47E75" w:rsidRDefault="00A47E75" w:rsidP="00EE64E1">
      <w:pPr>
        <w:pStyle w:val="NoSpacing"/>
        <w:rPr>
          <w:lang w:val="en-GB"/>
        </w:rPr>
      </w:pPr>
    </w:p>
    <w:p w14:paraId="60A0A2FB" w14:textId="77777777" w:rsidR="007667A8" w:rsidRPr="007667A8" w:rsidRDefault="007667A8" w:rsidP="007667A8">
      <w:pPr>
        <w:spacing w:line="360" w:lineRule="auto"/>
        <w:jc w:val="both"/>
        <w:rPr>
          <w:rFonts w:ascii="Times New Roman" w:hAnsi="Times New Roman" w:cs="Times New Roman"/>
          <w:b/>
          <w:bCs/>
          <w:sz w:val="24"/>
          <w:szCs w:val="24"/>
        </w:rPr>
      </w:pPr>
      <w:r w:rsidRPr="007667A8">
        <w:rPr>
          <w:rFonts w:ascii="Times New Roman" w:hAnsi="Times New Roman" w:cs="Times New Roman"/>
          <w:b/>
          <w:bCs/>
          <w:sz w:val="24"/>
          <w:szCs w:val="24"/>
        </w:rPr>
        <w:t xml:space="preserve">Qualitative Findings on Dietary </w:t>
      </w:r>
      <w:r w:rsidR="00DB0DD7">
        <w:rPr>
          <w:rFonts w:ascii="Times New Roman" w:hAnsi="Times New Roman" w:cs="Times New Roman"/>
          <w:b/>
          <w:bCs/>
          <w:sz w:val="24"/>
          <w:szCs w:val="24"/>
        </w:rPr>
        <w:t>Diversity</w:t>
      </w:r>
      <w:r>
        <w:rPr>
          <w:rFonts w:ascii="Times New Roman" w:hAnsi="Times New Roman" w:cs="Times New Roman"/>
          <w:b/>
          <w:bCs/>
          <w:sz w:val="24"/>
          <w:szCs w:val="24"/>
        </w:rPr>
        <w:t xml:space="preserve"> </w:t>
      </w:r>
      <w:r w:rsidRPr="007667A8">
        <w:rPr>
          <w:rFonts w:ascii="Times New Roman" w:hAnsi="Times New Roman" w:cs="Times New Roman"/>
          <w:b/>
          <w:bCs/>
          <w:sz w:val="24"/>
          <w:szCs w:val="24"/>
        </w:rPr>
        <w:t>and Barriers to Dietary Diversification</w:t>
      </w:r>
    </w:p>
    <w:p w14:paraId="0D9967BB" w14:textId="77777777" w:rsidR="007667A8" w:rsidRPr="007667A8" w:rsidRDefault="007667A8" w:rsidP="007667A8">
      <w:pPr>
        <w:spacing w:line="360" w:lineRule="auto"/>
        <w:jc w:val="both"/>
        <w:rPr>
          <w:rFonts w:ascii="Times New Roman" w:hAnsi="Times New Roman" w:cs="Times New Roman"/>
          <w:b/>
          <w:bCs/>
          <w:sz w:val="24"/>
          <w:szCs w:val="24"/>
        </w:rPr>
      </w:pPr>
      <w:r w:rsidRPr="007667A8">
        <w:rPr>
          <w:rFonts w:ascii="Times New Roman" w:hAnsi="Times New Roman" w:cs="Times New Roman"/>
          <w:b/>
          <w:bCs/>
          <w:sz w:val="24"/>
          <w:szCs w:val="24"/>
        </w:rPr>
        <w:t>Rural Setting</w:t>
      </w:r>
    </w:p>
    <w:p w14:paraId="6619973C" w14:textId="77777777" w:rsidR="00EE64E1"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 xml:space="preserve">Mothers from the rural areas reported that children were primarily fed on thin porridge made from maize flour, ugali (a mixture of maize flour and boiled water), rice, beans, and milk. These foods largely revolved around three main food groups: cereals, milk, and fat. </w:t>
      </w:r>
    </w:p>
    <w:p w14:paraId="512D1DAA" w14:textId="1EC77D2B"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The intake of fruits and vegetables was notably low, which was attributed to cultural beliefs among the Maasai community. Green vegetables were perceived as livestock feed and were rarely consumed. Additionally, the Maasai culture discourages frequent slaughter of animals, as livestock is regarded as a symbol of wealth and is only slaughtered on special occasions. The cultural norms also prohibit the consumption of fish and poultry, further limiting dietary diversity.</w:t>
      </w:r>
    </w:p>
    <w:p w14:paraId="4AD7ED75" w14:textId="77777777"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Another key cultural aspect affecting food diversity was the restriction on selling livestock, which contributed to low household income. Despite these limitations, respondents clarified that their restricted dietary diversity was not due to a lack of nutritional knowledge. Many participants expressed awareness of the importance of a diverse diet, including fruits and vegetables, for optimal child nutrition. However, they highlighted significant barriers to food availability, including the absence of nearby markets, poor road infrastructure, and the impracticality of storing perishable items due to the risk of spoilage.</w:t>
      </w:r>
    </w:p>
    <w:p w14:paraId="58BD6E28" w14:textId="77777777"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Mothers also pointed out that men, as household decision-makers, needed to be educated on nutrition. They explained that introducing activities such as kitchen gardening, poultry farming, and slaughtering small animals—practices uncommon in their culture—could lead to family conflicts. As a result, even though women recognized the benefits of these practices, they hesitated to adopt them. The respondents strongly recommended that, in addition to training women, men should also receive nutrition education to foster household-wide support for dietary improvements.</w:t>
      </w:r>
    </w:p>
    <w:p w14:paraId="7637C766" w14:textId="77777777" w:rsidR="007667A8" w:rsidRPr="007667A8" w:rsidRDefault="007667A8" w:rsidP="007667A8">
      <w:pPr>
        <w:spacing w:line="360" w:lineRule="auto"/>
        <w:jc w:val="both"/>
        <w:rPr>
          <w:rFonts w:ascii="Times New Roman" w:hAnsi="Times New Roman" w:cs="Times New Roman"/>
          <w:b/>
          <w:bCs/>
          <w:sz w:val="24"/>
          <w:szCs w:val="24"/>
        </w:rPr>
      </w:pPr>
      <w:r w:rsidRPr="007667A8">
        <w:rPr>
          <w:rFonts w:ascii="Times New Roman" w:hAnsi="Times New Roman" w:cs="Times New Roman"/>
          <w:b/>
          <w:bCs/>
          <w:sz w:val="24"/>
          <w:szCs w:val="24"/>
        </w:rPr>
        <w:t>Urban Setting</w:t>
      </w:r>
    </w:p>
    <w:p w14:paraId="54E99036" w14:textId="77777777"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lastRenderedPageBreak/>
        <w:t>Findings from focus group discussions (FGDs) in the urban setting differed significantly from those in the rural areas. Unlike the rural group, the urban participants represented a mix of ethnic backgrounds, including Kikuyu, Kamba, Taita, Maasai, Somali, and Luhya. A major theme that emerged was the broad nature of previous nutrition education programs, which made it difficult for mothers to recall and apply what they had learned. However, the recent nutrition training focused specifically on dietary diversification, different food groups,</w:t>
      </w:r>
      <w:r w:rsidR="00DB0DD7">
        <w:rPr>
          <w:rFonts w:ascii="Times New Roman" w:hAnsi="Times New Roman" w:cs="Times New Roman"/>
          <w:bCs/>
          <w:sz w:val="24"/>
          <w:szCs w:val="24"/>
        </w:rPr>
        <w:t xml:space="preserve"> meal planning</w:t>
      </w:r>
      <w:r w:rsidRPr="007667A8">
        <w:rPr>
          <w:rFonts w:ascii="Times New Roman" w:hAnsi="Times New Roman" w:cs="Times New Roman"/>
          <w:bCs/>
          <w:sz w:val="24"/>
          <w:szCs w:val="24"/>
        </w:rPr>
        <w:t xml:space="preserve"> and the importance of a diverse diet, which made it easier for them to implement the knowledge gained.</w:t>
      </w:r>
    </w:p>
    <w:p w14:paraId="6D030A29" w14:textId="77777777" w:rsidR="00EE64E1"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 xml:space="preserve">Despite having better access to food variety, urban mothers pointed out financial constraints as a limiting factor. Some participants mentioned that their purchasing power was low, making it difficult to provide different food groups daily. </w:t>
      </w:r>
    </w:p>
    <w:p w14:paraId="18153879" w14:textId="13A6E313" w:rsid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Additionally, time constraints due to work commitments influenced meal choices. Many mothers reported relying on quick and readily available foods such as chips, smokies, samosas, chapatis, and mandazi (street foods) due to the limited time available for meal preparation.</w:t>
      </w:r>
      <w:r w:rsidR="00EE64E1">
        <w:rPr>
          <w:rFonts w:ascii="Times New Roman" w:hAnsi="Times New Roman" w:cs="Times New Roman"/>
          <w:bCs/>
          <w:sz w:val="24"/>
          <w:szCs w:val="24"/>
        </w:rPr>
        <w:t xml:space="preserve"> </w:t>
      </w:r>
      <w:r w:rsidRPr="007667A8">
        <w:rPr>
          <w:rFonts w:ascii="Times New Roman" w:hAnsi="Times New Roman" w:cs="Times New Roman"/>
          <w:bCs/>
          <w:sz w:val="24"/>
          <w:szCs w:val="24"/>
        </w:rPr>
        <w:t>The urban mothers emphasized that regular nutrition training with a focus on specific topics, given adequate time for discussion and application, would be more beneficial in promoting dietary diversification.</w:t>
      </w:r>
    </w:p>
    <w:p w14:paraId="01242FD6" w14:textId="77777777" w:rsidR="00132F3A" w:rsidRPr="00132F3A" w:rsidRDefault="00132F3A" w:rsidP="007667A8">
      <w:pPr>
        <w:spacing w:line="360" w:lineRule="auto"/>
        <w:jc w:val="both"/>
        <w:rPr>
          <w:rFonts w:ascii="Times New Roman" w:hAnsi="Times New Roman" w:cs="Times New Roman"/>
          <w:b/>
          <w:bCs/>
          <w:sz w:val="24"/>
          <w:szCs w:val="24"/>
        </w:rPr>
      </w:pPr>
      <w:r w:rsidRPr="00132F3A">
        <w:rPr>
          <w:rFonts w:ascii="Times New Roman" w:hAnsi="Times New Roman" w:cs="Times New Roman"/>
          <w:b/>
          <w:bCs/>
          <w:sz w:val="24"/>
          <w:szCs w:val="24"/>
        </w:rPr>
        <w:t>Discussion</w:t>
      </w:r>
    </w:p>
    <w:p w14:paraId="644BC8DB"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The findings of this study indicate that the majority of caregivers were female (98.6%), with significant age differences between rural and urban areas. In rural settings, over 81% of the mothers were below 29 years, while in urban areas, most (76%) were between 24 and 34 years. This trend aligns with existing literature indicating that early marriage is more prevalent in rural areas due to cultural traditions (</w:t>
      </w:r>
      <w:proofErr w:type="spellStart"/>
      <w:r w:rsidRPr="00132F3A">
        <w:rPr>
          <w:rFonts w:ascii="Times New Roman" w:hAnsi="Times New Roman" w:cs="Times New Roman"/>
          <w:bCs/>
          <w:sz w:val="24"/>
          <w:szCs w:val="24"/>
        </w:rPr>
        <w:t>Mberu</w:t>
      </w:r>
      <w:proofErr w:type="spellEnd"/>
      <w:r w:rsidRPr="00132F3A">
        <w:rPr>
          <w:rFonts w:ascii="Times New Roman" w:hAnsi="Times New Roman" w:cs="Times New Roman"/>
          <w:bCs/>
          <w:sz w:val="24"/>
          <w:szCs w:val="24"/>
        </w:rPr>
        <w:t xml:space="preserve"> &amp; </w:t>
      </w:r>
      <w:proofErr w:type="spellStart"/>
      <w:r w:rsidRPr="00132F3A">
        <w:rPr>
          <w:rFonts w:ascii="Times New Roman" w:hAnsi="Times New Roman" w:cs="Times New Roman"/>
          <w:bCs/>
          <w:sz w:val="24"/>
          <w:szCs w:val="24"/>
        </w:rPr>
        <w:t>Ezeh</w:t>
      </w:r>
      <w:proofErr w:type="spellEnd"/>
      <w:r w:rsidRPr="00132F3A">
        <w:rPr>
          <w:rFonts w:ascii="Times New Roman" w:hAnsi="Times New Roman" w:cs="Times New Roman"/>
          <w:bCs/>
          <w:sz w:val="24"/>
          <w:szCs w:val="24"/>
        </w:rPr>
        <w:t>, 2017). Early marriage in rural areas limits women’s opportunities for higher education and employment, contributing to economic dependency and lower household incomes. Therefore, policies promoting delayed marriage and educational empowerment programs targeting rural women are recommended to enhance their socio-economic status.</w:t>
      </w:r>
    </w:p>
    <w:p w14:paraId="4A656887"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Marital status patterns also differed, with a higher percentage of single, widowed, or separated mothers in urban areas (19.9%) compared to rural areas (6.9%). This finding is consistent with studies showing that urbanization often leads to increased single parenthood due to higher </w:t>
      </w:r>
      <w:r w:rsidRPr="00132F3A">
        <w:rPr>
          <w:rFonts w:ascii="Times New Roman" w:hAnsi="Times New Roman" w:cs="Times New Roman"/>
          <w:bCs/>
          <w:sz w:val="24"/>
          <w:szCs w:val="24"/>
        </w:rPr>
        <w:lastRenderedPageBreak/>
        <w:t>separation and divorce rates, as well as shifting family structures (Ezeh et al., 2019). The implications of this finding highlight the need for targeted support programs, such as financial aid and childcare assistance, to help single mothers manage household food security and child nutrition effectively.</w:t>
      </w:r>
    </w:p>
    <w:p w14:paraId="2F67E8B9"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Education levels were relatively high in both settings, with 50% of respondents having completed secondary education. This is in line with findings from Kenya’s national education data, which attribute improved secondary school completion rates to the government’s free education policy (World Bank, 2020). Education plays a crucial role in dietary knowledge and child nutrition; thus, further efforts should be made to integrate nutrition education into school curriculums to reinforce dietary diversification at the household level.</w:t>
      </w:r>
    </w:p>
    <w:p w14:paraId="4057C757"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Household sizes varied significantly, with rural households having a mean size of 5.2 ± 1.54 SD compared to 2.2 ± 1.54 SD in urban areas. Larger household sizes in rural areas have been linked to traditional values that encourage large families for social and economic security (Mutisya et al., 2018). However, large households often struggle with food security due to resource constraints. Family planning programs and economic empowerment initiatives targeting rural families could help balance household sizes and food accessibility.</w:t>
      </w:r>
    </w:p>
    <w:p w14:paraId="02872F0C"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Income disparities between rural and urban households were evident, with rural households earning an average of 5,391.3 ± 1,520 KES per month, whereas urban households earned between 15,000–30,000 KES. These findings corroborate previous research suggesting that rural areas experience higher poverty rates and economic marginalization (Kimani-Murage et al., 2015). Income directly influences food accessibility and dietary practices; therefore, income-generating programs, improved market access, and infrastructural development in rural areas are necessary to enhance food security.</w:t>
      </w:r>
    </w:p>
    <w:p w14:paraId="17249C0E" w14:textId="77777777" w:rsidR="00132F3A" w:rsidRPr="00132F3A" w:rsidRDefault="00AF07E6" w:rsidP="00132F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Nutrition</w:t>
      </w:r>
      <w:r w:rsidR="00132F3A" w:rsidRPr="00132F3A">
        <w:rPr>
          <w:rFonts w:ascii="Times New Roman" w:hAnsi="Times New Roman" w:cs="Times New Roman"/>
          <w:bCs/>
          <w:sz w:val="24"/>
          <w:szCs w:val="24"/>
        </w:rPr>
        <w:t xml:space="preserve"> knowledge levels were relatively high in both settings, with improvements post-intervention. In rural areas, knowledge scores increased from 61.0 ± 1.2 SD to 75.0 ± 1.2 SD, while in urban areas, they increased from 71.0 ± 1.2 SD to 88.0 ± 1.2 SD. This supports findings by FAO (2019), which indicate that targeted nutrition education interventions effectively enhance knowledge. However, despite increased knowledge, dietary diversity remained low in rural areas, indicating that knowledge alone is insufficient to drive behavioral change. Structural </w:t>
      </w:r>
      <w:r w:rsidR="00132F3A" w:rsidRPr="00132F3A">
        <w:rPr>
          <w:rFonts w:ascii="Times New Roman" w:hAnsi="Times New Roman" w:cs="Times New Roman"/>
          <w:bCs/>
          <w:sz w:val="24"/>
          <w:szCs w:val="24"/>
        </w:rPr>
        <w:lastRenderedPageBreak/>
        <w:t>interventions, including improving food access and affordability, are essential to complement educational efforts.</w:t>
      </w:r>
    </w:p>
    <w:p w14:paraId="72837D82"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Dietary diversity remained a key challenge, particularly in rural areas. At baseline, the mean DDS was 3.15 ± 1.2, increasing marginally to 3.45 ± 1.2 post-intervention. In contrast, urban children showed a more substantial increase from 5.15 ± 1.2 to 6.35 ± 1.2. These results are similar to previous studies indicating that urban populations have greater access to diverse foods due to better market infrastructure and higher purchasing power (Ngugi et al., 2021). The statistically significant improvement in urban dietary diversity (p = 0.002) suggests that nutrition education had a more pronounced effect where food accessibility was not a major constraint. To enhance dietary diversity in rural areas, interventions should focus on agricultural diversification, market access, and community-based nutrition programs.</w:t>
      </w:r>
    </w:p>
    <w:p w14:paraId="3972CC74"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Qualitative findings further highlighted cultural barriers to dietary diversity in rural areas. Many caregivers reported that food choices were heavily influenced by Maasai cultural norms, which discouraged the consumption of vegetables, poultry, and fish. Similar findings have been documented in other studies on indigenous communities, where cultural perceptions dictate dietary habits (</w:t>
      </w:r>
      <w:proofErr w:type="spellStart"/>
      <w:r w:rsidRPr="00132F3A">
        <w:rPr>
          <w:rFonts w:ascii="Times New Roman" w:hAnsi="Times New Roman" w:cs="Times New Roman"/>
          <w:bCs/>
          <w:sz w:val="24"/>
          <w:szCs w:val="24"/>
        </w:rPr>
        <w:t>Oiye</w:t>
      </w:r>
      <w:proofErr w:type="spellEnd"/>
      <w:r w:rsidRPr="00132F3A">
        <w:rPr>
          <w:rFonts w:ascii="Times New Roman" w:hAnsi="Times New Roman" w:cs="Times New Roman"/>
          <w:bCs/>
          <w:sz w:val="24"/>
          <w:szCs w:val="24"/>
        </w:rPr>
        <w:t xml:space="preserve"> et al., 2020). Addressing these barriers requires culturally sensitive nutrition education that engages community leaders and integrates locally acceptable dietary modifications.</w:t>
      </w:r>
    </w:p>
    <w:p w14:paraId="041A4B19"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Additionally, rural mothers emphasized that men, as household decision-makers, need to be educated on nutrition to facilitate better dietary practices. This aligns with research showing that male involvement in nutrition interventions leads to improved household dietary outcomes (</w:t>
      </w:r>
      <w:proofErr w:type="spellStart"/>
      <w:r w:rsidRPr="00132F3A">
        <w:rPr>
          <w:rFonts w:ascii="Times New Roman" w:hAnsi="Times New Roman" w:cs="Times New Roman"/>
          <w:bCs/>
          <w:sz w:val="24"/>
          <w:szCs w:val="24"/>
        </w:rPr>
        <w:t>Mboganie</w:t>
      </w:r>
      <w:proofErr w:type="spellEnd"/>
      <w:r w:rsidRPr="00132F3A">
        <w:rPr>
          <w:rFonts w:ascii="Times New Roman" w:hAnsi="Times New Roman" w:cs="Times New Roman"/>
          <w:bCs/>
          <w:sz w:val="24"/>
          <w:szCs w:val="24"/>
        </w:rPr>
        <w:t xml:space="preserve"> et al., 2018). Therefore, future programs should incorporate male-targeted nutrition education alongside women-focused training.</w:t>
      </w:r>
    </w:p>
    <w:p w14:paraId="7FBFA019"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Urban caregivers, on the other hand, highlighted financial constraints and time limitations as key barriers to dietary diversification. Many reported relying on fast foods due to work commitments. This is in line with findings by Kamau et al. (2022), which suggest that urbanization and employment patterns contribute to reliance on convenience foods. Practical interventions such as workplace nutrition programs, meal planning education, and promotion of healthy, quick-to-prepare meals could help urban families improve dietary diversity.</w:t>
      </w:r>
    </w:p>
    <w:p w14:paraId="756DCAC0" w14:textId="77777777" w:rsidR="00AF07E6" w:rsidRPr="00AF07E6" w:rsidRDefault="00AF07E6" w:rsidP="00132F3A">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lastRenderedPageBreak/>
        <w:t>Conclusion</w:t>
      </w:r>
    </w:p>
    <w:p w14:paraId="100828B4" w14:textId="77777777" w:rsidR="00AF07E6" w:rsidRDefault="00AF07E6"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T</w:t>
      </w:r>
      <w:r w:rsidR="00132F3A" w:rsidRPr="00132F3A">
        <w:rPr>
          <w:rFonts w:ascii="Times New Roman" w:hAnsi="Times New Roman" w:cs="Times New Roman"/>
          <w:bCs/>
          <w:sz w:val="24"/>
          <w:szCs w:val="24"/>
        </w:rPr>
        <w:t xml:space="preserve">his study confirms that while nutrition education enhances knowledge, its impact on dietary diversity is significantly influenced by structural and cultural factors. The findings highlight the need for a multifaceted approach that combines education with economic, infrastructural, and cultural interventions to achieve sustainable dietary improvements. </w:t>
      </w:r>
    </w:p>
    <w:p w14:paraId="240E4C19" w14:textId="77777777" w:rsidR="00AF07E6" w:rsidRDefault="00AF07E6" w:rsidP="00132F3A">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t>Recommendation</w:t>
      </w:r>
    </w:p>
    <w:p w14:paraId="538A123A" w14:textId="77777777" w:rsid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Future research should explore long-term strategies for improving food accessibility and assessing the effectiveness of integrating nutrition education into broader community development initiatives.</w:t>
      </w:r>
    </w:p>
    <w:p w14:paraId="72EA2F48" w14:textId="77777777" w:rsidR="00AF07E6" w:rsidRPr="00AF07E6" w:rsidRDefault="00AF07E6" w:rsidP="00AF07E6">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t>Acknowledgements</w:t>
      </w:r>
    </w:p>
    <w:p w14:paraId="1D24D2CC" w14:textId="77777777" w:rsidR="00AF07E6" w:rsidRPr="00AF07E6" w:rsidRDefault="00AF07E6" w:rsidP="00AF07E6">
      <w:pPr>
        <w:spacing w:line="360" w:lineRule="auto"/>
        <w:jc w:val="both"/>
        <w:rPr>
          <w:rFonts w:ascii="Times New Roman" w:hAnsi="Times New Roman" w:cs="Times New Roman"/>
          <w:bCs/>
          <w:sz w:val="24"/>
          <w:szCs w:val="24"/>
        </w:rPr>
      </w:pPr>
      <w:r w:rsidRPr="00AF07E6">
        <w:rPr>
          <w:rFonts w:ascii="Times New Roman" w:hAnsi="Times New Roman" w:cs="Times New Roman"/>
          <w:bCs/>
          <w:sz w:val="24"/>
          <w:szCs w:val="24"/>
        </w:rPr>
        <w:t xml:space="preserve">Study community for their cooperation throughout the study. </w:t>
      </w:r>
    </w:p>
    <w:p w14:paraId="28B7967B" w14:textId="77777777" w:rsidR="00AF07E6" w:rsidRDefault="00567AB5" w:rsidP="00AF07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Funding</w:t>
      </w:r>
    </w:p>
    <w:p w14:paraId="2614B345" w14:textId="77777777" w:rsidR="00567AB5" w:rsidRDefault="00567AB5" w:rsidP="00AF07E6">
      <w:pPr>
        <w:spacing w:line="360" w:lineRule="auto"/>
        <w:jc w:val="both"/>
        <w:rPr>
          <w:rFonts w:ascii="Times New Roman" w:hAnsi="Times New Roman" w:cs="Times New Roman"/>
          <w:bCs/>
          <w:sz w:val="24"/>
          <w:szCs w:val="24"/>
        </w:rPr>
      </w:pPr>
      <w:r w:rsidRPr="00567AB5">
        <w:rPr>
          <w:rFonts w:ascii="Times New Roman" w:hAnsi="Times New Roman" w:cs="Times New Roman"/>
          <w:bCs/>
          <w:sz w:val="24"/>
          <w:szCs w:val="24"/>
        </w:rPr>
        <w:t>There are no sources of funding to declare</w:t>
      </w:r>
    </w:p>
    <w:p w14:paraId="032E1598" w14:textId="4C19AD67" w:rsidR="00567AB5" w:rsidRPr="00567AB5" w:rsidRDefault="00567AB5" w:rsidP="00AF07E6">
      <w:pPr>
        <w:spacing w:line="360" w:lineRule="auto"/>
        <w:jc w:val="both"/>
        <w:rPr>
          <w:rFonts w:ascii="Times New Roman" w:hAnsi="Times New Roman" w:cs="Times New Roman"/>
          <w:bCs/>
          <w:sz w:val="24"/>
          <w:szCs w:val="24"/>
        </w:rPr>
      </w:pPr>
      <w:r w:rsidRPr="00567AB5">
        <w:rPr>
          <w:rFonts w:ascii="Times New Roman" w:hAnsi="Times New Roman" w:cs="Times New Roman"/>
          <w:b/>
          <w:bCs/>
          <w:sz w:val="24"/>
          <w:szCs w:val="24"/>
        </w:rPr>
        <w:t>Author contributions:</w:t>
      </w:r>
      <w:r w:rsidRPr="00567AB5">
        <w:rPr>
          <w:rFonts w:ascii="Times New Roman" w:hAnsi="Times New Roman" w:cs="Times New Roman"/>
          <w:bCs/>
          <w:sz w:val="24"/>
          <w:szCs w:val="24"/>
        </w:rPr>
        <w:t xml:space="preserve"> Conceptualization, </w:t>
      </w:r>
      <w:r w:rsidR="00FD4356">
        <w:rPr>
          <w:rFonts w:ascii="Times New Roman" w:hAnsi="Times New Roman" w:cs="Times New Roman"/>
          <w:bCs/>
          <w:sz w:val="24"/>
          <w:szCs w:val="24"/>
        </w:rPr>
        <w:t xml:space="preserve">Mary Oyungu, </w:t>
      </w:r>
      <w:r>
        <w:rPr>
          <w:rFonts w:ascii="Times New Roman" w:hAnsi="Times New Roman" w:cs="Times New Roman"/>
          <w:bCs/>
          <w:sz w:val="24"/>
          <w:szCs w:val="24"/>
        </w:rPr>
        <w:t>Phyllis Waruguru</w:t>
      </w:r>
      <w:r w:rsidR="00FD4356">
        <w:rPr>
          <w:rFonts w:ascii="Times New Roman" w:hAnsi="Times New Roman" w:cs="Times New Roman"/>
          <w:bCs/>
          <w:sz w:val="24"/>
          <w:szCs w:val="24"/>
        </w:rPr>
        <w:t xml:space="preserve"> and </w:t>
      </w:r>
      <w:r>
        <w:rPr>
          <w:rFonts w:ascii="Times New Roman" w:hAnsi="Times New Roman" w:cs="Times New Roman"/>
          <w:bCs/>
          <w:sz w:val="24"/>
          <w:szCs w:val="24"/>
        </w:rPr>
        <w:t xml:space="preserve">Miriam Muga; </w:t>
      </w:r>
      <w:r w:rsidRPr="00567AB5">
        <w:rPr>
          <w:rFonts w:ascii="Times New Roman" w:hAnsi="Times New Roman" w:cs="Times New Roman"/>
          <w:bCs/>
          <w:sz w:val="24"/>
          <w:szCs w:val="24"/>
        </w:rPr>
        <w:t xml:space="preserve">methodology, </w:t>
      </w:r>
      <w:r w:rsidR="00FD4356">
        <w:rPr>
          <w:rFonts w:ascii="Times New Roman" w:hAnsi="Times New Roman" w:cs="Times New Roman"/>
          <w:bCs/>
          <w:sz w:val="24"/>
          <w:szCs w:val="24"/>
        </w:rPr>
        <w:t xml:space="preserve">Mary Oyungu and </w:t>
      </w:r>
      <w:r>
        <w:rPr>
          <w:rFonts w:ascii="Times New Roman" w:hAnsi="Times New Roman" w:cs="Times New Roman"/>
          <w:bCs/>
          <w:sz w:val="24"/>
          <w:szCs w:val="24"/>
        </w:rPr>
        <w:t>Phyllis Waruguru; software</w:t>
      </w:r>
      <w:r w:rsidRPr="00567AB5">
        <w:rPr>
          <w:rFonts w:ascii="Times New Roman" w:hAnsi="Times New Roman" w:cs="Times New Roman"/>
          <w:bCs/>
          <w:sz w:val="24"/>
          <w:szCs w:val="24"/>
        </w:rPr>
        <w:t xml:space="preserve">; validation,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formal analysis,</w:t>
      </w:r>
      <w:r>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investigation,</w:t>
      </w:r>
      <w:r>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resources,</w:t>
      </w:r>
      <w:r>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Pr>
          <w:rFonts w:ascii="Times New Roman" w:hAnsi="Times New Roman" w:cs="Times New Roman"/>
          <w:bCs/>
          <w:sz w:val="24"/>
          <w:szCs w:val="24"/>
        </w:rPr>
        <w:t xml:space="preserve">, </w:t>
      </w:r>
      <w:r w:rsidR="00FD4356">
        <w:rPr>
          <w:rFonts w:ascii="Times New Roman" w:hAnsi="Times New Roman" w:cs="Times New Roman"/>
          <w:bCs/>
          <w:sz w:val="24"/>
          <w:szCs w:val="24"/>
        </w:rPr>
        <w:t xml:space="preserve">Phyllis Waruguru and </w:t>
      </w:r>
      <w:r>
        <w:rPr>
          <w:rFonts w:ascii="Times New Roman" w:hAnsi="Times New Roman" w:cs="Times New Roman"/>
          <w:bCs/>
          <w:sz w:val="24"/>
          <w:szCs w:val="24"/>
        </w:rPr>
        <w:t>Miriam Muga</w:t>
      </w:r>
      <w:r w:rsidRPr="00567AB5">
        <w:rPr>
          <w:rFonts w:ascii="Times New Roman" w:hAnsi="Times New Roman" w:cs="Times New Roman"/>
          <w:bCs/>
          <w:sz w:val="24"/>
          <w:szCs w:val="24"/>
        </w:rPr>
        <w:t xml:space="preserve">; data curation,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xml:space="preserve">; writing—original draft preparation,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xml:space="preserve">; writing—review and editing, </w:t>
      </w:r>
      <w:r w:rsidR="003F0EFD">
        <w:rPr>
          <w:rFonts w:ascii="Times New Roman" w:hAnsi="Times New Roman" w:cs="Times New Roman"/>
          <w:bCs/>
          <w:sz w:val="24"/>
          <w:szCs w:val="24"/>
        </w:rPr>
        <w:t>Miriam Muga</w:t>
      </w:r>
      <w:r w:rsidRPr="00567AB5">
        <w:rPr>
          <w:rFonts w:ascii="Times New Roman" w:hAnsi="Times New Roman" w:cs="Times New Roman"/>
          <w:bCs/>
          <w:sz w:val="24"/>
          <w:szCs w:val="24"/>
        </w:rPr>
        <w:t xml:space="preserve">; visualization, </w:t>
      </w:r>
      <w:r w:rsidR="00FD4356">
        <w:rPr>
          <w:rFonts w:ascii="Times New Roman" w:hAnsi="Times New Roman" w:cs="Times New Roman"/>
          <w:bCs/>
          <w:sz w:val="24"/>
          <w:szCs w:val="24"/>
        </w:rPr>
        <w:t>Phyllis Waruguru</w:t>
      </w:r>
      <w:r w:rsidRPr="00567AB5">
        <w:rPr>
          <w:rFonts w:ascii="Times New Roman" w:hAnsi="Times New Roman" w:cs="Times New Roman"/>
          <w:bCs/>
          <w:sz w:val="24"/>
          <w:szCs w:val="24"/>
        </w:rPr>
        <w:t>; supervision,</w:t>
      </w:r>
      <w:r w:rsidR="003F0EFD">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xml:space="preserve">; project administration,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All authors have read and agreed to the published version of the manuscript</w:t>
      </w:r>
      <w:r w:rsidR="003F0EFD">
        <w:rPr>
          <w:rFonts w:ascii="Times New Roman" w:hAnsi="Times New Roman" w:cs="Times New Roman"/>
          <w:bCs/>
          <w:sz w:val="24"/>
          <w:szCs w:val="24"/>
        </w:rPr>
        <w:t>.</w:t>
      </w:r>
    </w:p>
    <w:p w14:paraId="19FF0C30" w14:textId="77777777" w:rsidR="00AF07E6" w:rsidRPr="00AF07E6" w:rsidRDefault="00AF07E6" w:rsidP="00AF07E6">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t>Conflict of interest</w:t>
      </w:r>
    </w:p>
    <w:p w14:paraId="6883481B" w14:textId="77777777" w:rsidR="00AF07E6"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Cs/>
          <w:sz w:val="24"/>
          <w:szCs w:val="24"/>
        </w:rPr>
        <w:t>The author(s) declare no conflict of interest</w:t>
      </w:r>
    </w:p>
    <w:p w14:paraId="0F722D45" w14:textId="77777777" w:rsidR="003F0EFD" w:rsidRPr="003F0EFD" w:rsidRDefault="003F0EFD" w:rsidP="00132F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availability statement</w:t>
      </w:r>
    </w:p>
    <w:p w14:paraId="2A3F7467" w14:textId="77777777" w:rsidR="003F0EFD"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Cs/>
          <w:sz w:val="24"/>
          <w:szCs w:val="24"/>
        </w:rPr>
        <w:t>Data supporting these findings are available within the article or upon request.</w:t>
      </w:r>
    </w:p>
    <w:p w14:paraId="5F616011" w14:textId="77777777" w:rsidR="003F0EFD"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
          <w:bCs/>
          <w:sz w:val="24"/>
          <w:szCs w:val="24"/>
        </w:rPr>
        <w:t>Institutional review board statement</w:t>
      </w:r>
    </w:p>
    <w:p w14:paraId="35AF6569" w14:textId="77777777" w:rsidR="003F0EFD"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Cs/>
          <w:sz w:val="24"/>
          <w:szCs w:val="24"/>
        </w:rPr>
        <w:lastRenderedPageBreak/>
        <w:t xml:space="preserve">The study was conducted in accordance with the Declaration of Helsinki and approved by </w:t>
      </w:r>
      <w:r w:rsidR="0026104D" w:rsidRPr="0026104D">
        <w:rPr>
          <w:rFonts w:ascii="Times New Roman" w:hAnsi="Times New Roman" w:cs="Times New Roman"/>
          <w:bCs/>
          <w:sz w:val="24"/>
          <w:szCs w:val="24"/>
        </w:rPr>
        <w:t xml:space="preserve">Kabarak University Ethics Review Committee (KUSERC) (Ref: </w:t>
      </w:r>
      <w:proofErr w:type="spellStart"/>
      <w:r w:rsidR="0026104D" w:rsidRPr="0026104D">
        <w:rPr>
          <w:rFonts w:ascii="Times New Roman" w:hAnsi="Times New Roman" w:cs="Times New Roman"/>
          <w:bCs/>
          <w:sz w:val="24"/>
          <w:szCs w:val="24"/>
        </w:rPr>
        <w:t>Kabu</w:t>
      </w:r>
      <w:proofErr w:type="spellEnd"/>
      <w:r w:rsidR="0026104D" w:rsidRPr="0026104D">
        <w:rPr>
          <w:rFonts w:ascii="Times New Roman" w:hAnsi="Times New Roman" w:cs="Times New Roman"/>
          <w:bCs/>
          <w:sz w:val="24"/>
          <w:szCs w:val="24"/>
        </w:rPr>
        <w:t xml:space="preserve"> 01/KUREC/001/14/10/23) and the National Commission for Science, Technology, and Innovation (NACOSTI) (Ref No: 801277).</w:t>
      </w:r>
    </w:p>
    <w:p w14:paraId="24D242F0" w14:textId="77777777" w:rsidR="0026104D" w:rsidRDefault="0026104D" w:rsidP="00132F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Informed consent statement</w:t>
      </w:r>
    </w:p>
    <w:p w14:paraId="315ECA34" w14:textId="77777777" w:rsidR="0026104D" w:rsidRDefault="0026104D" w:rsidP="00132F3A">
      <w:pPr>
        <w:spacing w:line="360" w:lineRule="auto"/>
        <w:jc w:val="both"/>
        <w:rPr>
          <w:rFonts w:ascii="Times New Roman" w:hAnsi="Times New Roman" w:cs="Times New Roman"/>
          <w:bCs/>
          <w:sz w:val="24"/>
          <w:szCs w:val="24"/>
        </w:rPr>
      </w:pPr>
      <w:r w:rsidRPr="0026104D">
        <w:rPr>
          <w:rFonts w:ascii="Times New Roman" w:hAnsi="Times New Roman" w:cs="Times New Roman"/>
          <w:bCs/>
          <w:sz w:val="24"/>
          <w:szCs w:val="24"/>
        </w:rPr>
        <w:t xml:space="preserve">Informed consent was obtained from all </w:t>
      </w:r>
      <w:r>
        <w:rPr>
          <w:rFonts w:ascii="Times New Roman" w:hAnsi="Times New Roman" w:cs="Times New Roman"/>
          <w:bCs/>
          <w:sz w:val="24"/>
          <w:szCs w:val="24"/>
        </w:rPr>
        <w:t>participants involved in the study</w:t>
      </w:r>
    </w:p>
    <w:p w14:paraId="1C7FFEA4" w14:textId="77777777" w:rsid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
          <w:bCs/>
          <w:sz w:val="24"/>
          <w:szCs w:val="24"/>
        </w:rPr>
        <w:t>Sample availability</w:t>
      </w:r>
    </w:p>
    <w:p w14:paraId="75589392" w14:textId="77777777" w:rsid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Cs/>
          <w:sz w:val="24"/>
          <w:szCs w:val="24"/>
        </w:rPr>
        <w:t>The author(s) declare that no physical samples were used in this study.</w:t>
      </w:r>
    </w:p>
    <w:p w14:paraId="62223881" w14:textId="77777777" w:rsid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
          <w:bCs/>
          <w:sz w:val="24"/>
          <w:szCs w:val="24"/>
        </w:rPr>
        <w:t>Supplementary materials</w:t>
      </w:r>
    </w:p>
    <w:p w14:paraId="55DE9F6D" w14:textId="77777777" w:rsidR="0026104D" w:rsidRP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Cs/>
          <w:sz w:val="24"/>
          <w:szCs w:val="24"/>
        </w:rPr>
        <w:t xml:space="preserve">The supplementary materials are available </w:t>
      </w:r>
      <w:r>
        <w:rPr>
          <w:rFonts w:ascii="Times New Roman" w:hAnsi="Times New Roman" w:cs="Times New Roman"/>
          <w:bCs/>
          <w:sz w:val="24"/>
          <w:szCs w:val="24"/>
        </w:rPr>
        <w:t>upon request</w:t>
      </w:r>
      <w:r w:rsidRPr="0026104D">
        <w:rPr>
          <w:rFonts w:ascii="Times New Roman" w:hAnsi="Times New Roman" w:cs="Times New Roman"/>
          <w:bCs/>
          <w:sz w:val="24"/>
          <w:szCs w:val="24"/>
        </w:rPr>
        <w:t>.</w:t>
      </w:r>
    </w:p>
    <w:p w14:paraId="58970E62" w14:textId="1E1B862E" w:rsidR="00FD4356" w:rsidRDefault="00FD4356">
      <w:pPr>
        <w:rPr>
          <w:rFonts w:ascii="Times New Roman" w:hAnsi="Times New Roman" w:cs="Times New Roman"/>
          <w:b/>
          <w:bCs/>
          <w:sz w:val="24"/>
          <w:szCs w:val="24"/>
        </w:rPr>
      </w:pPr>
      <w:r>
        <w:rPr>
          <w:rFonts w:ascii="Times New Roman" w:hAnsi="Times New Roman" w:cs="Times New Roman"/>
          <w:b/>
          <w:bCs/>
          <w:sz w:val="24"/>
          <w:szCs w:val="24"/>
        </w:rPr>
        <w:br w:type="page"/>
      </w:r>
    </w:p>
    <w:p w14:paraId="20F74AAF" w14:textId="77777777" w:rsidR="0026104D" w:rsidRDefault="0026104D" w:rsidP="00132F3A">
      <w:pPr>
        <w:spacing w:line="360" w:lineRule="auto"/>
        <w:jc w:val="both"/>
        <w:rPr>
          <w:rFonts w:ascii="Times New Roman" w:hAnsi="Times New Roman" w:cs="Times New Roman"/>
          <w:b/>
          <w:bCs/>
          <w:sz w:val="24"/>
          <w:szCs w:val="24"/>
        </w:rPr>
      </w:pPr>
    </w:p>
    <w:p w14:paraId="360FB41F" w14:textId="77777777" w:rsidR="00132F3A" w:rsidRPr="00132F3A" w:rsidRDefault="00132F3A" w:rsidP="00132F3A">
      <w:pPr>
        <w:spacing w:line="360" w:lineRule="auto"/>
        <w:jc w:val="both"/>
        <w:rPr>
          <w:rFonts w:ascii="Times New Roman" w:hAnsi="Times New Roman" w:cs="Times New Roman"/>
          <w:b/>
          <w:bCs/>
          <w:sz w:val="24"/>
          <w:szCs w:val="24"/>
        </w:rPr>
      </w:pPr>
      <w:r w:rsidRPr="00132F3A">
        <w:rPr>
          <w:rFonts w:ascii="Times New Roman" w:hAnsi="Times New Roman" w:cs="Times New Roman"/>
          <w:b/>
          <w:bCs/>
          <w:sz w:val="24"/>
          <w:szCs w:val="24"/>
        </w:rPr>
        <w:t>References</w:t>
      </w:r>
    </w:p>
    <w:p w14:paraId="137DE008" w14:textId="77777777" w:rsidR="00AF07E6"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Black, R. E., Victora, C. G., Walker, S. P., Bhutta, Z. A., Christian, P., de Onis, M., &amp; Ezzati, M. (2017). Maternal and child undernutrition and overweight in low-income and middle-income countries. </w:t>
      </w:r>
      <w:r w:rsidRPr="006614BD">
        <w:rPr>
          <w:rFonts w:ascii="Times New Roman" w:hAnsi="Times New Roman" w:cs="Times New Roman"/>
          <w:bCs/>
          <w:i/>
          <w:iCs/>
          <w:sz w:val="24"/>
          <w:szCs w:val="24"/>
        </w:rPr>
        <w:t>The Lancet, 382</w:t>
      </w:r>
      <w:r w:rsidRPr="006614BD">
        <w:rPr>
          <w:rFonts w:ascii="Times New Roman" w:hAnsi="Times New Roman" w:cs="Times New Roman"/>
          <w:bCs/>
          <w:sz w:val="24"/>
          <w:szCs w:val="24"/>
        </w:rPr>
        <w:t>(9890), 427-451.</w:t>
      </w:r>
    </w:p>
    <w:p w14:paraId="5F08536B" w14:textId="77777777" w:rsidR="00AF07E6" w:rsidRDefault="00AF07E6" w:rsidP="00AF07E6">
      <w:pPr>
        <w:pStyle w:val="NormalWeb"/>
        <w:spacing w:line="360" w:lineRule="auto"/>
        <w:jc w:val="both"/>
      </w:pPr>
      <w:r>
        <w:t xml:space="preserve">Chege, P., </w:t>
      </w:r>
      <w:proofErr w:type="spellStart"/>
      <w:r>
        <w:t>Kimiywe</w:t>
      </w:r>
      <w:proofErr w:type="spellEnd"/>
      <w:r>
        <w:t xml:space="preserve">, J., &amp; Ndungu, Z. (2015). Influence of culture on dietary practices of children under five years among Maasai pastoralists in Kajiado, Kenya. </w:t>
      </w:r>
      <w:r>
        <w:rPr>
          <w:rStyle w:val="Emphasis"/>
        </w:rPr>
        <w:t>International Journal of Behavioral Nutrition and Physical Activity, 12</w:t>
      </w:r>
      <w:r>
        <w:t>(1), 131.</w:t>
      </w:r>
    </w:p>
    <w:p w14:paraId="5D7518C5"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Ezeh, A. C., </w:t>
      </w:r>
      <w:proofErr w:type="spellStart"/>
      <w:r w:rsidRPr="00132F3A">
        <w:rPr>
          <w:rFonts w:ascii="Times New Roman" w:hAnsi="Times New Roman" w:cs="Times New Roman"/>
          <w:bCs/>
          <w:sz w:val="24"/>
          <w:szCs w:val="24"/>
        </w:rPr>
        <w:t>Bongaarts</w:t>
      </w:r>
      <w:proofErr w:type="spellEnd"/>
      <w:r w:rsidRPr="00132F3A">
        <w:rPr>
          <w:rFonts w:ascii="Times New Roman" w:hAnsi="Times New Roman" w:cs="Times New Roman"/>
          <w:bCs/>
          <w:sz w:val="24"/>
          <w:szCs w:val="24"/>
        </w:rPr>
        <w:t xml:space="preserve">, J., &amp; </w:t>
      </w:r>
      <w:proofErr w:type="spellStart"/>
      <w:r w:rsidRPr="00132F3A">
        <w:rPr>
          <w:rFonts w:ascii="Times New Roman" w:hAnsi="Times New Roman" w:cs="Times New Roman"/>
          <w:bCs/>
          <w:sz w:val="24"/>
          <w:szCs w:val="24"/>
        </w:rPr>
        <w:t>Mberu</w:t>
      </w:r>
      <w:proofErr w:type="spellEnd"/>
      <w:r w:rsidRPr="00132F3A">
        <w:rPr>
          <w:rFonts w:ascii="Times New Roman" w:hAnsi="Times New Roman" w:cs="Times New Roman"/>
          <w:bCs/>
          <w:sz w:val="24"/>
          <w:szCs w:val="24"/>
        </w:rPr>
        <w:t xml:space="preserve">, B. (2019). Global population trends and policy options. </w:t>
      </w:r>
      <w:r w:rsidRPr="00132F3A">
        <w:rPr>
          <w:rFonts w:ascii="Times New Roman" w:hAnsi="Times New Roman" w:cs="Times New Roman"/>
          <w:bCs/>
          <w:i/>
          <w:iCs/>
          <w:sz w:val="24"/>
          <w:szCs w:val="24"/>
        </w:rPr>
        <w:t>The Lancet</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395</w:t>
      </w:r>
      <w:r w:rsidRPr="00132F3A">
        <w:rPr>
          <w:rFonts w:ascii="Times New Roman" w:hAnsi="Times New Roman" w:cs="Times New Roman"/>
          <w:bCs/>
          <w:sz w:val="24"/>
          <w:szCs w:val="24"/>
        </w:rPr>
        <w:t>(10226), 761-773.</w:t>
      </w:r>
    </w:p>
    <w:p w14:paraId="704422CB"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FAO (2013). The state of food and agriculture. Food and Agriculture Organization of the United Nations.</w:t>
      </w:r>
    </w:p>
    <w:p w14:paraId="00F7AECD"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FAO. (2019). </w:t>
      </w:r>
      <w:r w:rsidRPr="00132F3A">
        <w:rPr>
          <w:rFonts w:ascii="Times New Roman" w:hAnsi="Times New Roman" w:cs="Times New Roman"/>
          <w:bCs/>
          <w:i/>
          <w:iCs/>
          <w:sz w:val="24"/>
          <w:szCs w:val="24"/>
        </w:rPr>
        <w:t>The state of food security and nutrition in the world 2019: Safeguarding against economic slowdowns and downturns.</w:t>
      </w:r>
      <w:r w:rsidRPr="00132F3A">
        <w:rPr>
          <w:rFonts w:ascii="Times New Roman" w:hAnsi="Times New Roman" w:cs="Times New Roman"/>
          <w:bCs/>
          <w:sz w:val="24"/>
          <w:szCs w:val="24"/>
        </w:rPr>
        <w:t xml:space="preserve"> Food and Agriculture Organization.</w:t>
      </w:r>
    </w:p>
    <w:p w14:paraId="38F99510" w14:textId="77777777" w:rsidR="00AF07E6"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Government of Kenya (GoK) (2018). Kenya National Nutrition Action Plan 2018-2022. Ministry of Health.</w:t>
      </w:r>
    </w:p>
    <w:p w14:paraId="59D84F31"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Kamau, N. W., </w:t>
      </w:r>
      <w:proofErr w:type="spellStart"/>
      <w:r w:rsidRPr="00132F3A">
        <w:rPr>
          <w:rFonts w:ascii="Times New Roman" w:hAnsi="Times New Roman" w:cs="Times New Roman"/>
          <w:bCs/>
          <w:sz w:val="24"/>
          <w:szCs w:val="24"/>
        </w:rPr>
        <w:t>Kinyuru</w:t>
      </w:r>
      <w:proofErr w:type="spellEnd"/>
      <w:r w:rsidRPr="00132F3A">
        <w:rPr>
          <w:rFonts w:ascii="Times New Roman" w:hAnsi="Times New Roman" w:cs="Times New Roman"/>
          <w:bCs/>
          <w:sz w:val="24"/>
          <w:szCs w:val="24"/>
        </w:rPr>
        <w:t xml:space="preserve">, J. N., &amp; Mukundi, M. J. (2022). Urbanization and dietary habits: The rise of convenience foods among working-class mothers. </w:t>
      </w:r>
      <w:r w:rsidRPr="00132F3A">
        <w:rPr>
          <w:rFonts w:ascii="Times New Roman" w:hAnsi="Times New Roman" w:cs="Times New Roman"/>
          <w:bCs/>
          <w:i/>
          <w:iCs/>
          <w:sz w:val="24"/>
          <w:szCs w:val="24"/>
        </w:rPr>
        <w:t>African Journal of Food, Agriculture, Nutrition and Development</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22</w:t>
      </w:r>
      <w:r w:rsidRPr="00132F3A">
        <w:rPr>
          <w:rFonts w:ascii="Times New Roman" w:hAnsi="Times New Roman" w:cs="Times New Roman"/>
          <w:bCs/>
          <w:sz w:val="24"/>
          <w:szCs w:val="24"/>
        </w:rPr>
        <w:t>(1), 56-72.</w:t>
      </w:r>
    </w:p>
    <w:p w14:paraId="5A6301EF" w14:textId="77777777" w:rsidR="00AF07E6" w:rsidRPr="00A853B9" w:rsidRDefault="00AF07E6" w:rsidP="00AF07E6">
      <w:pPr>
        <w:spacing w:line="360" w:lineRule="auto"/>
        <w:jc w:val="both"/>
        <w:rPr>
          <w:rFonts w:ascii="Times New Roman" w:hAnsi="Times New Roman" w:cs="Times New Roman"/>
          <w:bCs/>
          <w:sz w:val="24"/>
          <w:szCs w:val="24"/>
        </w:rPr>
      </w:pPr>
      <w:r w:rsidRPr="00A853B9">
        <w:rPr>
          <w:rFonts w:ascii="Times New Roman" w:hAnsi="Times New Roman" w:cs="Times New Roman"/>
          <w:bCs/>
          <w:sz w:val="24"/>
          <w:szCs w:val="24"/>
        </w:rPr>
        <w:t xml:space="preserve">Kemboi, R. J., Chepkorir, R., &amp; Korir, L. (2021). Food security and nutrition challenges in arid and semi-arid lands of Kenya. </w:t>
      </w:r>
      <w:r w:rsidRPr="00A853B9">
        <w:rPr>
          <w:rFonts w:ascii="Times New Roman" w:hAnsi="Times New Roman" w:cs="Times New Roman"/>
          <w:bCs/>
          <w:i/>
          <w:iCs/>
          <w:sz w:val="24"/>
          <w:szCs w:val="24"/>
        </w:rPr>
        <w:t>African Journal of Food, Agriculture, Nutrition, and Development, 21</w:t>
      </w:r>
      <w:r w:rsidRPr="00A853B9">
        <w:rPr>
          <w:rFonts w:ascii="Times New Roman" w:hAnsi="Times New Roman" w:cs="Times New Roman"/>
          <w:bCs/>
          <w:sz w:val="24"/>
          <w:szCs w:val="24"/>
        </w:rPr>
        <w:t>(2), 16876-16892.</w:t>
      </w:r>
    </w:p>
    <w:p w14:paraId="234E26B0"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Kimani-Murage, E. W., Schofield, L., </w:t>
      </w:r>
      <w:proofErr w:type="spellStart"/>
      <w:r w:rsidRPr="00132F3A">
        <w:rPr>
          <w:rFonts w:ascii="Times New Roman" w:hAnsi="Times New Roman" w:cs="Times New Roman"/>
          <w:bCs/>
          <w:sz w:val="24"/>
          <w:szCs w:val="24"/>
        </w:rPr>
        <w:t>Wekesah</w:t>
      </w:r>
      <w:proofErr w:type="spellEnd"/>
      <w:r w:rsidRPr="00132F3A">
        <w:rPr>
          <w:rFonts w:ascii="Times New Roman" w:hAnsi="Times New Roman" w:cs="Times New Roman"/>
          <w:bCs/>
          <w:sz w:val="24"/>
          <w:szCs w:val="24"/>
        </w:rPr>
        <w:t xml:space="preserve">, F., Mohamed, S., </w:t>
      </w:r>
      <w:proofErr w:type="spellStart"/>
      <w:r w:rsidRPr="00132F3A">
        <w:rPr>
          <w:rFonts w:ascii="Times New Roman" w:hAnsi="Times New Roman" w:cs="Times New Roman"/>
          <w:bCs/>
          <w:sz w:val="24"/>
          <w:szCs w:val="24"/>
        </w:rPr>
        <w:t>Mberu</w:t>
      </w:r>
      <w:proofErr w:type="spellEnd"/>
      <w:r w:rsidRPr="00132F3A">
        <w:rPr>
          <w:rFonts w:ascii="Times New Roman" w:hAnsi="Times New Roman" w:cs="Times New Roman"/>
          <w:bCs/>
          <w:sz w:val="24"/>
          <w:szCs w:val="24"/>
        </w:rPr>
        <w:t xml:space="preserve">, B., &amp; Ezeh, A. (2015). Vulnerability to food insecurity in urban slums: Experiences from Nairobi, Kenya. </w:t>
      </w:r>
      <w:r w:rsidRPr="00132F3A">
        <w:rPr>
          <w:rFonts w:ascii="Times New Roman" w:hAnsi="Times New Roman" w:cs="Times New Roman"/>
          <w:bCs/>
          <w:i/>
          <w:iCs/>
          <w:sz w:val="24"/>
          <w:szCs w:val="24"/>
        </w:rPr>
        <w:t>Journal of Urban Health</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92</w:t>
      </w:r>
      <w:r w:rsidRPr="00132F3A">
        <w:rPr>
          <w:rFonts w:ascii="Times New Roman" w:hAnsi="Times New Roman" w:cs="Times New Roman"/>
          <w:bCs/>
          <w:sz w:val="24"/>
          <w:szCs w:val="24"/>
        </w:rPr>
        <w:t>(5), 1-15.</w:t>
      </w:r>
    </w:p>
    <w:p w14:paraId="082EE0E4"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lastRenderedPageBreak/>
        <w:t xml:space="preserve">Kimani-Murage, E. W., Schofield, L., </w:t>
      </w:r>
      <w:proofErr w:type="spellStart"/>
      <w:r w:rsidRPr="006614BD">
        <w:rPr>
          <w:rFonts w:ascii="Times New Roman" w:hAnsi="Times New Roman" w:cs="Times New Roman"/>
          <w:bCs/>
          <w:sz w:val="24"/>
          <w:szCs w:val="24"/>
        </w:rPr>
        <w:t>Wekesah</w:t>
      </w:r>
      <w:proofErr w:type="spellEnd"/>
      <w:r w:rsidRPr="006614BD">
        <w:rPr>
          <w:rFonts w:ascii="Times New Roman" w:hAnsi="Times New Roman" w:cs="Times New Roman"/>
          <w:bCs/>
          <w:sz w:val="24"/>
          <w:szCs w:val="24"/>
        </w:rPr>
        <w:t xml:space="preserve">, F., Mohamed, S., </w:t>
      </w:r>
      <w:proofErr w:type="spellStart"/>
      <w:r w:rsidRPr="006614BD">
        <w:rPr>
          <w:rFonts w:ascii="Times New Roman" w:hAnsi="Times New Roman" w:cs="Times New Roman"/>
          <w:bCs/>
          <w:sz w:val="24"/>
          <w:szCs w:val="24"/>
        </w:rPr>
        <w:t>Mberu</w:t>
      </w:r>
      <w:proofErr w:type="spellEnd"/>
      <w:r w:rsidRPr="006614BD">
        <w:rPr>
          <w:rFonts w:ascii="Times New Roman" w:hAnsi="Times New Roman" w:cs="Times New Roman"/>
          <w:bCs/>
          <w:sz w:val="24"/>
          <w:szCs w:val="24"/>
        </w:rPr>
        <w:t xml:space="preserve">, B., </w:t>
      </w:r>
      <w:proofErr w:type="spellStart"/>
      <w:r w:rsidRPr="006614BD">
        <w:rPr>
          <w:rFonts w:ascii="Times New Roman" w:hAnsi="Times New Roman" w:cs="Times New Roman"/>
          <w:bCs/>
          <w:sz w:val="24"/>
          <w:szCs w:val="24"/>
        </w:rPr>
        <w:t>Ettarh</w:t>
      </w:r>
      <w:proofErr w:type="spellEnd"/>
      <w:r w:rsidRPr="006614BD">
        <w:rPr>
          <w:rFonts w:ascii="Times New Roman" w:hAnsi="Times New Roman" w:cs="Times New Roman"/>
          <w:bCs/>
          <w:sz w:val="24"/>
          <w:szCs w:val="24"/>
        </w:rPr>
        <w:t xml:space="preserve">, R., &amp; Egondi, T. (2015). Vulnerability to food insecurity in urban slums: Experiences from Nairobi, Kenya. </w:t>
      </w:r>
      <w:r w:rsidRPr="006614BD">
        <w:rPr>
          <w:rFonts w:ascii="Times New Roman" w:hAnsi="Times New Roman" w:cs="Times New Roman"/>
          <w:bCs/>
          <w:i/>
          <w:iCs/>
          <w:sz w:val="24"/>
          <w:szCs w:val="24"/>
        </w:rPr>
        <w:t>Journal of Urban Health, 92</w:t>
      </w:r>
      <w:r w:rsidRPr="006614BD">
        <w:rPr>
          <w:rFonts w:ascii="Times New Roman" w:hAnsi="Times New Roman" w:cs="Times New Roman"/>
          <w:bCs/>
          <w:sz w:val="24"/>
          <w:szCs w:val="24"/>
        </w:rPr>
        <w:t>(5), 815-826.</w:t>
      </w:r>
    </w:p>
    <w:p w14:paraId="09765217"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KNBS (2022). Kenya Demographic and Health Survey 2022. Kenya National Bureau of Statistics.</w:t>
      </w:r>
    </w:p>
    <w:p w14:paraId="1B37E5DE"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Mberu, B. U., &amp; Ezeh, A. C. (2017). The influence of early marriage on women’s educational attainment and income levels in Kenya. </w:t>
      </w:r>
      <w:r w:rsidRPr="00132F3A">
        <w:rPr>
          <w:rFonts w:ascii="Times New Roman" w:hAnsi="Times New Roman" w:cs="Times New Roman"/>
          <w:bCs/>
          <w:i/>
          <w:iCs/>
          <w:sz w:val="24"/>
          <w:szCs w:val="24"/>
        </w:rPr>
        <w:t>Population Studies</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71</w:t>
      </w:r>
      <w:r w:rsidRPr="00132F3A">
        <w:rPr>
          <w:rFonts w:ascii="Times New Roman" w:hAnsi="Times New Roman" w:cs="Times New Roman"/>
          <w:bCs/>
          <w:sz w:val="24"/>
          <w:szCs w:val="24"/>
        </w:rPr>
        <w:t>(3), 341-356.</w:t>
      </w:r>
    </w:p>
    <w:p w14:paraId="4A7A4140" w14:textId="77777777" w:rsidR="00AF07E6" w:rsidRPr="00132F3A" w:rsidRDefault="00AF07E6" w:rsidP="00AF07E6">
      <w:pPr>
        <w:spacing w:line="360" w:lineRule="auto"/>
        <w:jc w:val="both"/>
        <w:rPr>
          <w:rFonts w:ascii="Times New Roman" w:hAnsi="Times New Roman" w:cs="Times New Roman"/>
          <w:bCs/>
          <w:sz w:val="24"/>
          <w:szCs w:val="24"/>
        </w:rPr>
      </w:pPr>
      <w:proofErr w:type="spellStart"/>
      <w:r w:rsidRPr="00132F3A">
        <w:rPr>
          <w:rFonts w:ascii="Times New Roman" w:hAnsi="Times New Roman" w:cs="Times New Roman"/>
          <w:bCs/>
          <w:sz w:val="24"/>
          <w:szCs w:val="24"/>
        </w:rPr>
        <w:t>Mboganie</w:t>
      </w:r>
      <w:proofErr w:type="spellEnd"/>
      <w:r w:rsidRPr="00132F3A">
        <w:rPr>
          <w:rFonts w:ascii="Times New Roman" w:hAnsi="Times New Roman" w:cs="Times New Roman"/>
          <w:bCs/>
          <w:sz w:val="24"/>
          <w:szCs w:val="24"/>
        </w:rPr>
        <w:t xml:space="preserve">, G. M., Wambui, L. J., &amp; Mutegi, K. (2018). Male involvement in nutrition programs: An overlooked strategy for improving household nutrition. </w:t>
      </w:r>
      <w:r w:rsidRPr="00132F3A">
        <w:rPr>
          <w:rFonts w:ascii="Times New Roman" w:hAnsi="Times New Roman" w:cs="Times New Roman"/>
          <w:bCs/>
          <w:i/>
          <w:iCs/>
          <w:sz w:val="24"/>
          <w:szCs w:val="24"/>
        </w:rPr>
        <w:t>Journal of Public Health in Africa</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9</w:t>
      </w:r>
      <w:r w:rsidRPr="00132F3A">
        <w:rPr>
          <w:rFonts w:ascii="Times New Roman" w:hAnsi="Times New Roman" w:cs="Times New Roman"/>
          <w:bCs/>
          <w:sz w:val="24"/>
          <w:szCs w:val="24"/>
        </w:rPr>
        <w:t>(1), 112-120.</w:t>
      </w:r>
    </w:p>
    <w:p w14:paraId="4F2618A7"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Mutisya, M., Ngware, M. W., Kabiru, C. W., &amp; Kandala, N. B. (2018). Household and school factors associated with parental aspirations for children’s education in sub-Saharan Africa. </w:t>
      </w:r>
      <w:r w:rsidRPr="00132F3A">
        <w:rPr>
          <w:rFonts w:ascii="Times New Roman" w:hAnsi="Times New Roman" w:cs="Times New Roman"/>
          <w:bCs/>
          <w:i/>
          <w:iCs/>
          <w:sz w:val="24"/>
          <w:szCs w:val="24"/>
        </w:rPr>
        <w:t>International Journal of Educational Development</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58</w:t>
      </w:r>
      <w:r w:rsidRPr="00132F3A">
        <w:rPr>
          <w:rFonts w:ascii="Times New Roman" w:hAnsi="Times New Roman" w:cs="Times New Roman"/>
          <w:bCs/>
          <w:sz w:val="24"/>
          <w:szCs w:val="24"/>
        </w:rPr>
        <w:t>, 87-97.</w:t>
      </w:r>
    </w:p>
    <w:p w14:paraId="038CA7CC"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Ngugi, R. K., </w:t>
      </w:r>
      <w:proofErr w:type="spellStart"/>
      <w:r w:rsidRPr="00132F3A">
        <w:rPr>
          <w:rFonts w:ascii="Times New Roman" w:hAnsi="Times New Roman" w:cs="Times New Roman"/>
          <w:bCs/>
          <w:sz w:val="24"/>
          <w:szCs w:val="24"/>
        </w:rPr>
        <w:t>Muthaka</w:t>
      </w:r>
      <w:proofErr w:type="spellEnd"/>
      <w:r w:rsidRPr="00132F3A">
        <w:rPr>
          <w:rFonts w:ascii="Times New Roman" w:hAnsi="Times New Roman" w:cs="Times New Roman"/>
          <w:bCs/>
          <w:sz w:val="24"/>
          <w:szCs w:val="24"/>
        </w:rPr>
        <w:t xml:space="preserve">, D. I., &amp; Njeru, E. H. (2021). Market access and food diversity in Kenya’s urban and rural households. </w:t>
      </w:r>
      <w:r w:rsidRPr="00132F3A">
        <w:rPr>
          <w:rFonts w:ascii="Times New Roman" w:hAnsi="Times New Roman" w:cs="Times New Roman"/>
          <w:bCs/>
          <w:i/>
          <w:iCs/>
          <w:sz w:val="24"/>
          <w:szCs w:val="24"/>
        </w:rPr>
        <w:t>Development Policy Review</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39</w:t>
      </w:r>
      <w:r w:rsidRPr="00132F3A">
        <w:rPr>
          <w:rFonts w:ascii="Times New Roman" w:hAnsi="Times New Roman" w:cs="Times New Roman"/>
          <w:bCs/>
          <w:sz w:val="24"/>
          <w:szCs w:val="24"/>
        </w:rPr>
        <w:t>(4), 523-541.</w:t>
      </w:r>
    </w:p>
    <w:p w14:paraId="460DEA84"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Njarui, D. M. G., </w:t>
      </w:r>
      <w:proofErr w:type="spellStart"/>
      <w:r w:rsidRPr="006614BD">
        <w:rPr>
          <w:rFonts w:ascii="Times New Roman" w:hAnsi="Times New Roman" w:cs="Times New Roman"/>
          <w:bCs/>
          <w:sz w:val="24"/>
          <w:szCs w:val="24"/>
        </w:rPr>
        <w:t>Gichangi</w:t>
      </w:r>
      <w:proofErr w:type="spellEnd"/>
      <w:r w:rsidRPr="006614BD">
        <w:rPr>
          <w:rFonts w:ascii="Times New Roman" w:hAnsi="Times New Roman" w:cs="Times New Roman"/>
          <w:bCs/>
          <w:sz w:val="24"/>
          <w:szCs w:val="24"/>
        </w:rPr>
        <w:t xml:space="preserve">, E. M., </w:t>
      </w:r>
      <w:proofErr w:type="spellStart"/>
      <w:r w:rsidRPr="006614BD">
        <w:rPr>
          <w:rFonts w:ascii="Times New Roman" w:hAnsi="Times New Roman" w:cs="Times New Roman"/>
          <w:bCs/>
          <w:sz w:val="24"/>
          <w:szCs w:val="24"/>
        </w:rPr>
        <w:t>Gatheru</w:t>
      </w:r>
      <w:proofErr w:type="spellEnd"/>
      <w:r w:rsidRPr="006614BD">
        <w:rPr>
          <w:rFonts w:ascii="Times New Roman" w:hAnsi="Times New Roman" w:cs="Times New Roman"/>
          <w:bCs/>
          <w:sz w:val="24"/>
          <w:szCs w:val="24"/>
        </w:rPr>
        <w:t xml:space="preserve">, M., </w:t>
      </w:r>
      <w:proofErr w:type="spellStart"/>
      <w:r w:rsidRPr="006614BD">
        <w:rPr>
          <w:rFonts w:ascii="Times New Roman" w:hAnsi="Times New Roman" w:cs="Times New Roman"/>
          <w:bCs/>
          <w:sz w:val="24"/>
          <w:szCs w:val="24"/>
        </w:rPr>
        <w:t>Nyambati</w:t>
      </w:r>
      <w:proofErr w:type="spellEnd"/>
      <w:r w:rsidRPr="006614BD">
        <w:rPr>
          <w:rFonts w:ascii="Times New Roman" w:hAnsi="Times New Roman" w:cs="Times New Roman"/>
          <w:bCs/>
          <w:sz w:val="24"/>
          <w:szCs w:val="24"/>
        </w:rPr>
        <w:t xml:space="preserve">, E. M., </w:t>
      </w:r>
      <w:proofErr w:type="spellStart"/>
      <w:r w:rsidRPr="006614BD">
        <w:rPr>
          <w:rFonts w:ascii="Times New Roman" w:hAnsi="Times New Roman" w:cs="Times New Roman"/>
          <w:bCs/>
          <w:sz w:val="24"/>
          <w:szCs w:val="24"/>
        </w:rPr>
        <w:t>Ondiko</w:t>
      </w:r>
      <w:proofErr w:type="spellEnd"/>
      <w:r w:rsidRPr="006614BD">
        <w:rPr>
          <w:rFonts w:ascii="Times New Roman" w:hAnsi="Times New Roman" w:cs="Times New Roman"/>
          <w:bCs/>
          <w:sz w:val="24"/>
          <w:szCs w:val="24"/>
        </w:rPr>
        <w:t xml:space="preserve">, C. N., &amp; </w:t>
      </w:r>
      <w:proofErr w:type="spellStart"/>
      <w:r w:rsidRPr="006614BD">
        <w:rPr>
          <w:rFonts w:ascii="Times New Roman" w:hAnsi="Times New Roman" w:cs="Times New Roman"/>
          <w:bCs/>
          <w:sz w:val="24"/>
          <w:szCs w:val="24"/>
        </w:rPr>
        <w:t>Njunie</w:t>
      </w:r>
      <w:proofErr w:type="spellEnd"/>
      <w:r w:rsidRPr="006614BD">
        <w:rPr>
          <w:rFonts w:ascii="Times New Roman" w:hAnsi="Times New Roman" w:cs="Times New Roman"/>
          <w:bCs/>
          <w:sz w:val="24"/>
          <w:szCs w:val="24"/>
        </w:rPr>
        <w:t>, M. N. (2016). A comparative analysis of livestock production in smallholder mixed crop-livestock systems in Kenya: Livestock Research for Rural Development, 28(4).</w:t>
      </w:r>
    </w:p>
    <w:p w14:paraId="1EEAA6A4" w14:textId="77777777" w:rsidR="00AF07E6" w:rsidRPr="00132F3A" w:rsidRDefault="00AF07E6" w:rsidP="00AF07E6">
      <w:pPr>
        <w:spacing w:line="360" w:lineRule="auto"/>
        <w:jc w:val="both"/>
        <w:rPr>
          <w:rFonts w:ascii="Times New Roman" w:hAnsi="Times New Roman" w:cs="Times New Roman"/>
          <w:bCs/>
          <w:sz w:val="24"/>
          <w:szCs w:val="24"/>
        </w:rPr>
      </w:pPr>
      <w:proofErr w:type="spellStart"/>
      <w:r w:rsidRPr="00132F3A">
        <w:rPr>
          <w:rFonts w:ascii="Times New Roman" w:hAnsi="Times New Roman" w:cs="Times New Roman"/>
          <w:bCs/>
          <w:sz w:val="24"/>
          <w:szCs w:val="24"/>
        </w:rPr>
        <w:t>Oiye</w:t>
      </w:r>
      <w:proofErr w:type="spellEnd"/>
      <w:r w:rsidRPr="00132F3A">
        <w:rPr>
          <w:rFonts w:ascii="Times New Roman" w:hAnsi="Times New Roman" w:cs="Times New Roman"/>
          <w:bCs/>
          <w:sz w:val="24"/>
          <w:szCs w:val="24"/>
        </w:rPr>
        <w:t xml:space="preserve">, S., </w:t>
      </w:r>
      <w:proofErr w:type="spellStart"/>
      <w:r w:rsidRPr="00132F3A">
        <w:rPr>
          <w:rFonts w:ascii="Times New Roman" w:hAnsi="Times New Roman" w:cs="Times New Roman"/>
          <w:bCs/>
          <w:sz w:val="24"/>
          <w:szCs w:val="24"/>
        </w:rPr>
        <w:t>Shiundu</w:t>
      </w:r>
      <w:proofErr w:type="spellEnd"/>
      <w:r w:rsidRPr="00132F3A">
        <w:rPr>
          <w:rFonts w:ascii="Times New Roman" w:hAnsi="Times New Roman" w:cs="Times New Roman"/>
          <w:bCs/>
          <w:sz w:val="24"/>
          <w:szCs w:val="24"/>
        </w:rPr>
        <w:t xml:space="preserve">, F., &amp; Obiero, J. (2020). Traditional beliefs and dietary choices in indigenous communities: A case study of the Maasai. </w:t>
      </w:r>
      <w:r w:rsidRPr="00132F3A">
        <w:rPr>
          <w:rFonts w:ascii="Times New Roman" w:hAnsi="Times New Roman" w:cs="Times New Roman"/>
          <w:bCs/>
          <w:i/>
          <w:iCs/>
          <w:sz w:val="24"/>
          <w:szCs w:val="24"/>
        </w:rPr>
        <w:t>African Journal of Indigenous Knowledge Systems</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19</w:t>
      </w:r>
      <w:r w:rsidRPr="00132F3A">
        <w:rPr>
          <w:rFonts w:ascii="Times New Roman" w:hAnsi="Times New Roman" w:cs="Times New Roman"/>
          <w:bCs/>
          <w:sz w:val="24"/>
          <w:szCs w:val="24"/>
        </w:rPr>
        <w:t>(2), 89-104.</w:t>
      </w:r>
    </w:p>
    <w:p w14:paraId="2B07AF81"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UNICEF (2021). The state of the world’s children 2021. United Nations Children's Fund.</w:t>
      </w:r>
    </w:p>
    <w:p w14:paraId="60E4BE1B"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WFP (2019). The state of food security and nutrition in the world. World Food Programme.</w:t>
      </w:r>
    </w:p>
    <w:p w14:paraId="425DEE45"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WHO (2020). Guidelines on healthy eating for infants and young children. World Health Organization.</w:t>
      </w:r>
    </w:p>
    <w:p w14:paraId="288AAC74"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World Bank. (2020). </w:t>
      </w:r>
      <w:r w:rsidRPr="00132F3A">
        <w:rPr>
          <w:rFonts w:ascii="Times New Roman" w:hAnsi="Times New Roman" w:cs="Times New Roman"/>
          <w:bCs/>
          <w:i/>
          <w:iCs/>
          <w:sz w:val="24"/>
          <w:szCs w:val="24"/>
        </w:rPr>
        <w:t>Kenya Economic Update: Education and economic development in Kenya.</w:t>
      </w:r>
      <w:r w:rsidRPr="00132F3A">
        <w:rPr>
          <w:rFonts w:ascii="Times New Roman" w:hAnsi="Times New Roman" w:cs="Times New Roman"/>
          <w:bCs/>
          <w:sz w:val="24"/>
          <w:szCs w:val="24"/>
        </w:rPr>
        <w:t xml:space="preserve"> World Bank Publications.</w:t>
      </w:r>
    </w:p>
    <w:sectPr w:rsidR="00AF07E6" w:rsidRPr="00132F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6066F" w14:textId="77777777" w:rsidR="00C3258C" w:rsidRDefault="00C3258C" w:rsidP="00EE64E1">
      <w:pPr>
        <w:spacing w:after="0" w:line="240" w:lineRule="auto"/>
      </w:pPr>
      <w:r>
        <w:separator/>
      </w:r>
    </w:p>
  </w:endnote>
  <w:endnote w:type="continuationSeparator" w:id="0">
    <w:p w14:paraId="505E35D6" w14:textId="77777777" w:rsidR="00C3258C" w:rsidRDefault="00C3258C" w:rsidP="00EE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68562"/>
      <w:docPartObj>
        <w:docPartGallery w:val="Page Numbers (Bottom of Page)"/>
        <w:docPartUnique/>
      </w:docPartObj>
    </w:sdtPr>
    <w:sdtEndPr>
      <w:rPr>
        <w:noProof/>
      </w:rPr>
    </w:sdtEndPr>
    <w:sdtContent>
      <w:p w14:paraId="35D72B9E" w14:textId="52F3EFBF" w:rsidR="00EE64E1" w:rsidRDefault="00EE64E1">
        <w:pPr>
          <w:pStyle w:val="Footer"/>
          <w:jc w:val="center"/>
        </w:pPr>
        <w:r>
          <w:fldChar w:fldCharType="begin"/>
        </w:r>
        <w:r>
          <w:instrText xml:space="preserve"> PAGE   \* MERGEFORMAT </w:instrText>
        </w:r>
        <w:r>
          <w:fldChar w:fldCharType="separate"/>
        </w:r>
        <w:r w:rsidR="009375C2">
          <w:rPr>
            <w:noProof/>
          </w:rPr>
          <w:t>1</w:t>
        </w:r>
        <w:r>
          <w:rPr>
            <w:noProof/>
          </w:rPr>
          <w:fldChar w:fldCharType="end"/>
        </w:r>
      </w:p>
    </w:sdtContent>
  </w:sdt>
  <w:p w14:paraId="454BEB43" w14:textId="77777777" w:rsidR="00EE64E1" w:rsidRDefault="00EE6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3FF42" w14:textId="77777777" w:rsidR="00C3258C" w:rsidRDefault="00C3258C" w:rsidP="00EE64E1">
      <w:pPr>
        <w:spacing w:after="0" w:line="240" w:lineRule="auto"/>
      </w:pPr>
      <w:r>
        <w:separator/>
      </w:r>
    </w:p>
  </w:footnote>
  <w:footnote w:type="continuationSeparator" w:id="0">
    <w:p w14:paraId="3A7B98CF" w14:textId="77777777" w:rsidR="00C3258C" w:rsidRDefault="00C3258C" w:rsidP="00EE6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60E"/>
    <w:multiLevelType w:val="multilevel"/>
    <w:tmpl w:val="8DC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610E2"/>
    <w:multiLevelType w:val="hybridMultilevel"/>
    <w:tmpl w:val="500664DE"/>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5F74CE5"/>
    <w:multiLevelType w:val="hybridMultilevel"/>
    <w:tmpl w:val="D934256E"/>
    <w:lvl w:ilvl="0" w:tplc="08090015">
      <w:start w:val="1"/>
      <w:numFmt w:val="upperLetter"/>
      <w:lvlText w:val="%1."/>
      <w:lvlJc w:val="left"/>
      <w:pPr>
        <w:ind w:left="5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2AB4FF2"/>
    <w:multiLevelType w:val="multilevel"/>
    <w:tmpl w:val="5DDC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118CF"/>
    <w:multiLevelType w:val="multilevel"/>
    <w:tmpl w:val="082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8A651D"/>
    <w:multiLevelType w:val="multilevel"/>
    <w:tmpl w:val="8BE6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SwMDUxNDI3MjMzNDdX0lEKTi0uzszPAykwrAUALOpfISwAAAA="/>
  </w:docVars>
  <w:rsids>
    <w:rsidRoot w:val="00C070AB"/>
    <w:rsid w:val="00054F09"/>
    <w:rsid w:val="00132F3A"/>
    <w:rsid w:val="00167AE2"/>
    <w:rsid w:val="00195D25"/>
    <w:rsid w:val="00203B57"/>
    <w:rsid w:val="00233405"/>
    <w:rsid w:val="0026104D"/>
    <w:rsid w:val="003928FE"/>
    <w:rsid w:val="003F0EFD"/>
    <w:rsid w:val="004308A1"/>
    <w:rsid w:val="00440C62"/>
    <w:rsid w:val="00446078"/>
    <w:rsid w:val="00483A8E"/>
    <w:rsid w:val="004B6F20"/>
    <w:rsid w:val="005118B3"/>
    <w:rsid w:val="00525E1E"/>
    <w:rsid w:val="00535577"/>
    <w:rsid w:val="00567AB5"/>
    <w:rsid w:val="005B3873"/>
    <w:rsid w:val="005C7820"/>
    <w:rsid w:val="006614BD"/>
    <w:rsid w:val="00674428"/>
    <w:rsid w:val="006852C1"/>
    <w:rsid w:val="006B09CF"/>
    <w:rsid w:val="006E788E"/>
    <w:rsid w:val="007667A8"/>
    <w:rsid w:val="00805E97"/>
    <w:rsid w:val="008A2CEF"/>
    <w:rsid w:val="00911F86"/>
    <w:rsid w:val="009375C2"/>
    <w:rsid w:val="00953911"/>
    <w:rsid w:val="00A47E75"/>
    <w:rsid w:val="00A853B9"/>
    <w:rsid w:val="00AB79D3"/>
    <w:rsid w:val="00AD0648"/>
    <w:rsid w:val="00AD1D8D"/>
    <w:rsid w:val="00AF07E6"/>
    <w:rsid w:val="00B34378"/>
    <w:rsid w:val="00B815C2"/>
    <w:rsid w:val="00C070AB"/>
    <w:rsid w:val="00C147B3"/>
    <w:rsid w:val="00C3258C"/>
    <w:rsid w:val="00CE0111"/>
    <w:rsid w:val="00D16512"/>
    <w:rsid w:val="00D43938"/>
    <w:rsid w:val="00D70A21"/>
    <w:rsid w:val="00D82A88"/>
    <w:rsid w:val="00DB0DD7"/>
    <w:rsid w:val="00E04C99"/>
    <w:rsid w:val="00E149D1"/>
    <w:rsid w:val="00E16C70"/>
    <w:rsid w:val="00E34139"/>
    <w:rsid w:val="00E53DFD"/>
    <w:rsid w:val="00E83A2B"/>
    <w:rsid w:val="00EE64E1"/>
    <w:rsid w:val="00F25D0D"/>
    <w:rsid w:val="00FD4356"/>
    <w:rsid w:val="00FF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9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49D1"/>
    <w:rPr>
      <w:i/>
      <w:iCs/>
    </w:rPr>
  </w:style>
  <w:style w:type="character" w:styleId="Hyperlink">
    <w:name w:val="Hyperlink"/>
    <w:basedOn w:val="DefaultParagraphFont"/>
    <w:uiPriority w:val="99"/>
    <w:unhideWhenUsed/>
    <w:rsid w:val="00D70A21"/>
    <w:rPr>
      <w:color w:val="0563C1" w:themeColor="hyperlink"/>
      <w:u w:val="single"/>
    </w:rPr>
  </w:style>
  <w:style w:type="paragraph" w:styleId="NoSpacing">
    <w:name w:val="No Spacing"/>
    <w:uiPriority w:val="1"/>
    <w:qFormat/>
    <w:rsid w:val="00EE64E1"/>
    <w:pPr>
      <w:spacing w:after="0" w:line="240" w:lineRule="auto"/>
    </w:pPr>
  </w:style>
  <w:style w:type="paragraph" w:styleId="Header">
    <w:name w:val="header"/>
    <w:basedOn w:val="Normal"/>
    <w:link w:val="HeaderChar"/>
    <w:uiPriority w:val="99"/>
    <w:unhideWhenUsed/>
    <w:rsid w:val="00EE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E1"/>
  </w:style>
  <w:style w:type="paragraph" w:styleId="Footer">
    <w:name w:val="footer"/>
    <w:basedOn w:val="Normal"/>
    <w:link w:val="FooterChar"/>
    <w:uiPriority w:val="99"/>
    <w:unhideWhenUsed/>
    <w:rsid w:val="00EE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E1"/>
  </w:style>
  <w:style w:type="character" w:customStyle="1" w:styleId="UnresolvedMention">
    <w:name w:val="Unresolved Mention"/>
    <w:basedOn w:val="DefaultParagraphFont"/>
    <w:uiPriority w:val="99"/>
    <w:semiHidden/>
    <w:unhideWhenUsed/>
    <w:rsid w:val="00E04C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9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49D1"/>
    <w:rPr>
      <w:i/>
      <w:iCs/>
    </w:rPr>
  </w:style>
  <w:style w:type="character" w:styleId="Hyperlink">
    <w:name w:val="Hyperlink"/>
    <w:basedOn w:val="DefaultParagraphFont"/>
    <w:uiPriority w:val="99"/>
    <w:unhideWhenUsed/>
    <w:rsid w:val="00D70A21"/>
    <w:rPr>
      <w:color w:val="0563C1" w:themeColor="hyperlink"/>
      <w:u w:val="single"/>
    </w:rPr>
  </w:style>
  <w:style w:type="paragraph" w:styleId="NoSpacing">
    <w:name w:val="No Spacing"/>
    <w:uiPriority w:val="1"/>
    <w:qFormat/>
    <w:rsid w:val="00EE64E1"/>
    <w:pPr>
      <w:spacing w:after="0" w:line="240" w:lineRule="auto"/>
    </w:pPr>
  </w:style>
  <w:style w:type="paragraph" w:styleId="Header">
    <w:name w:val="header"/>
    <w:basedOn w:val="Normal"/>
    <w:link w:val="HeaderChar"/>
    <w:uiPriority w:val="99"/>
    <w:unhideWhenUsed/>
    <w:rsid w:val="00EE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E1"/>
  </w:style>
  <w:style w:type="paragraph" w:styleId="Footer">
    <w:name w:val="footer"/>
    <w:basedOn w:val="Normal"/>
    <w:link w:val="FooterChar"/>
    <w:uiPriority w:val="99"/>
    <w:unhideWhenUsed/>
    <w:rsid w:val="00EE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E1"/>
  </w:style>
  <w:style w:type="character" w:customStyle="1" w:styleId="UnresolvedMention">
    <w:name w:val="Unresolved Mention"/>
    <w:basedOn w:val="DefaultParagraphFont"/>
    <w:uiPriority w:val="99"/>
    <w:semiHidden/>
    <w:unhideWhenUsed/>
    <w:rsid w:val="00E0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752">
      <w:bodyDiv w:val="1"/>
      <w:marLeft w:val="0"/>
      <w:marRight w:val="0"/>
      <w:marTop w:val="0"/>
      <w:marBottom w:val="0"/>
      <w:divBdr>
        <w:top w:val="none" w:sz="0" w:space="0" w:color="auto"/>
        <w:left w:val="none" w:sz="0" w:space="0" w:color="auto"/>
        <w:bottom w:val="none" w:sz="0" w:space="0" w:color="auto"/>
        <w:right w:val="none" w:sz="0" w:space="0" w:color="auto"/>
      </w:divBdr>
    </w:div>
    <w:div w:id="282737982">
      <w:bodyDiv w:val="1"/>
      <w:marLeft w:val="0"/>
      <w:marRight w:val="0"/>
      <w:marTop w:val="0"/>
      <w:marBottom w:val="0"/>
      <w:divBdr>
        <w:top w:val="none" w:sz="0" w:space="0" w:color="auto"/>
        <w:left w:val="none" w:sz="0" w:space="0" w:color="auto"/>
        <w:bottom w:val="none" w:sz="0" w:space="0" w:color="auto"/>
        <w:right w:val="none" w:sz="0" w:space="0" w:color="auto"/>
      </w:divBdr>
    </w:div>
    <w:div w:id="347371054">
      <w:bodyDiv w:val="1"/>
      <w:marLeft w:val="0"/>
      <w:marRight w:val="0"/>
      <w:marTop w:val="0"/>
      <w:marBottom w:val="0"/>
      <w:divBdr>
        <w:top w:val="none" w:sz="0" w:space="0" w:color="auto"/>
        <w:left w:val="none" w:sz="0" w:space="0" w:color="auto"/>
        <w:bottom w:val="none" w:sz="0" w:space="0" w:color="auto"/>
        <w:right w:val="none" w:sz="0" w:space="0" w:color="auto"/>
      </w:divBdr>
    </w:div>
    <w:div w:id="362487656">
      <w:bodyDiv w:val="1"/>
      <w:marLeft w:val="0"/>
      <w:marRight w:val="0"/>
      <w:marTop w:val="0"/>
      <w:marBottom w:val="0"/>
      <w:divBdr>
        <w:top w:val="none" w:sz="0" w:space="0" w:color="auto"/>
        <w:left w:val="none" w:sz="0" w:space="0" w:color="auto"/>
        <w:bottom w:val="none" w:sz="0" w:space="0" w:color="auto"/>
        <w:right w:val="none" w:sz="0" w:space="0" w:color="auto"/>
      </w:divBdr>
    </w:div>
    <w:div w:id="544177972">
      <w:bodyDiv w:val="1"/>
      <w:marLeft w:val="0"/>
      <w:marRight w:val="0"/>
      <w:marTop w:val="0"/>
      <w:marBottom w:val="0"/>
      <w:divBdr>
        <w:top w:val="none" w:sz="0" w:space="0" w:color="auto"/>
        <w:left w:val="none" w:sz="0" w:space="0" w:color="auto"/>
        <w:bottom w:val="none" w:sz="0" w:space="0" w:color="auto"/>
        <w:right w:val="none" w:sz="0" w:space="0" w:color="auto"/>
      </w:divBdr>
    </w:div>
    <w:div w:id="770080624">
      <w:bodyDiv w:val="1"/>
      <w:marLeft w:val="0"/>
      <w:marRight w:val="0"/>
      <w:marTop w:val="0"/>
      <w:marBottom w:val="0"/>
      <w:divBdr>
        <w:top w:val="none" w:sz="0" w:space="0" w:color="auto"/>
        <w:left w:val="none" w:sz="0" w:space="0" w:color="auto"/>
        <w:bottom w:val="none" w:sz="0" w:space="0" w:color="auto"/>
        <w:right w:val="none" w:sz="0" w:space="0" w:color="auto"/>
      </w:divBdr>
    </w:div>
    <w:div w:id="879249534">
      <w:bodyDiv w:val="1"/>
      <w:marLeft w:val="0"/>
      <w:marRight w:val="0"/>
      <w:marTop w:val="0"/>
      <w:marBottom w:val="0"/>
      <w:divBdr>
        <w:top w:val="none" w:sz="0" w:space="0" w:color="auto"/>
        <w:left w:val="none" w:sz="0" w:space="0" w:color="auto"/>
        <w:bottom w:val="none" w:sz="0" w:space="0" w:color="auto"/>
        <w:right w:val="none" w:sz="0" w:space="0" w:color="auto"/>
      </w:divBdr>
    </w:div>
    <w:div w:id="1001396874">
      <w:bodyDiv w:val="1"/>
      <w:marLeft w:val="0"/>
      <w:marRight w:val="0"/>
      <w:marTop w:val="0"/>
      <w:marBottom w:val="0"/>
      <w:divBdr>
        <w:top w:val="none" w:sz="0" w:space="0" w:color="auto"/>
        <w:left w:val="none" w:sz="0" w:space="0" w:color="auto"/>
        <w:bottom w:val="none" w:sz="0" w:space="0" w:color="auto"/>
        <w:right w:val="none" w:sz="0" w:space="0" w:color="auto"/>
      </w:divBdr>
    </w:div>
    <w:div w:id="1028483012">
      <w:bodyDiv w:val="1"/>
      <w:marLeft w:val="0"/>
      <w:marRight w:val="0"/>
      <w:marTop w:val="0"/>
      <w:marBottom w:val="0"/>
      <w:divBdr>
        <w:top w:val="none" w:sz="0" w:space="0" w:color="auto"/>
        <w:left w:val="none" w:sz="0" w:space="0" w:color="auto"/>
        <w:bottom w:val="none" w:sz="0" w:space="0" w:color="auto"/>
        <w:right w:val="none" w:sz="0" w:space="0" w:color="auto"/>
      </w:divBdr>
    </w:div>
    <w:div w:id="1038969795">
      <w:bodyDiv w:val="1"/>
      <w:marLeft w:val="0"/>
      <w:marRight w:val="0"/>
      <w:marTop w:val="0"/>
      <w:marBottom w:val="0"/>
      <w:divBdr>
        <w:top w:val="none" w:sz="0" w:space="0" w:color="auto"/>
        <w:left w:val="none" w:sz="0" w:space="0" w:color="auto"/>
        <w:bottom w:val="none" w:sz="0" w:space="0" w:color="auto"/>
        <w:right w:val="none" w:sz="0" w:space="0" w:color="auto"/>
      </w:divBdr>
    </w:div>
    <w:div w:id="1093550268">
      <w:bodyDiv w:val="1"/>
      <w:marLeft w:val="0"/>
      <w:marRight w:val="0"/>
      <w:marTop w:val="0"/>
      <w:marBottom w:val="0"/>
      <w:divBdr>
        <w:top w:val="none" w:sz="0" w:space="0" w:color="auto"/>
        <w:left w:val="none" w:sz="0" w:space="0" w:color="auto"/>
        <w:bottom w:val="none" w:sz="0" w:space="0" w:color="auto"/>
        <w:right w:val="none" w:sz="0" w:space="0" w:color="auto"/>
      </w:divBdr>
    </w:div>
    <w:div w:id="1271085730">
      <w:bodyDiv w:val="1"/>
      <w:marLeft w:val="0"/>
      <w:marRight w:val="0"/>
      <w:marTop w:val="0"/>
      <w:marBottom w:val="0"/>
      <w:divBdr>
        <w:top w:val="none" w:sz="0" w:space="0" w:color="auto"/>
        <w:left w:val="none" w:sz="0" w:space="0" w:color="auto"/>
        <w:bottom w:val="none" w:sz="0" w:space="0" w:color="auto"/>
        <w:right w:val="none" w:sz="0" w:space="0" w:color="auto"/>
      </w:divBdr>
    </w:div>
    <w:div w:id="1338654197">
      <w:bodyDiv w:val="1"/>
      <w:marLeft w:val="0"/>
      <w:marRight w:val="0"/>
      <w:marTop w:val="0"/>
      <w:marBottom w:val="0"/>
      <w:divBdr>
        <w:top w:val="none" w:sz="0" w:space="0" w:color="auto"/>
        <w:left w:val="none" w:sz="0" w:space="0" w:color="auto"/>
        <w:bottom w:val="none" w:sz="0" w:space="0" w:color="auto"/>
        <w:right w:val="none" w:sz="0" w:space="0" w:color="auto"/>
      </w:divBdr>
    </w:div>
    <w:div w:id="1511412484">
      <w:bodyDiv w:val="1"/>
      <w:marLeft w:val="0"/>
      <w:marRight w:val="0"/>
      <w:marTop w:val="0"/>
      <w:marBottom w:val="0"/>
      <w:divBdr>
        <w:top w:val="none" w:sz="0" w:space="0" w:color="auto"/>
        <w:left w:val="none" w:sz="0" w:space="0" w:color="auto"/>
        <w:bottom w:val="none" w:sz="0" w:space="0" w:color="auto"/>
        <w:right w:val="none" w:sz="0" w:space="0" w:color="auto"/>
      </w:divBdr>
    </w:div>
    <w:div w:id="1655450050">
      <w:bodyDiv w:val="1"/>
      <w:marLeft w:val="0"/>
      <w:marRight w:val="0"/>
      <w:marTop w:val="0"/>
      <w:marBottom w:val="0"/>
      <w:divBdr>
        <w:top w:val="none" w:sz="0" w:space="0" w:color="auto"/>
        <w:left w:val="none" w:sz="0" w:space="0" w:color="auto"/>
        <w:bottom w:val="none" w:sz="0" w:space="0" w:color="auto"/>
        <w:right w:val="none" w:sz="0" w:space="0" w:color="auto"/>
      </w:divBdr>
    </w:div>
    <w:div w:id="1733239024">
      <w:bodyDiv w:val="1"/>
      <w:marLeft w:val="0"/>
      <w:marRight w:val="0"/>
      <w:marTop w:val="0"/>
      <w:marBottom w:val="0"/>
      <w:divBdr>
        <w:top w:val="none" w:sz="0" w:space="0" w:color="auto"/>
        <w:left w:val="none" w:sz="0" w:space="0" w:color="auto"/>
        <w:bottom w:val="none" w:sz="0" w:space="0" w:color="auto"/>
        <w:right w:val="none" w:sz="0" w:space="0" w:color="auto"/>
      </w:divBdr>
    </w:div>
    <w:div w:id="1889141943">
      <w:bodyDiv w:val="1"/>
      <w:marLeft w:val="0"/>
      <w:marRight w:val="0"/>
      <w:marTop w:val="0"/>
      <w:marBottom w:val="0"/>
      <w:divBdr>
        <w:top w:val="none" w:sz="0" w:space="0" w:color="auto"/>
        <w:left w:val="none" w:sz="0" w:space="0" w:color="auto"/>
        <w:bottom w:val="none" w:sz="0" w:space="0" w:color="auto"/>
        <w:right w:val="none" w:sz="0" w:space="0" w:color="auto"/>
      </w:divBdr>
    </w:div>
    <w:div w:id="19705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05C15-A481-45FD-A722-F139CED1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qwert</cp:lastModifiedBy>
  <cp:revision>6</cp:revision>
  <cp:lastPrinted>2026-04-24T13:51:00Z</cp:lastPrinted>
  <dcterms:created xsi:type="dcterms:W3CDTF">2026-04-24T13:11:00Z</dcterms:created>
  <dcterms:modified xsi:type="dcterms:W3CDTF">2026-04-25T12:16:00Z</dcterms:modified>
</cp:coreProperties>
</file>