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517" w:rsidRDefault="00F33808">
      <w:pPr>
        <w:spacing w:after="0" w:line="240" w:lineRule="auto"/>
        <w:jc w:val="center"/>
        <w:rPr>
          <w:rFonts w:ascii="Times New Roman" w:hAnsi="Times New Roman" w:cs="Times New Roman"/>
          <w:b/>
          <w:bCs/>
          <w:sz w:val="24"/>
          <w:szCs w:val="24"/>
        </w:rPr>
      </w:pPr>
      <w:r>
        <w:rPr>
          <w:rFonts w:ascii="Times New Roman" w:hAnsi="Times New Roman" w:cs="Times New Roman"/>
          <w:b/>
          <w:bCs/>
          <w:sz w:val="36"/>
          <w:szCs w:val="36"/>
        </w:rPr>
        <w:t>Phytochemical Screening of Selected Medicinal Plants Used by B’laan Tribe.</w:t>
      </w:r>
    </w:p>
    <w:p w:rsidR="00F03517" w:rsidRDefault="00F03517">
      <w:pPr>
        <w:spacing w:after="0" w:line="240" w:lineRule="auto"/>
        <w:jc w:val="center"/>
        <w:rPr>
          <w:rFonts w:ascii="Times New Roman" w:hAnsi="Times New Roman" w:cs="Times New Roman"/>
          <w:b/>
          <w:bCs/>
          <w:sz w:val="24"/>
          <w:szCs w:val="24"/>
        </w:rPr>
      </w:pPr>
    </w:p>
    <w:p w:rsidR="00F03517" w:rsidRDefault="00F03517">
      <w:pPr>
        <w:spacing w:after="0" w:line="240" w:lineRule="auto"/>
        <w:jc w:val="center"/>
        <w:rPr>
          <w:rFonts w:ascii="Times New Roman" w:hAnsi="Times New Roman" w:cs="Times New Roman"/>
          <w:b/>
          <w:bCs/>
          <w:sz w:val="24"/>
          <w:szCs w:val="24"/>
        </w:rPr>
      </w:pPr>
      <w:bookmarkStart w:id="0" w:name="_GoBack"/>
      <w:bookmarkEnd w:id="0"/>
    </w:p>
    <w:p w:rsidR="00F03517" w:rsidRDefault="00F3380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rsidR="00F03517" w:rsidRDefault="00F03517">
      <w:pPr>
        <w:spacing w:after="0" w:line="240" w:lineRule="auto"/>
        <w:jc w:val="both"/>
        <w:rPr>
          <w:rFonts w:ascii="Times New Roman" w:hAnsi="Times New Roman" w:cs="Times New Roman"/>
          <w:b/>
          <w:bCs/>
          <w:sz w:val="28"/>
          <w:szCs w:val="28"/>
        </w:rPr>
      </w:pPr>
    </w:p>
    <w:p w:rsidR="00F03517" w:rsidRDefault="00F33808">
      <w:pPr>
        <w:spacing w:line="240" w:lineRule="auto"/>
        <w:jc w:val="both"/>
        <w:rPr>
          <w:rFonts w:ascii="Times New Roman" w:hAnsi="Times New Roman" w:cs="Times New Roman"/>
          <w:sz w:val="24"/>
          <w:szCs w:val="24"/>
        </w:rPr>
      </w:pPr>
      <w:r>
        <w:rPr>
          <w:rFonts w:ascii="Times New Roman" w:hAnsi="Times New Roman" w:cs="Times New Roman"/>
          <w:sz w:val="24"/>
          <w:szCs w:val="24"/>
        </w:rPr>
        <w:t>Phytochemicals are compounds found in plants that help the plants survive and defend themselves against threats. In medicinal plants, these compounds are responsible for the plant’s effectiveness in treating different illnesses. Most</w:t>
      </w:r>
      <w:r>
        <w:rPr>
          <w:rFonts w:ascii="Times New Roman" w:hAnsi="Times New Roman" w:cs="Times New Roman"/>
          <w:sz w:val="24"/>
          <w:szCs w:val="24"/>
        </w:rPr>
        <w:t xml:space="preserve"> of these medicinal plants lack phytochemical studies, and some studies only target a specific part of the plant. This study aims to identify the specific phytochemical compounds that are present in the selected medicinal plants used by the B'laan tribe. T</w:t>
      </w:r>
      <w:r>
        <w:rPr>
          <w:rFonts w:ascii="Times New Roman" w:hAnsi="Times New Roman" w:cs="Times New Roman"/>
          <w:sz w:val="24"/>
          <w:szCs w:val="24"/>
        </w:rPr>
        <w:t>his study used a descriptive research design to describe and interpret the selected medicinal plants: Gmelina (</w:t>
      </w:r>
      <w:r>
        <w:rPr>
          <w:rFonts w:ascii="Times New Roman" w:hAnsi="Times New Roman" w:cs="Times New Roman"/>
          <w:i/>
          <w:iCs/>
          <w:sz w:val="24"/>
          <w:szCs w:val="24"/>
        </w:rPr>
        <w:t>Gmelina arborea</w:t>
      </w:r>
      <w:r>
        <w:rPr>
          <w:rFonts w:ascii="Times New Roman" w:hAnsi="Times New Roman" w:cs="Times New Roman"/>
          <w:sz w:val="24"/>
          <w:szCs w:val="24"/>
        </w:rPr>
        <w:t>), Balpas-pusa (</w:t>
      </w:r>
      <w:r>
        <w:rPr>
          <w:rFonts w:ascii="Times New Roman" w:hAnsi="Times New Roman" w:cs="Times New Roman"/>
          <w:i/>
          <w:iCs/>
          <w:sz w:val="24"/>
          <w:szCs w:val="24"/>
        </w:rPr>
        <w:t>Orthosiphon aristatus</w:t>
      </w:r>
      <w:r>
        <w:rPr>
          <w:rFonts w:ascii="Times New Roman" w:hAnsi="Times New Roman" w:cs="Times New Roman"/>
          <w:sz w:val="24"/>
          <w:szCs w:val="24"/>
        </w:rPr>
        <w:t>), and Agik-agik (</w:t>
      </w:r>
      <w:r>
        <w:rPr>
          <w:rFonts w:ascii="Times New Roman" w:hAnsi="Times New Roman" w:cs="Times New Roman"/>
          <w:i/>
          <w:iCs/>
          <w:sz w:val="24"/>
          <w:szCs w:val="24"/>
        </w:rPr>
        <w:t>Acmella oleracea</w:t>
      </w:r>
      <w:r>
        <w:rPr>
          <w:rFonts w:ascii="Times New Roman" w:hAnsi="Times New Roman" w:cs="Times New Roman"/>
          <w:sz w:val="24"/>
          <w:szCs w:val="24"/>
        </w:rPr>
        <w:t>). Plant samples were collected at Barangay Assumption, Kor</w:t>
      </w:r>
      <w:r>
        <w:rPr>
          <w:rFonts w:ascii="Times New Roman" w:hAnsi="Times New Roman" w:cs="Times New Roman"/>
          <w:sz w:val="24"/>
          <w:szCs w:val="24"/>
        </w:rPr>
        <w:t>onadal, South Cotabato, Philippines, sealed in a zip-lock bag, and directly delivered to the WVN Research Laboratory located at Davao City, Philippines. Two tests, qualitative test and quantitative test, showed that flavonoids, tannins, phlobotannins, ster</w:t>
      </w:r>
      <w:r>
        <w:rPr>
          <w:rFonts w:ascii="Times New Roman" w:hAnsi="Times New Roman" w:cs="Times New Roman"/>
          <w:sz w:val="24"/>
          <w:szCs w:val="24"/>
        </w:rPr>
        <w:t>oids, and glycosides were present in all three samples. At the same time, alkaloids were only present in Gmelina, and saponins were absent in all three. These compounds are significant for the anti-inflammatory, antiviral, antimicrobial, analgesic, antipyr</w:t>
      </w:r>
      <w:r>
        <w:rPr>
          <w:rFonts w:ascii="Times New Roman" w:hAnsi="Times New Roman" w:cs="Times New Roman"/>
          <w:sz w:val="24"/>
          <w:szCs w:val="24"/>
        </w:rPr>
        <w:t>etic, and antioxidant properties of plants, Quantitative test results on Gmelina shows a strong concentration on flavonoids and tannins with 16.52 mg/g and 15.21 mg/g respectively, phlobotannins 7.56 mg/g and small concentration of glycosides, alkaloids, a</w:t>
      </w:r>
      <w:r>
        <w:rPr>
          <w:rFonts w:ascii="Times New Roman" w:hAnsi="Times New Roman" w:cs="Times New Roman"/>
          <w:sz w:val="24"/>
          <w:szCs w:val="24"/>
        </w:rPr>
        <w:t>nd steroids containing 3.25 mg/g, 3.52 mg/g, and 1.42 mg/g respectively. Flavonoids and tannins contain 14.22 mg/g and 10.24 mg/g, respectively, on Balbas-pusa. Plobotanins, glycosides, and steroids with 5.26 mg/g, 2.12 mg/g, and 1.23 mg/g, respectively. L</w:t>
      </w:r>
      <w:r>
        <w:rPr>
          <w:rFonts w:ascii="Times New Roman" w:hAnsi="Times New Roman" w:cs="Times New Roman"/>
          <w:sz w:val="24"/>
          <w:szCs w:val="24"/>
        </w:rPr>
        <w:t>astly, Agik-agik contains 12.65 mg/g and 11.28 mg/g of flavonoids and tannins. Plobotanins, glycosides, and steroids contain 4.23 mg/g, 2.45 mg/g, and 1.32 mg/g, respectively. These results show the medicinal plants used by the tribe and the specific illne</w:t>
      </w:r>
      <w:r>
        <w:rPr>
          <w:rFonts w:ascii="Times New Roman" w:hAnsi="Times New Roman" w:cs="Times New Roman"/>
          <w:sz w:val="24"/>
          <w:szCs w:val="24"/>
        </w:rPr>
        <w:t>sses they treat. They will be helpful in future pharmacological studies of these plants to develop medicines.</w:t>
      </w:r>
    </w:p>
    <w:p w:rsidR="00F03517" w:rsidRDefault="00F03517">
      <w:pPr>
        <w:spacing w:line="240" w:lineRule="auto"/>
        <w:jc w:val="both"/>
        <w:rPr>
          <w:rFonts w:ascii="Times New Roman" w:hAnsi="Times New Roman" w:cs="Times New Roman"/>
          <w:sz w:val="28"/>
          <w:szCs w:val="28"/>
        </w:rPr>
      </w:pPr>
    </w:p>
    <w:p w:rsidR="00F03517" w:rsidRDefault="00F33808">
      <w:pPr>
        <w:spacing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Keywords: </w:t>
      </w:r>
      <w:r>
        <w:rPr>
          <w:rFonts w:ascii="Times New Roman" w:hAnsi="Times New Roman" w:cs="Times New Roman"/>
          <w:i/>
          <w:iCs/>
          <w:sz w:val="24"/>
          <w:szCs w:val="24"/>
        </w:rPr>
        <w:t xml:space="preserve">plant biology, Agik-agik (Acmella oleraceae), Balbas-pusa (Orthosiphon aristatus), descriptive research design, Gmelina (Gmelina </w:t>
      </w:r>
      <w:r>
        <w:rPr>
          <w:rFonts w:ascii="Times New Roman" w:hAnsi="Times New Roman" w:cs="Times New Roman"/>
          <w:i/>
          <w:iCs/>
          <w:sz w:val="24"/>
          <w:szCs w:val="24"/>
        </w:rPr>
        <w:t>arborea), phytochemicals, qualitative test, quantitative test.</w:t>
      </w:r>
    </w:p>
    <w:p w:rsidR="00F03517" w:rsidRDefault="00F03517">
      <w:pPr>
        <w:spacing w:line="240" w:lineRule="auto"/>
        <w:jc w:val="both"/>
        <w:rPr>
          <w:rFonts w:ascii="Times New Roman" w:hAnsi="Times New Roman" w:cs="Times New Roman"/>
          <w:b/>
          <w:bCs/>
          <w:sz w:val="28"/>
          <w:szCs w:val="28"/>
        </w:rPr>
      </w:pPr>
    </w:p>
    <w:p w:rsidR="00F03517" w:rsidRDefault="00F33808">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B'laan tribe has a rich ethnomedical background based on their cultural heritage and the close connection with nature. They practice traditional healing methods which entail the u</w:t>
      </w:r>
      <w:r>
        <w:rPr>
          <w:rFonts w:ascii="Times New Roman" w:eastAsia="Times New Roman" w:hAnsi="Times New Roman" w:cs="Times New Roman"/>
          <w:sz w:val="24"/>
          <w:szCs w:val="24"/>
        </w:rPr>
        <w:t>se of different medicinal plants of 100 species and 33 families used to cure various diseases, including cholera, scabies, viral diseases, warts, beriberi, diabetes, and gastric ulcers. Balick and Cox (2020) state that Indigenous peoples around the globe d</w:t>
      </w:r>
      <w:r>
        <w:rPr>
          <w:rFonts w:ascii="Times New Roman" w:eastAsia="Times New Roman" w:hAnsi="Times New Roman" w:cs="Times New Roman"/>
          <w:sz w:val="24"/>
          <w:szCs w:val="24"/>
        </w:rPr>
        <w:t xml:space="preserve">epend on medicinal plants to treat physical illnesses but also to heal and maintain cultural identity, as well as to treat spiritual illnesses. </w:t>
      </w:r>
    </w:p>
    <w:p w:rsidR="00F03517" w:rsidRDefault="00F33808">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Traditional healers of indigenous tribes in Mexico also incorporate medicinal plants into their shamanistic and</w:t>
      </w:r>
      <w:r>
        <w:rPr>
          <w:rFonts w:ascii="Times New Roman" w:eastAsia="Times New Roman" w:hAnsi="Times New Roman" w:cs="Times New Roman"/>
          <w:sz w:val="24"/>
          <w:szCs w:val="24"/>
        </w:rPr>
        <w:t xml:space="preserve"> faith-based healing, aiming to provide holistic treatment for both physical and spiritual health. </w:t>
      </w:r>
      <w:r>
        <w:rPr>
          <w:rFonts w:ascii="Times New Roman" w:hAnsi="Times New Roman" w:cs="Times New Roman"/>
          <w:sz w:val="24"/>
          <w:szCs w:val="24"/>
        </w:rPr>
        <w:t xml:space="preserve">Globally, indigenous knowledge has significantly contributed to modern medicine, as evidenced by widely used plant-based drugs such as artemisinin from </w:t>
      </w:r>
      <w:r>
        <w:rPr>
          <w:rFonts w:ascii="Times New Roman" w:hAnsi="Times New Roman" w:cs="Times New Roman"/>
          <w:i/>
          <w:iCs/>
          <w:sz w:val="24"/>
          <w:szCs w:val="24"/>
        </w:rPr>
        <w:t>Artem</w:t>
      </w:r>
      <w:r>
        <w:rPr>
          <w:rFonts w:ascii="Times New Roman" w:hAnsi="Times New Roman" w:cs="Times New Roman"/>
          <w:i/>
          <w:iCs/>
          <w:sz w:val="24"/>
          <w:szCs w:val="24"/>
        </w:rPr>
        <w:t>isia annua</w:t>
      </w:r>
      <w:r>
        <w:rPr>
          <w:rFonts w:ascii="Times New Roman" w:hAnsi="Times New Roman" w:cs="Times New Roman"/>
          <w:sz w:val="24"/>
          <w:szCs w:val="24"/>
        </w:rPr>
        <w:t xml:space="preserve"> (Cordero et al., 2022; Alum et al., 2024). Phytochemical compounds such as quercetin, rosmarinic acid, kaempferol, B-sitosterol, amyrins, and various terpenes have been identified in some medicinal plants such as </w:t>
      </w:r>
      <w:r>
        <w:rPr>
          <w:rFonts w:ascii="Times New Roman" w:hAnsi="Times New Roman" w:cs="Times New Roman"/>
          <w:i/>
          <w:iCs/>
          <w:sz w:val="24"/>
          <w:szCs w:val="24"/>
        </w:rPr>
        <w:t xml:space="preserve">Cordia dodecandra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Galtheria </w:t>
      </w:r>
      <w:r>
        <w:rPr>
          <w:rFonts w:ascii="Times New Roman" w:hAnsi="Times New Roman" w:cs="Times New Roman"/>
          <w:i/>
          <w:iCs/>
          <w:sz w:val="24"/>
          <w:szCs w:val="24"/>
        </w:rPr>
        <w:t xml:space="preserve">odorata. </w:t>
      </w:r>
      <w:r>
        <w:rPr>
          <w:rFonts w:ascii="Times New Roman" w:hAnsi="Times New Roman" w:cs="Times New Roman"/>
          <w:sz w:val="24"/>
          <w:szCs w:val="24"/>
        </w:rPr>
        <w:t>These compounds contribute to the plant’s antibacterial, antioxidant, and anti-inflammatory properties, validating their ethnomedicinal use (De La Cruz-Jimenez et al., 2022).</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Panay Bukidnon tribe of the Philippines uses 131 medicinal plant sp</w:t>
      </w:r>
      <w:r>
        <w:rPr>
          <w:rFonts w:ascii="Times New Roman" w:hAnsi="Times New Roman" w:cs="Times New Roman"/>
          <w:sz w:val="24"/>
          <w:szCs w:val="24"/>
        </w:rPr>
        <w:t xml:space="preserve">ecies across 16 disease categories, reflecting the rich ethnobotanical knowledge influenced by cultural and spiritual beliefs. Phytochemical screening revealed the presence of alkaloids in </w:t>
      </w:r>
      <w:r>
        <w:rPr>
          <w:rFonts w:ascii="Times New Roman" w:hAnsi="Times New Roman" w:cs="Times New Roman"/>
          <w:i/>
          <w:iCs/>
          <w:sz w:val="24"/>
          <w:szCs w:val="24"/>
        </w:rPr>
        <w:t xml:space="preserve">Acmella grandiflora, Anodendron </w:t>
      </w:r>
      <w:r>
        <w:rPr>
          <w:rFonts w:ascii="Times New Roman" w:hAnsi="Times New Roman" w:cs="Times New Roman"/>
          <w:i/>
          <w:iCs/>
          <w:sz w:val="24"/>
          <w:szCs w:val="24"/>
        </w:rPr>
        <w:lastRenderedPageBreak/>
        <w:t>borneense,</w:t>
      </w:r>
      <w:r>
        <w:rPr>
          <w:rFonts w:ascii="Times New Roman" w:hAnsi="Times New Roman" w:cs="Times New Roman"/>
          <w:sz w:val="24"/>
          <w:szCs w:val="24"/>
        </w:rPr>
        <w:t xml:space="preserve"> and </w:t>
      </w:r>
      <w:r>
        <w:rPr>
          <w:rFonts w:ascii="Times New Roman" w:hAnsi="Times New Roman" w:cs="Times New Roman"/>
          <w:i/>
          <w:iCs/>
          <w:sz w:val="24"/>
          <w:szCs w:val="24"/>
        </w:rPr>
        <w:t>Homalomena philippin</w:t>
      </w:r>
      <w:r>
        <w:rPr>
          <w:rFonts w:ascii="Times New Roman" w:hAnsi="Times New Roman" w:cs="Times New Roman"/>
          <w:i/>
          <w:iCs/>
          <w:sz w:val="24"/>
          <w:szCs w:val="24"/>
        </w:rPr>
        <w:t xml:space="preserve">ensis </w:t>
      </w:r>
      <w:r>
        <w:rPr>
          <w:rFonts w:ascii="Times New Roman" w:hAnsi="Times New Roman" w:cs="Times New Roman"/>
          <w:sz w:val="24"/>
          <w:szCs w:val="24"/>
        </w:rPr>
        <w:t xml:space="preserve">and condensed tannins in </w:t>
      </w:r>
      <w:r>
        <w:rPr>
          <w:rFonts w:ascii="Times New Roman" w:hAnsi="Times New Roman" w:cs="Times New Roman"/>
          <w:i/>
          <w:iCs/>
          <w:sz w:val="24"/>
          <w:szCs w:val="24"/>
        </w:rPr>
        <w:t>Acmella grandiflora</w:t>
      </w:r>
      <w:r>
        <w:rPr>
          <w:rFonts w:ascii="Times New Roman" w:hAnsi="Times New Roman" w:cs="Times New Roman"/>
          <w:sz w:val="24"/>
          <w:szCs w:val="24"/>
        </w:rPr>
        <w:t xml:space="preserve"> and </w:t>
      </w:r>
      <w:r>
        <w:rPr>
          <w:rFonts w:ascii="Times New Roman" w:hAnsi="Times New Roman" w:cs="Times New Roman"/>
          <w:i/>
          <w:iCs/>
          <w:sz w:val="24"/>
          <w:szCs w:val="24"/>
        </w:rPr>
        <w:t>Hellenia speciosa.</w:t>
      </w:r>
      <w:r>
        <w:rPr>
          <w:rFonts w:ascii="Times New Roman" w:hAnsi="Times New Roman" w:cs="Times New Roman"/>
          <w:sz w:val="24"/>
          <w:szCs w:val="24"/>
        </w:rPr>
        <w:t xml:space="preserve"> These compounds correlate with the traditional use of the plants for various ailments, including inflammation, infection, and other health problems (Mesa et al., 2022).</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Barangay </w:t>
      </w:r>
      <w:r>
        <w:rPr>
          <w:rFonts w:ascii="Times New Roman" w:hAnsi="Times New Roman" w:cs="Times New Roman"/>
          <w:sz w:val="24"/>
          <w:szCs w:val="24"/>
        </w:rPr>
        <w:t>Assumption, Koronadal, South Cotabato, the researchers conducted an ethnobotanical journal study in 2022 on the medicinal plants used by the B’laan tribe. They have recorded various plants used to treat different ailments such as common colds, cough, urina</w:t>
      </w:r>
      <w:r>
        <w:rPr>
          <w:rFonts w:ascii="Times New Roman" w:hAnsi="Times New Roman" w:cs="Times New Roman"/>
          <w:sz w:val="24"/>
          <w:szCs w:val="24"/>
        </w:rPr>
        <w:t>ry tract infections, diabetes, hypertension, toothache, headache, diarrhea, and menstrual disorders. Although most of the plants used by the tribe have undergone phytochemical screening, some studies have focused only on specific parts, such as fruits, lea</w:t>
      </w:r>
      <w:r>
        <w:rPr>
          <w:rFonts w:ascii="Times New Roman" w:hAnsi="Times New Roman" w:cs="Times New Roman"/>
          <w:sz w:val="24"/>
          <w:szCs w:val="24"/>
        </w:rPr>
        <w:t>ves, flowers, and branches. This study will have significant value in validating the use of these plants for disease treatment and in assessing their potential in pharmaceutical and medicinal research.</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Despite extensive documentation of the traditional us</w:t>
      </w:r>
      <w:r>
        <w:rPr>
          <w:rFonts w:ascii="Times New Roman" w:hAnsi="Times New Roman" w:cs="Times New Roman"/>
          <w:sz w:val="24"/>
          <w:szCs w:val="24"/>
        </w:rPr>
        <w:t xml:space="preserve">e and pharmacological potential, some parts of the plant remain underexplored, particularly the stems and roots of </w:t>
      </w:r>
      <w:r>
        <w:rPr>
          <w:rFonts w:ascii="Times New Roman" w:hAnsi="Times New Roman" w:cs="Times New Roman"/>
          <w:i/>
          <w:iCs/>
          <w:sz w:val="24"/>
          <w:szCs w:val="24"/>
        </w:rPr>
        <w:t xml:space="preserve">Acmella oleracea </w:t>
      </w:r>
      <w:r>
        <w:rPr>
          <w:rFonts w:ascii="Times New Roman" w:hAnsi="Times New Roman" w:cs="Times New Roman"/>
          <w:sz w:val="24"/>
          <w:szCs w:val="24"/>
        </w:rPr>
        <w:t xml:space="preserve">for their phytochemical composition and bioactivity (Spinozzi et al., 2022). Fruits and seeds of </w:t>
      </w:r>
      <w:r>
        <w:rPr>
          <w:rFonts w:ascii="Times New Roman" w:hAnsi="Times New Roman" w:cs="Times New Roman"/>
          <w:i/>
          <w:iCs/>
          <w:sz w:val="24"/>
          <w:szCs w:val="24"/>
        </w:rPr>
        <w:t>Gmelina arborea</w:t>
      </w:r>
      <w:r>
        <w:rPr>
          <w:rFonts w:ascii="Times New Roman" w:hAnsi="Times New Roman" w:cs="Times New Roman"/>
          <w:sz w:val="24"/>
          <w:szCs w:val="24"/>
        </w:rPr>
        <w:t xml:space="preserve"> also have l</w:t>
      </w:r>
      <w:r>
        <w:rPr>
          <w:rFonts w:ascii="Times New Roman" w:hAnsi="Times New Roman" w:cs="Times New Roman"/>
          <w:sz w:val="24"/>
          <w:szCs w:val="24"/>
        </w:rPr>
        <w:t>ess information despite their local medicinal use (Waghchaure et al., 2022). Additionally, flowers, stems, and roots receive minimal attention on phytochemical profiling (Rizkita et al., 2023). This study will have significant value in validating the use o</w:t>
      </w:r>
      <w:r>
        <w:rPr>
          <w:rFonts w:ascii="Times New Roman" w:hAnsi="Times New Roman" w:cs="Times New Roman"/>
          <w:sz w:val="24"/>
          <w:szCs w:val="24"/>
        </w:rPr>
        <w:t>f these plants for disease treatment and in assessing their potential in pharmaceutical and medicinal research.</w:t>
      </w:r>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REVIEW OF RELATED LITERATURE</w:t>
      </w:r>
    </w:p>
    <w:p w:rsidR="00F03517" w:rsidRDefault="00F03517">
      <w:pPr>
        <w:spacing w:after="0" w:line="240" w:lineRule="auto"/>
        <w:jc w:val="both"/>
        <w:rPr>
          <w:rFonts w:ascii="Times New Roman" w:hAnsi="Times New Roman" w:cs="Times New Roman"/>
          <w:b/>
          <w:bCs/>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chapter discusses the studies and literature that are related to or bear similarity to this study. In doing so, discussing previous </w:t>
      </w:r>
      <w:r>
        <w:rPr>
          <w:rFonts w:ascii="Times New Roman" w:hAnsi="Times New Roman" w:cs="Times New Roman"/>
          <w:color w:val="000000"/>
          <w:sz w:val="24"/>
          <w:szCs w:val="24"/>
        </w:rPr>
        <w:t>studies</w:t>
      </w:r>
      <w:r>
        <w:rPr>
          <w:rFonts w:ascii="Times New Roman" w:hAnsi="Times New Roman" w:cs="Times New Roman"/>
          <w:color w:val="FF0000"/>
          <w:sz w:val="24"/>
          <w:szCs w:val="24"/>
        </w:rPr>
        <w:t xml:space="preserve"> </w:t>
      </w:r>
      <w:r>
        <w:rPr>
          <w:rFonts w:ascii="Times New Roman" w:hAnsi="Times New Roman" w:cs="Times New Roman"/>
          <w:sz w:val="24"/>
          <w:szCs w:val="24"/>
        </w:rPr>
        <w:t>provides a clear understanding of the research gaps and relevant concepts that inform the framework of this stu</w:t>
      </w:r>
      <w:r>
        <w:rPr>
          <w:rFonts w:ascii="Times New Roman" w:hAnsi="Times New Roman" w:cs="Times New Roman"/>
          <w:sz w:val="24"/>
          <w:szCs w:val="24"/>
        </w:rPr>
        <w:t>dy. It gives the authors sufficient background to understand the study. This review of related literature focuses on the following themes: Medicinal Plants, Phytochemical Analysis and Composition, Flavonoids, Alkaloids, Terpenoids, Saponins, Tannins, Phyto</w:t>
      </w:r>
      <w:r>
        <w:rPr>
          <w:rFonts w:ascii="Times New Roman" w:hAnsi="Times New Roman" w:cs="Times New Roman"/>
          <w:sz w:val="24"/>
          <w:szCs w:val="24"/>
        </w:rPr>
        <w:t>sterols, Polyphenols, Ethnobotanical Knowledge and Medicinal Plant Diversity in Mindanao, Proving Traditional Knowledge with Scientific Evidence, and the Medicinal Plants Used by the B’laan Tribe of South Cotabato.</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Medicinal Plants. </w:t>
      </w:r>
      <w:r>
        <w:rPr>
          <w:rFonts w:ascii="Times New Roman" w:hAnsi="Times New Roman" w:cs="Times New Roman"/>
          <w:sz w:val="24"/>
          <w:szCs w:val="24"/>
        </w:rPr>
        <w:t>The use of medicinal pl</w:t>
      </w:r>
      <w:r>
        <w:rPr>
          <w:rFonts w:ascii="Times New Roman" w:hAnsi="Times New Roman" w:cs="Times New Roman"/>
          <w:sz w:val="24"/>
          <w:szCs w:val="24"/>
        </w:rPr>
        <w:t>ants has always been a critical component of traditional health care systems, particularly among indigenous populations, where the experience of using herbs or their components has consistently been transmitted between generations (Baddu et al., 2018). Med</w:t>
      </w:r>
      <w:r>
        <w:rPr>
          <w:rFonts w:ascii="Times New Roman" w:hAnsi="Times New Roman" w:cs="Times New Roman"/>
          <w:sz w:val="24"/>
          <w:szCs w:val="24"/>
        </w:rPr>
        <w:t>icinal plants can be used in different ways and for different types of treatment; even Gmelina (Gmelina arborea), Balbas-pusa (Orthosiphon aristatus), and Agik-agik (Acmella oleracea) are utilized for specific ailments, such as cough, cold, diabetes, and t</w:t>
      </w:r>
      <w:r>
        <w:rPr>
          <w:rFonts w:ascii="Times New Roman" w:hAnsi="Times New Roman" w:cs="Times New Roman"/>
          <w:sz w:val="24"/>
          <w:szCs w:val="24"/>
        </w:rPr>
        <w:t>oothache, respectively. In addition, medicinal plants serve as primary healthcare to more than 80 percent of the global population, especially in developing countries (WHO, 2019). These plants have found use beyond traditional healing because many pharmace</w:t>
      </w:r>
      <w:r>
        <w:rPr>
          <w:rFonts w:ascii="Times New Roman" w:hAnsi="Times New Roman" w:cs="Times New Roman"/>
          <w:sz w:val="24"/>
          <w:szCs w:val="24"/>
        </w:rPr>
        <w:t xml:space="preserve">utical drugs are derived from plant compounds with therapeutic effects (Najmi et al., 2022).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Balick and Cox (2020) state that native communities worldwide have used medicinal plants for spiritual healing and to preserve cultural identity. These medicinal </w:t>
      </w:r>
      <w:r>
        <w:rPr>
          <w:rFonts w:ascii="Times New Roman" w:hAnsi="Times New Roman" w:cs="Times New Roman"/>
          <w:sz w:val="24"/>
          <w:szCs w:val="24"/>
        </w:rPr>
        <w:t>plants are also associated with the sustainability and effectiveness of preserving ethnobotanical knowledge that is transmitted through generations. Phytochemical and pharmacological research demonstrate the traditional use of herbal medicine within standa</w:t>
      </w:r>
      <w:r>
        <w:rPr>
          <w:rFonts w:ascii="Times New Roman" w:hAnsi="Times New Roman" w:cs="Times New Roman"/>
          <w:sz w:val="24"/>
          <w:szCs w:val="24"/>
        </w:rPr>
        <w:t>rd treatment protocols (Cordero et al., 2022). Although the scientific attention to medicinal plants is increasing, some issues remain: standardization, quality control, and sustainable harvesting to preserve biodiversity (Najmi et al., 2022). Therefore, r</w:t>
      </w:r>
      <w:r>
        <w:rPr>
          <w:rFonts w:ascii="Times New Roman" w:hAnsi="Times New Roman" w:cs="Times New Roman"/>
          <w:sz w:val="24"/>
          <w:szCs w:val="24"/>
        </w:rPr>
        <w:t>esearch integrating indigenous knowledge and modern science should continue to improve the effectiveness of medicinal plants. The significance of ethnopharmacological research in identifying new drug leads through medicinal plants is critical.</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Philippi</w:t>
      </w:r>
      <w:r>
        <w:rPr>
          <w:rFonts w:ascii="Times New Roman" w:hAnsi="Times New Roman" w:cs="Times New Roman"/>
          <w:sz w:val="24"/>
          <w:szCs w:val="24"/>
        </w:rPr>
        <w:t>nes, the B'laan tribe, and other indigenous peoples of this country make extensive use of local plants in medicine to treat an array of disorders, including infections, inflammation, and chronic diseases, often using specific preparation techniques, such a</w:t>
      </w:r>
      <w:r>
        <w:rPr>
          <w:rFonts w:ascii="Times New Roman" w:hAnsi="Times New Roman" w:cs="Times New Roman"/>
          <w:sz w:val="24"/>
          <w:szCs w:val="24"/>
        </w:rPr>
        <w:t>s decoctions, poultices, and infusions. Ethnobotanical records in Panay, Bukidnon, in Western Visayas have listed 131 medicinal plant species across 57 families, with Fabaceae, Lamiaceae, and Poaceae as the major ones. The most used part of the plant is th</w:t>
      </w:r>
      <w:r>
        <w:rPr>
          <w:rFonts w:ascii="Times New Roman" w:hAnsi="Times New Roman" w:cs="Times New Roman"/>
          <w:sz w:val="24"/>
          <w:szCs w:val="24"/>
        </w:rPr>
        <w:t xml:space="preserve">e leaves, and the most common preparation method is decoction. Curcuma longa and Blumea </w:t>
      </w:r>
      <w:r>
        <w:rPr>
          <w:rFonts w:ascii="Times New Roman" w:hAnsi="Times New Roman" w:cs="Times New Roman"/>
          <w:sz w:val="24"/>
          <w:szCs w:val="24"/>
        </w:rPr>
        <w:lastRenderedPageBreak/>
        <w:t>balsamifera were both high in informant consensus and use value for respiratory ailments and wound treatment, respectively, highlighting the therapeutic importance of t</w:t>
      </w:r>
      <w:r>
        <w:rPr>
          <w:rFonts w:ascii="Times New Roman" w:hAnsi="Times New Roman" w:cs="Times New Roman"/>
          <w:sz w:val="24"/>
          <w:szCs w:val="24"/>
        </w:rPr>
        <w:t>hese plants (Gutierrez et al., 2022).</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Meditational plant diversity is abundant in the Philippines, and indigenous people used it as traditional medicine. In the same way, an ethnobotanical survey on the tribe of Y'Apayaos in Northern Philippines reported 3</w:t>
      </w:r>
      <w:r>
        <w:rPr>
          <w:rFonts w:ascii="Times New Roman" w:hAnsi="Times New Roman" w:cs="Times New Roman"/>
          <w:sz w:val="24"/>
          <w:szCs w:val="24"/>
        </w:rPr>
        <w:t>8 species of medicinal plants that are normally used to treat diseases like the common cold, fever, urinary tract infections, among others. The crops were primarily trees and herbs that were found in the vicinity of settlement areas and forests. Leaves are</w:t>
      </w:r>
      <w:r>
        <w:rPr>
          <w:rFonts w:ascii="Times New Roman" w:hAnsi="Times New Roman" w:cs="Times New Roman"/>
          <w:sz w:val="24"/>
          <w:szCs w:val="24"/>
        </w:rPr>
        <w:t xml:space="preserve"> popularly used parts and are used to make various concoctions (Baddu &amp; Ouank, 2018).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Research on indigenous peoples in Mindanao has documented more than 500 medicinal plant species used to treat various health conditions, including infections, inflammati</w:t>
      </w:r>
      <w:r>
        <w:rPr>
          <w:rFonts w:ascii="Times New Roman" w:hAnsi="Times New Roman" w:cs="Times New Roman"/>
          <w:sz w:val="24"/>
          <w:szCs w:val="24"/>
        </w:rPr>
        <w:t>on, and chronic diseases. Those studies focus on highlighting the immense knowledge of indigenous practices for sustaining cultural heritage and for providing investigation for drug discovery foundations and biodiversity safeguarding (Alinsug et al., 2021)</w:t>
      </w:r>
      <w:r>
        <w:rPr>
          <w:rFonts w:ascii="Times New Roman" w:hAnsi="Times New Roman" w:cs="Times New Roman"/>
          <w:sz w:val="24"/>
          <w:szCs w:val="24"/>
        </w:rPr>
        <w:t>. Another tribe that demonstrates a rich use of medicinal plants is the Manobo tribe in Agusan, which has identified 40 medicinal species. The most common family was Asteraceae, which is used to treat pain, high blood pressure, and infection (Paraguison et</w:t>
      </w:r>
      <w:r>
        <w:rPr>
          <w:rFonts w:ascii="Times New Roman" w:hAnsi="Times New Roman" w:cs="Times New Roman"/>
          <w:sz w:val="24"/>
          <w:szCs w:val="24"/>
        </w:rPr>
        <w:t xml:space="preserve"> al., 2020). This series of ethnobotanical research indicates the vital role of medicinal plants in the indigenous healthcare system of the Filipino people and the urgency of scientific validation to substantiate their effectiveness and support their conse</w:t>
      </w:r>
      <w:r>
        <w:rPr>
          <w:rFonts w:ascii="Times New Roman" w:hAnsi="Times New Roman" w:cs="Times New Roman"/>
          <w:sz w:val="24"/>
          <w:szCs w:val="24"/>
        </w:rPr>
        <w:t>rvation.</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medicinal plants have been found to exert effects through a range of phytochemicals, including alkaloids, tannins, flavonoids, saponins, and phenolic compounds, which exhibit antioxidant, anti-inflammatory, analgesic, and antimicrobial (Kuma</w:t>
      </w:r>
      <w:r>
        <w:rPr>
          <w:rFonts w:ascii="Times New Roman" w:hAnsi="Times New Roman" w:cs="Times New Roman"/>
          <w:sz w:val="24"/>
          <w:szCs w:val="24"/>
        </w:rPr>
        <w:t>r et al., 2018). Phytochemical screening of these medicinal plants is used to identify bioactive compounds that contribute to the therapeutic effects of these medicinal plants in order to facilitate the incorporation of traditional remedies into mainstream</w:t>
      </w:r>
      <w:r>
        <w:rPr>
          <w:rFonts w:ascii="Times New Roman" w:hAnsi="Times New Roman" w:cs="Times New Roman"/>
          <w:sz w:val="24"/>
          <w:szCs w:val="24"/>
        </w:rPr>
        <w:t xml:space="preserve"> medical applications.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Gmelina is a rapidly growing deciduous plant species in the family Lamiaceae and is highly valued in traditional systems of medicine in the tropical areas, especially in South and Southeast Asia. Gmelina has a wide range of pharmaco</w:t>
      </w:r>
      <w:r>
        <w:rPr>
          <w:rFonts w:ascii="Times New Roman" w:hAnsi="Times New Roman" w:cs="Times New Roman"/>
          <w:sz w:val="24"/>
          <w:szCs w:val="24"/>
        </w:rPr>
        <w:t>logical properties, making it a useful compound in treating several ailments (Lalit et al., 2022). The pharmacological experiments proved that Gmelina is effective in wound healing, cardio-protection, antipyretic activity, and antidiabetic activity. The tr</w:t>
      </w:r>
      <w:r>
        <w:rPr>
          <w:rFonts w:ascii="Times New Roman" w:hAnsi="Times New Roman" w:cs="Times New Roman"/>
          <w:sz w:val="24"/>
          <w:szCs w:val="24"/>
        </w:rPr>
        <w:t>ee produces leaves and aqueous extracts of Methanol used for methanol production show high anti-inflammatory and antinociceptive effects in animal models, thereby justifying its ethnomedicinal application in the treatment of pain and inflammation (Yadav et</w:t>
      </w:r>
      <w:r>
        <w:rPr>
          <w:rFonts w:ascii="Times New Roman" w:hAnsi="Times New Roman" w:cs="Times New Roman"/>
          <w:sz w:val="24"/>
          <w:szCs w:val="24"/>
        </w:rPr>
        <w:t xml:space="preserve"> al., 2021). Gmelina species (Gmelina philippenensis and Gmelina arborea) have been reported to have flavonoids, tannins, terpenoids, and saponins (Offor et al., 2016).</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recorded compounds exhibit antioxidant and antimicrobial effects, consistent with t</w:t>
      </w:r>
      <w:r>
        <w:rPr>
          <w:rFonts w:ascii="Times New Roman" w:hAnsi="Times New Roman" w:cs="Times New Roman"/>
          <w:sz w:val="24"/>
          <w:szCs w:val="24"/>
        </w:rPr>
        <w:t>he historical applications of the leaves to address inflammation and infection (Kumar et al., 2018). In a study on medicinal plants used by the B’laan tribe of South Cotabato, Pilapil et al. (2022) found that Gmelina is effective in treating cough. Further</w:t>
      </w:r>
      <w:r>
        <w:rPr>
          <w:rFonts w:ascii="Times New Roman" w:hAnsi="Times New Roman" w:cs="Times New Roman"/>
          <w:sz w:val="24"/>
          <w:szCs w:val="24"/>
        </w:rPr>
        <w:t>more, the toxicity studies reveal that Gmelina extracts are safe at the established dosages, with no noticeable hepatic or nephrotoxic effects, which underlines the potential for further preclinical and clinical studies (Lalit et al., 2022). Besides its us</w:t>
      </w:r>
      <w:r>
        <w:rPr>
          <w:rFonts w:ascii="Times New Roman" w:hAnsi="Times New Roman" w:cs="Times New Roman"/>
          <w:sz w:val="24"/>
          <w:szCs w:val="24"/>
        </w:rPr>
        <w:t>e in medicine, Gmelina has other ecological and agroforestry roles, such as being a source of timber and biomass with excellent coppicing capacity; thus, sustainable cultivation of Gmelina is beneficial in addition to its medicinal use (Kumar et al., 2018)</w:t>
      </w:r>
      <w:r>
        <w:rPr>
          <w:rFonts w:ascii="Times New Roman" w:hAnsi="Times New Roman" w:cs="Times New Roman"/>
          <w:sz w:val="24"/>
          <w:szCs w:val="24"/>
        </w:rPr>
        <w:t>.</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other parts of the world, </w:t>
      </w:r>
      <w:r>
        <w:rPr>
          <w:rFonts w:ascii="Times New Roman" w:hAnsi="Times New Roman" w:cs="Times New Roman"/>
          <w:i/>
          <w:iCs/>
          <w:sz w:val="24"/>
          <w:szCs w:val="24"/>
        </w:rPr>
        <w:t>Gmelina arborea</w:t>
      </w:r>
      <w:r>
        <w:rPr>
          <w:rFonts w:ascii="Times New Roman" w:hAnsi="Times New Roman" w:cs="Times New Roman"/>
          <w:sz w:val="24"/>
          <w:szCs w:val="24"/>
        </w:rPr>
        <w:t>, also known as Beechwood or Gambhari, was reported to have anti-inflammatory, antioxidant, antimicrobial, hepatoprotective, and analgesic properties. The use of traditional remedies for fever, rheumatism, jaun</w:t>
      </w:r>
      <w:r>
        <w:rPr>
          <w:rFonts w:ascii="Times New Roman" w:hAnsi="Times New Roman" w:cs="Times New Roman"/>
          <w:sz w:val="24"/>
          <w:szCs w:val="24"/>
        </w:rPr>
        <w:t xml:space="preserve">dice, ulcers, wounds, and respiratory infections has been validated by the studies (Yadav et al., 2021). Further, pharmacological research indicates that gmelina leaf and bark extracts have great hepatoprotective properties in test animals. exposed to </w:t>
      </w:r>
      <w:r>
        <w:rPr>
          <w:rFonts w:ascii="Times New Roman" w:hAnsi="Times New Roman" w:cs="Times New Roman"/>
          <w:sz w:val="24"/>
          <w:szCs w:val="24"/>
        </w:rPr>
        <w:lastRenderedPageBreak/>
        <w:t>hepa</w:t>
      </w:r>
      <w:r>
        <w:rPr>
          <w:rFonts w:ascii="Times New Roman" w:hAnsi="Times New Roman" w:cs="Times New Roman"/>
          <w:sz w:val="24"/>
          <w:szCs w:val="24"/>
        </w:rPr>
        <w:t>totoxins, which show potent free radical scavenging and antioxidant activity (Jain &amp; Patel, 2024). The paper demonstrates the plant’s potential for the management of liver disease worldwide.</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Subsequent investigations demonstrated antimicrobial activity aga</w:t>
      </w:r>
      <w:r>
        <w:rPr>
          <w:rFonts w:ascii="Times New Roman" w:hAnsi="Times New Roman" w:cs="Times New Roman"/>
          <w:sz w:val="24"/>
          <w:szCs w:val="24"/>
        </w:rPr>
        <w:t>inst a wide range of bacteria and fungi, indicating its potential for treating infectious diseases and supporting ethnomedicinal assertions (Singh et al., 2018). It has been associated with analgesic and anti-inflammatory effects, as well as with prostagla</w:t>
      </w:r>
      <w:r>
        <w:rPr>
          <w:rFonts w:ascii="Times New Roman" w:hAnsi="Times New Roman" w:cs="Times New Roman"/>
          <w:sz w:val="24"/>
          <w:szCs w:val="24"/>
        </w:rPr>
        <w:t>ndin synthesis of prostaglandins and the regulation of inflammatory mediators, which justifies its application in the treatment of pain and inflammation (Yadav et al., 2021). Gmelina arborea also exhibits antidiabetic activity by increasing insulin secreti</w:t>
      </w:r>
      <w:r>
        <w:rPr>
          <w:rFonts w:ascii="Times New Roman" w:hAnsi="Times New Roman" w:cs="Times New Roman"/>
          <w:sz w:val="24"/>
          <w:szCs w:val="24"/>
        </w:rPr>
        <w:t>on and glucose uptake, consistent with its use in rural folk medicine in the treatment of diabetes mellitus (Kumari &amp; Bhat, 2019). The variety of pharmacological activities underscores the significance of gmelina not only as a traditional medicine but also</w:t>
      </w:r>
      <w:r>
        <w:rPr>
          <w:rFonts w:ascii="Times New Roman" w:hAnsi="Times New Roman" w:cs="Times New Roman"/>
          <w:sz w:val="24"/>
          <w:szCs w:val="24"/>
        </w:rPr>
        <w:t xml:space="preserve"> as a promising pharmaceutical product worldwide.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Gmelina is widely used in the traditional medicine of the Philippines. Ethnobotanical surveys of indigenous populations in Western Visayas (Panay Bukidnon) and in the Luzon (Kalanguya tribe) and other ethn</w:t>
      </w:r>
      <w:r>
        <w:rPr>
          <w:rFonts w:ascii="Times New Roman" w:hAnsi="Times New Roman" w:cs="Times New Roman"/>
          <w:sz w:val="24"/>
          <w:szCs w:val="24"/>
        </w:rPr>
        <w:t>ic communities revealed that Gmelina arborea leaves, bark, and roots were used in various medicinal purposes (Cordero et al., 2022; Mendoza, 2016).  Gmelina arborea has been used conventionally as an antipyretic, analgesic, anti-inflammatory, and antimicro</w:t>
      </w:r>
      <w:r>
        <w:rPr>
          <w:rFonts w:ascii="Times New Roman" w:hAnsi="Times New Roman" w:cs="Times New Roman"/>
          <w:sz w:val="24"/>
          <w:szCs w:val="24"/>
        </w:rPr>
        <w:t>bial agent. Tribe healers also treat common illnesses such as cough, fever, urinary tract infection, hypertension, and wounds using leaf decoction (Lalit et al., 2022). Leaves and roots are used as poultices to treat toothache and skin infections, with pre</w:t>
      </w:r>
      <w:r>
        <w:rPr>
          <w:rFonts w:ascii="Times New Roman" w:hAnsi="Times New Roman" w:cs="Times New Roman"/>
          <w:sz w:val="24"/>
          <w:szCs w:val="24"/>
        </w:rPr>
        <w:t>parations used both internally and topically.</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i/>
          <w:iCs/>
          <w:sz w:val="24"/>
          <w:szCs w:val="24"/>
        </w:rPr>
        <w:t>Gmelina arborea</w:t>
      </w:r>
      <w:r>
        <w:rPr>
          <w:rFonts w:ascii="Times New Roman" w:hAnsi="Times New Roman" w:cs="Times New Roman"/>
          <w:sz w:val="24"/>
          <w:szCs w:val="24"/>
        </w:rPr>
        <w:t xml:space="preserve"> has been known to have traditional medical uses to the native people of Mindanao, including the Manobo and Mandaya tribes. The plant is commonly used as an herbal medicine for the treatment of a</w:t>
      </w:r>
      <w:r>
        <w:rPr>
          <w:rFonts w:ascii="Times New Roman" w:hAnsi="Times New Roman" w:cs="Times New Roman"/>
          <w:sz w:val="24"/>
          <w:szCs w:val="24"/>
        </w:rPr>
        <w:t xml:space="preserve"> variety of illnesses, which include fever, cough, rheumatism, wounds, and inflammation. Scientists in the area seek to establish traditional applications by screening bioactive compounds and by testing their pharmacological effects to emphasize their cont</w:t>
      </w:r>
      <w:r>
        <w:rPr>
          <w:rFonts w:ascii="Times New Roman" w:hAnsi="Times New Roman" w:cs="Times New Roman"/>
          <w:sz w:val="24"/>
          <w:szCs w:val="24"/>
        </w:rPr>
        <w:t>inued significance in healthcare systems of the indigenous populations (Pucot et al., 2019). Local healers use leaf and bark decoctions to treat the symptoms of respiratory infections and to stimulate wound healing. Ethnobotanical surveys confirmed that Gm</w:t>
      </w:r>
      <w:r>
        <w:rPr>
          <w:rFonts w:ascii="Times New Roman" w:hAnsi="Times New Roman" w:cs="Times New Roman"/>
          <w:sz w:val="24"/>
          <w:szCs w:val="24"/>
        </w:rPr>
        <w:t xml:space="preserve">elina is among the most cited medicinal plants in Mindanao because of its accessibility and wide therapeutic spectrum (Manting, 2019). </w:t>
      </w:r>
    </w:p>
    <w:p w:rsidR="00F03517" w:rsidRDefault="00F3380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Balbas-pusa, also known as </w:t>
      </w:r>
      <w:r>
        <w:rPr>
          <w:rFonts w:ascii="Times New Roman" w:hAnsi="Times New Roman" w:cs="Times New Roman"/>
          <w:i/>
          <w:iCs/>
          <w:sz w:val="24"/>
          <w:szCs w:val="24"/>
        </w:rPr>
        <w:t>Orthosiphon aristatus</w:t>
      </w:r>
      <w:r>
        <w:rPr>
          <w:rFonts w:ascii="Times New Roman" w:hAnsi="Times New Roman" w:cs="Times New Roman"/>
          <w:sz w:val="24"/>
          <w:szCs w:val="24"/>
        </w:rPr>
        <w:t>, is a widely used medicinal plant in Southeast Asia, particularly value</w:t>
      </w:r>
      <w:r>
        <w:rPr>
          <w:rFonts w:ascii="Times New Roman" w:hAnsi="Times New Roman" w:cs="Times New Roman"/>
          <w:sz w:val="24"/>
          <w:szCs w:val="24"/>
        </w:rPr>
        <w:t>d because of its therapeutic properties in traditional medicine. Commonly known as "cat's whiskers," it has been used as a diuretic and herbal remedy for ailments such as kidney and urinary tract problems, hypertension, diabetes, and inflammation (</w:t>
      </w:r>
      <w:r>
        <w:rPr>
          <w:rFonts w:ascii="Times New Roman" w:hAnsi="Times New Roman" w:cs="Times New Roman"/>
          <w:color w:val="000000"/>
          <w:sz w:val="24"/>
          <w:szCs w:val="24"/>
        </w:rPr>
        <w:t>Herbanex</w:t>
      </w:r>
      <w:r>
        <w:rPr>
          <w:rFonts w:ascii="Times New Roman" w:hAnsi="Times New Roman" w:cs="Times New Roman"/>
          <w:color w:val="000000"/>
          <w:sz w:val="24"/>
          <w:szCs w:val="24"/>
        </w:rPr>
        <w:t>t Laboratories, 2022). M</w:t>
      </w:r>
      <w:r>
        <w:rPr>
          <w:rFonts w:ascii="Times New Roman" w:hAnsi="Times New Roman" w:cs="Times New Roman"/>
          <w:sz w:val="24"/>
          <w:szCs w:val="24"/>
        </w:rPr>
        <w:t>oreover, phytochemical screening of Balbas-pusa (</w:t>
      </w:r>
      <w:r>
        <w:rPr>
          <w:rFonts w:ascii="Times New Roman" w:hAnsi="Times New Roman" w:cs="Times New Roman"/>
          <w:i/>
          <w:iCs/>
          <w:sz w:val="24"/>
          <w:szCs w:val="24"/>
        </w:rPr>
        <w:t>Orthosiphon aristatus</w:t>
      </w:r>
      <w:r>
        <w:rPr>
          <w:rFonts w:ascii="Times New Roman" w:hAnsi="Times New Roman" w:cs="Times New Roman"/>
          <w:sz w:val="24"/>
          <w:szCs w:val="24"/>
        </w:rPr>
        <w:t>) revealed significant levels of phenolic acids and flavonoids, including rasmorinic acid, known for its antioxidant and anti-inflammatory effects</w:t>
      </w:r>
      <w:r>
        <w:rPr>
          <w:rFonts w:ascii="Times New Roman" w:hAnsi="Times New Roman" w:cs="Times New Roman"/>
          <w:color w:val="000000"/>
          <w:sz w:val="24"/>
          <w:szCs w:val="24"/>
        </w:rPr>
        <w:t xml:space="preserve"> (Lim et al., 20</w:t>
      </w:r>
      <w:r>
        <w:rPr>
          <w:rFonts w:ascii="Times New Roman" w:hAnsi="Times New Roman" w:cs="Times New Roman"/>
          <w:color w:val="000000"/>
          <w:sz w:val="24"/>
          <w:szCs w:val="24"/>
        </w:rPr>
        <w:t>18).</w:t>
      </w:r>
      <w:r>
        <w:rPr>
          <w:rFonts w:ascii="Times New Roman" w:hAnsi="Times New Roman" w:cs="Times New Roman"/>
          <w:color w:val="C00000"/>
          <w:sz w:val="24"/>
          <w:szCs w:val="24"/>
        </w:rPr>
        <w:t xml:space="preserve"> </w:t>
      </w:r>
      <w:r>
        <w:rPr>
          <w:rFonts w:ascii="Times New Roman" w:hAnsi="Times New Roman" w:cs="Times New Roman"/>
          <w:sz w:val="24"/>
          <w:szCs w:val="24"/>
        </w:rPr>
        <w:t>Pharmacological studies support its traditional application in treating oxidative-stress-related diseases, with genotypic variations that influence its efficacy (Mangali</w:t>
      </w:r>
      <w:r>
        <w:rPr>
          <w:rFonts w:ascii="Times New Roman" w:hAnsi="Times New Roman" w:cs="Times New Roman"/>
          <w:color w:val="000000"/>
          <w:sz w:val="24"/>
          <w:szCs w:val="24"/>
        </w:rPr>
        <w:t>, 2020).</w:t>
      </w:r>
    </w:p>
    <w:p w:rsidR="00F03517" w:rsidRDefault="00F3380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In addition, studies demonstrated multiple pharmacological effects, inclu</w:t>
      </w:r>
      <w:r>
        <w:rPr>
          <w:rFonts w:ascii="Times New Roman" w:hAnsi="Times New Roman" w:cs="Times New Roman"/>
          <w:sz w:val="24"/>
          <w:szCs w:val="24"/>
        </w:rPr>
        <w:t xml:space="preserve">ding antidiabetic, nephroprotective, and antimicrobial properties. Leaf extracts inhibit the production of inflammatory mediators and free radicals, which supports its traditional use for inflammatory diseases and kidney disorders (Pimentel et al., 2022). </w:t>
      </w:r>
      <w:r>
        <w:rPr>
          <w:rFonts w:ascii="Times New Roman" w:hAnsi="Times New Roman" w:cs="Times New Roman"/>
          <w:sz w:val="24"/>
          <w:szCs w:val="24"/>
        </w:rPr>
        <w:t>Researchers also highlight Balbas-pusa’s potential to regulate blood glucose levels and alleviate obesity related symptoms. The combination of its bioactive compounds contributes to its effectiveness in managing chronic conditions like diabetes and hyperte</w:t>
      </w:r>
      <w:r>
        <w:rPr>
          <w:rFonts w:ascii="Times New Roman" w:hAnsi="Times New Roman" w:cs="Times New Roman"/>
          <w:sz w:val="24"/>
          <w:szCs w:val="24"/>
        </w:rPr>
        <w:t>nsion (Mangali, 2020</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The plant is primarily used for its diuretic properties that aid in treating kidney stones, cystitis, urethritis, gout, and other urinary tract disorders </w:t>
      </w:r>
      <w:r>
        <w:rPr>
          <w:rFonts w:ascii="Times New Roman" w:hAnsi="Times New Roman" w:cs="Times New Roman"/>
          <w:color w:val="000000"/>
          <w:sz w:val="24"/>
          <w:szCs w:val="24"/>
        </w:rPr>
        <w:t>(The Useful Tropical Plants Database, 2025).</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i/>
          <w:iCs/>
          <w:sz w:val="24"/>
          <w:szCs w:val="24"/>
        </w:rPr>
        <w:t>Orthosiphon aristatus</w:t>
      </w:r>
      <w:r>
        <w:rPr>
          <w:rFonts w:ascii="Times New Roman" w:hAnsi="Times New Roman" w:cs="Times New Roman"/>
          <w:iCs/>
          <w:sz w:val="24"/>
          <w:szCs w:val="24"/>
        </w:rPr>
        <w:t xml:space="preserve"> </w:t>
      </w:r>
      <w:r>
        <w:rPr>
          <w:rFonts w:ascii="Times New Roman" w:hAnsi="Times New Roman" w:cs="Times New Roman"/>
          <w:sz w:val="24"/>
          <w:szCs w:val="24"/>
        </w:rPr>
        <w:t>extracts demonstrated antihypertensive, anti-inflammatory, and antioxidant activities clinically and experimentally. Key bioactive compounds, including rosmarinic acid, sinensetin, eupatorin, and ursolic acid, help reduce edema, inhibit nitric oxide produc</w:t>
      </w:r>
      <w:r>
        <w:rPr>
          <w:rFonts w:ascii="Times New Roman" w:hAnsi="Times New Roman" w:cs="Times New Roman"/>
          <w:sz w:val="24"/>
          <w:szCs w:val="24"/>
        </w:rPr>
        <w:t>tion, and protect against oxidative tissue damage (Yam et al., 2017). Additionally, the plant exhibits antidiabetic effects by regulating glucose metabolism and insulin secretion, and by increasing and inhibiting carbohydrate-digesting enzymes, including β</w:t>
      </w:r>
      <w:r>
        <w:rPr>
          <w:rFonts w:ascii="Times New Roman" w:hAnsi="Times New Roman" w:cs="Times New Roman"/>
          <w:sz w:val="24"/>
          <w:szCs w:val="24"/>
        </w:rPr>
        <w:t xml:space="preserve">-glucosidase and α-amylase (Zareisedehizadeh et al., 2023). In wound healing, including diabetic foot ulcers, </w:t>
      </w:r>
      <w:r>
        <w:rPr>
          <w:rFonts w:ascii="Times New Roman" w:hAnsi="Times New Roman" w:cs="Times New Roman"/>
          <w:i/>
          <w:iCs/>
          <w:sz w:val="24"/>
          <w:szCs w:val="24"/>
        </w:rPr>
        <w:t xml:space="preserve">Orthosiphon aristatus </w:t>
      </w:r>
      <w:r>
        <w:rPr>
          <w:rFonts w:ascii="Times New Roman" w:hAnsi="Times New Roman" w:cs="Times New Roman"/>
          <w:sz w:val="24"/>
          <w:szCs w:val="24"/>
        </w:rPr>
        <w:t>is known for its anti-inflammatory, antioxidant, and antihyperglycemic activities. In oral administration, this plant extrac</w:t>
      </w:r>
      <w:r>
        <w:rPr>
          <w:rFonts w:ascii="Times New Roman" w:hAnsi="Times New Roman" w:cs="Times New Roman"/>
          <w:sz w:val="24"/>
          <w:szCs w:val="24"/>
        </w:rPr>
        <w:t xml:space="preserve">t has been reported to be non-toxic at high doses (Nasir et al., 2020). </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iCs/>
          <w:sz w:val="24"/>
          <w:szCs w:val="24"/>
        </w:rPr>
        <w:t xml:space="preserve">Orthosiphon aristatus, </w:t>
      </w:r>
      <w:r>
        <w:rPr>
          <w:rFonts w:ascii="Times New Roman" w:hAnsi="Times New Roman" w:cs="Times New Roman"/>
          <w:sz w:val="24"/>
          <w:szCs w:val="24"/>
        </w:rPr>
        <w:t xml:space="preserve">also known as Cat whiskers or Java tea, is renowned across Southeast Asia and other tropical regions for its diverse medicinal properties. Traditionally, this </w:t>
      </w:r>
      <w:r>
        <w:rPr>
          <w:rFonts w:ascii="Times New Roman" w:hAnsi="Times New Roman" w:cs="Times New Roman"/>
          <w:sz w:val="24"/>
          <w:szCs w:val="24"/>
        </w:rPr>
        <w:t xml:space="preserve">plant is utilized in Malaysia, Indonesia, Thailand, and the Philippines. The plant is primarily used to treat urinary tract infections, kidney stones, hypertension, diabetes, and inflammatory conditions (Kalusalingam et al., 2024). Research indicates that </w:t>
      </w:r>
      <w:r>
        <w:rPr>
          <w:rFonts w:ascii="Times New Roman" w:hAnsi="Times New Roman" w:cs="Times New Roman"/>
          <w:sz w:val="24"/>
          <w:szCs w:val="24"/>
        </w:rPr>
        <w:t>it has an effective diuretic, anti-inflammatory, antioxidant, antimicrobial, hepatoprotective, and antidiabetic effect (Yam et al., 2017). Additionally, the plant is valued in traditional medicine for its usefulness in the treatment of rheumatoid arthritis</w:t>
      </w:r>
      <w:r>
        <w:rPr>
          <w:rFonts w:ascii="Times New Roman" w:hAnsi="Times New Roman" w:cs="Times New Roman"/>
          <w:sz w:val="24"/>
          <w:szCs w:val="24"/>
        </w:rPr>
        <w:t>, gallstones, menstrual disorders, and respiratory disorders (Rizkita et al., 2023). These plants are commonly used to make tea or, in tropical regions, to make tea with their leaves.</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Orthosiphon aristatus</w:t>
      </w:r>
      <w:r>
        <w:rPr>
          <w:rFonts w:ascii="Times New Roman" w:hAnsi="Times New Roman" w:cs="Times New Roman"/>
          <w:sz w:val="24"/>
          <w:szCs w:val="24"/>
        </w:rPr>
        <w:t>, commonly known as balbas-pusa or kaling-gubat in</w:t>
      </w:r>
      <w:r>
        <w:rPr>
          <w:rFonts w:ascii="Times New Roman" w:hAnsi="Times New Roman" w:cs="Times New Roman"/>
          <w:sz w:val="24"/>
          <w:szCs w:val="24"/>
        </w:rPr>
        <w:t xml:space="preserve"> the Philippines, is widely used as a medicinal herb in the country (Cordero et al., 2022). It is a plant that naturally grows in thickets at low and medium altitudes in such provinces as Cagayan, Isabela, Nueva Ecija, Pampanga, Bulacan, and Rizal in Luzon</w:t>
      </w:r>
      <w:r>
        <w:rPr>
          <w:rFonts w:ascii="Times New Roman" w:hAnsi="Times New Roman" w:cs="Times New Roman"/>
          <w:sz w:val="24"/>
          <w:szCs w:val="24"/>
        </w:rPr>
        <w:t xml:space="preserve"> and the Panay Island, including Iloilo Province in Visayas, Agusan del Norte, Davao del Sur, Zamboanga del Norte, Bukidnon, and Cotabato (Cordero et al., 2022). Research in Panay and Bukidnon demonstrates that this plant is used as a diuretic or to treat </w:t>
      </w:r>
      <w:r>
        <w:rPr>
          <w:rFonts w:ascii="Times New Roman" w:hAnsi="Times New Roman" w:cs="Times New Roman"/>
          <w:sz w:val="24"/>
          <w:szCs w:val="24"/>
        </w:rPr>
        <w:t>kidney and urinary tract diseases and that this practice has remained unchanged over generations (Cordero et al., 2022). The leaves are used in forms of decoctions or teas to treat hypertension, edema, inflammation, and urinary tract infections (Pimentel e</w:t>
      </w:r>
      <w:r>
        <w:rPr>
          <w:rFonts w:ascii="Times New Roman" w:hAnsi="Times New Roman" w:cs="Times New Roman"/>
          <w:sz w:val="24"/>
          <w:szCs w:val="24"/>
        </w:rPr>
        <w:t xml:space="preserve">t al., 2022). </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O. aristatus</w:t>
      </w:r>
      <w:r>
        <w:rPr>
          <w:rFonts w:ascii="Times New Roman" w:hAnsi="Times New Roman" w:cs="Times New Roman"/>
          <w:sz w:val="24"/>
          <w:szCs w:val="24"/>
        </w:rPr>
        <w:t xml:space="preserve"> in Mindanao </w:t>
      </w:r>
      <w:r>
        <w:rPr>
          <w:rFonts w:ascii="Times New Roman" w:hAnsi="Times New Roman" w:cs="Times New Roman"/>
          <w:i/>
          <w:iCs/>
          <w:sz w:val="24"/>
          <w:szCs w:val="24"/>
        </w:rPr>
        <w:t>O. aristatus</w:t>
      </w:r>
      <w:r>
        <w:rPr>
          <w:rFonts w:ascii="Times New Roman" w:hAnsi="Times New Roman" w:cs="Times New Roman"/>
          <w:sz w:val="24"/>
          <w:szCs w:val="24"/>
        </w:rPr>
        <w:t xml:space="preserve"> is used in indigenous communities, including Manobo and Subanen, as a diuretic and treatment of kidney and urinary tract conditions, including urinary tract infection, kidney stones, hypertension, and e</w:t>
      </w:r>
      <w:r>
        <w:rPr>
          <w:rFonts w:ascii="Times New Roman" w:hAnsi="Times New Roman" w:cs="Times New Roman"/>
          <w:sz w:val="24"/>
          <w:szCs w:val="24"/>
        </w:rPr>
        <w:t xml:space="preserve">dema (Cordero et al., 2022). To boost renal health and support detoxification, it is commonly brewed into tea. Indigenous medicine in Mindanao is known to have a rich biodiversity and cultural heritage, with </w:t>
      </w:r>
      <w:r>
        <w:rPr>
          <w:rFonts w:ascii="Times New Roman" w:hAnsi="Times New Roman" w:cs="Times New Roman"/>
          <w:i/>
          <w:iCs/>
          <w:sz w:val="24"/>
          <w:szCs w:val="24"/>
        </w:rPr>
        <w:t xml:space="preserve">O. aristatus </w:t>
      </w:r>
      <w:r>
        <w:rPr>
          <w:rFonts w:ascii="Times New Roman" w:hAnsi="Times New Roman" w:cs="Times New Roman"/>
          <w:sz w:val="24"/>
          <w:szCs w:val="24"/>
        </w:rPr>
        <w:t>serving as a source of medicine not</w:t>
      </w:r>
      <w:r>
        <w:rPr>
          <w:rFonts w:ascii="Times New Roman" w:hAnsi="Times New Roman" w:cs="Times New Roman"/>
          <w:sz w:val="24"/>
          <w:szCs w:val="24"/>
        </w:rPr>
        <w:t xml:space="preserve"> only in indigenous healthcare but also in the development of potential drugs. Locally known as Agik-agik, it is a medicinal and culinary plant used in traditional medicine among various indigenous groups in the Philippines and other tropical regions. Agik</w:t>
      </w:r>
      <w:r>
        <w:rPr>
          <w:rFonts w:ascii="Times New Roman" w:hAnsi="Times New Roman" w:cs="Times New Roman"/>
          <w:sz w:val="24"/>
          <w:szCs w:val="24"/>
        </w:rPr>
        <w:t xml:space="preserve">-agik is known for its analgesic, anti-inflammatory, and antimicrobial properties, largely attributed to its rich phytochemical profile, including alkaloids, flavonoids, and phenolic compounds (Cordero et al., 2022). These findings justify the traditional </w:t>
      </w:r>
      <w:r>
        <w:rPr>
          <w:rFonts w:ascii="Times New Roman" w:hAnsi="Times New Roman" w:cs="Times New Roman"/>
          <w:sz w:val="24"/>
          <w:szCs w:val="24"/>
        </w:rPr>
        <w:t>uses of Agik-agik in pain relief and its emerging status as a nutraceutical resource (Paul et al., 2022). Ethnobotanical studies documented the uses of Agik-agik in treating oral health issues, wounds, and inflammation. The plant is also traditionally used</w:t>
      </w:r>
      <w:r>
        <w:rPr>
          <w:rFonts w:ascii="Times New Roman" w:hAnsi="Times New Roman" w:cs="Times New Roman"/>
          <w:sz w:val="24"/>
          <w:szCs w:val="24"/>
        </w:rPr>
        <w:t xml:space="preserve"> to alleviate toothaches, muscle pain, and skin conditions, often as a poultice or a decoction (Baddu &amp; Ouano, 2018).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Acmella oleracea </w:t>
      </w:r>
      <w:r>
        <w:rPr>
          <w:rFonts w:ascii="Times New Roman" w:hAnsi="Times New Roman" w:cs="Times New Roman"/>
          <w:sz w:val="24"/>
          <w:szCs w:val="24"/>
        </w:rPr>
        <w:t>is widely recognized for its medicinal and pharmacological applications, particularly its bioactive compounds, including</w:t>
      </w:r>
      <w:r>
        <w:rPr>
          <w:rFonts w:ascii="Times New Roman" w:hAnsi="Times New Roman" w:cs="Times New Roman"/>
          <w:sz w:val="24"/>
          <w:szCs w:val="24"/>
        </w:rPr>
        <w:t xml:space="preserve"> spilanthol, which is a potent isobutylamide. The plant is traditionally used to treat toothache, gum infection, sore throat, and various inflammatory conditions due to its local anesthetic and anti-inflammatory effects </w:t>
      </w:r>
      <w:r>
        <w:rPr>
          <w:rFonts w:ascii="Times New Roman" w:hAnsi="Times New Roman" w:cs="Times New Roman"/>
          <w:color w:val="000000"/>
          <w:sz w:val="24"/>
          <w:szCs w:val="24"/>
        </w:rPr>
        <w:t>(Asian Journal of Pharmaceutical Res</w:t>
      </w:r>
      <w:r>
        <w:rPr>
          <w:rFonts w:ascii="Times New Roman" w:hAnsi="Times New Roman" w:cs="Times New Roman"/>
          <w:color w:val="000000"/>
          <w:sz w:val="24"/>
          <w:szCs w:val="24"/>
        </w:rPr>
        <w:t>earch, 2022).</w:t>
      </w:r>
      <w:r>
        <w:rPr>
          <w:rFonts w:ascii="Times New Roman" w:hAnsi="Times New Roman" w:cs="Times New Roman"/>
          <w:color w:val="C00000"/>
          <w:sz w:val="24"/>
          <w:szCs w:val="24"/>
        </w:rPr>
        <w:t xml:space="preserve"> </w:t>
      </w:r>
      <w:r>
        <w:rPr>
          <w:rFonts w:ascii="Times New Roman" w:hAnsi="Times New Roman" w:cs="Times New Roman"/>
          <w:sz w:val="24"/>
          <w:szCs w:val="24"/>
        </w:rPr>
        <w:t xml:space="preserve">The significance of </w:t>
      </w:r>
      <w:r>
        <w:rPr>
          <w:rFonts w:ascii="Times New Roman" w:hAnsi="Times New Roman" w:cs="Times New Roman"/>
          <w:i/>
          <w:iCs/>
          <w:sz w:val="24"/>
          <w:szCs w:val="24"/>
        </w:rPr>
        <w:t>Acmella oleracea</w:t>
      </w:r>
      <w:r>
        <w:rPr>
          <w:rFonts w:ascii="Times New Roman" w:hAnsi="Times New Roman" w:cs="Times New Roman"/>
          <w:sz w:val="24"/>
          <w:szCs w:val="24"/>
        </w:rPr>
        <w:t xml:space="preserve"> is also highlighted by its nutritional value, which is used in both food and medicinal plants in Filipino indigenous communities. These two roles promote conservation and proper interest in its phytochemic</w:t>
      </w:r>
      <w:r>
        <w:rPr>
          <w:rFonts w:ascii="Times New Roman" w:hAnsi="Times New Roman" w:cs="Times New Roman"/>
          <w:sz w:val="24"/>
          <w:szCs w:val="24"/>
        </w:rPr>
        <w:t>al screening and pharmacological validation for a wider therapeutic application.</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Recent in vitro studies by Ojeda-Garces (2024) showed that ethanol extracts of </w:t>
      </w:r>
      <w:r>
        <w:rPr>
          <w:rFonts w:ascii="Times New Roman" w:hAnsi="Times New Roman" w:cs="Times New Roman"/>
          <w:i/>
          <w:iCs/>
          <w:sz w:val="24"/>
          <w:szCs w:val="24"/>
        </w:rPr>
        <w:t xml:space="preserve">Spilanthes acmella </w:t>
      </w:r>
      <w:r>
        <w:rPr>
          <w:rFonts w:ascii="Times New Roman" w:hAnsi="Times New Roman" w:cs="Times New Roman"/>
          <w:sz w:val="24"/>
          <w:szCs w:val="24"/>
        </w:rPr>
        <w:t xml:space="preserve">(synonym </w:t>
      </w:r>
      <w:r>
        <w:rPr>
          <w:rFonts w:ascii="Times New Roman" w:hAnsi="Times New Roman" w:cs="Times New Roman"/>
          <w:i/>
          <w:iCs/>
          <w:sz w:val="24"/>
          <w:szCs w:val="24"/>
        </w:rPr>
        <w:t>Acmella oleracea</w:t>
      </w:r>
      <w:r>
        <w:rPr>
          <w:rFonts w:ascii="Times New Roman" w:hAnsi="Times New Roman" w:cs="Times New Roman"/>
          <w:sz w:val="24"/>
          <w:szCs w:val="24"/>
        </w:rPr>
        <w:t>) demonstrate antibacterial activity against oral pa</w:t>
      </w:r>
      <w:r>
        <w:rPr>
          <w:rFonts w:ascii="Times New Roman" w:hAnsi="Times New Roman" w:cs="Times New Roman"/>
          <w:sz w:val="24"/>
          <w:szCs w:val="24"/>
        </w:rPr>
        <w:t xml:space="preserve">thogens such as </w:t>
      </w:r>
      <w:r>
        <w:rPr>
          <w:rFonts w:ascii="Times New Roman" w:hAnsi="Times New Roman" w:cs="Times New Roman"/>
          <w:i/>
          <w:iCs/>
          <w:sz w:val="24"/>
          <w:szCs w:val="24"/>
        </w:rPr>
        <w:t xml:space="preserve">Streptococcus mutans </w:t>
      </w:r>
      <w:r>
        <w:rPr>
          <w:rFonts w:ascii="Times New Roman" w:hAnsi="Times New Roman" w:cs="Times New Roman"/>
          <w:sz w:val="24"/>
          <w:szCs w:val="24"/>
        </w:rPr>
        <w:t xml:space="preserve">and </w:t>
      </w:r>
      <w:r>
        <w:rPr>
          <w:rFonts w:ascii="Times New Roman" w:hAnsi="Times New Roman" w:cs="Times New Roman"/>
          <w:i/>
          <w:iCs/>
          <w:sz w:val="24"/>
          <w:szCs w:val="24"/>
        </w:rPr>
        <w:t xml:space="preserve">Lactobacillus fermentum, </w:t>
      </w:r>
      <w:r>
        <w:rPr>
          <w:rFonts w:ascii="Times New Roman" w:hAnsi="Times New Roman" w:cs="Times New Roman"/>
          <w:sz w:val="24"/>
          <w:szCs w:val="24"/>
        </w:rPr>
        <w:t xml:space="preserve">which are responsible for dental caries, and </w:t>
      </w:r>
      <w:r>
        <w:rPr>
          <w:rFonts w:ascii="Times New Roman" w:hAnsi="Times New Roman" w:cs="Times New Roman"/>
          <w:i/>
          <w:iCs/>
          <w:sz w:val="24"/>
          <w:szCs w:val="24"/>
        </w:rPr>
        <w:t xml:space="preserve">Porphyromonas gingivalis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Capnocytophaga gingivalis </w:t>
      </w:r>
      <w:r>
        <w:rPr>
          <w:rFonts w:ascii="Times New Roman" w:hAnsi="Times New Roman" w:cs="Times New Roman"/>
          <w:sz w:val="24"/>
          <w:szCs w:val="24"/>
        </w:rPr>
        <w:t>are associated with periodontal disease. The antimicrobial effects were said to be concent</w:t>
      </w:r>
      <w:r>
        <w:rPr>
          <w:rFonts w:ascii="Times New Roman" w:hAnsi="Times New Roman" w:cs="Times New Roman"/>
          <w:sz w:val="24"/>
          <w:szCs w:val="24"/>
        </w:rPr>
        <w:t>ration-dependent, meaning that at higher concentrations they showed stronger inhibition zones, comparable in respect to those of erythromycin. In addition, an adjunctive randomized controlled clinical trial evaluated scaling and root planning (SRP) for the</w:t>
      </w:r>
      <w:r>
        <w:rPr>
          <w:rFonts w:ascii="Times New Roman" w:hAnsi="Times New Roman" w:cs="Times New Roman"/>
          <w:sz w:val="24"/>
          <w:szCs w:val="24"/>
        </w:rPr>
        <w:t xml:space="preserve"> treatment of chronic generalised periodontitis. Local drug-delivery gels containing </w:t>
      </w:r>
      <w:r>
        <w:rPr>
          <w:rFonts w:ascii="Times New Roman" w:hAnsi="Times New Roman" w:cs="Times New Roman"/>
          <w:i/>
          <w:iCs/>
          <w:sz w:val="24"/>
          <w:szCs w:val="24"/>
        </w:rPr>
        <w:t xml:space="preserve">A. oleracea </w:t>
      </w:r>
      <w:r>
        <w:rPr>
          <w:rFonts w:ascii="Times New Roman" w:hAnsi="Times New Roman" w:cs="Times New Roman"/>
          <w:sz w:val="24"/>
          <w:szCs w:val="24"/>
        </w:rPr>
        <w:t xml:space="preserve">(1%) or </w:t>
      </w:r>
      <w:r>
        <w:rPr>
          <w:rFonts w:ascii="Times New Roman" w:hAnsi="Times New Roman" w:cs="Times New Roman"/>
          <w:i/>
          <w:iCs/>
          <w:sz w:val="24"/>
          <w:szCs w:val="24"/>
        </w:rPr>
        <w:t xml:space="preserve">Acacia catechu </w:t>
      </w:r>
      <w:r>
        <w:rPr>
          <w:rFonts w:ascii="Times New Roman" w:hAnsi="Times New Roman" w:cs="Times New Roman"/>
          <w:sz w:val="24"/>
          <w:szCs w:val="24"/>
        </w:rPr>
        <w:t>(1%) were used to treat 30 patients compared to SRP alone. Improvements in clinical parameters, including the gingival index, plaque dep</w:t>
      </w:r>
      <w:r>
        <w:rPr>
          <w:rFonts w:ascii="Times New Roman" w:hAnsi="Times New Roman" w:cs="Times New Roman"/>
          <w:sz w:val="24"/>
          <w:szCs w:val="24"/>
        </w:rPr>
        <w:t>th, and clinical attachment level, were statistically significant over six months.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However, microbial analysis showed nonsignificant but positive trends in reducing periodontopathogens. According to Verma et al. (2022), </w:t>
      </w:r>
      <w:r>
        <w:rPr>
          <w:rFonts w:ascii="Times New Roman" w:hAnsi="Times New Roman" w:cs="Times New Roman"/>
          <w:i/>
          <w:iCs/>
          <w:sz w:val="24"/>
          <w:szCs w:val="24"/>
        </w:rPr>
        <w:t xml:space="preserve">A. Oleracea </w:t>
      </w:r>
      <w:r>
        <w:rPr>
          <w:rFonts w:ascii="Times New Roman" w:hAnsi="Times New Roman" w:cs="Times New Roman"/>
          <w:sz w:val="24"/>
          <w:szCs w:val="24"/>
        </w:rPr>
        <w:t>gel combined with SRP ha</w:t>
      </w:r>
      <w:r>
        <w:rPr>
          <w:rFonts w:ascii="Times New Roman" w:hAnsi="Times New Roman" w:cs="Times New Roman"/>
          <w:sz w:val="24"/>
          <w:szCs w:val="24"/>
        </w:rPr>
        <w:t xml:space="preserve">s beneficial anti-inflammatory and healing effects in the management. These results scientifically validate </w:t>
      </w:r>
      <w:r>
        <w:rPr>
          <w:rFonts w:ascii="Times New Roman" w:hAnsi="Times New Roman" w:cs="Times New Roman"/>
          <w:sz w:val="24"/>
          <w:szCs w:val="24"/>
        </w:rPr>
        <w:lastRenderedPageBreak/>
        <w:t>the traditional uses of Agik-agik for toothache relief, oral wounds, and infection control, suggesting potential as a natural ingredient in dental c</w:t>
      </w:r>
      <w:r>
        <w:rPr>
          <w:rFonts w:ascii="Times New Roman" w:hAnsi="Times New Roman" w:cs="Times New Roman"/>
          <w:sz w:val="24"/>
          <w:szCs w:val="24"/>
        </w:rPr>
        <w:t>are products.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the leaves and flowers of Agik-agik are commonly used in decoctions or poultices for oral health, respiratory conditions such as coughs and influenza, and as a remedy for rheumatism, dysentery, and gastrointestinal disorders (</w:t>
      </w:r>
      <w:r>
        <w:rPr>
          <w:rFonts w:ascii="Times New Roman" w:hAnsi="Times New Roman" w:cs="Times New Roman"/>
          <w:color w:val="000000"/>
          <w:sz w:val="24"/>
          <w:szCs w:val="24"/>
        </w:rPr>
        <w:t>Asi</w:t>
      </w:r>
      <w:r>
        <w:rPr>
          <w:rFonts w:ascii="Times New Roman" w:hAnsi="Times New Roman" w:cs="Times New Roman"/>
          <w:color w:val="000000"/>
          <w:sz w:val="24"/>
          <w:szCs w:val="24"/>
        </w:rPr>
        <w:t xml:space="preserve">an Journal of Pharmaceutical Research, 2022). </w:t>
      </w:r>
      <w:r>
        <w:rPr>
          <w:rFonts w:ascii="Times New Roman" w:hAnsi="Times New Roman" w:cs="Times New Roman"/>
          <w:i/>
          <w:iCs/>
          <w:sz w:val="24"/>
          <w:szCs w:val="24"/>
        </w:rPr>
        <w:t xml:space="preserve">Acmella oleracea </w:t>
      </w:r>
      <w:r>
        <w:rPr>
          <w:rFonts w:ascii="Times New Roman" w:hAnsi="Times New Roman" w:cs="Times New Roman"/>
          <w:sz w:val="24"/>
          <w:szCs w:val="24"/>
        </w:rPr>
        <w:t>also exhibits significant antimicrobial, antifungal, and antimalarial activities, supporting traditional use of combating infectious diseases (Ahmad et al., 2025). Additionally, this plant is u</w:t>
      </w:r>
      <w:r>
        <w:rPr>
          <w:rFonts w:ascii="Times New Roman" w:hAnsi="Times New Roman" w:cs="Times New Roman"/>
          <w:sz w:val="24"/>
          <w:szCs w:val="24"/>
        </w:rPr>
        <w:t xml:space="preserve">sed in cosmetics for its Anti-wrinkle and muscle-relaxant properties, which also contribute to its vasorelaxant and antioxidant activities, making it an ingredient in anti-aging formulations (Yam et al., 2017). In modern applications, it is also used as a </w:t>
      </w:r>
      <w:r>
        <w:rPr>
          <w:rFonts w:ascii="Times New Roman" w:hAnsi="Times New Roman" w:cs="Times New Roman"/>
          <w:sz w:val="24"/>
          <w:szCs w:val="24"/>
        </w:rPr>
        <w:t>natural insecticide and food preservative (</w:t>
      </w:r>
      <w:r>
        <w:rPr>
          <w:rFonts w:ascii="Times New Roman" w:hAnsi="Times New Roman" w:cs="Times New Roman"/>
          <w:color w:val="000000"/>
          <w:sz w:val="24"/>
          <w:szCs w:val="24"/>
        </w:rPr>
        <w:t xml:space="preserve">Asian Journal of Pharmaceutical Research, 2022). </w:t>
      </w:r>
      <w:r>
        <w:rPr>
          <w:rFonts w:ascii="Times New Roman" w:hAnsi="Times New Roman" w:cs="Times New Roman"/>
          <w:sz w:val="24"/>
          <w:szCs w:val="24"/>
        </w:rPr>
        <w:t xml:space="preserve">In general, there is a sustained scientific focus on </w:t>
      </w:r>
      <w:r>
        <w:rPr>
          <w:rFonts w:ascii="Times New Roman" w:hAnsi="Times New Roman" w:cs="Times New Roman"/>
          <w:i/>
          <w:iCs/>
          <w:sz w:val="24"/>
          <w:szCs w:val="24"/>
        </w:rPr>
        <w:t>Acmela oleracea</w:t>
      </w:r>
      <w:r>
        <w:rPr>
          <w:rFonts w:ascii="Times New Roman" w:hAnsi="Times New Roman" w:cs="Times New Roman"/>
          <w:sz w:val="24"/>
          <w:szCs w:val="24"/>
        </w:rPr>
        <w:t xml:space="preserve"> due to its wide range of therapeutic applications, and it serves as a link between modern medic</w:t>
      </w:r>
      <w:r>
        <w:rPr>
          <w:rFonts w:ascii="Times New Roman" w:hAnsi="Times New Roman" w:cs="Times New Roman"/>
          <w:sz w:val="24"/>
          <w:szCs w:val="24"/>
        </w:rPr>
        <w:t>ine and business.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i/>
          <w:iCs/>
          <w:sz w:val="24"/>
          <w:szCs w:val="24"/>
        </w:rPr>
        <w:t>Acmella oleracea</w:t>
      </w:r>
      <w:r>
        <w:rPr>
          <w:rFonts w:ascii="Times New Roman" w:hAnsi="Times New Roman" w:cs="Times New Roman"/>
          <w:sz w:val="24"/>
          <w:szCs w:val="24"/>
        </w:rPr>
        <w:t>, also called toothache plant in the Philippines, has a wide range of uses as an analgesic, anti-inflammatory, and antimicrobial agent. The flowers and the leaves of this plant are the most commonly used parts that have be</w:t>
      </w:r>
      <w:r>
        <w:rPr>
          <w:rFonts w:ascii="Times New Roman" w:hAnsi="Times New Roman" w:cs="Times New Roman"/>
          <w:sz w:val="24"/>
          <w:szCs w:val="24"/>
        </w:rPr>
        <w:t>en used as decoctions or poultices in the treatment of toothache, sore throat, gum infections, and oral inflammations. The plant is commonly utilized as a herbal medicine for the digestive system and a natural insecticide due to its larvicidal effects agai</w:t>
      </w:r>
      <w:r>
        <w:rPr>
          <w:rFonts w:ascii="Times New Roman" w:hAnsi="Times New Roman" w:cs="Times New Roman"/>
          <w:sz w:val="24"/>
          <w:szCs w:val="24"/>
        </w:rPr>
        <w:t>nst mosquito vectors in the Visayas (Savant &amp; Kareppa, 2022). It also has anti-inflammatory potential, and it is used to treat skin (dermatitis) and eye (saccharomycosis) problems.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Phytochemical Analysis and Composition. </w:t>
      </w:r>
      <w:r>
        <w:rPr>
          <w:rFonts w:ascii="Times New Roman" w:hAnsi="Times New Roman" w:cs="Times New Roman"/>
          <w:sz w:val="24"/>
          <w:szCs w:val="24"/>
        </w:rPr>
        <w:t xml:space="preserve">Phytochemical screening is an </w:t>
      </w:r>
      <w:r>
        <w:rPr>
          <w:rFonts w:ascii="Times New Roman" w:hAnsi="Times New Roman" w:cs="Times New Roman"/>
          <w:sz w:val="24"/>
          <w:szCs w:val="24"/>
        </w:rPr>
        <w:t xml:space="preserve">important initial step in the assessment of medicinal plants, aimed at identifying the bioactive secondary metabolites that mediate their therapeutic properties. Compounds such as alkaloids, flavonoids, phenols, tannins, saponins, steroids, and terpenoids </w:t>
      </w:r>
      <w:r>
        <w:rPr>
          <w:rFonts w:ascii="Times New Roman" w:hAnsi="Times New Roman" w:cs="Times New Roman"/>
          <w:sz w:val="24"/>
          <w:szCs w:val="24"/>
        </w:rPr>
        <w:t>play a significant role in the pharmacological activities of the plant’s extracts</w:t>
      </w:r>
      <w:r>
        <w:rPr>
          <w:rFonts w:ascii="Times New Roman" w:hAnsi="Times New Roman" w:cs="Times New Roman"/>
          <w:color w:val="000000"/>
          <w:sz w:val="24"/>
          <w:szCs w:val="24"/>
        </w:rPr>
        <w:t xml:space="preserve"> (Sharma et al., 2020). </w:t>
      </w:r>
      <w:r>
        <w:rPr>
          <w:rFonts w:ascii="Times New Roman" w:hAnsi="Times New Roman" w:cs="Times New Roman"/>
          <w:sz w:val="24"/>
          <w:szCs w:val="24"/>
        </w:rPr>
        <w:t>Studies have shown that flavonoids, alkaloids, and phenols are among the most abundant phytochemicals in many medicinal plants, contributing to the ant</w:t>
      </w:r>
      <w:r>
        <w:rPr>
          <w:rFonts w:ascii="Times New Roman" w:hAnsi="Times New Roman" w:cs="Times New Roman"/>
          <w:sz w:val="24"/>
          <w:szCs w:val="24"/>
        </w:rPr>
        <w:t>ioxidant, antimicrobial, anti-inflammatory, and anticancer properties. Examples of this include the phytochemical screening of traditionally used plants in Ethiopia, which revealed numerous plants with numerous occurrences of these compounds, which correla</w:t>
      </w:r>
      <w:r>
        <w:rPr>
          <w:rFonts w:ascii="Times New Roman" w:hAnsi="Times New Roman" w:cs="Times New Roman"/>
          <w:sz w:val="24"/>
          <w:szCs w:val="24"/>
        </w:rPr>
        <w:t>tes well with observed antimicrobial activities (Motlalek et al., 2023).</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Saudi Arabia, qualitative phytochemical investigations of medicinal plants have identified alkaloids, glycosides, saponins, tannins, and flavonoids as the prominent compounds. Thes</w:t>
      </w:r>
      <w:r>
        <w:rPr>
          <w:rFonts w:ascii="Times New Roman" w:hAnsi="Times New Roman" w:cs="Times New Roman"/>
          <w:sz w:val="24"/>
          <w:szCs w:val="24"/>
        </w:rPr>
        <w:t xml:space="preserve">e phytochemicals justify the ethnomedical use of these plants in treating infections and other ailments </w:t>
      </w:r>
      <w:r>
        <w:rPr>
          <w:rFonts w:ascii="Times New Roman" w:hAnsi="Times New Roman" w:cs="Times New Roman"/>
          <w:color w:val="000000"/>
          <w:sz w:val="24"/>
          <w:szCs w:val="24"/>
        </w:rPr>
        <w:t xml:space="preserve">(Alharbi &amp; Alzahrani, 2023). </w:t>
      </w:r>
      <w:r>
        <w:rPr>
          <w:rFonts w:ascii="Times New Roman" w:hAnsi="Times New Roman" w:cs="Times New Roman"/>
          <w:sz w:val="24"/>
          <w:szCs w:val="24"/>
        </w:rPr>
        <w:t>Phytochemicals detected during the screenings often serve as biochemical markers for drug development. The identification o</w:t>
      </w:r>
      <w:r>
        <w:rPr>
          <w:rFonts w:ascii="Times New Roman" w:hAnsi="Times New Roman" w:cs="Times New Roman"/>
          <w:sz w:val="24"/>
          <w:szCs w:val="24"/>
        </w:rPr>
        <w:t>f such compounds supports further bioactive-guided fractionation and isolation to discover novel drugs with fewer side effects than synthetic drugs (</w:t>
      </w:r>
      <w:r>
        <w:rPr>
          <w:rFonts w:ascii="Times New Roman" w:hAnsi="Times New Roman" w:cs="Times New Roman"/>
          <w:color w:val="000000"/>
          <w:sz w:val="24"/>
          <w:szCs w:val="24"/>
        </w:rPr>
        <w:t>Sharma et al., 2020;</w:t>
      </w:r>
      <w:r>
        <w:rPr>
          <w:rFonts w:ascii="Times New Roman" w:hAnsi="Times New Roman" w:cs="Times New Roman"/>
          <w:color w:val="C00000"/>
          <w:sz w:val="24"/>
          <w:szCs w:val="24"/>
        </w:rPr>
        <w:t xml:space="preserve"> </w:t>
      </w:r>
      <w:r>
        <w:rPr>
          <w:rFonts w:ascii="Times New Roman" w:hAnsi="Times New Roman" w:cs="Times New Roman"/>
          <w:color w:val="000000"/>
          <w:sz w:val="24"/>
          <w:szCs w:val="24"/>
        </w:rPr>
        <w:t xml:space="preserve">Batiha et al., 2020). </w:t>
      </w:r>
      <w:r>
        <w:rPr>
          <w:rFonts w:ascii="Times New Roman" w:hAnsi="Times New Roman" w:cs="Times New Roman"/>
          <w:sz w:val="24"/>
          <w:szCs w:val="24"/>
        </w:rPr>
        <w:t>Overall, phytochemical screening remains a fundamental investiga</w:t>
      </w:r>
      <w:r>
        <w:rPr>
          <w:rFonts w:ascii="Times New Roman" w:hAnsi="Times New Roman" w:cs="Times New Roman"/>
          <w:sz w:val="24"/>
          <w:szCs w:val="24"/>
        </w:rPr>
        <w:t>tive tool that provides scientific evidence for the use of traditional medicinal plants and serves as a foundation for pharmacological and toxicological studies.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Phytochemicals are bioactive chemical compounds produced by plants and contribute to their the</w:t>
      </w:r>
      <w:r>
        <w:rPr>
          <w:rFonts w:ascii="Times New Roman" w:hAnsi="Times New Roman" w:cs="Times New Roman"/>
          <w:sz w:val="24"/>
          <w:szCs w:val="24"/>
        </w:rPr>
        <w:t>rapeutic properties. These organic substances can be categorized into primary metabolites, which are critical to plants, such as carbohydrates, proteins, and lipids. Polyphenols also act as antioxidants and have antiviral, antidiabetic, anticancer, and car</w:t>
      </w:r>
      <w:r>
        <w:rPr>
          <w:rFonts w:ascii="Times New Roman" w:hAnsi="Times New Roman" w:cs="Times New Roman"/>
          <w:sz w:val="24"/>
          <w:szCs w:val="24"/>
        </w:rPr>
        <w:t>dioprotective properties. The mechanism of this compound involves free radical scavenging and regulation of the enzyme activities in the disease mechanisms. Secondary metabolites do not directly contribute to growth, but they provide protection and facilit</w:t>
      </w:r>
      <w:r>
        <w:rPr>
          <w:rFonts w:ascii="Times New Roman" w:hAnsi="Times New Roman" w:cs="Times New Roman"/>
          <w:sz w:val="24"/>
          <w:szCs w:val="24"/>
        </w:rPr>
        <w:t>ation of ecological interactions (Thacker &amp; Ram, 2024). Phytochemicals do not just help plants in their defense mechanisms; they are also of immeasurable health benefits to human beings. These compounds have antioxidant effects, which contribute to the neu</w:t>
      </w:r>
      <w:r>
        <w:rPr>
          <w:rFonts w:ascii="Times New Roman" w:hAnsi="Times New Roman" w:cs="Times New Roman"/>
          <w:sz w:val="24"/>
          <w:szCs w:val="24"/>
        </w:rPr>
        <w:t>tralization of the free radicals, which, in turn, suppresses the oxidative stress as one of the primary causes of chronic disease, including cancer, diabetes, and cardiovascular conditions (Wang et al., 2023).</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Polyphenols, flavonoids, alkaloids, saponins, </w:t>
      </w:r>
      <w:r>
        <w:rPr>
          <w:rFonts w:ascii="Times New Roman" w:hAnsi="Times New Roman" w:cs="Times New Roman"/>
          <w:sz w:val="24"/>
          <w:szCs w:val="24"/>
        </w:rPr>
        <w:t>tannins, terpenoids, and phytosterols are examples of secondary metabolites. Such compounds have shown a variety of biological activities, including antioxidant, antimicrobial, anti-inflammatory, anticancer, and hepatoprotective effects. Phenolic phytochem</w:t>
      </w:r>
      <w:r>
        <w:rPr>
          <w:rFonts w:ascii="Times New Roman" w:hAnsi="Times New Roman" w:cs="Times New Roman"/>
          <w:sz w:val="24"/>
          <w:szCs w:val="24"/>
        </w:rPr>
        <w:t xml:space="preserve">icals exhibit strong antioxidant activity, inhibiting lipid peroxidation and DNA damage, </w:t>
      </w:r>
      <w:r>
        <w:rPr>
          <w:rFonts w:ascii="Times New Roman" w:hAnsi="Times New Roman" w:cs="Times New Roman"/>
          <w:sz w:val="24"/>
          <w:szCs w:val="24"/>
        </w:rPr>
        <w:lastRenderedPageBreak/>
        <w:t xml:space="preserve">thereby supporting their use as cancer prevention and anti-inflammatory agents. Such compounds are simple phenols, phenolic acids, and complex polyphenols (Li et al., </w:t>
      </w:r>
      <w:r>
        <w:rPr>
          <w:rFonts w:ascii="Times New Roman" w:hAnsi="Times New Roman" w:cs="Times New Roman"/>
          <w:sz w:val="24"/>
          <w:szCs w:val="24"/>
        </w:rPr>
        <w:t xml:space="preserve">2024).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phytochemical compounds in medicinal plants, as a group, have formed the pharmacological foundation for the traditional and modern therapeutic uses of these plants, and that is why phytochemical screening and characterization are important in drug di</w:t>
      </w:r>
      <w:r>
        <w:rPr>
          <w:rFonts w:ascii="Times New Roman" w:hAnsi="Times New Roman" w:cs="Times New Roman"/>
          <w:sz w:val="24"/>
          <w:szCs w:val="24"/>
        </w:rPr>
        <w:t xml:space="preserve">scovery and development </w:t>
      </w:r>
      <w:r>
        <w:rPr>
          <w:rFonts w:ascii="Times New Roman" w:hAnsi="Times New Roman" w:cs="Times New Roman"/>
          <w:color w:val="000000"/>
          <w:sz w:val="24"/>
          <w:szCs w:val="24"/>
        </w:rPr>
        <w:t>(Afzal</w:t>
      </w:r>
      <w:r>
        <w:rPr>
          <w:rFonts w:ascii="Times New Roman" w:hAnsi="Times New Roman" w:cs="Times New Roman"/>
          <w:sz w:val="24"/>
          <w:szCs w:val="24"/>
        </w:rPr>
        <w:t xml:space="preserve"> et al., 2023). The bioavailability and pharmacokinetics of these phytochemicals have been improved through formulation advances, including nanocapsulation, thereby increasing the therapeutic potential for their clinical appli</w:t>
      </w:r>
      <w:r>
        <w:rPr>
          <w:rFonts w:ascii="Times New Roman" w:hAnsi="Times New Roman" w:cs="Times New Roman"/>
          <w:sz w:val="24"/>
          <w:szCs w:val="24"/>
        </w:rPr>
        <w:t>cations. These findings prove that continued exploration of phytochemical compounds is vital to unlock novel therapeutic agents for human health.</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Flavonoids.</w:t>
      </w:r>
      <w:r>
        <w:rPr>
          <w:rFonts w:ascii="Times New Roman" w:hAnsi="Times New Roman" w:cs="Times New Roman"/>
          <w:sz w:val="24"/>
          <w:szCs w:val="24"/>
        </w:rPr>
        <w:t xml:space="preserve"> Flavonoids have anti-inflammatory, antibacterial, antiviral, and hepatoprotective properties. Flav</w:t>
      </w:r>
      <w:r>
        <w:rPr>
          <w:rFonts w:ascii="Times New Roman" w:hAnsi="Times New Roman" w:cs="Times New Roman"/>
          <w:sz w:val="24"/>
          <w:szCs w:val="24"/>
        </w:rPr>
        <w:t xml:space="preserve">onoids strengthen the immune system and protect against oxidative stress (Afzal et al., 2023). Flavonoids are a subclass of polyphenols; these compounds demonstrate antiviral, neuroprotective, cardioprotective, and immunomodulatory effects. The structural </w:t>
      </w:r>
      <w:r>
        <w:rPr>
          <w:rFonts w:ascii="Times New Roman" w:hAnsi="Times New Roman" w:cs="Times New Roman"/>
          <w:sz w:val="24"/>
          <w:szCs w:val="24"/>
        </w:rPr>
        <w:t>diversity of flavonoids interacts with multiple molecular targets, aiding the prevention and treatment of degenerative diseases (Li et al., 2024).</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Alkaloids.</w:t>
      </w:r>
      <w:r>
        <w:rPr>
          <w:rFonts w:ascii="Times New Roman" w:hAnsi="Times New Roman" w:cs="Times New Roman"/>
          <w:sz w:val="24"/>
          <w:szCs w:val="24"/>
        </w:rPr>
        <w:t xml:space="preserve">  Nitrogenous compounds have significant effects in pharmacology, including analgesic, antimicrobia</w:t>
      </w:r>
      <w:r>
        <w:rPr>
          <w:rFonts w:ascii="Times New Roman" w:hAnsi="Times New Roman" w:cs="Times New Roman"/>
          <w:sz w:val="24"/>
          <w:szCs w:val="24"/>
        </w:rPr>
        <w:t>l, anticancer, and anti-inflammatory activities. Common alkaloids include morphine, quinine, and caffeine (Afzal et al., 2023). Alkaloids also possess a wide range of bioactive compounds that act as analgesics, antimalarials, anti-asthmatics, and CNS stimu</w:t>
      </w:r>
      <w:r>
        <w:rPr>
          <w:rFonts w:ascii="Times New Roman" w:hAnsi="Times New Roman" w:cs="Times New Roman"/>
          <w:sz w:val="24"/>
          <w:szCs w:val="24"/>
        </w:rPr>
        <w:t xml:space="preserve">lants or depressants. The efficacy of these compounds, like quinine and morphine, in modern medicine underscores the relevance of phytochemical research (Patil &amp; Patil, 2023).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Terpenoids.</w:t>
      </w:r>
      <w:r>
        <w:rPr>
          <w:rFonts w:ascii="Times New Roman" w:hAnsi="Times New Roman" w:cs="Times New Roman"/>
          <w:sz w:val="24"/>
          <w:szCs w:val="24"/>
        </w:rPr>
        <w:t xml:space="preserve"> Another large group involved in the defense possesses anticancer, a</w:t>
      </w:r>
      <w:r>
        <w:rPr>
          <w:rFonts w:ascii="Times New Roman" w:hAnsi="Times New Roman" w:cs="Times New Roman"/>
          <w:sz w:val="24"/>
          <w:szCs w:val="24"/>
        </w:rPr>
        <w:t xml:space="preserve">ntimalarial, and anti-ulcer properties. Terpenoids are known to disrupt microbial membranes and inhibit tumor growth </w:t>
      </w:r>
      <w:r>
        <w:rPr>
          <w:rFonts w:ascii="Times New Roman" w:hAnsi="Times New Roman" w:cs="Times New Roman"/>
          <w:color w:val="000000"/>
          <w:sz w:val="24"/>
          <w:szCs w:val="24"/>
        </w:rPr>
        <w:t>(Thacker &amp; Ram, 2024).</w:t>
      </w:r>
      <w:r>
        <w:rPr>
          <w:rFonts w:ascii="Times New Roman" w:hAnsi="Times New Roman" w:cs="Times New Roman"/>
          <w:color w:val="C00000"/>
          <w:sz w:val="24"/>
          <w:szCs w:val="24"/>
        </w:rPr>
        <w:t xml:space="preserve"> </w:t>
      </w:r>
      <w:r>
        <w:rPr>
          <w:rFonts w:ascii="Times New Roman" w:hAnsi="Times New Roman" w:cs="Times New Roman"/>
          <w:sz w:val="24"/>
          <w:szCs w:val="24"/>
        </w:rPr>
        <w:t>Recent advances have highlighted the role of terpenoids in cancer, as they induce apoptosis and inhibit tumor growth</w:t>
      </w:r>
      <w:r>
        <w:rPr>
          <w:rFonts w:ascii="Times New Roman" w:hAnsi="Times New Roman" w:cs="Times New Roman"/>
          <w:sz w:val="24"/>
          <w:szCs w:val="24"/>
        </w:rPr>
        <w:t xml:space="preserve"> through multiple signaling pathways. Terpenoids' anti-inflammatory properties also make them a candidate for the management of chronic inflammatory diseases (Yang et al., 2020).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Saponins</w:t>
      </w:r>
      <w:r>
        <w:rPr>
          <w:rFonts w:ascii="Times New Roman" w:hAnsi="Times New Roman" w:cs="Times New Roman"/>
          <w:sz w:val="24"/>
          <w:szCs w:val="24"/>
        </w:rPr>
        <w:t>. Possesses antifungal, antimicrobial, hypoglycemic, and anti-inflam</w:t>
      </w:r>
      <w:r>
        <w:rPr>
          <w:rFonts w:ascii="Times New Roman" w:hAnsi="Times New Roman" w:cs="Times New Roman"/>
          <w:sz w:val="24"/>
          <w:szCs w:val="24"/>
        </w:rPr>
        <w:t xml:space="preserve">matory effects and has been studied for its role in injury recovery and systemic diseases (Afzal et al., 2023). Saponins are naturally occurring glycosides present in many medicinal plants and have developed interests due to their wide range of biological </w:t>
      </w:r>
      <w:r>
        <w:rPr>
          <w:rFonts w:ascii="Times New Roman" w:hAnsi="Times New Roman" w:cs="Times New Roman"/>
          <w:sz w:val="24"/>
          <w:szCs w:val="24"/>
        </w:rPr>
        <w:t>activities. These compounds exhibit antioxidant and anticancer properties. They also contribute to cardiovascular health by reducing cholesterol levels by forming insoluble complexes with cholesterol and bile acids, thus inhibiting their absorption. In add</w:t>
      </w:r>
      <w:r>
        <w:rPr>
          <w:rFonts w:ascii="Times New Roman" w:hAnsi="Times New Roman" w:cs="Times New Roman"/>
          <w:sz w:val="24"/>
          <w:szCs w:val="24"/>
        </w:rPr>
        <w:t>ition, these compounds show promising potential for managing diabetes by stimulating insulin secretion and enhancing glucose metabolism (Kumar et al., 2022).</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Moreover, saponins are valued in the pharmaceutical and cosmetic industries for their surfactant a</w:t>
      </w:r>
      <w:r>
        <w:rPr>
          <w:rFonts w:ascii="Times New Roman" w:hAnsi="Times New Roman" w:cs="Times New Roman"/>
          <w:sz w:val="24"/>
          <w:szCs w:val="24"/>
        </w:rPr>
        <w:t xml:space="preserve">nd foaming properties, and are used in formulations such as shampoos and dental care products. The photoprotective effects of saponins also contribute to anti-aging skincare through protection against ultraviolet radiation (Jain et al., 2024).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Tannins. </w:t>
      </w:r>
      <w:r>
        <w:rPr>
          <w:rFonts w:ascii="Times New Roman" w:hAnsi="Times New Roman" w:cs="Times New Roman"/>
          <w:sz w:val="24"/>
          <w:szCs w:val="24"/>
        </w:rPr>
        <w:t>Th</w:t>
      </w:r>
      <w:r>
        <w:rPr>
          <w:rFonts w:ascii="Times New Roman" w:hAnsi="Times New Roman" w:cs="Times New Roman"/>
          <w:sz w:val="24"/>
          <w:szCs w:val="24"/>
        </w:rPr>
        <w:t>ey are a class of polyphenolic compounds found in many medicinal plants, primarily known for their astringent properties and ability to precipitate proteins. Tannins exhibit antioxidant, antimicrobial, anti-inflammatory, and antiviral activities that are s</w:t>
      </w:r>
      <w:r>
        <w:rPr>
          <w:rFonts w:ascii="Times New Roman" w:hAnsi="Times New Roman" w:cs="Times New Roman"/>
          <w:sz w:val="24"/>
          <w:szCs w:val="24"/>
        </w:rPr>
        <w:t>ignificant to their therapeutic potential. This compound helps protect plants against pathogens and oxidative stress, making it valuable for treating wounds and gastrointestinal disorders, and preventing cardiovascular damage caused by oxidative agents. Th</w:t>
      </w:r>
      <w:r>
        <w:rPr>
          <w:rFonts w:ascii="Times New Roman" w:hAnsi="Times New Roman" w:cs="Times New Roman"/>
          <w:sz w:val="24"/>
          <w:szCs w:val="24"/>
        </w:rPr>
        <w:t>e diverse bioactivities of tannin-rich plants support their use in both traditional and modern medicine (Kumar et al., 2023).</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effectiveness of tannins is due to their presence in medicinal plants, which provide a natural defense mechanism that has been</w:t>
      </w:r>
      <w:r>
        <w:rPr>
          <w:rFonts w:ascii="Times New Roman" w:hAnsi="Times New Roman" w:cs="Times New Roman"/>
          <w:sz w:val="24"/>
          <w:szCs w:val="24"/>
        </w:rPr>
        <w:t xml:space="preserve"> exploited in traditional healing practices worldwide. Their importance in phytotherapy is also supported by their ability to promote wound healing and manage infections through their capacity to precipitate proteins and their antimicrobial properties (Maz</w:t>
      </w:r>
      <w:r>
        <w:rPr>
          <w:rFonts w:ascii="Times New Roman" w:hAnsi="Times New Roman" w:cs="Times New Roman"/>
          <w:sz w:val="24"/>
          <w:szCs w:val="24"/>
        </w:rPr>
        <w:t>umder et al., 2022).</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Phytosterols</w:t>
      </w:r>
      <w:r>
        <w:rPr>
          <w:rFonts w:ascii="Times New Roman" w:hAnsi="Times New Roman" w:cs="Times New Roman"/>
          <w:sz w:val="24"/>
          <w:szCs w:val="24"/>
        </w:rPr>
        <w:t>. Plays a role in cholesterol metabolism, anti-inflammatory and anti-cancer, and cardiovascular health (Thacker &amp; Ram, 2024).</w:t>
      </w:r>
      <w:r>
        <w:rPr>
          <w:rFonts w:ascii="Times New Roman" w:hAnsi="Times New Roman" w:cs="Times New Roman"/>
          <w:color w:val="000000"/>
          <w:sz w:val="24"/>
          <w:szCs w:val="24"/>
        </w:rPr>
        <w:t xml:space="preserve"> These are plant sterol compounds that are structurally similar to cholesterol and are abundant in</w:t>
      </w:r>
      <w:r>
        <w:rPr>
          <w:rFonts w:ascii="Times New Roman" w:hAnsi="Times New Roman" w:cs="Times New Roman"/>
          <w:color w:val="000000"/>
          <w:sz w:val="24"/>
          <w:szCs w:val="24"/>
        </w:rPr>
        <w:t xml:space="preserve"> ce</w:t>
      </w:r>
      <w:r>
        <w:rPr>
          <w:rFonts w:ascii="Times New Roman" w:hAnsi="Times New Roman" w:cs="Times New Roman"/>
          <w:sz w:val="24"/>
          <w:szCs w:val="24"/>
        </w:rPr>
        <w:t xml:space="preserve">reals, nuts, vegetables, and legumes. The most common of these compounds are beta-sitosterol, campesterol, and stigmasterol.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Phytosterols reduce blood cholesterol levels by interfering with cholesterol absorption in the intestines, which provides cardi</w:t>
      </w:r>
      <w:r>
        <w:rPr>
          <w:rFonts w:ascii="Times New Roman" w:hAnsi="Times New Roman" w:cs="Times New Roman"/>
          <w:sz w:val="24"/>
          <w:szCs w:val="24"/>
        </w:rPr>
        <w:t>oprotective effects (Singh &amp; Kumar, 2022). In addition to their lipid-lowering effects, phytosterols also possess anti-inflammatory, anticancer, antidiabetic, and neuroprotective properties. For example, beta-sitosterol modulates key signaling pathways, su</w:t>
      </w:r>
      <w:r>
        <w:rPr>
          <w:rFonts w:ascii="Times New Roman" w:hAnsi="Times New Roman" w:cs="Times New Roman"/>
          <w:sz w:val="24"/>
          <w:szCs w:val="24"/>
        </w:rPr>
        <w:t>ch as NF-kB and ERK, thereby suppressing inflammation and tumor growth (</w:t>
      </w:r>
      <w:r>
        <w:rPr>
          <w:rFonts w:ascii="Times New Roman" w:hAnsi="Times New Roman" w:cs="Times New Roman"/>
          <w:color w:val="000000"/>
          <w:sz w:val="24"/>
          <w:szCs w:val="24"/>
        </w:rPr>
        <w:t>Wang et al., 2022).</w:t>
      </w:r>
      <w:r>
        <w:rPr>
          <w:rFonts w:ascii="Times New Roman" w:hAnsi="Times New Roman" w:cs="Times New Roman"/>
          <w:color w:val="C00000"/>
          <w:sz w:val="24"/>
          <w:szCs w:val="24"/>
        </w:rPr>
        <w:t xml:space="preserve"> </w:t>
      </w:r>
      <w:r>
        <w:rPr>
          <w:rFonts w:ascii="Times New Roman" w:hAnsi="Times New Roman" w:cs="Times New Roman"/>
          <w:sz w:val="24"/>
          <w:szCs w:val="24"/>
        </w:rPr>
        <w:t>Both saponins and phytosterols have attracted attention for their synergistic effects when combined with other therapeutic compounds and as a natural alternative fo</w:t>
      </w:r>
      <w:r>
        <w:rPr>
          <w:rFonts w:ascii="Times New Roman" w:hAnsi="Times New Roman" w:cs="Times New Roman"/>
          <w:sz w:val="24"/>
          <w:szCs w:val="24"/>
        </w:rPr>
        <w:t>r managing chronic diseases with minimal side effects (Jain et al., 2024).</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hAnsi="Times New Roman" w:cs="Times New Roman"/>
          <w:b/>
          <w:bCs/>
          <w:sz w:val="24"/>
          <w:szCs w:val="24"/>
        </w:rPr>
        <w:t xml:space="preserve">Ethnobotanical Knowledge and Medicinal Plant Diversity in Mindanao. </w:t>
      </w:r>
      <w:r>
        <w:rPr>
          <w:rFonts w:ascii="Times New Roman" w:hAnsi="Times New Roman" w:cs="Times New Roman"/>
          <w:sz w:val="24"/>
          <w:szCs w:val="24"/>
        </w:rPr>
        <w:t>Mindanao, the second-largest island in the Philippines, is known for its biodiversity, including a wide variety o</w:t>
      </w:r>
      <w:r>
        <w:rPr>
          <w:rFonts w:ascii="Times New Roman" w:hAnsi="Times New Roman" w:cs="Times New Roman"/>
          <w:sz w:val="24"/>
          <w:szCs w:val="24"/>
        </w:rPr>
        <w:t>f medicinal plants. Ethnobotanical studies identified over 530 verified medicinal plant species across 372 genera and 118 families in Mindanao, including Fabaceae, Asteraceae, and Lamiaceae, among the most represented families, with common genera including</w:t>
      </w:r>
      <w:r>
        <w:rPr>
          <w:rFonts w:ascii="Times New Roman" w:hAnsi="Times New Roman" w:cs="Times New Roman"/>
          <w:sz w:val="24"/>
          <w:szCs w:val="24"/>
        </w:rPr>
        <w:t xml:space="preserve"> </w:t>
      </w:r>
      <w:r>
        <w:rPr>
          <w:rFonts w:ascii="Times New Roman" w:hAnsi="Times New Roman" w:cs="Times New Roman"/>
          <w:i/>
          <w:iCs/>
          <w:sz w:val="24"/>
          <w:szCs w:val="24"/>
        </w:rPr>
        <w:t>Ficus</w:t>
      </w:r>
      <w:r>
        <w:rPr>
          <w:rFonts w:ascii="Times New Roman" w:hAnsi="Times New Roman" w:cs="Times New Roman"/>
          <w:sz w:val="24"/>
          <w:szCs w:val="24"/>
        </w:rPr>
        <w:t xml:space="preserve"> and </w:t>
      </w:r>
      <w:r>
        <w:rPr>
          <w:rFonts w:ascii="Times New Roman" w:hAnsi="Times New Roman" w:cs="Times New Roman"/>
          <w:i/>
          <w:iCs/>
          <w:sz w:val="24"/>
          <w:szCs w:val="24"/>
        </w:rPr>
        <w:t xml:space="preserve">Psidium. </w:t>
      </w:r>
      <w:r>
        <w:rPr>
          <w:rFonts w:ascii="Times New Roman" w:eastAsia="Times New Roman" w:hAnsi="Times New Roman" w:cs="Times New Roman"/>
          <w:sz w:val="24"/>
          <w:szCs w:val="24"/>
        </w:rPr>
        <w:t>Moreover, ethnolinguistic diversity and adaptation to local flora were reflected in the fact that 28 out of such medicinal plant species are threatened nationally or globally, which testifies to the vulnerability of these resources (Meñ</w:t>
      </w:r>
      <w:r>
        <w:rPr>
          <w:rFonts w:ascii="Times New Roman" w:eastAsia="Times New Roman" w:hAnsi="Times New Roman" w:cs="Times New Roman"/>
          <w:sz w:val="24"/>
          <w:szCs w:val="24"/>
        </w:rPr>
        <w:t>iza et al., 2024).</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of these plants is mainly passed down by indigenous peoples such as the B’laan, Manobo, Mamanwa, and Maguindanaoan. These groups used to address basic diseases, such as digestive issues, infections, and inflammation, by using </w:t>
      </w:r>
      <w:r>
        <w:rPr>
          <w:rFonts w:ascii="Times New Roman" w:eastAsia="Times New Roman" w:hAnsi="Times New Roman" w:cs="Times New Roman"/>
          <w:sz w:val="24"/>
          <w:szCs w:val="24"/>
        </w:rPr>
        <w:t>methods such as leaf decoctions (Nuneza et al., 2021; Pucot et al., 2019). The plants not only have therapeutic resources, but are also culturally important, and the most important means of preservation is oral delivery of knowledge. This knowledge of ethn</w:t>
      </w:r>
      <w:r>
        <w:rPr>
          <w:rFonts w:ascii="Times New Roman" w:eastAsia="Times New Roman" w:hAnsi="Times New Roman" w:cs="Times New Roman"/>
          <w:sz w:val="24"/>
          <w:szCs w:val="24"/>
        </w:rPr>
        <w:t>obotany not only provides the local communities with immediate health care, but also creates a valuable repository for drug discovery, biodiversity conservation, and utilization of sustainable initiatives that focus on the indigenous knowledge.</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w:t>
      </w:r>
      <w:r>
        <w:rPr>
          <w:rFonts w:ascii="Times New Roman" w:eastAsia="Times New Roman" w:hAnsi="Times New Roman" w:cs="Times New Roman"/>
          <w:sz w:val="24"/>
          <w:szCs w:val="24"/>
        </w:rPr>
        <w:t xml:space="preserve">e ethnobotanical study, the most mentioned medicinal plants in Mindanao, Philippines, were </w:t>
      </w:r>
      <w:r>
        <w:rPr>
          <w:rFonts w:ascii="Times New Roman" w:eastAsia="Times New Roman" w:hAnsi="Times New Roman" w:cs="Times New Roman"/>
          <w:i/>
          <w:iCs/>
          <w:sz w:val="24"/>
          <w:szCs w:val="24"/>
        </w:rPr>
        <w:t>Euphorbia hirta L</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Psidium guajava L</w:t>
      </w:r>
      <w:r>
        <w:rPr>
          <w:rFonts w:ascii="Times New Roman" w:eastAsia="Times New Roman" w:hAnsi="Times New Roman" w:cs="Times New Roman"/>
          <w:sz w:val="24"/>
          <w:szCs w:val="24"/>
        </w:rPr>
        <w:t>. These species are frequently used in local traditional medicine for treating a variety of ailments (Meñiza et al., 2024). O</w:t>
      </w:r>
      <w:r>
        <w:rPr>
          <w:rFonts w:ascii="Times New Roman" w:eastAsia="Times New Roman" w:hAnsi="Times New Roman" w:cs="Times New Roman"/>
          <w:sz w:val="24"/>
          <w:szCs w:val="24"/>
        </w:rPr>
        <w:t xml:space="preserve">thers include </w:t>
      </w:r>
      <w:r>
        <w:rPr>
          <w:rFonts w:ascii="Times New Roman" w:eastAsia="Times New Roman" w:hAnsi="Times New Roman" w:cs="Times New Roman"/>
          <w:i/>
          <w:iCs/>
          <w:sz w:val="24"/>
          <w:szCs w:val="24"/>
        </w:rPr>
        <w:t xml:space="preserve">Piper decumanum </w:t>
      </w:r>
      <w:r>
        <w:rPr>
          <w:rFonts w:ascii="Times New Roman" w:eastAsia="Times New Roman" w:hAnsi="Times New Roman" w:cs="Times New Roman"/>
          <w:sz w:val="24"/>
          <w:szCs w:val="24"/>
        </w:rPr>
        <w:t>(lunas-bagon tapol)</w:t>
      </w:r>
      <w:r>
        <w:rPr>
          <w:rFonts w:ascii="Times New Roman" w:eastAsia="Times New Roman" w:hAnsi="Times New Roman" w:cs="Times New Roman"/>
          <w:i/>
          <w:iCs/>
          <w:sz w:val="24"/>
          <w:szCs w:val="24"/>
        </w:rPr>
        <w:t xml:space="preserve">, Anodendron borneense </w:t>
      </w:r>
      <w:r>
        <w:rPr>
          <w:rFonts w:ascii="Times New Roman" w:eastAsia="Times New Roman" w:hAnsi="Times New Roman" w:cs="Times New Roman"/>
          <w:sz w:val="24"/>
          <w:szCs w:val="24"/>
        </w:rPr>
        <w:t>(lunas-taguli)</w:t>
      </w:r>
      <w:r>
        <w:rPr>
          <w:rFonts w:ascii="Times New Roman" w:eastAsia="Times New Roman" w:hAnsi="Times New Roman" w:cs="Times New Roman"/>
          <w:i/>
          <w:iCs/>
          <w:sz w:val="24"/>
          <w:szCs w:val="24"/>
        </w:rPr>
        <w:t xml:space="preserve">, Micromelum minutum </w:t>
      </w:r>
      <w:r>
        <w:rPr>
          <w:rFonts w:ascii="Times New Roman" w:eastAsia="Times New Roman" w:hAnsi="Times New Roman" w:cs="Times New Roman"/>
          <w:sz w:val="24"/>
          <w:szCs w:val="24"/>
        </w:rPr>
        <w:t>(lunas-kahoy)</w:t>
      </w:r>
      <w:r>
        <w:rPr>
          <w:rFonts w:ascii="Times New Roman" w:eastAsia="Times New Roman" w:hAnsi="Times New Roman" w:cs="Times New Roman"/>
          <w:i/>
          <w:iCs/>
          <w:sz w:val="24"/>
          <w:szCs w:val="24"/>
        </w:rPr>
        <w:t xml:space="preserve">, Arcangelisia flava </w:t>
      </w:r>
      <w:r>
        <w:rPr>
          <w:rFonts w:ascii="Times New Roman" w:eastAsia="Times New Roman" w:hAnsi="Times New Roman" w:cs="Times New Roman"/>
          <w:sz w:val="24"/>
          <w:szCs w:val="24"/>
        </w:rPr>
        <w:t>(albutra)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Cinnamomum mercadoi </w:t>
      </w:r>
      <w:r>
        <w:rPr>
          <w:rFonts w:ascii="Times New Roman" w:eastAsia="Times New Roman" w:hAnsi="Times New Roman" w:cs="Times New Roman"/>
          <w:sz w:val="24"/>
          <w:szCs w:val="24"/>
        </w:rPr>
        <w:t>(kaningag)</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These plants are typically used to treat insect and snake bites, rep</w:t>
      </w:r>
      <w:r>
        <w:rPr>
          <w:rFonts w:ascii="Times New Roman" w:eastAsia="Times New Roman" w:hAnsi="Times New Roman" w:cs="Times New Roman"/>
          <w:sz w:val="24"/>
          <w:szCs w:val="24"/>
        </w:rPr>
        <w:t xml:space="preserve">roductive health issues, cancer, ulcers, diarrhea, infections, and other conditions among the tribal communities of Mindanao, including Agusan Manobo (Agusan Manobo Study, 2020). Additionally, </w:t>
      </w:r>
      <w:r>
        <w:rPr>
          <w:rFonts w:ascii="Times New Roman" w:eastAsia="Times New Roman" w:hAnsi="Times New Roman" w:cs="Times New Roman"/>
          <w:i/>
          <w:iCs/>
          <w:sz w:val="24"/>
          <w:szCs w:val="24"/>
        </w:rPr>
        <w:t xml:space="preserve">Annona muricata </w:t>
      </w:r>
      <w:r>
        <w:rPr>
          <w:rFonts w:ascii="Times New Roman" w:eastAsia="Times New Roman" w:hAnsi="Times New Roman" w:cs="Times New Roman"/>
          <w:sz w:val="24"/>
          <w:szCs w:val="24"/>
        </w:rPr>
        <w:t>(soursop)</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is widely used to treat multiple dise</w:t>
      </w:r>
      <w:r>
        <w:rPr>
          <w:rFonts w:ascii="Times New Roman" w:eastAsia="Times New Roman" w:hAnsi="Times New Roman" w:cs="Times New Roman"/>
          <w:sz w:val="24"/>
          <w:szCs w:val="24"/>
        </w:rPr>
        <w:t>ases, including urinary tract infections, cancer, and hypertension, and has demonstrated pharmacological activities (Panay Bukidnon Study, 2022).</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recent phytochemical analyses of these plants have identified key bioactive secondary metabolites</w:t>
      </w:r>
      <w:r>
        <w:rPr>
          <w:rFonts w:ascii="Times New Roman" w:eastAsia="Times New Roman" w:hAnsi="Times New Roman" w:cs="Times New Roman"/>
          <w:sz w:val="24"/>
          <w:szCs w:val="24"/>
        </w:rPr>
        <w:t>, including alkaloids, flavonoids, saponins, tannins, terpenoids, sterols, and phenols. The said compounds are responsible for the antimicrobial, antioxidant, anti-inflammatory, and anticancer properties that support their traditional therapeutic uses, bio</w:t>
      </w:r>
      <w:r>
        <w:rPr>
          <w:rFonts w:ascii="Times New Roman" w:eastAsia="Times New Roman" w:hAnsi="Times New Roman" w:cs="Times New Roman"/>
          <w:sz w:val="24"/>
          <w:szCs w:val="24"/>
        </w:rPr>
        <w:t xml:space="preserve">chemical studies (Acosta et al., 2022). Notably, species such as </w:t>
      </w:r>
      <w:r>
        <w:rPr>
          <w:rFonts w:ascii="Times New Roman" w:eastAsia="Times New Roman" w:hAnsi="Times New Roman" w:cs="Times New Roman"/>
          <w:i/>
          <w:iCs/>
          <w:sz w:val="24"/>
          <w:szCs w:val="24"/>
        </w:rPr>
        <w:t xml:space="preserve">Abelmoschus esculentus </w:t>
      </w:r>
      <w:r>
        <w:rPr>
          <w:rFonts w:ascii="Times New Roman" w:eastAsia="Times New Roman" w:hAnsi="Times New Roman" w:cs="Times New Roman"/>
          <w:sz w:val="24"/>
          <w:szCs w:val="24"/>
        </w:rPr>
        <w:t xml:space="preserve">(okra), </w:t>
      </w:r>
      <w:r>
        <w:rPr>
          <w:rFonts w:ascii="Times New Roman" w:eastAsia="Times New Roman" w:hAnsi="Times New Roman" w:cs="Times New Roman"/>
          <w:i/>
          <w:iCs/>
          <w:sz w:val="24"/>
          <w:szCs w:val="24"/>
        </w:rPr>
        <w:t xml:space="preserve">Clitoria ternetea </w:t>
      </w:r>
      <w:r>
        <w:rPr>
          <w:rFonts w:ascii="Times New Roman" w:eastAsia="Times New Roman" w:hAnsi="Times New Roman" w:cs="Times New Roman"/>
          <w:sz w:val="24"/>
          <w:szCs w:val="24"/>
        </w:rPr>
        <w:t xml:space="preserve">(balog-balog), and </w:t>
      </w:r>
      <w:r>
        <w:rPr>
          <w:rFonts w:ascii="Times New Roman" w:eastAsia="Times New Roman" w:hAnsi="Times New Roman" w:cs="Times New Roman"/>
          <w:i/>
          <w:iCs/>
          <w:sz w:val="24"/>
          <w:szCs w:val="24"/>
        </w:rPr>
        <w:t xml:space="preserve">Luffa acutangula </w:t>
      </w:r>
      <w:r>
        <w:rPr>
          <w:rFonts w:ascii="Times New Roman" w:eastAsia="Times New Roman" w:hAnsi="Times New Roman" w:cs="Times New Roman"/>
          <w:sz w:val="24"/>
          <w:szCs w:val="24"/>
        </w:rPr>
        <w:t xml:space="preserve">(patola) exhibit various bioactivities, confirmed by phytochemical and pharmacological tests </w:t>
      </w:r>
      <w:r>
        <w:rPr>
          <w:rFonts w:ascii="Times New Roman" w:eastAsia="Times New Roman" w:hAnsi="Times New Roman" w:cs="Times New Roman"/>
          <w:color w:val="000000"/>
          <w:sz w:val="24"/>
          <w:szCs w:val="24"/>
        </w:rPr>
        <w:t>(Duran &amp; Cord</w:t>
      </w:r>
      <w:r>
        <w:rPr>
          <w:rFonts w:ascii="Times New Roman" w:eastAsia="Times New Roman" w:hAnsi="Times New Roman" w:cs="Times New Roman"/>
          <w:color w:val="000000"/>
          <w:sz w:val="24"/>
          <w:szCs w:val="24"/>
        </w:rPr>
        <w:t xml:space="preserve">ero, 2022). </w:t>
      </w:r>
      <w:r>
        <w:rPr>
          <w:rFonts w:ascii="Times New Roman" w:eastAsia="Times New Roman" w:hAnsi="Times New Roman" w:cs="Times New Roman"/>
          <w:sz w:val="24"/>
          <w:szCs w:val="24"/>
        </w:rPr>
        <w:t>These findings underscore the potential of medicinal plants in Mindanao as a natural source of bioactive compounds for drug development. However, some species are endangered by habitat loss and overharvesting, which is why it is so important th</w:t>
      </w:r>
      <w:r>
        <w:rPr>
          <w:rFonts w:ascii="Times New Roman" w:eastAsia="Times New Roman" w:hAnsi="Times New Roman" w:cs="Times New Roman"/>
          <w:sz w:val="24"/>
          <w:szCs w:val="24"/>
        </w:rPr>
        <w:t>at conservation activities are recorded and verified by scientific methods. Ethnobotany and phytochemistry are two fields that can be used to enhance each other in order to improve the preservation of indigenous knowledge and the development of sustainable</w:t>
      </w:r>
      <w:r>
        <w:rPr>
          <w:rFonts w:ascii="Times New Roman" w:eastAsia="Times New Roman" w:hAnsi="Times New Roman" w:cs="Times New Roman"/>
          <w:sz w:val="24"/>
          <w:szCs w:val="24"/>
        </w:rPr>
        <w:t xml:space="preserve"> healthcare solutions (Acosta et al., 2022).</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Scientific Proof of Traditional Knowledge</w:t>
      </w:r>
      <w:r>
        <w:rPr>
          <w:rFonts w:ascii="Times New Roman" w:hAnsi="Times New Roman" w:cs="Times New Roman"/>
          <w:sz w:val="24"/>
          <w:szCs w:val="24"/>
        </w:rPr>
        <w:t>. The B’laan tribe is an indigenous cultural group that primarily lives in the Mount Matutum Protected Landscape and other portions of Southern Mindanao, Philippines. The</w:t>
      </w:r>
      <w:r>
        <w:rPr>
          <w:rFonts w:ascii="Times New Roman" w:hAnsi="Times New Roman" w:cs="Times New Roman"/>
          <w:sz w:val="24"/>
          <w:szCs w:val="24"/>
        </w:rPr>
        <w:t>ir strong connection to nature is part of their heritage, reflected in the tribe’s extensive traditional ethnomedicinal knowledge of plants. It was reported that 100 medicinal plant species were found and they represented 30 plant families, such as gmelina</w:t>
      </w:r>
      <w:r>
        <w:rPr>
          <w:rFonts w:ascii="Times New Roman" w:hAnsi="Times New Roman" w:cs="Times New Roman"/>
          <w:sz w:val="24"/>
          <w:szCs w:val="24"/>
        </w:rPr>
        <w:t xml:space="preserve">, balbas-pusa, and agik-agik, which the tribe uses in treating a diverse range of illnesses infections, inflammation, and chronic diseases (Pucot et al., 2019).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Medicinal plants are an essential part of the B'laan healing systems, and the most prevalent a</w:t>
      </w:r>
      <w:r>
        <w:rPr>
          <w:rFonts w:ascii="Times New Roman" w:hAnsi="Times New Roman" w:cs="Times New Roman"/>
          <w:sz w:val="24"/>
          <w:szCs w:val="24"/>
        </w:rPr>
        <w:t>re roots and leaves that are typically prepared as a decoction and then given orally (Alinsug et al., 2021). Ethnomedicinal knowledge is passed orally from generation to generation. It encompasses holistic forms of healing that involve the use of herbal me</w:t>
      </w:r>
      <w:r>
        <w:rPr>
          <w:rFonts w:ascii="Times New Roman" w:hAnsi="Times New Roman" w:cs="Times New Roman"/>
          <w:sz w:val="24"/>
          <w:szCs w:val="24"/>
        </w:rPr>
        <w:t>dicines and rituals conducted by traditional healers of Babaylans, who also perform spiritual healing rituals (Awoke &amp; Cosendey, 2025).</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Nonetheless, B’laan health systems have changed significantly due to external factors, including government healthcare i</w:t>
      </w:r>
      <w:r>
        <w:rPr>
          <w:rFonts w:ascii="Times New Roman" w:hAnsi="Times New Roman" w:cs="Times New Roman"/>
          <w:sz w:val="24"/>
          <w:szCs w:val="24"/>
        </w:rPr>
        <w:t>ntervention, modernization, and acculturation to Western medicine. Such changes influence the use and transfer of indigenous health knowledge, such as herbal practices, resulting in a reduced increase in the number of traditional healers and changes in hea</w:t>
      </w:r>
      <w:r>
        <w:rPr>
          <w:rFonts w:ascii="Times New Roman" w:hAnsi="Times New Roman" w:cs="Times New Roman"/>
          <w:sz w:val="24"/>
          <w:szCs w:val="24"/>
        </w:rPr>
        <w:t xml:space="preserve">lth-seeking practices (Cordero et al., 2022). Nevertheless, the cultural identity and traditional medical practices of the B'laan tribe continue to provide valuable insights into biocultural conservation and pharmacological studies of the medicinal plants </w:t>
      </w:r>
      <w:r>
        <w:rPr>
          <w:rFonts w:ascii="Times New Roman" w:hAnsi="Times New Roman" w:cs="Times New Roman"/>
          <w:sz w:val="24"/>
          <w:szCs w:val="24"/>
        </w:rPr>
        <w:t>they use (Alinsug et al., 2021; Pucot et al., 2019).</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an ethnobotanical survey of the B'laan tribe in Southern Mindanao shows a strong tradition of using locally available plants, including Gmelina, Balbas-pusa, and Agik-agik, to treat several</w:t>
      </w:r>
      <w:r>
        <w:rPr>
          <w:rFonts w:ascii="Times New Roman" w:hAnsi="Times New Roman" w:cs="Times New Roman"/>
          <w:sz w:val="24"/>
          <w:szCs w:val="24"/>
        </w:rPr>
        <w:t xml:space="preserve"> ailments. The paper emphasizes the need to conserve knowledge by scientifically validating it, since the existing information regarding their phytochemical properties is scarce (Garcia &amp; dela Cruz, 2022; Santos et al., 2023). Moreover, through the isolati</w:t>
      </w:r>
      <w:r>
        <w:rPr>
          <w:rFonts w:ascii="Times New Roman" w:hAnsi="Times New Roman" w:cs="Times New Roman"/>
          <w:sz w:val="24"/>
          <w:szCs w:val="24"/>
        </w:rPr>
        <w:t xml:space="preserve">on and characterization of phytochemicals, researchers can perform a correlation of particular plant compounds with ethnomedicinal claims by providing biochemical data that supports the traditional knowledge.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Plants contain flavonoids and tannins, which a</w:t>
      </w:r>
      <w:r>
        <w:rPr>
          <w:rFonts w:ascii="Times New Roman" w:hAnsi="Times New Roman" w:cs="Times New Roman"/>
          <w:sz w:val="24"/>
          <w:szCs w:val="24"/>
        </w:rPr>
        <w:t>re usually associated with their application in the treatment of infections and inflammation and scientifically confirmed the assertions about remedies (Sharma et al., 2020). More so, phytochemical screening is the basis of future pharmacological studies a</w:t>
      </w:r>
      <w:r>
        <w:rPr>
          <w:rFonts w:ascii="Times New Roman" w:hAnsi="Times New Roman" w:cs="Times New Roman"/>
          <w:sz w:val="24"/>
          <w:szCs w:val="24"/>
        </w:rPr>
        <w:t>nd drug development because it establishes promising compounds found naturally in plants that have anecdotal efficacy (Najmi et al., 2022). This is a scientific practice that maintains native knowledge and combines it with contemporary medicine, which enco</w:t>
      </w:r>
      <w:r>
        <w:rPr>
          <w:rFonts w:ascii="Times New Roman" w:hAnsi="Times New Roman" w:cs="Times New Roman"/>
          <w:sz w:val="24"/>
          <w:szCs w:val="24"/>
        </w:rPr>
        <w:t>urages the logical application of herbal medicines.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Medicinal Plants Used by the B’laan Tribe of South Cotabato. </w:t>
      </w:r>
      <w:r>
        <w:rPr>
          <w:rFonts w:ascii="Times New Roman" w:hAnsi="Times New Roman" w:cs="Times New Roman"/>
          <w:sz w:val="24"/>
          <w:szCs w:val="24"/>
        </w:rPr>
        <w:t>The researchers have conducted an ethnobotanical study about the medicinal plants used by the B’laan tribe residing in Barangay Assumption, Kor</w:t>
      </w:r>
      <w:r>
        <w:rPr>
          <w:rFonts w:ascii="Times New Roman" w:hAnsi="Times New Roman" w:cs="Times New Roman"/>
          <w:sz w:val="24"/>
          <w:szCs w:val="24"/>
        </w:rPr>
        <w:t>onadal, South Cotabato. Their study shows that the tribe suffers from a variety of illnesses inherited from ancestors. Some of the most frequently mentioned medicinal plants are Gmelina, Balbas-pusa, and Agik-agik, which are widely used because of their ef</w:t>
      </w:r>
      <w:r>
        <w:rPr>
          <w:rFonts w:ascii="Times New Roman" w:hAnsi="Times New Roman" w:cs="Times New Roman"/>
          <w:sz w:val="24"/>
          <w:szCs w:val="24"/>
        </w:rPr>
        <w:t xml:space="preserve">ficacy and abundance in the area. These plants were used for treating cough, diabetes, and toothache, respectively.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Tribe healers and other residents were interviewed for the study, wherein they recorded various medicinal plants, including Gmelina, Balbas</w:t>
      </w:r>
      <w:r>
        <w:rPr>
          <w:rFonts w:ascii="Times New Roman" w:hAnsi="Times New Roman" w:cs="Times New Roman"/>
          <w:sz w:val="24"/>
          <w:szCs w:val="24"/>
        </w:rPr>
        <w:t xml:space="preserve">-pusa, and Agik-agik. The leaves of Gmelina, or </w:t>
      </w:r>
      <w:r>
        <w:rPr>
          <w:rFonts w:ascii="Times New Roman" w:hAnsi="Times New Roman" w:cs="Times New Roman"/>
          <w:i/>
          <w:iCs/>
          <w:sz w:val="24"/>
          <w:szCs w:val="24"/>
        </w:rPr>
        <w:t xml:space="preserve">Gmelina arborea, </w:t>
      </w:r>
      <w:r>
        <w:rPr>
          <w:rFonts w:ascii="Times New Roman" w:hAnsi="Times New Roman" w:cs="Times New Roman"/>
          <w:sz w:val="24"/>
          <w:szCs w:val="24"/>
        </w:rPr>
        <w:t>were used as a poultice to treat cough. They roll the leaves between their palms until the leaf extracts are obtained. They will then spread the mashed leaves evenly over the patient’s back a</w:t>
      </w:r>
      <w:r>
        <w:rPr>
          <w:rFonts w:ascii="Times New Roman" w:hAnsi="Times New Roman" w:cs="Times New Roman"/>
          <w:sz w:val="24"/>
          <w:szCs w:val="24"/>
        </w:rPr>
        <w:t xml:space="preserve">nd chest. It is said to soothe and relieve cough and cold, supported by a study by Pucot et al. (2019). Phytochemical screening of the plant has already been recorded; however, this study will focus on the leaves of </w:t>
      </w:r>
      <w:r>
        <w:rPr>
          <w:rFonts w:ascii="Times New Roman" w:hAnsi="Times New Roman" w:cs="Times New Roman"/>
          <w:i/>
          <w:iCs/>
          <w:sz w:val="24"/>
          <w:szCs w:val="24"/>
        </w:rPr>
        <w:t>Gmelina arborea</w:t>
      </w:r>
      <w:r>
        <w:rPr>
          <w:rFonts w:ascii="Times New Roman" w:hAnsi="Times New Roman" w:cs="Times New Roman"/>
          <w:sz w:val="24"/>
          <w:szCs w:val="24"/>
        </w:rPr>
        <w:t>.</w:t>
      </w:r>
    </w:p>
    <w:p w:rsidR="00F03517" w:rsidRDefault="00F3380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Pr>
          <w:rFonts w:ascii="Times New Roman" w:hAnsi="Times New Roman" w:cs="Times New Roman"/>
          <w:i/>
          <w:iCs/>
          <w:color w:val="000000"/>
          <w:sz w:val="24"/>
          <w:szCs w:val="24"/>
        </w:rPr>
        <w:t xml:space="preserve">Orthosiphon aristatus, </w:t>
      </w:r>
      <w:r>
        <w:rPr>
          <w:rFonts w:ascii="Times New Roman" w:hAnsi="Times New Roman" w:cs="Times New Roman"/>
          <w:color w:val="000000"/>
          <w:sz w:val="24"/>
          <w:szCs w:val="24"/>
        </w:rPr>
        <w:t>or the balbas-pusa, was used by the B’laan tribe as a treatment for diabetes and menstrual disorders using the leaves and flowers as a decoction or tea (Pilapil et al., 2022). The plant leaves have already been screened for phytochem</w:t>
      </w:r>
      <w:r>
        <w:rPr>
          <w:rFonts w:ascii="Times New Roman" w:hAnsi="Times New Roman" w:cs="Times New Roman"/>
          <w:color w:val="000000"/>
          <w:sz w:val="24"/>
          <w:szCs w:val="24"/>
        </w:rPr>
        <w:t>icals, prompting the researchers to focus on the plant’s flowers. Pilapil et al. (2022) also found that the B’laan tribe primarily used Agik-agik as a poultice for treating toothache The plant’s flower is crushed and applied to the affected area Another pl</w:t>
      </w:r>
      <w:r>
        <w:rPr>
          <w:rFonts w:ascii="Times New Roman" w:hAnsi="Times New Roman" w:cs="Times New Roman"/>
          <w:color w:val="000000"/>
          <w:sz w:val="24"/>
          <w:szCs w:val="24"/>
        </w:rPr>
        <w:t xml:space="preserve">ant they use in treating toothache is </w:t>
      </w:r>
      <w:r>
        <w:rPr>
          <w:rFonts w:ascii="Times New Roman" w:hAnsi="Times New Roman" w:cs="Times New Roman"/>
          <w:i/>
          <w:iCs/>
          <w:color w:val="000000"/>
          <w:sz w:val="24"/>
          <w:szCs w:val="24"/>
        </w:rPr>
        <w:t xml:space="preserve">Tinospora rumphii, </w:t>
      </w:r>
      <w:r>
        <w:rPr>
          <w:rFonts w:ascii="Times New Roman" w:hAnsi="Times New Roman" w:cs="Times New Roman"/>
          <w:color w:val="000000"/>
          <w:sz w:val="24"/>
          <w:szCs w:val="24"/>
        </w:rPr>
        <w:t>or locally known as “Panyawan”, wherein they use its sap as a drop, they will apply the sap on the side of the eye opposite to where the affected tooth is located. They also use this plant for treati</w:t>
      </w:r>
      <w:r>
        <w:rPr>
          <w:rFonts w:ascii="Times New Roman" w:hAnsi="Times New Roman" w:cs="Times New Roman"/>
          <w:color w:val="000000"/>
          <w:sz w:val="24"/>
          <w:szCs w:val="24"/>
        </w:rPr>
        <w:t>ng diabetes. The plant’s flowers have already been screened for phytochemicals, prompting the researchers to focus on its roots.</w:t>
      </w:r>
    </w:p>
    <w:p w:rsidR="00F03517" w:rsidRDefault="00F03517">
      <w:pPr>
        <w:spacing w:after="0" w:line="240" w:lineRule="auto"/>
        <w:ind w:firstLine="720"/>
        <w:jc w:val="both"/>
        <w:rPr>
          <w:rFonts w:ascii="Times New Roman" w:hAnsi="Times New Roman" w:cs="Times New Roman"/>
          <w:color w:val="000000"/>
          <w:sz w:val="28"/>
          <w:szCs w:val="28"/>
        </w:rPr>
      </w:pPr>
    </w:p>
    <w:p w:rsidR="00F03517" w:rsidRDefault="00F3380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THEORETICAL FRAMEWORK</w:t>
      </w:r>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study is anchored on the non-random medicinal plant theory. </w:t>
      </w:r>
      <w:r>
        <w:rPr>
          <w:rStyle w:val="15"/>
          <w:sz w:val="24"/>
          <w:szCs w:val="24"/>
        </w:rPr>
        <w:t>According to Daniel Moerman (1979), th</w:t>
      </w:r>
      <w:r>
        <w:rPr>
          <w:rStyle w:val="15"/>
          <w:sz w:val="24"/>
          <w:szCs w:val="24"/>
        </w:rPr>
        <w:t>is theory holds that traditional medicinal practices do not select plants randomly; instead, plant selection is often influenced by therapeutic efficacy.  This phylogenetic analysis indicates that certain plant families are used in traditional medicine, su</w:t>
      </w:r>
      <w:r>
        <w:rPr>
          <w:rStyle w:val="15"/>
          <w:sz w:val="24"/>
          <w:szCs w:val="24"/>
        </w:rPr>
        <w:t>ggesting that cultural selection is partially based on their medicinal properties.</w:t>
      </w:r>
      <w:r>
        <w:rPr>
          <w:rFonts w:ascii="Times New Roman" w:hAnsi="Times New Roman" w:cs="Times New Roman"/>
          <w:sz w:val="24"/>
          <w:szCs w:val="24"/>
        </w:rPr>
        <w:br/>
      </w:r>
      <w:r>
        <w:rPr>
          <w:rFonts w:ascii="Times New Roman" w:hAnsi="Times New Roman" w:cs="Times New Roman"/>
          <w:sz w:val="24"/>
          <w:szCs w:val="24"/>
        </w:rPr>
        <w:tab/>
      </w:r>
      <w:r>
        <w:rPr>
          <w:rStyle w:val="15"/>
          <w:sz w:val="24"/>
          <w:szCs w:val="24"/>
        </w:rPr>
        <w:t>Leaves of Gmelina (</w:t>
      </w:r>
      <w:r>
        <w:rPr>
          <w:rStyle w:val="15"/>
          <w:i/>
          <w:iCs/>
          <w:sz w:val="24"/>
          <w:szCs w:val="24"/>
        </w:rPr>
        <w:t>Gmelina arborea</w:t>
      </w:r>
      <w:r>
        <w:rPr>
          <w:rStyle w:val="15"/>
          <w:sz w:val="24"/>
          <w:szCs w:val="24"/>
        </w:rPr>
        <w:t>), Babas-pusa (</w:t>
      </w:r>
      <w:r>
        <w:rPr>
          <w:rStyle w:val="15"/>
          <w:i/>
          <w:iCs/>
          <w:sz w:val="24"/>
          <w:szCs w:val="24"/>
        </w:rPr>
        <w:t>Orthosiphon aristatus</w:t>
      </w:r>
      <w:r>
        <w:rPr>
          <w:rStyle w:val="15"/>
          <w:sz w:val="24"/>
          <w:szCs w:val="24"/>
        </w:rPr>
        <w:t>), and Agik-agik (</w:t>
      </w:r>
      <w:r>
        <w:rPr>
          <w:rStyle w:val="15"/>
          <w:i/>
          <w:iCs/>
          <w:sz w:val="24"/>
          <w:szCs w:val="24"/>
        </w:rPr>
        <w:t>Acmella oleracea</w:t>
      </w:r>
      <w:r>
        <w:rPr>
          <w:rStyle w:val="15"/>
          <w:sz w:val="24"/>
          <w:szCs w:val="24"/>
        </w:rPr>
        <w:t>) are known as medicinal plants practiced by the B'laan Tribe of Brg</w:t>
      </w:r>
      <w:r>
        <w:rPr>
          <w:rStyle w:val="15"/>
          <w:sz w:val="24"/>
          <w:szCs w:val="24"/>
        </w:rPr>
        <w:t>y. Koronadal, Assumption, South Cotabato. It is known that medicinal plants contain a broad range of bioactive compounds, including alkaloids, Flavonoids, tannins, saponins, terpenoids, and phenolic compounds. It is these compounds that give these plants t</w:t>
      </w:r>
      <w:r>
        <w:rPr>
          <w:rStyle w:val="15"/>
          <w:sz w:val="24"/>
          <w:szCs w:val="24"/>
        </w:rPr>
        <w:t>heal the health benefits (Pandey et al., 2014). All phytochemical classes have distinct pharmacological actions, and they are also important in both traditional and alternative medicine.</w:t>
      </w: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0" distR="0" simplePos="0" relativeHeight="251661312" behindDoc="0" locked="0" layoutInCell="1" allowOverlap="1">
                <wp:simplePos x="0" y="0"/>
                <wp:positionH relativeFrom="column">
                  <wp:posOffset>4813300</wp:posOffset>
                </wp:positionH>
                <wp:positionV relativeFrom="paragraph">
                  <wp:posOffset>10160</wp:posOffset>
                </wp:positionV>
                <wp:extent cx="914400" cy="266700"/>
                <wp:effectExtent l="0" t="0" r="19050" b="19050"/>
                <wp:wrapNone/>
                <wp:docPr id="1028" name="Text Box 14"/>
                <wp:cNvGraphicFramePr/>
                <a:graphic xmlns:a="http://schemas.openxmlformats.org/drawingml/2006/main">
                  <a:graphicData uri="http://schemas.microsoft.com/office/word/2010/wordprocessingShape">
                    <wps:wsp>
                      <wps:cNvSpPr/>
                      <wps:spPr>
                        <a:xfrm>
                          <a:off x="0" y="0"/>
                          <a:ext cx="914400" cy="266700"/>
                        </a:xfrm>
                        <a:prstGeom prst="rect">
                          <a:avLst/>
                        </a:prstGeom>
                        <a:solidFill>
                          <a:srgbClr val="FFFFFF"/>
                        </a:solidFill>
                        <a:ln w="6350" cap="flat" cmpd="sng">
                          <a:solidFill>
                            <a:srgbClr val="FFFFFF"/>
                          </a:solidFill>
                          <a:prstDash val="solid"/>
                          <a:round/>
                          <a:headEnd type="none" w="med" len="med"/>
                          <a:tailEnd type="none" w="med" len="med"/>
                        </a:ln>
                      </wps:spPr>
                      <wps:txbx>
                        <w:txbxContent>
                          <w:p w:rsidR="00F03517" w:rsidRDefault="00F33808">
                            <w:pPr>
                              <w:jc w:val="center"/>
                              <w:rPr>
                                <w:rFonts w:ascii="Arial" w:hAnsi="Arial" w:cs="Arial"/>
                                <w:b/>
                                <w:bCs/>
                                <w:sz w:val="24"/>
                                <w:szCs w:val="24"/>
                              </w:rPr>
                            </w:pPr>
                            <w:r>
                              <w:rPr>
                                <w:rFonts w:ascii="Arial" w:hAnsi="Arial" w:cs="Arial"/>
                                <w:b/>
                                <w:bCs/>
                                <w:sz w:val="24"/>
                                <w:szCs w:val="24"/>
                              </w:rPr>
                              <w:t>Output</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Text Box 14" o:spid="_x0000_s1026" o:spt="1" style="position:absolute;left:0pt;margin-left:379pt;margin-top:0.8pt;height:21pt;width:72pt;z-index:251661312;mso-width-relative:page;mso-height-relative:page;" fillcolor="#FFFFFF" filled="t" stroked="t" coordsize="21600,21600" o:gfxdata="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oXhGfV&#10;AAAACAEAAA8AAAAAAAAAAQAgAAAAIgAAAGRycy9kb3ducmV2LnhtbFBLAQIUABQAAAAIAIdO4kBQ&#10;AnUVIwIAAJUEAAAOAAAAAAAAAAEAIAAAACQBAABkcnMvZTJvRG9jLnhtbFBLBQYAAAAABgAGAFkB&#10;AAC5BQAAAAA=&#10;">
                <v:fill on="t" focussize="0,0"/>
                <v:stroke weight="0.5pt" color="#FFFFFF" joinstyle="round"/>
                <v:imagedata o:title=""/>
                <o:lock v:ext="edit" aspectratio="f"/>
                <v:textbox>
                  <w:txbxContent>
                    <w:p w14:paraId="29E4242B">
                      <w:pPr>
                        <w:jc w:val="center"/>
                        <w:rPr>
                          <w:rFonts w:ascii="Arial" w:hAnsi="Arial" w:cs="Arial"/>
                          <w:b/>
                          <w:bCs/>
                          <w:sz w:val="24"/>
                          <w:szCs w:val="24"/>
                        </w:rPr>
                      </w:pPr>
                      <w:r>
                        <w:rPr>
                          <w:rFonts w:ascii="Arial" w:hAnsi="Arial" w:cs="Arial"/>
                          <w:b/>
                          <w:bCs/>
                          <w:sz w:val="24"/>
                          <w:szCs w:val="24"/>
                        </w:rPr>
                        <w:t>Output</w:t>
                      </w:r>
                    </w:p>
                  </w:txbxContent>
                </v:textbox>
              </v:rect>
            </w:pict>
          </mc:Fallback>
        </mc:AlternateContent>
      </w:r>
      <w:r>
        <w:rPr>
          <w:rFonts w:ascii="Times New Roman" w:hAnsi="Times New Roman" w:cs="Times New Roman"/>
          <w:noProof/>
          <w:sz w:val="24"/>
          <w:szCs w:val="24"/>
          <w:lang w:val="en-IN" w:eastAsia="en-IN"/>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6350</wp:posOffset>
                </wp:positionV>
                <wp:extent cx="914400" cy="285750"/>
                <wp:effectExtent l="0" t="0" r="19050" b="19050"/>
                <wp:wrapNone/>
                <wp:docPr id="1026" name="Text Box 13"/>
                <wp:cNvGraphicFramePr/>
                <a:graphic xmlns:a="http://schemas.openxmlformats.org/drawingml/2006/main">
                  <a:graphicData uri="http://schemas.microsoft.com/office/word/2010/wordprocessingShape">
                    <wps:wsp>
                      <wps:cNvSpPr/>
                      <wps:spPr>
                        <a:xfrm>
                          <a:off x="0" y="0"/>
                          <a:ext cx="914400" cy="285750"/>
                        </a:xfrm>
                        <a:prstGeom prst="rect">
                          <a:avLst/>
                        </a:prstGeom>
                        <a:solidFill>
                          <a:srgbClr val="FFFFFF"/>
                        </a:solidFill>
                        <a:ln w="6350" cap="flat" cmpd="sng">
                          <a:solidFill>
                            <a:srgbClr val="FFFFFF"/>
                          </a:solidFill>
                          <a:prstDash val="solid"/>
                          <a:round/>
                          <a:headEnd type="none" w="med" len="med"/>
                          <a:tailEnd type="none" w="med" len="med"/>
                        </a:ln>
                      </wps:spPr>
                      <wps:txbx>
                        <w:txbxContent>
                          <w:p w:rsidR="00F03517" w:rsidRDefault="00F33808">
                            <w:pPr>
                              <w:jc w:val="center"/>
                              <w:rPr>
                                <w:rFonts w:ascii="Arial" w:hAnsi="Arial" w:cs="Arial"/>
                                <w:b/>
                                <w:bCs/>
                                <w:sz w:val="24"/>
                                <w:szCs w:val="24"/>
                              </w:rPr>
                            </w:pPr>
                            <w:r>
                              <w:rPr>
                                <w:rFonts w:ascii="Arial" w:hAnsi="Arial" w:cs="Arial"/>
                                <w:b/>
                                <w:bCs/>
                                <w:sz w:val="24"/>
                                <w:szCs w:val="24"/>
                              </w:rPr>
                              <w:t>Process</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Text Box 13" o:spid="_x0000_s1026" o:spt="1" style="position:absolute;left:0pt;margin-top:0.5pt;height:22.5pt;width:72pt;mso-position-horizontal:center;mso-position-horizontal-relative:margin;z-index:251659264;mso-width-relative:page;mso-height-relative:page;" fillcolor="#FFFFFF" filled="t" stroked="t" coordsize="21600,21600" o:gfxdata="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kA6&#10;QNIAAAAFAQAADwAAAAAAAAABACAAAAAiAAAAZHJzL2Rvd25yZXYueG1sUEsBAhQAFAAAAAgAh07i&#10;QMu8+EEoAgAAlQQAAA4AAAAAAAAAAQAgAAAAIQEAAGRycy9lMm9Eb2MueG1sUEsFBgAAAAAGAAYA&#10;WQEAALsFAAAAAA==&#10;">
                <v:fill on="t" focussize="0,0"/>
                <v:stroke weight="0.5pt" color="#FFFFFF" joinstyle="round"/>
                <v:imagedata o:title=""/>
                <o:lock v:ext="edit" aspectratio="f"/>
                <v:textbox>
                  <w:txbxContent>
                    <w:p w14:paraId="214AD501">
                      <w:pPr>
                        <w:jc w:val="center"/>
                        <w:rPr>
                          <w:rFonts w:ascii="Arial" w:hAnsi="Arial" w:cs="Arial"/>
                          <w:b/>
                          <w:bCs/>
                          <w:sz w:val="24"/>
                          <w:szCs w:val="24"/>
                        </w:rPr>
                      </w:pPr>
                      <w:r>
                        <w:rPr>
                          <w:rFonts w:ascii="Arial" w:hAnsi="Arial" w:cs="Arial"/>
                          <w:b/>
                          <w:bCs/>
                          <w:sz w:val="24"/>
                          <w:szCs w:val="24"/>
                        </w:rPr>
                        <w:t>Process</w:t>
                      </w:r>
                    </w:p>
                  </w:txbxContent>
                </v:textbox>
              </v:rect>
            </w:pict>
          </mc:Fallback>
        </mc:AlternateContent>
      </w:r>
      <w:r>
        <w:rPr>
          <w:rFonts w:ascii="Times New Roman" w:hAnsi="Times New Roman" w:cs="Times New Roman"/>
          <w:noProof/>
          <w:sz w:val="24"/>
          <w:szCs w:val="24"/>
          <w:lang w:val="en-IN" w:eastAsia="en-IN"/>
        </w:rPr>
        <mc:AlternateContent>
          <mc:Choice Requires="wps">
            <w:drawing>
              <wp:anchor distT="0" distB="0" distL="0" distR="0" simplePos="0" relativeHeight="251660288" behindDoc="1" locked="0" layoutInCell="1" allowOverlap="1">
                <wp:simplePos x="0" y="0"/>
                <wp:positionH relativeFrom="column">
                  <wp:posOffset>406400</wp:posOffset>
                </wp:positionH>
                <wp:positionV relativeFrom="paragraph">
                  <wp:posOffset>35560</wp:posOffset>
                </wp:positionV>
                <wp:extent cx="914400" cy="300355"/>
                <wp:effectExtent l="0" t="0" r="19050" b="23495"/>
                <wp:wrapTight wrapText="bothSides">
                  <wp:wrapPolygon edited="0">
                    <wp:start x="0" y="0"/>
                    <wp:lineTo x="0" y="21920"/>
                    <wp:lineTo x="21600" y="21920"/>
                    <wp:lineTo x="21600" y="0"/>
                    <wp:lineTo x="0" y="0"/>
                  </wp:wrapPolygon>
                </wp:wrapTight>
                <wp:docPr id="1027" name="Text Box 12"/>
                <wp:cNvGraphicFramePr/>
                <a:graphic xmlns:a="http://schemas.openxmlformats.org/drawingml/2006/main">
                  <a:graphicData uri="http://schemas.microsoft.com/office/word/2010/wordprocessingShape">
                    <wps:wsp>
                      <wps:cNvSpPr/>
                      <wps:spPr>
                        <a:xfrm>
                          <a:off x="0" y="0"/>
                          <a:ext cx="914400" cy="300355"/>
                        </a:xfrm>
                        <a:prstGeom prst="rect">
                          <a:avLst/>
                        </a:prstGeom>
                        <a:solidFill>
                          <a:srgbClr val="FFFFFF"/>
                        </a:solidFill>
                        <a:ln w="6350" cap="flat" cmpd="sng">
                          <a:solidFill>
                            <a:srgbClr val="FFFFFF"/>
                          </a:solidFill>
                          <a:prstDash val="solid"/>
                          <a:round/>
                          <a:headEnd type="none" w="med" len="med"/>
                          <a:tailEnd type="none" w="med" len="med"/>
                        </a:ln>
                      </wps:spPr>
                      <wps:txbx>
                        <w:txbxContent>
                          <w:p w:rsidR="00F03517" w:rsidRDefault="00F33808">
                            <w:pPr>
                              <w:rPr>
                                <w:rFonts w:ascii="Arial" w:hAnsi="Arial" w:cs="Arial"/>
                                <w:b/>
                                <w:bCs/>
                                <w:sz w:val="24"/>
                                <w:szCs w:val="24"/>
                              </w:rPr>
                            </w:pPr>
                            <w:r>
                              <w:rPr>
                                <w:rFonts w:ascii="Arial" w:hAnsi="Arial" w:cs="Arial"/>
                                <w:b/>
                                <w:bCs/>
                                <w:sz w:val="24"/>
                                <w:szCs w:val="24"/>
                              </w:rPr>
                              <w:t xml:space="preserve">  Input</w:t>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Text Box 12" o:spid="_x0000_s1026" o:spt="1" style="position:absolute;left:0pt;margin-left:32pt;margin-top:2.8pt;height:23.65pt;width:72pt;mso-wrap-distance-left:0pt;mso-wrap-distance-right:0pt;z-index:-251656192;mso-width-relative:page;mso-height-relative:page;" fillcolor="#FFFFFF" filled="t" stroked="t" coordsize="21600,21600" wrapcoords="0 0 0 21920 21600 21920 21600 0 0 0" o:gfxdata="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7hhjHU&#10;AAAABwEAAA8AAAAAAAAAAQAgAAAAIgAAAGRycy9kb3ducmV2LnhtbFBLAQIUABQAAAAIAIdO4kD1&#10;z1F/JAIAAJUEAAAOAAAAAAAAAAEAIAAAACMBAABkcnMvZTJvRG9jLnhtbFBLBQYAAAAABgAGAFkB&#10;AAC5BQAAAAA=&#10;">
                <v:fill on="t" focussize="0,0"/>
                <v:stroke weight="0.5pt" color="#FFFFFF" joinstyle="round"/>
                <v:imagedata o:title=""/>
                <o:lock v:ext="edit" aspectratio="f"/>
                <v:textbox>
                  <w:txbxContent>
                    <w:p w14:paraId="7BCC10FC">
                      <w:pPr>
                        <w:rPr>
                          <w:rFonts w:ascii="Arial" w:hAnsi="Arial" w:cs="Arial"/>
                          <w:b/>
                          <w:bCs/>
                          <w:sz w:val="24"/>
                          <w:szCs w:val="24"/>
                        </w:rPr>
                      </w:pPr>
                      <w:r>
                        <w:rPr>
                          <w:rFonts w:ascii="Arial" w:hAnsi="Arial" w:cs="Arial"/>
                          <w:b/>
                          <w:bCs/>
                          <w:sz w:val="24"/>
                          <w:szCs w:val="24"/>
                        </w:rPr>
                        <w:t xml:space="preserve">  Input</w:t>
                      </w:r>
                    </w:p>
                  </w:txbxContent>
                </v:textbox>
                <w10:wrap type="tight"/>
              </v:rect>
            </w:pict>
          </mc:Fallback>
        </mc:AlternateConten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0" distR="0" simplePos="0" relativeHeight="251662336" behindDoc="0" locked="0" layoutInCell="1" allowOverlap="1">
                <wp:simplePos x="0" y="0"/>
                <wp:positionH relativeFrom="page">
                  <wp:posOffset>5203825</wp:posOffset>
                </wp:positionH>
                <wp:positionV relativeFrom="page">
                  <wp:posOffset>2946400</wp:posOffset>
                </wp:positionV>
                <wp:extent cx="1384300" cy="3257550"/>
                <wp:effectExtent l="0" t="0" r="25400" b="19050"/>
                <wp:wrapNone/>
                <wp:docPr id="1031" name="Rectangles 4"/>
                <wp:cNvGraphicFramePr/>
                <a:graphic xmlns:a="http://schemas.openxmlformats.org/drawingml/2006/main">
                  <a:graphicData uri="http://schemas.microsoft.com/office/word/2010/wordprocessingShape">
                    <wps:wsp>
                      <wps:cNvSpPr/>
                      <wps:spPr>
                        <a:xfrm>
                          <a:off x="0" y="0"/>
                          <a:ext cx="1384300" cy="325755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03517" w:rsidRDefault="00F03517">
                            <w:pPr>
                              <w:jc w:val="center"/>
                              <w:rPr>
                                <w:rFonts w:ascii="Arial" w:hAnsi="Arial" w:cs="Arial"/>
                              </w:rPr>
                            </w:pPr>
                          </w:p>
                          <w:p w:rsidR="00F03517" w:rsidRDefault="00F33808">
                            <w:pPr>
                              <w:jc w:val="center"/>
                              <w:rPr>
                                <w:rFonts w:ascii="Arial" w:hAnsi="Arial" w:cs="Arial"/>
                                <w:sz w:val="24"/>
                                <w:szCs w:val="24"/>
                              </w:rPr>
                            </w:pPr>
                            <w:r>
                              <w:rPr>
                                <w:rFonts w:ascii="Arial" w:hAnsi="Arial" w:cs="Arial"/>
                                <w:sz w:val="24"/>
                                <w:szCs w:val="24"/>
                              </w:rPr>
                              <w:t>Bioactive compound</w:t>
                            </w:r>
                          </w:p>
                          <w:p w:rsidR="00F03517" w:rsidRDefault="00F33808">
                            <w:pPr>
                              <w:jc w:val="center"/>
                              <w:rPr>
                                <w:rFonts w:ascii="Arial" w:hAnsi="Arial" w:cs="Arial"/>
                                <w:sz w:val="24"/>
                                <w:szCs w:val="24"/>
                              </w:rPr>
                            </w:pPr>
                            <w:r>
                              <w:rPr>
                                <w:rFonts w:ascii="Arial" w:hAnsi="Arial" w:cs="Arial"/>
                                <w:sz w:val="24"/>
                                <w:szCs w:val="24"/>
                              </w:rPr>
                              <w:t xml:space="preserve">Total </w:t>
                            </w:r>
                            <w:r>
                              <w:rPr>
                                <w:rFonts w:ascii="Arial" w:hAnsi="Arial" w:cs="Arial"/>
                                <w:sz w:val="24"/>
                                <w:szCs w:val="24"/>
                              </w:rPr>
                              <w:t>compound concentration</w:t>
                            </w:r>
                          </w:p>
                          <w:p w:rsidR="00F03517" w:rsidRDefault="00F03517">
                            <w:pPr>
                              <w:jc w:val="both"/>
                            </w:pPr>
                          </w:p>
                        </w:txbxContent>
                      </wps:txbx>
                      <wps:bodyPr vert="horz" wrap="square" lIns="91440" tIns="45720" rIns="91440" bIns="45720" anchor="ctr">
                        <a:noAutofit/>
                      </wps:bodyPr>
                    </wps:wsp>
                  </a:graphicData>
                </a:graphic>
              </wp:anchor>
            </w:drawing>
          </mc:Choice>
          <mc:Fallback xmlns:wpsCustomData="http://www.wps.cn/officeDocument/2013/wpsCustomData" xmlns:w15="http://schemas.microsoft.com/office/word/2012/wordml">
            <w:pict>
              <v:rect id="Rectangles 4" o:spid="_x0000_s1026" o:spt="1" style="position:absolute;left:0pt;margin-left:409.75pt;margin-top:232pt;height:256.5pt;width:109pt;mso-position-horizontal-relative:page;mso-position-vertical-relative:page;z-index:251662336;v-text-anchor:middle;mso-width-relative:page;mso-height-relative:page;" fillcolor="#FFFFFF" filled="t" stroked="t" coordsize="21600,21600" o:gfxdata="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DAbatkAAAAMAQAADwAAAAAAAAABACAAAAAiAAAAZHJzL2Rvd25yZXYueG1s&#10;UEsBAhQAFAAAAAgAh07iQFt5PCMwAgAAmwQAAA4AAAAAAAAAAQAgAAAAKAEAAGRycy9lMm9Eb2Mu&#10;eG1sUEsFBgAAAAAGAAYAWQEAAMoFAAAAAA==&#10;">
                <v:fill on="t" focussize="0,0"/>
                <v:stroke weight="1pt" color="#000000" joinstyle="miter"/>
                <v:imagedata o:title=""/>
                <o:lock v:ext="edit" aspectratio="f"/>
                <v:textbox>
                  <w:txbxContent>
                    <w:p w14:paraId="5180B3E4">
                      <w:pPr>
                        <w:jc w:val="center"/>
                        <w:rPr>
                          <w:rFonts w:ascii="Arial" w:hAnsi="Arial" w:cs="Arial"/>
                        </w:rPr>
                      </w:pPr>
                    </w:p>
                    <w:p w14:paraId="51821987">
                      <w:pPr>
                        <w:jc w:val="center"/>
                        <w:rPr>
                          <w:rFonts w:ascii="Arial" w:hAnsi="Arial" w:cs="Arial"/>
                          <w:sz w:val="24"/>
                          <w:szCs w:val="24"/>
                        </w:rPr>
                      </w:pPr>
                      <w:r>
                        <w:rPr>
                          <w:rFonts w:ascii="Arial" w:hAnsi="Arial" w:cs="Arial"/>
                          <w:sz w:val="24"/>
                          <w:szCs w:val="24"/>
                        </w:rPr>
                        <w:t>Bioactive compound</w:t>
                      </w:r>
                    </w:p>
                    <w:p w14:paraId="071A38DF">
                      <w:pPr>
                        <w:jc w:val="center"/>
                        <w:rPr>
                          <w:rFonts w:ascii="Arial" w:hAnsi="Arial" w:cs="Arial"/>
                          <w:sz w:val="24"/>
                          <w:szCs w:val="24"/>
                        </w:rPr>
                      </w:pPr>
                      <w:r>
                        <w:rPr>
                          <w:rFonts w:ascii="Arial" w:hAnsi="Arial" w:cs="Arial"/>
                          <w:sz w:val="24"/>
                          <w:szCs w:val="24"/>
                        </w:rPr>
                        <w:t>Total compound concentration</w:t>
                      </w:r>
                    </w:p>
                    <w:p w14:paraId="14047AE9">
                      <w:pPr>
                        <w:jc w:val="both"/>
                      </w:pPr>
                    </w:p>
                  </w:txbxContent>
                </v:textbox>
              </v:rect>
            </w:pict>
          </mc:Fallback>
        </mc:AlternateContent>
      </w:r>
      <w:r>
        <w:rPr>
          <w:rFonts w:ascii="Times New Roman" w:hAnsi="Times New Roman" w:cs="Times New Roman"/>
          <w:noProof/>
          <w:sz w:val="24"/>
          <w:szCs w:val="24"/>
          <w:lang w:val="en-IN" w:eastAsia="en-IN"/>
        </w:rPr>
        <mc:AlternateContent>
          <mc:Choice Requires="wps">
            <w:drawing>
              <wp:anchor distT="0" distB="0" distL="0" distR="0" simplePos="0" relativeHeight="251665408" behindDoc="0" locked="0" layoutInCell="1" allowOverlap="1">
                <wp:simplePos x="0" y="0"/>
                <wp:positionH relativeFrom="margin">
                  <wp:posOffset>2425700</wp:posOffset>
                </wp:positionH>
                <wp:positionV relativeFrom="page">
                  <wp:posOffset>2955290</wp:posOffset>
                </wp:positionV>
                <wp:extent cx="1410970" cy="3273425"/>
                <wp:effectExtent l="0" t="0" r="17780" b="22225"/>
                <wp:wrapNone/>
                <wp:docPr id="2" name="Rectangles 3"/>
                <wp:cNvGraphicFramePr/>
                <a:graphic xmlns:a="http://schemas.openxmlformats.org/drawingml/2006/main">
                  <a:graphicData uri="http://schemas.microsoft.com/office/word/2010/wordprocessingShape">
                    <wps:wsp>
                      <wps:cNvSpPr/>
                      <wps:spPr>
                        <a:xfrm>
                          <a:off x="0" y="0"/>
                          <a:ext cx="1410970" cy="327342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03517" w:rsidRDefault="00F03517">
                            <w:pPr>
                              <w:jc w:val="center"/>
                              <w:rPr>
                                <w:rFonts w:ascii="Arial" w:hAnsi="Arial" w:cs="Arial"/>
                                <w:sz w:val="24"/>
                                <w:szCs w:val="24"/>
                              </w:rPr>
                            </w:pPr>
                          </w:p>
                          <w:p w:rsidR="00F03517" w:rsidRDefault="00F03517">
                            <w:pPr>
                              <w:jc w:val="center"/>
                              <w:rPr>
                                <w:rFonts w:ascii="Arial" w:hAnsi="Arial" w:cs="Arial"/>
                                <w:sz w:val="24"/>
                                <w:szCs w:val="24"/>
                              </w:rPr>
                            </w:pPr>
                          </w:p>
                          <w:p w:rsidR="00F03517" w:rsidRDefault="00F03517">
                            <w:pPr>
                              <w:jc w:val="center"/>
                              <w:rPr>
                                <w:rFonts w:ascii="Arial" w:hAnsi="Arial" w:cs="Arial"/>
                                <w:sz w:val="24"/>
                                <w:szCs w:val="24"/>
                              </w:rPr>
                            </w:pPr>
                          </w:p>
                          <w:p w:rsidR="00F03517" w:rsidRDefault="00F03517">
                            <w:pPr>
                              <w:rPr>
                                <w:rFonts w:ascii="Arial" w:hAnsi="Arial" w:cs="Arial"/>
                                <w:sz w:val="24"/>
                                <w:szCs w:val="24"/>
                              </w:rPr>
                            </w:pPr>
                          </w:p>
                          <w:p w:rsidR="00F03517" w:rsidRDefault="00F03517">
                            <w:pPr>
                              <w:rPr>
                                <w:rFonts w:ascii="Arial" w:hAnsi="Arial" w:cs="Arial"/>
                                <w:sz w:val="24"/>
                                <w:szCs w:val="24"/>
                              </w:rPr>
                            </w:pPr>
                          </w:p>
                          <w:p w:rsidR="00F03517" w:rsidRDefault="00F33808">
                            <w:pPr>
                              <w:jc w:val="center"/>
                              <w:rPr>
                                <w:rFonts w:ascii="Arial" w:hAnsi="Arial" w:cs="Arial"/>
                                <w:sz w:val="24"/>
                                <w:szCs w:val="24"/>
                              </w:rPr>
                            </w:pPr>
                            <w:r>
                              <w:rPr>
                                <w:rFonts w:ascii="Arial" w:hAnsi="Arial" w:cs="Arial"/>
                                <w:sz w:val="24"/>
                                <w:szCs w:val="24"/>
                              </w:rPr>
                              <w:t>Phytochemical Analysis</w:t>
                            </w:r>
                          </w:p>
                          <w:p w:rsidR="00F03517" w:rsidRDefault="00F03517">
                            <w:pPr>
                              <w:jc w:val="center"/>
                            </w:pPr>
                          </w:p>
                        </w:txbxContent>
                      </wps:txbx>
                      <wps:bodyPr>
                        <a:noAutofit/>
                      </wps:bodyPr>
                    </wps:wsp>
                  </a:graphicData>
                </a:graphic>
              </wp:anchor>
            </w:drawing>
          </mc:Choice>
          <mc:Fallback xmlns:wpsCustomData="http://www.wps.cn/officeDocument/2013/wpsCustomData" xmlns:w15="http://schemas.microsoft.com/office/word/2012/wordml">
            <w:pict>
              <v:rect id="Rectangles 3" o:spid="_x0000_s1026" o:spt="1" style="position:absolute;left:0pt;margin-left:191pt;margin-top:232.7pt;height:257.75pt;width:111.1pt;mso-position-horizontal-relative:margin;mso-position-vertical-relative:page;z-index:251665408;mso-width-relative:page;mso-height-relative:page;" fillcolor="#FFFFFF" filled="t" stroked="t" coordsize="21600,21600" o:gfxdata="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66NN0AAAALAQAADwAAAAAAAAABACAAAAAiAAAAZHJzL2Rvd25y&#10;ZXYueG1sUEsBAhQAFAAAAAgAh07iQEBqr8X5AQAAPQQAAA4AAAAAAAAAAQAgAAAALAEAAGRycy9l&#10;Mm9Eb2MueG1sUEsFBgAAAAAGAAYAWQEAAJcFAAAAAA==&#10;">
                <v:fill on="t" focussize="0,0"/>
                <v:stroke weight="1pt" color="#000000" joinstyle="miter"/>
                <v:imagedata o:title=""/>
                <o:lock v:ext="edit" aspectratio="f"/>
                <v:textbox>
                  <w:txbxContent>
                    <w:p w14:paraId="646C298D">
                      <w:pPr>
                        <w:jc w:val="center"/>
                        <w:rPr>
                          <w:rFonts w:ascii="Arial" w:hAnsi="Arial" w:cs="Arial"/>
                          <w:sz w:val="24"/>
                          <w:szCs w:val="24"/>
                        </w:rPr>
                      </w:pPr>
                    </w:p>
                    <w:p w14:paraId="248300E2">
                      <w:pPr>
                        <w:jc w:val="center"/>
                        <w:rPr>
                          <w:rFonts w:ascii="Arial" w:hAnsi="Arial" w:cs="Arial"/>
                          <w:sz w:val="24"/>
                          <w:szCs w:val="24"/>
                        </w:rPr>
                      </w:pPr>
                    </w:p>
                    <w:p w14:paraId="50C59ED7">
                      <w:pPr>
                        <w:jc w:val="center"/>
                        <w:rPr>
                          <w:rFonts w:ascii="Arial" w:hAnsi="Arial" w:cs="Arial"/>
                          <w:sz w:val="24"/>
                          <w:szCs w:val="24"/>
                        </w:rPr>
                      </w:pPr>
                    </w:p>
                    <w:p w14:paraId="486B758C">
                      <w:pPr>
                        <w:rPr>
                          <w:rFonts w:ascii="Arial" w:hAnsi="Arial" w:cs="Arial"/>
                          <w:sz w:val="24"/>
                          <w:szCs w:val="24"/>
                        </w:rPr>
                      </w:pPr>
                    </w:p>
                    <w:p w14:paraId="5D8954B9">
                      <w:pPr>
                        <w:rPr>
                          <w:rFonts w:ascii="Arial" w:hAnsi="Arial" w:cs="Arial"/>
                          <w:sz w:val="24"/>
                          <w:szCs w:val="24"/>
                        </w:rPr>
                      </w:pPr>
                    </w:p>
                    <w:p w14:paraId="78842761">
                      <w:pPr>
                        <w:jc w:val="center"/>
                        <w:rPr>
                          <w:rFonts w:ascii="Arial" w:hAnsi="Arial" w:cs="Arial"/>
                          <w:sz w:val="24"/>
                          <w:szCs w:val="24"/>
                        </w:rPr>
                      </w:pPr>
                      <w:r>
                        <w:rPr>
                          <w:rFonts w:ascii="Arial" w:hAnsi="Arial" w:cs="Arial"/>
                          <w:sz w:val="24"/>
                          <w:szCs w:val="24"/>
                        </w:rPr>
                        <w:t>Phytochemical Analysis</w:t>
                      </w:r>
                    </w:p>
                    <w:p w14:paraId="00E79CD8">
                      <w:pPr>
                        <w:jc w:val="center"/>
                      </w:pPr>
                    </w:p>
                  </w:txbxContent>
                </v:textbox>
              </v:rect>
            </w:pict>
          </mc:Fallback>
        </mc:AlternateContent>
      </w:r>
    </w:p>
    <w:p w:rsidR="00F03517" w:rsidRDefault="00F33808">
      <w:pPr>
        <w:spacing w:after="0" w:line="240" w:lineRule="auto"/>
        <w:jc w:val="both"/>
        <w:rPr>
          <w:rFonts w:ascii="Times New Roman" w:hAnsi="Times New Roman" w:cs="Times New Roman"/>
          <w:b/>
          <w:bCs/>
          <w:sz w:val="24"/>
          <w:szCs w:val="24"/>
        </w:rPr>
      </w:pPr>
      <w:r>
        <w:rPr>
          <w:rFonts w:ascii="Times New Roman" w:hAnsi="Times New Roman" w:cs="Times New Roman"/>
          <w:noProof/>
          <w:sz w:val="24"/>
          <w:szCs w:val="24"/>
          <w:lang w:val="en-IN" w:eastAsia="en-IN"/>
        </w:rPr>
        <mc:AlternateContent>
          <mc:Choice Requires="wps">
            <w:drawing>
              <wp:anchor distT="0" distB="0" distL="0" distR="0" simplePos="0" relativeHeight="251666432" behindDoc="0" locked="0" layoutInCell="1" allowOverlap="1">
                <wp:simplePos x="0" y="0"/>
                <wp:positionH relativeFrom="margin">
                  <wp:posOffset>116840</wp:posOffset>
                </wp:positionH>
                <wp:positionV relativeFrom="page">
                  <wp:posOffset>2973705</wp:posOffset>
                </wp:positionV>
                <wp:extent cx="1413510" cy="3270250"/>
                <wp:effectExtent l="0" t="0" r="15240" b="25400"/>
                <wp:wrapNone/>
                <wp:docPr id="3" name="Rectangles 2"/>
                <wp:cNvGraphicFramePr/>
                <a:graphic xmlns:a="http://schemas.openxmlformats.org/drawingml/2006/main">
                  <a:graphicData uri="http://schemas.microsoft.com/office/word/2010/wordprocessingShape">
                    <wps:wsp>
                      <wps:cNvSpPr/>
                      <wps:spPr>
                        <a:xfrm>
                          <a:off x="0" y="0"/>
                          <a:ext cx="1413510" cy="327025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F03517" w:rsidRDefault="00F33808">
                            <w:pPr>
                              <w:rPr>
                                <w:rFonts w:ascii="Arial" w:hAnsi="Arial" w:cs="Arial"/>
                                <w:sz w:val="24"/>
                                <w:szCs w:val="24"/>
                              </w:rPr>
                            </w:pPr>
                            <w:r>
                              <w:rPr>
                                <w:rFonts w:ascii="Arial" w:hAnsi="Arial" w:cs="Arial"/>
                                <w:sz w:val="24"/>
                                <w:szCs w:val="24"/>
                              </w:rPr>
                              <w:t>Documentation and Collection of Plant sample</w:t>
                            </w:r>
                          </w:p>
                          <w:p w:rsidR="00F03517" w:rsidRDefault="00F33808">
                            <w:pPr>
                              <w:numPr>
                                <w:ilvl w:val="0"/>
                                <w:numId w:val="1"/>
                              </w:numPr>
                              <w:spacing w:before="100" w:beforeAutospacing="1" w:line="256" w:lineRule="auto"/>
                              <w:rPr>
                                <w:rFonts w:ascii="Arial" w:hAnsi="Arial" w:cs="Arial"/>
                                <w:sz w:val="24"/>
                                <w:szCs w:val="24"/>
                              </w:rPr>
                            </w:pPr>
                            <w:r>
                              <w:rPr>
                                <w:rFonts w:ascii="Arial" w:hAnsi="Arial" w:cs="Arial"/>
                                <w:sz w:val="24"/>
                                <w:szCs w:val="24"/>
                              </w:rPr>
                              <w:t>Gmelina</w:t>
                            </w:r>
                          </w:p>
                          <w:p w:rsidR="00F03517" w:rsidRDefault="00F33808">
                            <w:pPr>
                              <w:numPr>
                                <w:ilvl w:val="0"/>
                                <w:numId w:val="1"/>
                              </w:numPr>
                              <w:spacing w:before="100" w:beforeAutospacing="1" w:line="256" w:lineRule="auto"/>
                              <w:rPr>
                                <w:rFonts w:ascii="Arial" w:hAnsi="Arial" w:cs="Arial"/>
                                <w:sz w:val="24"/>
                                <w:szCs w:val="24"/>
                              </w:rPr>
                            </w:pPr>
                            <w:r>
                              <w:rPr>
                                <w:rFonts w:ascii="Arial" w:hAnsi="Arial" w:cs="Arial"/>
                                <w:sz w:val="24"/>
                                <w:szCs w:val="24"/>
                              </w:rPr>
                              <w:t>Balbas pusa</w:t>
                            </w:r>
                          </w:p>
                          <w:p w:rsidR="00F03517" w:rsidRDefault="00F33808">
                            <w:pPr>
                              <w:numPr>
                                <w:ilvl w:val="0"/>
                                <w:numId w:val="1"/>
                              </w:numPr>
                              <w:spacing w:before="100" w:beforeAutospacing="1" w:line="256" w:lineRule="auto"/>
                              <w:rPr>
                                <w:rFonts w:ascii="Arial" w:hAnsi="Arial" w:cs="Arial"/>
                                <w:sz w:val="24"/>
                                <w:szCs w:val="24"/>
                              </w:rPr>
                            </w:pPr>
                            <w:r>
                              <w:rPr>
                                <w:rFonts w:ascii="Arial" w:hAnsi="Arial" w:cs="Arial"/>
                                <w:sz w:val="24"/>
                                <w:szCs w:val="24"/>
                              </w:rPr>
                              <w:t>Agik-agik</w:t>
                            </w:r>
                          </w:p>
                          <w:p w:rsidR="00F03517" w:rsidRDefault="00F33808">
                            <w:pPr>
                              <w:rPr>
                                <w:rFonts w:ascii="Arial" w:hAnsi="Arial" w:cs="Arial"/>
                                <w:sz w:val="24"/>
                                <w:szCs w:val="24"/>
                              </w:rPr>
                            </w:pPr>
                            <w:r>
                              <w:rPr>
                                <w:rFonts w:ascii="Arial" w:hAnsi="Arial" w:cs="Arial"/>
                                <w:sz w:val="24"/>
                                <w:szCs w:val="24"/>
                              </w:rPr>
                              <w:t>Plant parts</w:t>
                            </w:r>
                          </w:p>
                          <w:p w:rsidR="00F03517" w:rsidRDefault="00F33808">
                            <w:pPr>
                              <w:numPr>
                                <w:ilvl w:val="0"/>
                                <w:numId w:val="2"/>
                              </w:numPr>
                              <w:spacing w:before="100" w:beforeAutospacing="1" w:line="256" w:lineRule="auto"/>
                              <w:rPr>
                                <w:rFonts w:ascii="Arial" w:hAnsi="Arial" w:cs="Arial"/>
                                <w:sz w:val="24"/>
                                <w:szCs w:val="24"/>
                              </w:rPr>
                            </w:pPr>
                            <w:r>
                              <w:rPr>
                                <w:rFonts w:ascii="Arial" w:hAnsi="Arial" w:cs="Arial"/>
                                <w:sz w:val="24"/>
                                <w:szCs w:val="24"/>
                              </w:rPr>
                              <w:t xml:space="preserve">Leaves </w:t>
                            </w:r>
                          </w:p>
                          <w:p w:rsidR="00F03517" w:rsidRDefault="00F33808">
                            <w:pPr>
                              <w:numPr>
                                <w:ilvl w:val="0"/>
                                <w:numId w:val="2"/>
                              </w:numPr>
                              <w:spacing w:before="100" w:beforeAutospacing="1" w:line="256" w:lineRule="auto"/>
                              <w:rPr>
                                <w:rFonts w:ascii="Arial" w:hAnsi="Arial" w:cs="Arial"/>
                                <w:sz w:val="24"/>
                                <w:szCs w:val="24"/>
                              </w:rPr>
                            </w:pPr>
                            <w:r>
                              <w:rPr>
                                <w:rFonts w:ascii="Arial" w:hAnsi="Arial" w:cs="Arial"/>
                                <w:sz w:val="24"/>
                                <w:szCs w:val="24"/>
                              </w:rPr>
                              <w:t>Flower</w:t>
                            </w:r>
                          </w:p>
                          <w:p w:rsidR="00F03517" w:rsidRDefault="00F33808">
                            <w:pPr>
                              <w:numPr>
                                <w:ilvl w:val="0"/>
                                <w:numId w:val="2"/>
                              </w:numPr>
                              <w:spacing w:before="100" w:beforeAutospacing="1" w:line="256" w:lineRule="auto"/>
                              <w:rPr>
                                <w:rFonts w:ascii="Arial" w:hAnsi="Arial" w:cs="Arial"/>
                                <w:sz w:val="24"/>
                                <w:szCs w:val="24"/>
                              </w:rPr>
                            </w:pPr>
                            <w:r>
                              <w:rPr>
                                <w:rFonts w:ascii="Arial" w:hAnsi="Arial" w:cs="Arial"/>
                                <w:sz w:val="24"/>
                                <w:szCs w:val="24"/>
                              </w:rPr>
                              <w:t>Roots</w:t>
                            </w:r>
                          </w:p>
                          <w:p w:rsidR="00F03517" w:rsidRDefault="00F03517">
                            <w:pPr>
                              <w:jc w:val="center"/>
                            </w:pPr>
                          </w:p>
                        </w:txbxContent>
                      </wps:txbx>
                      <wps:bodyPr>
                        <a:noAutofit/>
                      </wps:bodyPr>
                    </wps:wsp>
                  </a:graphicData>
                </a:graphic>
              </wp:anchor>
            </w:drawing>
          </mc:Choice>
          <mc:Fallback xmlns:wpsCustomData="http://www.wps.cn/officeDocument/2013/wpsCustomData" xmlns:w15="http://schemas.microsoft.com/office/word/2012/wordml">
            <w:pict>
              <v:rect id="Rectangles 2" o:spid="_x0000_s1026" o:spt="1" style="position:absolute;left:0pt;margin-left:9.2pt;margin-top:234.15pt;height:257.5pt;width:111.3pt;mso-position-horizontal-relative:margin;mso-position-vertical-relative:page;z-index:251666432;mso-width-relative:page;mso-height-relative:page;" fillcolor="#FFFFFF" filled="t" stroked="t" coordsize="21600,21600" o:gfxdata="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P+XmvcAAAACgEAAA8AAAAAAAAAAQAgAAAAIgAAAGRycy9kb3du&#10;cmV2LnhtbFBLAQIUABQAAAAIAIdO4kBFgL+B+wEAAD0EAAAOAAAAAAAAAAEAIAAAACsBAABkcnMv&#10;ZTJvRG9jLnhtbFBLBQYAAAAABgAGAFkBAACYBQAAAAA=&#10;">
                <v:fill on="t" focussize="0,0"/>
                <v:stroke weight="1pt" color="#000000" joinstyle="miter"/>
                <v:imagedata o:title=""/>
                <o:lock v:ext="edit" aspectratio="f"/>
                <v:textbox>
                  <w:txbxContent>
                    <w:p w14:paraId="32539D65">
                      <w:pPr>
                        <w:rPr>
                          <w:rFonts w:ascii="Arial" w:hAnsi="Arial" w:cs="Arial"/>
                          <w:sz w:val="24"/>
                          <w:szCs w:val="24"/>
                        </w:rPr>
                      </w:pPr>
                      <w:r>
                        <w:rPr>
                          <w:rFonts w:ascii="Arial" w:hAnsi="Arial" w:cs="Arial"/>
                          <w:sz w:val="24"/>
                          <w:szCs w:val="24"/>
                        </w:rPr>
                        <w:t>Documentation and Collection of Plant sample</w:t>
                      </w:r>
                    </w:p>
                    <w:p w14:paraId="4CC9F139">
                      <w:pPr>
                        <w:numPr>
                          <w:ilvl w:val="0"/>
                          <w:numId w:val="1"/>
                        </w:numPr>
                        <w:spacing w:before="100" w:beforeAutospacing="1" w:line="256" w:lineRule="auto"/>
                        <w:rPr>
                          <w:rFonts w:ascii="Arial" w:hAnsi="Arial" w:cs="Arial"/>
                          <w:sz w:val="24"/>
                          <w:szCs w:val="24"/>
                        </w:rPr>
                      </w:pPr>
                      <w:r>
                        <w:rPr>
                          <w:rFonts w:ascii="Arial" w:hAnsi="Arial" w:cs="Arial"/>
                          <w:sz w:val="24"/>
                          <w:szCs w:val="24"/>
                        </w:rPr>
                        <w:t>Gmelina</w:t>
                      </w:r>
                    </w:p>
                    <w:p w14:paraId="7A38071F">
                      <w:pPr>
                        <w:numPr>
                          <w:ilvl w:val="0"/>
                          <w:numId w:val="1"/>
                        </w:numPr>
                        <w:spacing w:before="100" w:beforeAutospacing="1" w:line="256" w:lineRule="auto"/>
                        <w:rPr>
                          <w:rFonts w:ascii="Arial" w:hAnsi="Arial" w:cs="Arial"/>
                          <w:sz w:val="24"/>
                          <w:szCs w:val="24"/>
                        </w:rPr>
                      </w:pPr>
                      <w:r>
                        <w:rPr>
                          <w:rFonts w:ascii="Arial" w:hAnsi="Arial" w:cs="Arial"/>
                          <w:sz w:val="24"/>
                          <w:szCs w:val="24"/>
                        </w:rPr>
                        <w:t>Balbas pusa</w:t>
                      </w:r>
                    </w:p>
                    <w:p w14:paraId="52763449">
                      <w:pPr>
                        <w:numPr>
                          <w:ilvl w:val="0"/>
                          <w:numId w:val="1"/>
                        </w:numPr>
                        <w:spacing w:before="100" w:beforeAutospacing="1" w:line="256" w:lineRule="auto"/>
                        <w:rPr>
                          <w:rFonts w:ascii="Arial" w:hAnsi="Arial" w:cs="Arial"/>
                          <w:sz w:val="24"/>
                          <w:szCs w:val="24"/>
                        </w:rPr>
                      </w:pPr>
                      <w:r>
                        <w:rPr>
                          <w:rFonts w:ascii="Arial" w:hAnsi="Arial" w:cs="Arial"/>
                          <w:sz w:val="24"/>
                          <w:szCs w:val="24"/>
                        </w:rPr>
                        <w:t>Agik-agik</w:t>
                      </w:r>
                    </w:p>
                    <w:p w14:paraId="1BC0B076">
                      <w:pPr>
                        <w:rPr>
                          <w:rFonts w:ascii="Arial" w:hAnsi="Arial" w:cs="Arial"/>
                          <w:sz w:val="24"/>
                          <w:szCs w:val="24"/>
                        </w:rPr>
                      </w:pPr>
                      <w:r>
                        <w:rPr>
                          <w:rFonts w:ascii="Arial" w:hAnsi="Arial" w:cs="Arial"/>
                          <w:sz w:val="24"/>
                          <w:szCs w:val="24"/>
                        </w:rPr>
                        <w:t>Plant parts</w:t>
                      </w:r>
                    </w:p>
                    <w:p w14:paraId="4A3E4D79">
                      <w:pPr>
                        <w:numPr>
                          <w:ilvl w:val="0"/>
                          <w:numId w:val="2"/>
                        </w:numPr>
                        <w:spacing w:before="100" w:beforeAutospacing="1" w:line="256" w:lineRule="auto"/>
                        <w:rPr>
                          <w:rFonts w:ascii="Arial" w:hAnsi="Arial" w:cs="Arial"/>
                          <w:sz w:val="24"/>
                          <w:szCs w:val="24"/>
                        </w:rPr>
                      </w:pPr>
                      <w:r>
                        <w:rPr>
                          <w:rFonts w:ascii="Arial" w:hAnsi="Arial" w:cs="Arial"/>
                          <w:sz w:val="24"/>
                          <w:szCs w:val="24"/>
                        </w:rPr>
                        <w:t xml:space="preserve">Leaves </w:t>
                      </w:r>
                    </w:p>
                    <w:p w14:paraId="532EF40C">
                      <w:pPr>
                        <w:numPr>
                          <w:ilvl w:val="0"/>
                          <w:numId w:val="2"/>
                        </w:numPr>
                        <w:spacing w:before="100" w:beforeAutospacing="1" w:line="256" w:lineRule="auto"/>
                        <w:rPr>
                          <w:rFonts w:ascii="Arial" w:hAnsi="Arial" w:cs="Arial"/>
                          <w:sz w:val="24"/>
                          <w:szCs w:val="24"/>
                        </w:rPr>
                      </w:pPr>
                      <w:r>
                        <w:rPr>
                          <w:rFonts w:ascii="Arial" w:hAnsi="Arial" w:cs="Arial"/>
                          <w:sz w:val="24"/>
                          <w:szCs w:val="24"/>
                        </w:rPr>
                        <w:t>Flower</w:t>
                      </w:r>
                    </w:p>
                    <w:p w14:paraId="4B554913">
                      <w:pPr>
                        <w:numPr>
                          <w:ilvl w:val="0"/>
                          <w:numId w:val="2"/>
                        </w:numPr>
                        <w:spacing w:before="100" w:beforeAutospacing="1" w:line="256" w:lineRule="auto"/>
                        <w:rPr>
                          <w:rFonts w:ascii="Arial" w:hAnsi="Arial" w:cs="Arial"/>
                          <w:sz w:val="24"/>
                          <w:szCs w:val="24"/>
                        </w:rPr>
                      </w:pPr>
                      <w:r>
                        <w:rPr>
                          <w:rFonts w:ascii="Arial" w:hAnsi="Arial" w:cs="Arial"/>
                          <w:sz w:val="24"/>
                          <w:szCs w:val="24"/>
                        </w:rPr>
                        <w:t>Roots</w:t>
                      </w:r>
                    </w:p>
                    <w:p w14:paraId="21E13A24">
                      <w:pPr>
                        <w:jc w:val="center"/>
                      </w:pPr>
                    </w:p>
                  </w:txbxContent>
                </v:textbox>
              </v:rect>
            </w:pict>
          </mc:Fallback>
        </mc:AlternateContent>
      </w: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jc w:val="both"/>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noProof/>
          <w:sz w:val="24"/>
          <w:szCs w:val="24"/>
          <w:lang w:val="en-IN" w:eastAsia="en-IN"/>
        </w:rPr>
        <mc:AlternateContent>
          <mc:Choice Requires="wps">
            <w:drawing>
              <wp:anchor distT="0" distB="0" distL="0" distR="0" simplePos="0" relativeHeight="251663360" behindDoc="0" locked="0" layoutInCell="1" allowOverlap="1">
                <wp:simplePos x="0" y="0"/>
                <wp:positionH relativeFrom="page">
                  <wp:posOffset>4596130</wp:posOffset>
                </wp:positionH>
                <wp:positionV relativeFrom="page">
                  <wp:posOffset>4450715</wp:posOffset>
                </wp:positionV>
                <wp:extent cx="501650" cy="485775"/>
                <wp:effectExtent l="6350" t="15240" r="12700" b="19685"/>
                <wp:wrapNone/>
                <wp:docPr id="1032" name="Right Arrow 6"/>
                <wp:cNvGraphicFramePr/>
                <a:graphic xmlns:a="http://schemas.openxmlformats.org/drawingml/2006/main">
                  <a:graphicData uri="http://schemas.microsoft.com/office/word/2010/wordprocessingShape">
                    <wps:wsp>
                      <wps:cNvSpPr/>
                      <wps:spPr>
                        <a:xfrm>
                          <a:off x="0" y="0"/>
                          <a:ext cx="501650" cy="485775"/>
                        </a:xfrm>
                        <a:prstGeom prst="rightArrow">
                          <a:avLst/>
                        </a:prstGeom>
                        <a:solidFill>
                          <a:srgbClr val="FFFFFF"/>
                        </a:solidFill>
                        <a:ln w="1270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shape id="Right Arrow 6" o:spid="_x0000_s1026" o:spt="13" type="#_x0000_t13" style="position:absolute;left:0pt;margin-left:361.9pt;margin-top:350.45pt;height:38.25pt;width:39.5pt;mso-position-horizontal-relative:page;mso-position-vertical-relative:page;z-index:251663360;mso-width-relative:page;mso-height-relative:page;" fillcolor="#FFFFFF" filled="t" stroked="t" coordsize="21600,21600" o:gfxdata="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JxMa2QAAAAsBAAAPAAAAAAAAAAEAIAAAACIAAABkcnMvZG93bnJldi54bWxQSwECFAAUAAAA&#10;CACHTuJAmZNe8u0BAAAgBAAADgAAAAAAAAABACAAAAAoAQAAZHJzL2Uyb0RvYy54bWxQSwUGAAAA&#10;AAYABgBZAQAAhwUAAAAA&#10;" adj="11142,5400">
                <v:fill on="t" focussize="0,0"/>
                <v:stroke weight="1pt" color="#000000" joinstyle="miter"/>
                <v:imagedata o:title=""/>
                <o:lock v:ext="edit" aspectratio="f"/>
              </v:shape>
            </w:pict>
          </mc:Fallback>
        </mc:AlternateContent>
      </w:r>
      <w:r>
        <w:rPr>
          <w:rFonts w:ascii="Times New Roman" w:hAnsi="Times New Roman" w:cs="Times New Roman"/>
          <w:noProof/>
          <w:sz w:val="24"/>
          <w:szCs w:val="24"/>
          <w:lang w:val="en-IN" w:eastAsia="en-IN"/>
        </w:rPr>
        <mc:AlternateContent>
          <mc:Choice Requires="wps">
            <w:drawing>
              <wp:anchor distT="0" distB="0" distL="0" distR="0" simplePos="0" relativeHeight="251664384" behindDoc="0" locked="0" layoutInCell="1" allowOverlap="1">
                <wp:simplePos x="0" y="0"/>
                <wp:positionH relativeFrom="page">
                  <wp:posOffset>2267585</wp:posOffset>
                </wp:positionH>
                <wp:positionV relativeFrom="page">
                  <wp:posOffset>4477385</wp:posOffset>
                </wp:positionV>
                <wp:extent cx="556260" cy="485775"/>
                <wp:effectExtent l="0" t="19050" r="34290" b="47625"/>
                <wp:wrapNone/>
                <wp:docPr id="1033" name="Right Arrow 5"/>
                <wp:cNvGraphicFramePr/>
                <a:graphic xmlns:a="http://schemas.openxmlformats.org/drawingml/2006/main">
                  <a:graphicData uri="http://schemas.microsoft.com/office/word/2010/wordprocessingShape">
                    <wps:wsp>
                      <wps:cNvSpPr/>
                      <wps:spPr>
                        <a:xfrm>
                          <a:off x="0" y="0"/>
                          <a:ext cx="556260" cy="485775"/>
                        </a:xfrm>
                        <a:prstGeom prst="rightArrow">
                          <a:avLst/>
                        </a:prstGeom>
                        <a:solidFill>
                          <a:srgbClr val="FFFFFF"/>
                        </a:solidFill>
                        <a:ln w="1270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shape id="Right Arrow 5" o:spid="_x0000_s1026" o:spt="13" type="#_x0000_t13" style="position:absolute;left:0pt;margin-left:178.55pt;margin-top:352.55pt;height:38.25pt;width:43.8pt;mso-position-horizontal-relative:page;mso-position-vertical-relative:page;z-index:251664384;mso-width-relative:page;mso-height-relative:page;" fillcolor="#FFFFFF" filled="t" stroked="t" coordsize="21600,21600" o:gfxdata="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Tm9b2AAAAAsBAAAPAAAAAAAAAAEAIAAAACIAAABkcnMvZG93bnJldi54bWxQSwECFAAU&#10;AAAACACHTuJAJFlBdfEBAAAgBAAADgAAAAAAAAABACAAAAAnAQAAZHJzL2Uyb0RvYy54bWxQSwUG&#10;AAAAAAYABgBZAQAAigUAAAAA&#10;" adj="12169,5400">
                <v:fill on="t" focussize="0,0"/>
                <v:stroke weight="1pt" color="#000000" joinstyle="miter"/>
                <v:imagedata o:title=""/>
                <o:lock v:ext="edit" aspectratio="f"/>
              </v:shape>
            </w:pict>
          </mc:Fallback>
        </mc:AlternateContent>
      </w: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03517">
      <w:pPr>
        <w:spacing w:after="0" w:line="240" w:lineRule="auto"/>
        <w:rPr>
          <w:rFonts w:ascii="Times New Roman" w:hAnsi="Times New Roman" w:cs="Times New Roman"/>
          <w:b/>
          <w:bCs/>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1. Conceptual Framework</w:t>
      </w:r>
    </w:p>
    <w:p w:rsidR="00F03517" w:rsidRDefault="00F03517">
      <w:pPr>
        <w:spacing w:after="0" w:line="240" w:lineRule="auto"/>
        <w:jc w:val="center"/>
        <w:rPr>
          <w:rFonts w:ascii="Times New Roman" w:hAnsi="Times New Roman" w:cs="Times New Roman"/>
          <w:b/>
          <w:bCs/>
          <w:sz w:val="28"/>
          <w:szCs w:val="28"/>
        </w:rPr>
      </w:pPr>
    </w:p>
    <w:p w:rsidR="00F03517" w:rsidRDefault="00F3380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rsidR="00F03517" w:rsidRDefault="00F03517">
      <w:pPr>
        <w:spacing w:after="0" w:line="240" w:lineRule="auto"/>
        <w:jc w:val="both"/>
        <w:rPr>
          <w:rFonts w:ascii="Times New Roman" w:hAnsi="Times New Roman" w:cs="Times New Roman"/>
          <w:b/>
          <w:bCs/>
          <w:sz w:val="28"/>
          <w:szCs w:val="28"/>
        </w:rPr>
      </w:pP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objective of this paper was to determine some of the phytochemical characteristics of medicinal plants used by the B'laan tribe.</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Specifically, it will attempt to respond to the following questions: </w:t>
      </w:r>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Which bioactive compounds do you find in each of the</w:t>
      </w:r>
      <w:r>
        <w:rPr>
          <w:rFonts w:ascii="Times New Roman" w:hAnsi="Times New Roman" w:cs="Times New Roman"/>
          <w:sz w:val="24"/>
          <w:szCs w:val="24"/>
        </w:rPr>
        <w:t xml:space="preserve"> chosen medicinal plants?</w:t>
      </w:r>
    </w:p>
    <w:p w:rsidR="00F03517" w:rsidRDefault="00F33808">
      <w:pPr>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Gmelina (</w:t>
      </w:r>
      <w:r>
        <w:rPr>
          <w:rFonts w:ascii="Times New Roman" w:hAnsi="Times New Roman" w:cs="Times New Roman"/>
          <w:i/>
          <w:sz w:val="24"/>
          <w:szCs w:val="24"/>
        </w:rPr>
        <w:t>Gmelina arborea)</w:t>
      </w:r>
    </w:p>
    <w:p w:rsidR="00F03517" w:rsidRDefault="00F33808">
      <w:pPr>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Balbas-pusa (</w:t>
      </w:r>
      <w:r>
        <w:rPr>
          <w:rFonts w:ascii="Times New Roman" w:hAnsi="Times New Roman" w:cs="Times New Roman"/>
          <w:i/>
          <w:sz w:val="24"/>
          <w:szCs w:val="24"/>
        </w:rPr>
        <w:t>Orthosiphon aristatus)</w:t>
      </w:r>
    </w:p>
    <w:p w:rsidR="00F03517" w:rsidRDefault="00F33808">
      <w:pPr>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Agik-agik (</w:t>
      </w:r>
      <w:r>
        <w:rPr>
          <w:rFonts w:ascii="Times New Roman" w:hAnsi="Times New Roman" w:cs="Times New Roman"/>
          <w:i/>
          <w:sz w:val="24"/>
          <w:szCs w:val="24"/>
        </w:rPr>
        <w:t>Acmella oleracea)</w:t>
      </w:r>
    </w:p>
    <w:p w:rsidR="00F03517" w:rsidRDefault="00F33808">
      <w:pPr>
        <w:numPr>
          <w:ilvl w:val="0"/>
          <w:numId w:val="3"/>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What are the bioactive concentration of total bioactive compounds in each plant?</w:t>
      </w:r>
    </w:p>
    <w:p w:rsidR="00F03517" w:rsidRDefault="00F33808">
      <w:pPr>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Gmelina (</w:t>
      </w:r>
      <w:r>
        <w:rPr>
          <w:rFonts w:ascii="Times New Roman" w:hAnsi="Times New Roman" w:cs="Times New Roman"/>
          <w:i/>
          <w:sz w:val="24"/>
          <w:szCs w:val="24"/>
        </w:rPr>
        <w:t>Gmelina arborea)</w:t>
      </w:r>
    </w:p>
    <w:p w:rsidR="00F03517" w:rsidRDefault="00F33808">
      <w:pPr>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Balbas-pusa (</w:t>
      </w:r>
      <w:r>
        <w:rPr>
          <w:rFonts w:ascii="Times New Roman" w:hAnsi="Times New Roman" w:cs="Times New Roman"/>
          <w:i/>
          <w:sz w:val="24"/>
          <w:szCs w:val="24"/>
        </w:rPr>
        <w:t>Orthosiphon aristat</w:t>
      </w:r>
      <w:r>
        <w:rPr>
          <w:rFonts w:ascii="Times New Roman" w:hAnsi="Times New Roman" w:cs="Times New Roman"/>
          <w:i/>
          <w:sz w:val="24"/>
          <w:szCs w:val="24"/>
        </w:rPr>
        <w:t>us)</w:t>
      </w:r>
    </w:p>
    <w:p w:rsidR="00F03517" w:rsidRDefault="00F33808">
      <w:pPr>
        <w:numPr>
          <w:ilvl w:val="1"/>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Agik-agik (</w:t>
      </w:r>
      <w:r>
        <w:rPr>
          <w:rFonts w:ascii="Times New Roman" w:hAnsi="Times New Roman" w:cs="Times New Roman"/>
          <w:i/>
          <w:sz w:val="24"/>
          <w:szCs w:val="24"/>
        </w:rPr>
        <w:t>Acmella oleracea)</w:t>
      </w:r>
      <w:bookmarkStart w:id="1" w:name="_Hlk220229524"/>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jc w:val="both"/>
        <w:rPr>
          <w:rFonts w:ascii="Times New Roman" w:eastAsia="Arial-BoldMT" w:hAnsi="Times New Roman" w:cs="Times New Roman"/>
          <w:b/>
          <w:bCs/>
          <w:sz w:val="28"/>
          <w:szCs w:val="28"/>
          <w:lang w:eastAsia="zh-CN"/>
        </w:rPr>
      </w:pPr>
      <w:r>
        <w:rPr>
          <w:rFonts w:ascii="Times New Roman" w:eastAsia="Arial-BoldMT" w:hAnsi="Times New Roman" w:cs="Times New Roman"/>
          <w:b/>
          <w:bCs/>
          <w:sz w:val="28"/>
          <w:szCs w:val="28"/>
          <w:lang w:eastAsia="zh-CN"/>
        </w:rPr>
        <w:t>SCOPE AND DELIMITATIONS</w:t>
      </w:r>
    </w:p>
    <w:p w:rsidR="00F03517" w:rsidRDefault="00F03517">
      <w:pPr>
        <w:spacing w:after="0" w:line="240" w:lineRule="auto"/>
        <w:jc w:val="both"/>
        <w:rPr>
          <w:rFonts w:ascii="Times New Roman" w:eastAsia="Arial-BoldMT" w:hAnsi="Times New Roman" w:cs="Times New Roman"/>
          <w:b/>
          <w:bCs/>
          <w:sz w:val="24"/>
          <w:szCs w:val="24"/>
          <w:lang w:eastAsia="zh-CN"/>
        </w:rPr>
      </w:pPr>
    </w:p>
    <w:p w:rsidR="00F03517" w:rsidRDefault="00F33808">
      <w:pPr>
        <w:spacing w:after="0" w:line="240" w:lineRule="auto"/>
        <w:jc w:val="both"/>
        <w:rPr>
          <w:rFonts w:ascii="Times New Roman" w:eastAsia="Arial-BoldMT" w:hAnsi="Times New Roman" w:cs="Times New Roman"/>
          <w:sz w:val="24"/>
          <w:szCs w:val="24"/>
          <w:lang w:eastAsia="zh-CN"/>
        </w:rPr>
      </w:pPr>
      <w:r>
        <w:rPr>
          <w:rFonts w:ascii="Times New Roman" w:eastAsia="Arial-BoldMT" w:hAnsi="Times New Roman" w:cs="Times New Roman"/>
          <w:b/>
          <w:bCs/>
          <w:sz w:val="24"/>
          <w:szCs w:val="24"/>
          <w:lang w:eastAsia="zh-CN"/>
        </w:rPr>
        <w:t xml:space="preserve">             </w:t>
      </w:r>
      <w:r>
        <w:rPr>
          <w:rFonts w:ascii="Times New Roman" w:eastAsia="Arial-BoldMT" w:hAnsi="Times New Roman" w:cs="Times New Roman"/>
          <w:sz w:val="24"/>
          <w:szCs w:val="24"/>
          <w:lang w:eastAsia="zh-CN"/>
        </w:rPr>
        <w:t>The phytochemical screening of three medicinal plants that are traditionally used as medicine by the B'laan tribe in South Cotabato, which are Gmelina (</w:t>
      </w:r>
      <w:r>
        <w:rPr>
          <w:rFonts w:ascii="Times New Roman" w:eastAsia="Arial-BoldMT" w:hAnsi="Times New Roman" w:cs="Times New Roman"/>
          <w:i/>
          <w:iCs/>
          <w:sz w:val="24"/>
          <w:szCs w:val="24"/>
          <w:lang w:eastAsia="zh-CN"/>
        </w:rPr>
        <w:t>Gmelina arborea</w:t>
      </w:r>
      <w:r>
        <w:rPr>
          <w:rFonts w:ascii="Times New Roman" w:eastAsia="Arial-BoldMT" w:hAnsi="Times New Roman" w:cs="Times New Roman"/>
          <w:sz w:val="24"/>
          <w:szCs w:val="24"/>
          <w:lang w:eastAsia="zh-CN"/>
        </w:rPr>
        <w:t>), Balbas pusa (</w:t>
      </w:r>
      <w:r>
        <w:rPr>
          <w:rFonts w:ascii="Times New Roman" w:eastAsia="Arial-BoldMT" w:hAnsi="Times New Roman" w:cs="Times New Roman"/>
          <w:i/>
          <w:iCs/>
          <w:sz w:val="24"/>
          <w:szCs w:val="24"/>
          <w:lang w:eastAsia="zh-CN"/>
        </w:rPr>
        <w:t>Orthosiphon aristatus),</w:t>
      </w:r>
      <w:r>
        <w:rPr>
          <w:rFonts w:ascii="Times New Roman" w:eastAsia="Arial-BoldMT" w:hAnsi="Times New Roman" w:cs="Times New Roman"/>
          <w:sz w:val="24"/>
          <w:szCs w:val="24"/>
          <w:lang w:eastAsia="zh-CN"/>
        </w:rPr>
        <w:t xml:space="preserve"> and Agik-agik (</w:t>
      </w:r>
      <w:r>
        <w:rPr>
          <w:rFonts w:ascii="Times New Roman" w:eastAsia="Arial-BoldMT" w:hAnsi="Times New Roman" w:cs="Times New Roman"/>
          <w:i/>
          <w:iCs/>
          <w:sz w:val="24"/>
          <w:szCs w:val="24"/>
          <w:lang w:eastAsia="zh-CN"/>
        </w:rPr>
        <w:t>Acmella oleracea</w:t>
      </w:r>
      <w:r>
        <w:rPr>
          <w:rFonts w:ascii="Times New Roman" w:eastAsia="Arial-BoldMT" w:hAnsi="Times New Roman" w:cs="Times New Roman"/>
          <w:sz w:val="24"/>
          <w:szCs w:val="24"/>
          <w:lang w:eastAsia="zh-CN"/>
        </w:rPr>
        <w:t xml:space="preserve">), was used as a topic of the study. This would be carried out beginning with SY. 2025-2026. In Barangay Assumption, Koronadal, South Cotabato, the researcher intends to determine the existence of the </w:t>
      </w:r>
      <w:r>
        <w:rPr>
          <w:rFonts w:ascii="Times New Roman" w:eastAsia="Arial-BoldMT" w:hAnsi="Times New Roman" w:cs="Times New Roman"/>
          <w:sz w:val="24"/>
          <w:szCs w:val="24"/>
          <w:lang w:eastAsia="zh-CN"/>
        </w:rPr>
        <w:t xml:space="preserve">major bioactive compounds, including alkaloids, flavonoids, tannins, saponins, terpenoids, and phenolics. This result is put into perspective within the non-random theory of medicinal plant selection. Yet the study is geographically restricted to a single </w:t>
      </w:r>
      <w:r>
        <w:rPr>
          <w:rFonts w:ascii="Times New Roman" w:eastAsia="Arial-BoldMT" w:hAnsi="Times New Roman" w:cs="Times New Roman"/>
          <w:sz w:val="24"/>
          <w:szCs w:val="24"/>
          <w:lang w:eastAsia="zh-CN"/>
        </w:rPr>
        <w:t>indigenous group and may not accurately reflect ethnobotanical practices of other cultures and regions. This study also used a laboratory-based method to identify phytochemicals present and their concentrations in selected medicinal plants used by the B’la</w:t>
      </w:r>
      <w:r>
        <w:rPr>
          <w:rFonts w:ascii="Times New Roman" w:eastAsia="Arial-BoldMT" w:hAnsi="Times New Roman" w:cs="Times New Roman"/>
          <w:sz w:val="24"/>
          <w:szCs w:val="24"/>
          <w:lang w:eastAsia="zh-CN"/>
        </w:rPr>
        <w:t xml:space="preserve">an tribe.  </w:t>
      </w:r>
      <w:bookmarkEnd w:id="1"/>
      <w:r>
        <w:rPr>
          <w:rFonts w:ascii="Times New Roman" w:eastAsia="Arial-BoldMT" w:hAnsi="Times New Roman" w:cs="Times New Roman"/>
          <w:sz w:val="24"/>
          <w:szCs w:val="24"/>
          <w:lang w:eastAsia="zh-CN"/>
        </w:rPr>
        <w:t>The plant parts were kept in clean, labeled zip-lock pouches and tested by using standard procedures. The positive and negative values were determined to show the presence of various compounds, and the overall concentration was observed in the c</w:t>
      </w:r>
      <w:r>
        <w:rPr>
          <w:rFonts w:ascii="Times New Roman" w:eastAsia="Arial-BoldMT" w:hAnsi="Times New Roman" w:cs="Times New Roman"/>
          <w:sz w:val="24"/>
          <w:szCs w:val="24"/>
          <w:lang w:eastAsia="zh-CN"/>
        </w:rPr>
        <w:t>hosen medicinal plant. The experiment was not a test of the of the compounds, medical action of the compounds, but rather to determine all the compounds.</w:t>
      </w:r>
    </w:p>
    <w:p w:rsidR="00F03517" w:rsidRDefault="00F03517">
      <w:pPr>
        <w:spacing w:after="0" w:line="240" w:lineRule="auto"/>
        <w:jc w:val="both"/>
        <w:rPr>
          <w:rFonts w:ascii="Times New Roman" w:eastAsia="Arial-BoldMT" w:hAnsi="Times New Roman" w:cs="Times New Roman"/>
          <w:sz w:val="28"/>
          <w:szCs w:val="28"/>
          <w:lang w:eastAsia="zh-CN"/>
        </w:rPr>
      </w:pPr>
    </w:p>
    <w:p w:rsidR="00F03517" w:rsidRDefault="00F3380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SIGNIFICANCE OF THE STUDY</w:t>
      </w:r>
    </w:p>
    <w:p w:rsidR="00F03517" w:rsidRDefault="00F03517">
      <w:pPr>
        <w:spacing w:after="0" w:line="240" w:lineRule="auto"/>
        <w:jc w:val="both"/>
        <w:rPr>
          <w:rFonts w:ascii="Times New Roman" w:hAnsi="Times New Roman" w:cs="Times New Roman"/>
          <w:b/>
          <w:bCs/>
          <w:sz w:val="24"/>
          <w:szCs w:val="24"/>
        </w:rPr>
      </w:pPr>
    </w:p>
    <w:p w:rsidR="00F03517" w:rsidRDefault="00F33808">
      <w:pPr>
        <w:spacing w:after="0" w:line="240" w:lineRule="auto"/>
        <w:jc w:val="both"/>
        <w:rPr>
          <w:rStyle w:val="x3jgonx"/>
          <w:rFonts w:ascii="Times New Roman" w:eastAsia="SimSun" w:hAnsi="Times New Roman" w:cs="Times New Roman"/>
          <w:sz w:val="24"/>
          <w:szCs w:val="24"/>
        </w:rPr>
      </w:pPr>
      <w:r>
        <w:rPr>
          <w:rFonts w:ascii="Times New Roman" w:hAnsi="Times New Roman" w:cs="Times New Roman"/>
          <w:b/>
          <w:bCs/>
          <w:sz w:val="24"/>
          <w:szCs w:val="24"/>
        </w:rPr>
        <w:tab/>
      </w:r>
      <w:r>
        <w:rPr>
          <w:rStyle w:val="x3jgonx"/>
          <w:rFonts w:ascii="Times New Roman" w:eastAsia="SimSun" w:hAnsi="Times New Roman" w:cs="Times New Roman"/>
          <w:sz w:val="24"/>
          <w:szCs w:val="24"/>
        </w:rPr>
        <w:t>The study is useful to the following:</w:t>
      </w:r>
    </w:p>
    <w:p w:rsidR="00F03517" w:rsidRDefault="00F33808">
      <w:pPr>
        <w:spacing w:after="0" w:line="240" w:lineRule="auto"/>
        <w:jc w:val="both"/>
        <w:rPr>
          <w:rFonts w:ascii="Times New Roman" w:eastAsia="SimSun" w:hAnsi="Times New Roman" w:cs="Times New Roman"/>
          <w:sz w:val="24"/>
          <w:szCs w:val="24"/>
        </w:rPr>
      </w:pPr>
      <w:r>
        <w:rPr>
          <w:rStyle w:val="x3jgonx"/>
          <w:rFonts w:ascii="Times New Roman" w:eastAsia="SimSun" w:hAnsi="Times New Roman" w:cs="Times New Roman"/>
          <w:sz w:val="24"/>
          <w:szCs w:val="24"/>
        </w:rPr>
        <w:t>‎</w:t>
      </w:r>
      <w:r>
        <w:rPr>
          <w:rStyle w:val="x3jgonx"/>
          <w:rFonts w:ascii="Times New Roman" w:eastAsia="SimSun" w:hAnsi="Times New Roman" w:cs="Times New Roman"/>
          <w:sz w:val="24"/>
          <w:szCs w:val="24"/>
        </w:rPr>
        <w:tab/>
        <w:t xml:space="preserve"> The Traditional Healers and Indi</w:t>
      </w:r>
      <w:r>
        <w:rPr>
          <w:rStyle w:val="x3jgonx"/>
          <w:rFonts w:ascii="Times New Roman" w:eastAsia="SimSun" w:hAnsi="Times New Roman" w:cs="Times New Roman"/>
          <w:sz w:val="24"/>
          <w:szCs w:val="24"/>
        </w:rPr>
        <w:t xml:space="preserve">genous Community of the B’laan Tribe. It was a research that assisted in the documentation, protection, and validation of the importance of traditional healing techniques in the preservation of cultural heritage. It also acknowledges those with indigenous </w:t>
      </w:r>
      <w:r>
        <w:rPr>
          <w:rStyle w:val="x3jgonx"/>
          <w:rFonts w:ascii="Times New Roman" w:eastAsia="SimSun" w:hAnsi="Times New Roman" w:cs="Times New Roman"/>
          <w:sz w:val="24"/>
          <w:szCs w:val="24"/>
        </w:rPr>
        <w:t>knowledge and empowers them, recognizing their contributions to healthcare and scientific developments. The phytochemical analysis demonstrated that traditional remedies are effective and support their safe and regular usage. This proved their relevance to</w:t>
      </w:r>
      <w:r>
        <w:rPr>
          <w:rStyle w:val="x3jgonx"/>
          <w:rFonts w:ascii="Times New Roman" w:eastAsia="SimSun" w:hAnsi="Times New Roman" w:cs="Times New Roman"/>
          <w:sz w:val="24"/>
          <w:szCs w:val="24"/>
        </w:rPr>
        <w:t xml:space="preserve"> community health and led the way to collaboration with modern science.</w:t>
      </w:r>
      <w:r>
        <w:rPr>
          <w:rFonts w:ascii="Times New Roman" w:eastAsia="SimSun" w:hAnsi="Times New Roman" w:cs="Times New Roman"/>
          <w:sz w:val="24"/>
          <w:szCs w:val="24"/>
        </w:rPr>
        <w:t xml:space="preserve">            </w:t>
      </w:r>
    </w:p>
    <w:p w:rsidR="00F03517" w:rsidRDefault="00F33808">
      <w:pPr>
        <w:spacing w:after="0" w:line="240" w:lineRule="auto"/>
        <w:ind w:firstLine="720"/>
        <w:jc w:val="both"/>
        <w:rPr>
          <w:rFonts w:ascii="Times New Roman" w:eastAsia="SimSun" w:hAnsi="Times New Roman" w:cs="Times New Roman"/>
          <w:sz w:val="24"/>
          <w:szCs w:val="24"/>
        </w:rPr>
      </w:pPr>
      <w:r>
        <w:rPr>
          <w:rStyle w:val="x3jgonx"/>
          <w:rFonts w:ascii="Times New Roman" w:eastAsia="SimSun" w:hAnsi="Times New Roman" w:cs="Times New Roman"/>
          <w:b/>
          <w:bCs/>
          <w:sz w:val="24"/>
          <w:szCs w:val="24"/>
        </w:rPr>
        <w:t>Local Communities</w:t>
      </w:r>
      <w:r>
        <w:rPr>
          <w:rStyle w:val="x3jgonx"/>
          <w:rFonts w:ascii="Times New Roman" w:eastAsia="SimSun" w:hAnsi="Times New Roman" w:cs="Times New Roman"/>
          <w:sz w:val="24"/>
          <w:szCs w:val="24"/>
        </w:rPr>
        <w:t xml:space="preserve">. For the B’laan tribe and other nearby communities, the study enhanced cultural pride and increased awareness of the medicinal resources found in their </w:t>
      </w:r>
      <w:r>
        <w:rPr>
          <w:rStyle w:val="x3jgonx"/>
          <w:rFonts w:ascii="Times New Roman" w:eastAsia="SimSun" w:hAnsi="Times New Roman" w:cs="Times New Roman"/>
          <w:sz w:val="24"/>
          <w:szCs w:val="24"/>
        </w:rPr>
        <w:t>environment. It also emphasized the need for sustainable harvesting methods.</w:t>
      </w:r>
    </w:p>
    <w:p w:rsidR="00F03517" w:rsidRDefault="00F33808">
      <w:pPr>
        <w:spacing w:after="0" w:line="240" w:lineRule="auto"/>
        <w:jc w:val="both"/>
        <w:rPr>
          <w:rStyle w:val="x3jgonx"/>
          <w:rFonts w:ascii="Times New Roman" w:eastAsia="SimSun" w:hAnsi="Times New Roman" w:cs="Times New Roman"/>
          <w:b/>
          <w:bCs/>
          <w:sz w:val="24"/>
          <w:szCs w:val="24"/>
        </w:rPr>
      </w:pPr>
      <w:r>
        <w:rPr>
          <w:rFonts w:ascii="Times New Roman" w:eastAsia="SimSun" w:hAnsi="Times New Roman" w:cs="Times New Roman"/>
          <w:sz w:val="24"/>
          <w:szCs w:val="24"/>
        </w:rPr>
        <w:tab/>
      </w:r>
      <w:r>
        <w:rPr>
          <w:rStyle w:val="x3jgonx"/>
          <w:rFonts w:ascii="Times New Roman" w:eastAsia="SimSun" w:hAnsi="Times New Roman" w:cs="Times New Roman"/>
          <w:b/>
          <w:bCs/>
          <w:sz w:val="24"/>
          <w:szCs w:val="24"/>
        </w:rPr>
        <w:t>Local Health Office</w:t>
      </w:r>
      <w:r>
        <w:rPr>
          <w:rStyle w:val="x3jgonx"/>
          <w:rFonts w:ascii="Times New Roman" w:eastAsia="SimSun" w:hAnsi="Times New Roman" w:cs="Times New Roman"/>
          <w:sz w:val="24"/>
          <w:szCs w:val="24"/>
        </w:rPr>
        <w:t>. This research supported the value of both alternative and traditional medicine practices. It also contributed to the development of herbal medicines and thei</w:t>
      </w:r>
      <w:r>
        <w:rPr>
          <w:rStyle w:val="x3jgonx"/>
          <w:rFonts w:ascii="Times New Roman" w:eastAsia="SimSun" w:hAnsi="Times New Roman" w:cs="Times New Roman"/>
          <w:sz w:val="24"/>
          <w:szCs w:val="24"/>
        </w:rPr>
        <w:t xml:space="preserve">r possible inclusion in the local healthcare system. </w:t>
      </w:r>
    </w:p>
    <w:p w:rsidR="00F03517" w:rsidRDefault="00F33808">
      <w:pPr>
        <w:spacing w:after="0" w:line="240" w:lineRule="auto"/>
        <w:jc w:val="both"/>
        <w:rPr>
          <w:rStyle w:val="x3jgonx"/>
          <w:rFonts w:ascii="Times New Roman" w:eastAsia="SimSun" w:hAnsi="Times New Roman" w:cs="Times New Roman"/>
          <w:b/>
          <w:bCs/>
          <w:sz w:val="24"/>
          <w:szCs w:val="24"/>
        </w:rPr>
      </w:pPr>
      <w:r>
        <w:rPr>
          <w:rStyle w:val="x3jgonx"/>
          <w:rFonts w:ascii="Times New Roman" w:eastAsia="SimSun" w:hAnsi="Times New Roman" w:cs="Times New Roman"/>
          <w:b/>
          <w:bCs/>
          <w:sz w:val="24"/>
          <w:szCs w:val="24"/>
        </w:rPr>
        <w:t xml:space="preserve">            Ethnobotanists and Pharmacologists</w:t>
      </w:r>
      <w:r>
        <w:rPr>
          <w:rStyle w:val="x3jgonx"/>
          <w:rFonts w:ascii="Times New Roman" w:eastAsia="SimSun" w:hAnsi="Times New Roman" w:cs="Times New Roman"/>
          <w:sz w:val="24"/>
          <w:szCs w:val="24"/>
        </w:rPr>
        <w:t xml:space="preserve">. This research provided a valuable reference for identifying potential new drug sources and reinforced the role of indigenous knowledge in bioprospecting. </w:t>
      </w:r>
      <w:r>
        <w:rPr>
          <w:rStyle w:val="x3jgonx"/>
          <w:rFonts w:ascii="Times New Roman" w:eastAsia="SimSun" w:hAnsi="Times New Roman" w:cs="Times New Roman"/>
          <w:sz w:val="24"/>
          <w:szCs w:val="24"/>
        </w:rPr>
        <w:t>It may also pave the way for further investigations into plant-based pharmaceuticals.</w:t>
      </w:r>
    </w:p>
    <w:p w:rsidR="00F03517" w:rsidRDefault="00F33808">
      <w:pPr>
        <w:spacing w:after="0" w:line="240" w:lineRule="auto"/>
        <w:jc w:val="both"/>
        <w:rPr>
          <w:rStyle w:val="x3jgonx"/>
          <w:rFonts w:ascii="Times New Roman" w:eastAsia="SimSun" w:hAnsi="Times New Roman" w:cs="Times New Roman"/>
          <w:sz w:val="24"/>
          <w:szCs w:val="24"/>
        </w:rPr>
      </w:pPr>
      <w:r>
        <w:rPr>
          <w:rStyle w:val="x3jgonx"/>
          <w:rFonts w:ascii="Times New Roman" w:eastAsia="SimSun" w:hAnsi="Times New Roman" w:cs="Times New Roman"/>
          <w:b/>
          <w:bCs/>
          <w:sz w:val="24"/>
          <w:szCs w:val="24"/>
        </w:rPr>
        <w:t xml:space="preserve">            Future Research</w:t>
      </w:r>
      <w:r>
        <w:rPr>
          <w:rStyle w:val="x3jgonx"/>
          <w:rFonts w:ascii="Times New Roman" w:eastAsia="SimSun" w:hAnsi="Times New Roman" w:cs="Times New Roman"/>
          <w:sz w:val="24"/>
          <w:szCs w:val="24"/>
        </w:rPr>
        <w:t xml:space="preserve">. The study provided a foundation for further scientific research on the effectiveness, safety, and active components of traditional medicinal </w:t>
      </w:r>
      <w:r>
        <w:rPr>
          <w:rStyle w:val="x3jgonx"/>
          <w:rFonts w:ascii="Times New Roman" w:eastAsia="SimSun" w:hAnsi="Times New Roman" w:cs="Times New Roman"/>
          <w:sz w:val="24"/>
          <w:szCs w:val="24"/>
        </w:rPr>
        <w:t>plants in the Philippines and other regions.</w:t>
      </w:r>
    </w:p>
    <w:p w:rsidR="00F03517" w:rsidRDefault="00F03517">
      <w:pPr>
        <w:spacing w:after="0" w:line="240" w:lineRule="auto"/>
        <w:jc w:val="both"/>
        <w:rPr>
          <w:rFonts w:ascii="Times New Roman" w:eastAsia="Arial-BoldMT" w:hAnsi="Times New Roman" w:cs="Times New Roman"/>
          <w:b/>
          <w:bCs/>
          <w:sz w:val="24"/>
          <w:szCs w:val="24"/>
          <w:lang w:eastAsia="zh-CN"/>
        </w:rPr>
      </w:pPr>
    </w:p>
    <w:p w:rsidR="00F03517" w:rsidRDefault="00F33808">
      <w:pPr>
        <w:spacing w:after="0" w:line="240" w:lineRule="auto"/>
        <w:jc w:val="both"/>
        <w:rPr>
          <w:rFonts w:ascii="Times New Roman" w:eastAsia="Arial-BoldMT" w:hAnsi="Times New Roman" w:cs="Times New Roman"/>
          <w:b/>
          <w:bCs/>
          <w:sz w:val="28"/>
          <w:szCs w:val="28"/>
          <w:lang w:eastAsia="zh-CN"/>
        </w:rPr>
      </w:pPr>
      <w:r>
        <w:rPr>
          <w:rFonts w:ascii="Times New Roman" w:eastAsia="Arial-BoldMT" w:hAnsi="Times New Roman" w:cs="Times New Roman"/>
          <w:b/>
          <w:bCs/>
          <w:sz w:val="28"/>
          <w:szCs w:val="28"/>
          <w:lang w:eastAsia="zh-CN"/>
        </w:rPr>
        <w:t>DEFINITION OF TERMS</w:t>
      </w:r>
    </w:p>
    <w:p w:rsidR="00F03517" w:rsidRDefault="00F03517">
      <w:pPr>
        <w:spacing w:after="0" w:line="240" w:lineRule="auto"/>
        <w:jc w:val="both"/>
        <w:rPr>
          <w:rFonts w:ascii="Times New Roman" w:eastAsia="Arial-BoldMT" w:hAnsi="Times New Roman" w:cs="Times New Roman"/>
          <w:b/>
          <w:bCs/>
          <w:sz w:val="24"/>
          <w:szCs w:val="24"/>
          <w:lang w:eastAsia="zh-CN"/>
        </w:rPr>
      </w:pPr>
    </w:p>
    <w:p w:rsidR="00F03517" w:rsidRDefault="00F33808">
      <w:pPr>
        <w:spacing w:after="0" w:line="240" w:lineRule="auto"/>
        <w:ind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following terms and concepts are defined conceptually as used in the research investigation.</w:t>
      </w:r>
    </w:p>
    <w:p w:rsidR="00F03517" w:rsidRDefault="00F33808">
      <w:pPr>
        <w:pStyle w:val="Heading1"/>
        <w:spacing w:beforeAutospacing="0" w:afterAutospacing="0"/>
        <w:ind w:firstLine="720"/>
        <w:jc w:val="both"/>
        <w:rPr>
          <w:rFonts w:ascii="Times New Roman" w:hAnsi="Times New Roman" w:hint="default"/>
          <w:sz w:val="24"/>
          <w:szCs w:val="24"/>
        </w:rPr>
      </w:pPr>
      <w:r>
        <w:rPr>
          <w:rFonts w:ascii="Times New Roman" w:hAnsi="Times New Roman" w:hint="default"/>
          <w:kern w:val="0"/>
          <w:sz w:val="24"/>
          <w:szCs w:val="24"/>
        </w:rPr>
        <w:t>Agik-agik</w:t>
      </w:r>
      <w:r>
        <w:rPr>
          <w:rFonts w:ascii="Times New Roman" w:hAnsi="Times New Roman" w:hint="default"/>
          <w:b w:val="0"/>
          <w:bCs w:val="0"/>
          <w:kern w:val="0"/>
          <w:sz w:val="24"/>
          <w:szCs w:val="24"/>
        </w:rPr>
        <w:t>. This term refers to a trailing herbaceous plant and is widely used by traditional</w:t>
      </w:r>
      <w:r>
        <w:rPr>
          <w:rFonts w:ascii="Times New Roman" w:hAnsi="Times New Roman" w:hint="default"/>
          <w:b w:val="0"/>
          <w:bCs w:val="0"/>
          <w:kern w:val="0"/>
          <w:sz w:val="24"/>
          <w:szCs w:val="24"/>
        </w:rPr>
        <w:t xml:space="preserve"> medicine to treat toothache, fever, malaria, and as an anticancer plant (Rondanelli et al., 2020).</w:t>
      </w:r>
    </w:p>
    <w:p w:rsidR="00F03517" w:rsidRDefault="00F33808">
      <w:pPr>
        <w:spacing w:after="0" w:line="240" w:lineRule="auto"/>
        <w:ind w:firstLine="720"/>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 xml:space="preserve">Balbas Pusa. </w:t>
      </w:r>
      <w:r>
        <w:rPr>
          <w:rFonts w:ascii="Times New Roman" w:hAnsi="Times New Roman" w:cs="Times New Roman"/>
          <w:sz w:val="24"/>
          <w:szCs w:val="24"/>
        </w:rPr>
        <w:t xml:space="preserve">This term refers to a </w:t>
      </w:r>
      <w:r>
        <w:rPr>
          <w:rFonts w:ascii="Times New Roman" w:eastAsia="SimSun" w:hAnsi="Times New Roman" w:cs="Times New Roman"/>
          <w:sz w:val="24"/>
          <w:szCs w:val="24"/>
          <w:lang w:eastAsia="zh-CN"/>
        </w:rPr>
        <w:t>medicinal herbal plant commonly known as ‘cat whiskers’ used by traditional medicine for hypertension (Chriscensia et al.</w:t>
      </w:r>
      <w:r>
        <w:rPr>
          <w:rFonts w:ascii="Times New Roman" w:eastAsia="SimSun" w:hAnsi="Times New Roman" w:cs="Times New Roman"/>
          <w:sz w:val="24"/>
          <w:szCs w:val="24"/>
          <w:lang w:eastAsia="zh-CN"/>
        </w:rPr>
        <w:t>, 2033).</w:t>
      </w:r>
    </w:p>
    <w:p w:rsidR="00F03517" w:rsidRDefault="00F33808">
      <w:pPr>
        <w:spacing w:after="0" w:line="240" w:lineRule="auto"/>
        <w:ind w:firstLine="720"/>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 xml:space="preserve">B’laan Tribe. </w:t>
      </w:r>
      <w:r>
        <w:rPr>
          <w:rFonts w:ascii="Times New Roman" w:hAnsi="Times New Roman" w:cs="Times New Roman"/>
          <w:sz w:val="24"/>
          <w:szCs w:val="24"/>
        </w:rPr>
        <w:t>This term refers to</w:t>
      </w:r>
      <w:r>
        <w:rPr>
          <w:rFonts w:ascii="Times New Roman" w:eastAsia="SimSun" w:hAnsi="Times New Roman" w:cs="Times New Roman"/>
          <w:b/>
          <w:bCs/>
          <w:sz w:val="24"/>
          <w:szCs w:val="24"/>
          <w:lang w:eastAsia="zh-CN"/>
        </w:rPr>
        <w:t xml:space="preserve"> </w:t>
      </w:r>
      <w:r>
        <w:rPr>
          <w:rFonts w:ascii="Times New Roman" w:eastAsia="SimSun" w:hAnsi="Times New Roman" w:cs="Times New Roman"/>
          <w:sz w:val="24"/>
          <w:szCs w:val="24"/>
          <w:lang w:eastAsia="zh-CN"/>
        </w:rPr>
        <w:t>one of the indigenous people (IP) who have their own traditional belief in life, famous for their traditional colorful costumes (</w:t>
      </w:r>
      <w:r>
        <w:rPr>
          <w:rFonts w:ascii="Times New Roman" w:eastAsia="Segoe UI" w:hAnsi="Times New Roman" w:cs="Times New Roman"/>
          <w:sz w:val="24"/>
          <w:szCs w:val="24"/>
          <w:shd w:val="clear" w:color="auto" w:fill="FFFFFF"/>
        </w:rPr>
        <w:t>Fajinmi, J., &amp; Oloyede, J., 2025)</w:t>
      </w:r>
    </w:p>
    <w:p w:rsidR="00F03517" w:rsidRDefault="00F33808">
      <w:pPr>
        <w:spacing w:after="0" w:line="240" w:lineRule="auto"/>
        <w:ind w:firstLine="720"/>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Gmelina.</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This term refers to a method </w:t>
      </w:r>
      <w:r>
        <w:rPr>
          <w:rFonts w:ascii="Times New Roman" w:eastAsia="SimSun" w:hAnsi="Times New Roman" w:cs="Times New Roman"/>
          <w:sz w:val="24"/>
          <w:szCs w:val="24"/>
          <w:lang w:eastAsia="zh-CN"/>
        </w:rPr>
        <w:t xml:space="preserve">widely used </w:t>
      </w:r>
      <w:r>
        <w:rPr>
          <w:rFonts w:ascii="Times New Roman" w:eastAsia="SimSun" w:hAnsi="Times New Roman" w:cs="Times New Roman"/>
          <w:sz w:val="24"/>
          <w:szCs w:val="24"/>
          <w:lang w:eastAsia="zh-CN"/>
        </w:rPr>
        <w:t>in traditional medicine, with various ways to treat many disorders. It possesses properties such as wound-healing, antidiabetic potential, analgesic, and antioxidant (Warrier et al., 2021).</w:t>
      </w:r>
    </w:p>
    <w:p w:rsidR="00F03517" w:rsidRDefault="00F33808">
      <w:pPr>
        <w:spacing w:after="0" w:line="240" w:lineRule="auto"/>
        <w:ind w:firstLine="720"/>
        <w:jc w:val="both"/>
        <w:rPr>
          <w:rFonts w:ascii="Times New Roman" w:eastAsia="SimSun" w:hAnsi="Times New Roman" w:cs="Times New Roman"/>
          <w:sz w:val="24"/>
          <w:szCs w:val="24"/>
          <w:lang w:eastAsia="zh-CN"/>
        </w:rPr>
      </w:pPr>
      <w:r>
        <w:rPr>
          <w:rStyle w:val="Strong"/>
          <w:rFonts w:ascii="Times New Roman" w:eastAsia="SimSun" w:hAnsi="Times New Roman" w:cs="Times New Roman"/>
          <w:sz w:val="24"/>
          <w:szCs w:val="24"/>
        </w:rPr>
        <w:t>Documentation and Sample Collection.</w:t>
      </w:r>
      <w:r>
        <w:rPr>
          <w:rFonts w:ascii="Times New Roman" w:eastAsia="SimSun" w:hAnsi="Times New Roman" w:cs="Times New Roman"/>
          <w:sz w:val="24"/>
          <w:szCs w:val="24"/>
        </w:rPr>
        <w:t xml:space="preserve"> </w:t>
      </w:r>
      <w:r>
        <w:rPr>
          <w:rFonts w:ascii="Times New Roman" w:hAnsi="Times New Roman" w:cs="Times New Roman"/>
          <w:sz w:val="24"/>
          <w:szCs w:val="24"/>
        </w:rPr>
        <w:t xml:space="preserve">This term refers </w:t>
      </w:r>
      <w:r>
        <w:rPr>
          <w:rFonts w:ascii="Times New Roman" w:eastAsia="SimSun" w:hAnsi="Times New Roman" w:cs="Times New Roman"/>
          <w:sz w:val="24"/>
          <w:szCs w:val="24"/>
          <w:lang w:eastAsia="zh-CN"/>
        </w:rPr>
        <w:t>to the metho</w:t>
      </w:r>
      <w:r>
        <w:rPr>
          <w:rFonts w:ascii="Times New Roman" w:eastAsia="SimSun" w:hAnsi="Times New Roman" w:cs="Times New Roman"/>
          <w:sz w:val="24"/>
          <w:szCs w:val="24"/>
          <w:lang w:eastAsia="zh-CN"/>
        </w:rPr>
        <w:t xml:space="preserve">dical procedure of documenting traditional knowledge by means of key informant interviews and the collection of plant specimens from the research region for further laboratory </w:t>
      </w:r>
      <w:r>
        <w:rPr>
          <w:rFonts w:ascii="Times New Roman" w:eastAsia="SimSun" w:hAnsi="Times New Roman" w:cs="Times New Roman"/>
          <w:color w:val="000000" w:themeColor="text1"/>
          <w:sz w:val="24"/>
          <w:szCs w:val="24"/>
          <w:lang w:eastAsia="zh-CN"/>
        </w:rPr>
        <w:t>investigation (</w:t>
      </w:r>
      <w:r>
        <w:rPr>
          <w:rStyle w:val="Hyperlink"/>
          <w:rFonts w:ascii="Times New Roman" w:hAnsi="Times New Roman" w:cs="Times New Roman"/>
          <w:color w:val="000000" w:themeColor="text1"/>
          <w:sz w:val="24"/>
          <w:szCs w:val="24"/>
        </w:rPr>
        <w:t>Liu, Pengxuan, &amp; Liu; Don, 2023</w:t>
      </w:r>
      <w:r>
        <w:rPr>
          <w:rFonts w:ascii="Times New Roman" w:eastAsia="SimSun" w:hAnsi="Times New Roman" w:cs="Times New Roman"/>
          <w:color w:val="000000" w:themeColor="text1"/>
          <w:sz w:val="24"/>
          <w:szCs w:val="24"/>
          <w:lang w:eastAsia="zh-CN"/>
        </w:rPr>
        <w:t>).</w:t>
      </w:r>
    </w:p>
    <w:p w:rsidR="00F03517" w:rsidRDefault="00F33808">
      <w:pPr>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r>
      <w:r>
        <w:rPr>
          <w:rFonts w:ascii="Times New Roman" w:eastAsia="SimSun" w:hAnsi="Times New Roman" w:cs="Times New Roman"/>
          <w:b/>
          <w:bCs/>
          <w:sz w:val="24"/>
          <w:szCs w:val="24"/>
          <w:lang w:eastAsia="zh-CN"/>
        </w:rPr>
        <w:t>Phytochemical Screening</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This </w:t>
      </w:r>
      <w:r>
        <w:rPr>
          <w:rFonts w:ascii="Times New Roman" w:hAnsi="Times New Roman" w:cs="Times New Roman"/>
          <w:sz w:val="24"/>
          <w:szCs w:val="24"/>
        </w:rPr>
        <w:t>term refers to the</w:t>
      </w:r>
      <w:r>
        <w:rPr>
          <w:rFonts w:ascii="Times New Roman" w:eastAsia="SimSun" w:hAnsi="Times New Roman" w:cs="Times New Roman"/>
          <w:sz w:val="24"/>
          <w:szCs w:val="24"/>
          <w:lang w:eastAsia="zh-CN"/>
        </w:rPr>
        <w:t xml:space="preserve"> laboratory procedure used to detect the secondary metabolites found in plants. In this study, phytochemical tests were performed to identify which compound groups were present in the selected medicinal plants (</w:t>
      </w:r>
      <w:r>
        <w:rPr>
          <w:rFonts w:ascii="Times New Roman" w:eastAsia="Consolas" w:hAnsi="Times New Roman" w:cs="Times New Roman"/>
          <w:sz w:val="24"/>
          <w:szCs w:val="24"/>
          <w:shd w:val="clear" w:color="auto" w:fill="FFFFFF"/>
        </w:rPr>
        <w:t>Dubale et al</w:t>
      </w:r>
      <w:r>
        <w:rPr>
          <w:rFonts w:ascii="Times New Roman" w:eastAsia="SimSun" w:hAnsi="Times New Roman" w:cs="Times New Roman"/>
          <w:sz w:val="24"/>
          <w:szCs w:val="24"/>
          <w:lang w:eastAsia="zh-CN"/>
        </w:rPr>
        <w:t>., 2023).</w:t>
      </w:r>
    </w:p>
    <w:p w:rsidR="00F03517" w:rsidRDefault="00F33808">
      <w:pPr>
        <w:spacing w:after="0" w:line="240" w:lineRule="auto"/>
        <w:ind w:firstLine="720"/>
        <w:jc w:val="both"/>
        <w:rPr>
          <w:rFonts w:ascii="Times New Roman" w:eastAsia="SimSun" w:hAnsi="Times New Roman" w:cs="Times New Roman"/>
          <w:sz w:val="24"/>
          <w:szCs w:val="24"/>
        </w:rPr>
      </w:pPr>
      <w:r>
        <w:rPr>
          <w:rFonts w:ascii="Times New Roman" w:eastAsia="SimSun" w:hAnsi="Times New Roman" w:cs="Times New Roman"/>
          <w:b/>
          <w:bCs/>
          <w:sz w:val="24"/>
          <w:szCs w:val="24"/>
          <w:lang w:eastAsia="zh-CN"/>
        </w:rPr>
        <w:t xml:space="preserve">Phytochemical Analysis. </w:t>
      </w:r>
      <w:r>
        <w:rPr>
          <w:rFonts w:ascii="Times New Roman" w:hAnsi="Times New Roman" w:cs="Times New Roman"/>
          <w:sz w:val="24"/>
          <w:szCs w:val="24"/>
        </w:rPr>
        <w:t xml:space="preserve">This term refers to the </w:t>
      </w:r>
      <w:r>
        <w:rPr>
          <w:rFonts w:ascii="Times New Roman" w:eastAsia="SimSun" w:hAnsi="Times New Roman" w:cs="Times New Roman"/>
          <w:sz w:val="24"/>
          <w:szCs w:val="24"/>
          <w:lang w:eastAsia="zh-CN"/>
        </w:rPr>
        <w:t xml:space="preserve">laboratory procedure used to determine the quantitative concentration of bioactive substances in a plant extract. Milligrams per gram (mg/g) of plant material is a common unit of measurement for these assays </w:t>
      </w:r>
      <w:r>
        <w:rPr>
          <w:rFonts w:ascii="Times New Roman" w:eastAsia="SimSun" w:hAnsi="Times New Roman" w:cs="Times New Roman"/>
          <w:sz w:val="24"/>
          <w:szCs w:val="24"/>
          <w:lang w:eastAsia="zh-CN"/>
        </w:rPr>
        <w:t>(</w:t>
      </w:r>
      <w:r>
        <w:rPr>
          <w:rFonts w:ascii="Times New Roman" w:eastAsia="SimSun" w:hAnsi="Times New Roman" w:cs="Times New Roman"/>
          <w:sz w:val="24"/>
          <w:szCs w:val="24"/>
        </w:rPr>
        <w:t>Sawalha et al., 2025).</w:t>
      </w:r>
    </w:p>
    <w:p w:rsidR="00F03517" w:rsidRDefault="00F03517">
      <w:pPr>
        <w:spacing w:after="0" w:line="240" w:lineRule="auto"/>
        <w:ind w:firstLine="720"/>
        <w:jc w:val="both"/>
        <w:rPr>
          <w:rFonts w:ascii="Times New Roman" w:eastAsia="SimSun" w:hAnsi="Times New Roman" w:cs="Times New Roman"/>
          <w:sz w:val="24"/>
          <w:szCs w:val="24"/>
        </w:rPr>
      </w:pPr>
    </w:p>
    <w:p w:rsidR="00F03517" w:rsidRDefault="00F33808">
      <w:pPr>
        <w:spacing w:after="0" w:line="480" w:lineRule="auto"/>
        <w:jc w:val="both"/>
        <w:rPr>
          <w:rStyle w:val="x3jgonx"/>
          <w:rFonts w:ascii="Times New Roman" w:eastAsia="SimSun" w:hAnsi="Times New Roman" w:cs="Times New Roman"/>
          <w:b/>
          <w:bCs/>
          <w:sz w:val="28"/>
          <w:szCs w:val="28"/>
        </w:rPr>
      </w:pPr>
      <w:r>
        <w:rPr>
          <w:rStyle w:val="x3jgonx"/>
          <w:rFonts w:ascii="Times New Roman" w:eastAsia="SimSun" w:hAnsi="Times New Roman" w:cs="Times New Roman"/>
          <w:b/>
          <w:bCs/>
          <w:sz w:val="28"/>
          <w:szCs w:val="28"/>
        </w:rPr>
        <w:t>METHODS</w:t>
      </w:r>
    </w:p>
    <w:p w:rsidR="00F03517" w:rsidRDefault="00F33808">
      <w:pPr>
        <w:spacing w:after="0" w:line="240" w:lineRule="auto"/>
        <w:ind w:firstLine="720"/>
        <w:jc w:val="both"/>
        <w:rPr>
          <w:rStyle w:val="x3jgonx"/>
          <w:rFonts w:ascii="Times New Roman" w:eastAsia="SimSun" w:hAnsi="Times New Roman" w:cs="Times New Roman"/>
          <w:sz w:val="24"/>
          <w:szCs w:val="24"/>
        </w:rPr>
      </w:pPr>
      <w:r>
        <w:rPr>
          <w:rStyle w:val="x3jgonx"/>
          <w:rFonts w:ascii="Times New Roman" w:eastAsia="SimSun" w:hAnsi="Times New Roman" w:cs="Times New Roman"/>
          <w:sz w:val="24"/>
          <w:szCs w:val="24"/>
        </w:rPr>
        <w:t xml:space="preserve">This clearly defines the research methods used to conduct the study. The researcher explains how the necessary data and information to address the research objectives and questions were collected, presented, and analyzed. </w:t>
      </w:r>
      <w:r>
        <w:rPr>
          <w:rStyle w:val="x3jgonx"/>
          <w:rFonts w:ascii="Times New Roman" w:eastAsia="SimSun" w:hAnsi="Times New Roman" w:cs="Times New Roman"/>
          <w:sz w:val="24"/>
          <w:szCs w:val="24"/>
        </w:rPr>
        <w:t>Reasons and justification for the research design, research instrument, data collection techniques, and research procedures.</w:t>
      </w:r>
    </w:p>
    <w:p w:rsidR="00F03517" w:rsidRDefault="00F03517">
      <w:pPr>
        <w:spacing w:after="0" w:line="240" w:lineRule="auto"/>
        <w:ind w:firstLine="720"/>
        <w:jc w:val="both"/>
        <w:rPr>
          <w:rStyle w:val="x3jgonx"/>
          <w:rFonts w:ascii="Times New Roman" w:eastAsia="SimSun" w:hAnsi="Times New Roman" w:cs="Times New Roman"/>
          <w:sz w:val="28"/>
          <w:szCs w:val="28"/>
        </w:rPr>
      </w:pPr>
    </w:p>
    <w:p w:rsidR="00F03517" w:rsidRDefault="00F33808">
      <w:pPr>
        <w:spacing w:after="0" w:line="240" w:lineRule="auto"/>
        <w:jc w:val="both"/>
        <w:rPr>
          <w:rFonts w:ascii="Times New Roman" w:eastAsia="Arial-BoldMT" w:hAnsi="Times New Roman" w:cs="Times New Roman"/>
          <w:b/>
          <w:bCs/>
          <w:sz w:val="28"/>
          <w:szCs w:val="28"/>
          <w:lang w:eastAsia="zh-CN"/>
        </w:rPr>
      </w:pPr>
      <w:r>
        <w:rPr>
          <w:rFonts w:ascii="Times New Roman" w:eastAsia="Arial-BoldMT" w:hAnsi="Times New Roman" w:cs="Times New Roman"/>
          <w:b/>
          <w:bCs/>
          <w:sz w:val="28"/>
          <w:szCs w:val="28"/>
          <w:lang w:eastAsia="zh-CN"/>
        </w:rPr>
        <w:t>RESEARCH DESIGN</w:t>
      </w:r>
    </w:p>
    <w:p w:rsidR="00F03517" w:rsidRDefault="00F33808">
      <w:pPr>
        <w:spacing w:after="0" w:line="240" w:lineRule="auto"/>
        <w:jc w:val="both"/>
        <w:rPr>
          <w:rFonts w:ascii="Times New Roman" w:hAnsi="Times New Roman" w:cs="Times New Roman"/>
          <w:sz w:val="24"/>
          <w:szCs w:val="24"/>
        </w:rPr>
      </w:pPr>
      <w:r>
        <w:rPr>
          <w:rFonts w:ascii="Times New Roman" w:eastAsia="Arial-BoldMT" w:hAnsi="Times New Roman" w:cs="Times New Roman"/>
          <w:b/>
          <w:bCs/>
          <w:sz w:val="24"/>
          <w:szCs w:val="24"/>
          <w:lang w:eastAsia="zh-CN"/>
        </w:rPr>
        <w:tab/>
      </w:r>
      <w:r>
        <w:rPr>
          <w:rFonts w:ascii="Times New Roman" w:hAnsi="Times New Roman" w:cs="Times New Roman"/>
          <w:sz w:val="24"/>
          <w:szCs w:val="24"/>
        </w:rPr>
        <w:t>The researcher used a descriptive research design. This approach will explain and give meaning to the current sta</w:t>
      </w:r>
      <w:r>
        <w:rPr>
          <w:rFonts w:ascii="Times New Roman" w:hAnsi="Times New Roman" w:cs="Times New Roman"/>
          <w:sz w:val="24"/>
          <w:szCs w:val="24"/>
        </w:rPr>
        <w:t>tus of the sampled medicinal plants Gmelina (</w:t>
      </w:r>
      <w:r>
        <w:rPr>
          <w:rFonts w:ascii="Times New Roman" w:hAnsi="Times New Roman" w:cs="Times New Roman"/>
          <w:i/>
          <w:iCs/>
          <w:sz w:val="24"/>
          <w:szCs w:val="24"/>
        </w:rPr>
        <w:t>Gmelina arborea</w:t>
      </w:r>
      <w:r>
        <w:rPr>
          <w:rFonts w:ascii="Times New Roman" w:hAnsi="Times New Roman" w:cs="Times New Roman"/>
          <w:sz w:val="24"/>
          <w:szCs w:val="24"/>
        </w:rPr>
        <w:t>), Balbas pusa (</w:t>
      </w:r>
      <w:r>
        <w:rPr>
          <w:rFonts w:ascii="Times New Roman" w:hAnsi="Times New Roman" w:cs="Times New Roman"/>
          <w:i/>
          <w:iCs/>
          <w:sz w:val="24"/>
          <w:szCs w:val="24"/>
        </w:rPr>
        <w:t>Orthosiphon aristatus</w:t>
      </w:r>
      <w:r>
        <w:rPr>
          <w:rFonts w:ascii="Times New Roman" w:hAnsi="Times New Roman" w:cs="Times New Roman"/>
          <w:sz w:val="24"/>
          <w:szCs w:val="24"/>
        </w:rPr>
        <w:t xml:space="preserve">), and Agik-agik </w:t>
      </w:r>
      <w:r>
        <w:rPr>
          <w:rFonts w:ascii="Times New Roman" w:hAnsi="Times New Roman" w:cs="Times New Roman"/>
          <w:i/>
          <w:iCs/>
          <w:sz w:val="24"/>
          <w:szCs w:val="24"/>
        </w:rPr>
        <w:t>(Acmella oleracea</w:t>
      </w:r>
      <w:r>
        <w:rPr>
          <w:rFonts w:ascii="Times New Roman" w:hAnsi="Times New Roman" w:cs="Times New Roman"/>
          <w:sz w:val="24"/>
          <w:szCs w:val="24"/>
        </w:rPr>
        <w:t>) used by the B’laan Tribe. This study is not intended to manipulate variables; therefore, it will be used in conjunction wit</w:t>
      </w:r>
      <w:r>
        <w:rPr>
          <w:rFonts w:ascii="Times New Roman" w:hAnsi="Times New Roman" w:cs="Times New Roman"/>
          <w:sz w:val="24"/>
          <w:szCs w:val="24"/>
        </w:rPr>
        <w:t>h laboratory analysis to determine the types and concentration levels of phytochemicals in these plants. Most approaches are considered descriptive because they enable the researcher to organize and analyze data obtained through laboratory tests and observ</w:t>
      </w:r>
      <w:r>
        <w:rPr>
          <w:rFonts w:ascii="Times New Roman" w:hAnsi="Times New Roman" w:cs="Times New Roman"/>
          <w:sz w:val="24"/>
          <w:szCs w:val="24"/>
        </w:rPr>
        <w:t xml:space="preserve">ations. As defined by Shinija (2024), descriptive research is a type of research in which variables are used to describe features of a population or a phenomenon under investigation. It creates a clear, accurate picture of facts, actions, and interactions </w:t>
      </w:r>
      <w:r>
        <w:rPr>
          <w:rFonts w:ascii="Times New Roman" w:hAnsi="Times New Roman" w:cs="Times New Roman"/>
          <w:sz w:val="24"/>
          <w:szCs w:val="24"/>
        </w:rPr>
        <w:t>without altering them. The design assists the researcher in describing and recording the phytochemical characteristics with the actual laboratory findings and observations.</w:t>
      </w:r>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jc w:val="both"/>
        <w:rPr>
          <w:rFonts w:ascii="Times New Roman" w:eastAsia="Arial-BoldMT" w:hAnsi="Times New Roman" w:cs="Times New Roman"/>
          <w:b/>
          <w:bCs/>
          <w:sz w:val="28"/>
          <w:szCs w:val="28"/>
          <w:lang w:eastAsia="zh-CN"/>
        </w:rPr>
      </w:pPr>
      <w:r>
        <w:rPr>
          <w:rFonts w:ascii="Times New Roman" w:eastAsia="Arial-BoldMT" w:hAnsi="Times New Roman" w:cs="Times New Roman"/>
          <w:b/>
          <w:bCs/>
          <w:sz w:val="28"/>
          <w:szCs w:val="28"/>
          <w:lang w:eastAsia="zh-CN"/>
        </w:rPr>
        <w:t>RESEARCH LOCALE</w:t>
      </w:r>
    </w:p>
    <w:p w:rsidR="00F03517" w:rsidRDefault="00F03517">
      <w:pPr>
        <w:spacing w:after="0" w:line="240" w:lineRule="auto"/>
        <w:jc w:val="both"/>
        <w:rPr>
          <w:rFonts w:ascii="Times New Roman" w:eastAsia="Arial-BoldMT" w:hAnsi="Times New Roman" w:cs="Times New Roman"/>
          <w:b/>
          <w:bCs/>
          <w:sz w:val="24"/>
          <w:szCs w:val="24"/>
          <w:lang w:eastAsia="zh-CN"/>
        </w:rPr>
      </w:pPr>
    </w:p>
    <w:p w:rsidR="00F03517" w:rsidRDefault="00F33808">
      <w:pPr>
        <w:spacing w:after="0" w:line="240" w:lineRule="auto"/>
        <w:jc w:val="both"/>
        <w:rPr>
          <w:rFonts w:ascii="Times New Roman" w:hAnsi="Times New Roman" w:cs="Times New Roman"/>
          <w:sz w:val="24"/>
          <w:szCs w:val="24"/>
        </w:rPr>
      </w:pPr>
      <w:r>
        <w:rPr>
          <w:rFonts w:ascii="Times New Roman" w:eastAsia="Arial-BoldMT" w:hAnsi="Times New Roman" w:cs="Times New Roman"/>
          <w:b/>
          <w:bCs/>
          <w:sz w:val="24"/>
          <w:szCs w:val="24"/>
          <w:lang w:eastAsia="zh-CN"/>
        </w:rPr>
        <w:tab/>
      </w:r>
      <w:r>
        <w:rPr>
          <w:rFonts w:ascii="Times New Roman" w:hAnsi="Times New Roman" w:cs="Times New Roman"/>
          <w:sz w:val="24"/>
          <w:szCs w:val="24"/>
        </w:rPr>
        <w:t>This study was conducted in Barangay Assumption, Koronadal, located in South Cotabato. Koronadal is part of the municipality in the SOCCSARGEN region in Mindanao. The city has 27 barangays, including Barangay Assumption. It serves as the capital province o</w:t>
      </w:r>
      <w:r>
        <w:rPr>
          <w:rFonts w:ascii="Times New Roman" w:hAnsi="Times New Roman" w:cs="Times New Roman"/>
          <w:sz w:val="24"/>
          <w:szCs w:val="24"/>
        </w:rPr>
        <w:t>f SOCSARGEN, where Koronadal is situated, and is known for its rich culture, fertile agricultural land, and diverse communities composed of indigenous groups, settlers, and migrants. Koronadal originated from two B’laan words: koron, meaning cogon grass, a</w:t>
      </w:r>
      <w:r>
        <w:rPr>
          <w:rFonts w:ascii="Times New Roman" w:hAnsi="Times New Roman" w:cs="Times New Roman"/>
          <w:sz w:val="24"/>
          <w:szCs w:val="24"/>
        </w:rPr>
        <w:t xml:space="preserve">nd nadal, meaning plain. In the past, they called it marbel, which comes from the word murky waters. </w:t>
      </w:r>
      <w:r>
        <w:rPr>
          <w:rFonts w:ascii="Times New Roman" w:eastAsia="SimSun" w:hAnsi="Times New Roman" w:cs="Times New Roman"/>
          <w:sz w:val="24"/>
          <w:szCs w:val="24"/>
          <w:lang w:eastAsia="zh-CN"/>
        </w:rPr>
        <w:t xml:space="preserve">When the locals lived in the city, these names best reflected the location. </w:t>
      </w:r>
      <w:r>
        <w:rPr>
          <w:rFonts w:ascii="Times New Roman" w:hAnsi="Times New Roman" w:cs="Times New Roman"/>
          <w:sz w:val="24"/>
          <w:szCs w:val="24"/>
        </w:rPr>
        <w:t>This region lies in the southeastern part of Davao and is home to the B’laan pe</w:t>
      </w:r>
      <w:r>
        <w:rPr>
          <w:rFonts w:ascii="Times New Roman" w:hAnsi="Times New Roman" w:cs="Times New Roman"/>
          <w:sz w:val="24"/>
          <w:szCs w:val="24"/>
        </w:rPr>
        <w:t xml:space="preserve">ople. </w:t>
      </w:r>
    </w:p>
    <w:p w:rsidR="00F03517" w:rsidRDefault="00F33808">
      <w:pPr>
        <w:spacing w:after="0" w:line="240" w:lineRule="auto"/>
        <w:ind w:firstLine="720"/>
        <w:jc w:val="both"/>
        <w:rPr>
          <w:rFonts w:ascii="Times New Roman" w:hAnsi="Times New Roman" w:cs="Times New Roman"/>
          <w:color w:val="202122"/>
          <w:sz w:val="24"/>
          <w:szCs w:val="24"/>
          <w:shd w:val="clear" w:color="auto" w:fill="FFFFFF"/>
        </w:rPr>
      </w:pPr>
      <w:r>
        <w:rPr>
          <w:rFonts w:ascii="Times New Roman" w:hAnsi="Times New Roman" w:cs="Times New Roman"/>
          <w:sz w:val="24"/>
          <w:szCs w:val="24"/>
        </w:rPr>
        <w:t>The B’laan people's name possibly originates from the prefix "bla," meaning "opponent," and the suffix "an," meaning "people." A recent 2021 DNA analysis revealed that the B'laan people have Papuan admixture. According to the 2020 census, 2,291 indi</w:t>
      </w:r>
      <w:r>
        <w:rPr>
          <w:rFonts w:ascii="Times New Roman" w:hAnsi="Times New Roman" w:cs="Times New Roman"/>
          <w:sz w:val="24"/>
          <w:szCs w:val="24"/>
        </w:rPr>
        <w:t>viduals currently reside in Brgy. Assumption, accounting for 1.17% of Korondal's total population. The establishment of General Santos in 1939 led to the displacement of some B’laan natives due to the city's development. Assumption is formerly known as ‘Bu</w:t>
      </w:r>
      <w:r>
        <w:rPr>
          <w:rFonts w:ascii="Times New Roman" w:hAnsi="Times New Roman" w:cs="Times New Roman"/>
          <w:sz w:val="24"/>
          <w:szCs w:val="24"/>
        </w:rPr>
        <w:t>lol’, and is situated at approximately 6.4459, 124.8401, in the island of Mindanao. The elevation at these coordinates is estimated at 322.6 meters (1,058.4 feet) above sea level.</w:t>
      </w:r>
    </w:p>
    <w:p w:rsidR="00F03517" w:rsidRDefault="00F33808">
      <w:pPr>
        <w:rPr>
          <w:rStyle w:val="x3jgonx"/>
          <w:rFonts w:ascii="Times New Roman" w:hAnsi="Times New Roman" w:cs="Times New Roman"/>
          <w:sz w:val="24"/>
          <w:szCs w:val="24"/>
        </w:rPr>
      </w:pPr>
      <w:r>
        <w:rPr>
          <w:rFonts w:ascii="Arial" w:eastAsia="Arial-BoldMT" w:hAnsi="Arial" w:cs="Arial"/>
          <w:b/>
          <w:bCs/>
          <w:noProof/>
          <w:sz w:val="24"/>
          <w:szCs w:val="24"/>
          <w:lang w:val="en-IN" w:eastAsia="en-IN"/>
        </w:rPr>
        <w:drawing>
          <wp:inline distT="0" distB="0" distL="0" distR="0">
            <wp:extent cx="6146800" cy="4076700"/>
            <wp:effectExtent l="0" t="0" r="6350" b="0"/>
            <wp:docPr id="1035" name="Picture 9" descr="Screenshot 2025-09-15 200749"/>
            <wp:cNvGraphicFramePr/>
            <a:graphic xmlns:a="http://schemas.openxmlformats.org/drawingml/2006/main">
              <a:graphicData uri="http://schemas.openxmlformats.org/drawingml/2006/picture">
                <pic:pic xmlns:pic="http://schemas.openxmlformats.org/drawingml/2006/picture">
                  <pic:nvPicPr>
                    <pic:cNvPr id="1035" name="Picture 9" descr="Screenshot 2025-09-15 20074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46800" cy="4076700"/>
                    </a:xfrm>
                    <a:prstGeom prst="rect">
                      <a:avLst/>
                    </a:prstGeom>
                  </pic:spPr>
                </pic:pic>
              </a:graphicData>
            </a:graphic>
          </wp:inline>
        </w:drawing>
      </w:r>
    </w:p>
    <w:p w:rsidR="00F03517" w:rsidRDefault="00F33808">
      <w:pPr>
        <w:spacing w:after="0" w:line="480" w:lineRule="auto"/>
        <w:jc w:val="both"/>
        <w:rPr>
          <w:rFonts w:ascii="Arial" w:hAnsi="Arial" w:cs="Arial"/>
          <w:b/>
          <w:bCs/>
          <w:sz w:val="24"/>
          <w:szCs w:val="24"/>
        </w:rPr>
      </w:pPr>
      <w:r>
        <w:rPr>
          <w:rFonts w:ascii="Arial" w:hAnsi="Arial" w:cs="Arial"/>
          <w:b/>
          <w:bCs/>
          <w:sz w:val="24"/>
          <w:szCs w:val="24"/>
        </w:rPr>
        <w:t>Figure 2</w:t>
      </w:r>
      <w:bookmarkStart w:id="2" w:name="_Hlk220235880"/>
      <w:r>
        <w:rPr>
          <w:rFonts w:ascii="Arial" w:hAnsi="Arial" w:cs="Arial"/>
          <w:b/>
          <w:bCs/>
          <w:sz w:val="24"/>
          <w:szCs w:val="24"/>
        </w:rPr>
        <w:t>. Map of Koronadal City, Highlighting Barangay Assumption</w:t>
      </w:r>
      <w:bookmarkEnd w:id="2"/>
    </w:p>
    <w:p w:rsidR="00F03517" w:rsidRDefault="00F33808">
      <w:pPr>
        <w:rPr>
          <w:rFonts w:ascii="Times New Roman" w:hAnsi="Times New Roman" w:cs="Times New Roman"/>
          <w:b/>
          <w:bCs/>
          <w:sz w:val="28"/>
          <w:szCs w:val="28"/>
        </w:rPr>
      </w:pPr>
      <w:r>
        <w:rPr>
          <w:rFonts w:ascii="Times New Roman" w:hAnsi="Times New Roman" w:cs="Times New Roman"/>
          <w:b/>
          <w:bCs/>
          <w:sz w:val="28"/>
          <w:szCs w:val="28"/>
        </w:rPr>
        <w:t>RESEARCH</w:t>
      </w:r>
      <w:r>
        <w:rPr>
          <w:rFonts w:ascii="Times New Roman" w:hAnsi="Times New Roman" w:cs="Times New Roman"/>
          <w:b/>
          <w:bCs/>
          <w:sz w:val="28"/>
          <w:szCs w:val="28"/>
        </w:rPr>
        <w:t xml:space="preserve"> INSTRUMENTS</w:t>
      </w:r>
    </w:p>
    <w:p w:rsidR="00F03517" w:rsidRDefault="00F33808">
      <w:pPr>
        <w:spacing w:after="0" w:line="240" w:lineRule="auto"/>
        <w:ind w:firstLine="720"/>
        <w:jc w:val="both"/>
        <w:rPr>
          <w:rFonts w:ascii="Times New Roman" w:hAnsi="Times New Roman" w:cs="Times New Roman"/>
          <w:sz w:val="24"/>
          <w:szCs w:val="24"/>
        </w:rPr>
      </w:pPr>
      <w:r>
        <w:rPr>
          <w:rFonts w:ascii="Times New Roman" w:eastAsia="Segoe UI Historic" w:hAnsi="Times New Roman" w:cs="Times New Roman"/>
          <w:sz w:val="24"/>
          <w:szCs w:val="24"/>
        </w:rPr>
        <w:t>In this study, researchers used a mobile phone for taking pictures and documentation, a journal notebook for writing important details, scissors were used to cut the needed plant parts, such as the intermediate leaves of Gmelina and flowers of</w:t>
      </w:r>
      <w:r>
        <w:rPr>
          <w:rFonts w:ascii="Times New Roman" w:eastAsia="Segoe UI Historic" w:hAnsi="Times New Roman" w:cs="Times New Roman"/>
          <w:sz w:val="24"/>
          <w:szCs w:val="24"/>
        </w:rPr>
        <w:t xml:space="preserve"> Balbas- pusa and roots of Agik- agik. The collected samples were then placed in labeled zip-lock pouches in each plant sample for proper storage and transport</w:t>
      </w:r>
      <w:r>
        <w:rPr>
          <w:rFonts w:ascii="Times New Roman" w:hAnsi="Times New Roman" w:cs="Times New Roman"/>
          <w:sz w:val="24"/>
          <w:szCs w:val="24"/>
        </w:rPr>
        <w:t xml:space="preserve">.  Furthermore, this study tested the phytochemical compounds present on selected medicinal </w:t>
      </w:r>
      <w:r>
        <w:rPr>
          <w:rFonts w:ascii="Times New Roman" w:hAnsi="Times New Roman" w:cs="Times New Roman"/>
          <w:sz w:val="24"/>
          <w:szCs w:val="24"/>
        </w:rPr>
        <w:t>plants of the B’laan tribe, specifically, Gmelina (</w:t>
      </w:r>
      <w:r>
        <w:rPr>
          <w:rFonts w:ascii="Times New Roman" w:hAnsi="Times New Roman" w:cs="Times New Roman"/>
          <w:i/>
          <w:iCs/>
          <w:sz w:val="24"/>
          <w:szCs w:val="24"/>
        </w:rPr>
        <w:t>Gmelina arborea</w:t>
      </w:r>
      <w:r>
        <w:rPr>
          <w:rFonts w:ascii="Times New Roman" w:hAnsi="Times New Roman" w:cs="Times New Roman"/>
          <w:sz w:val="24"/>
          <w:szCs w:val="24"/>
        </w:rPr>
        <w:t>), Balbas-pusa (</w:t>
      </w:r>
      <w:r>
        <w:rPr>
          <w:rFonts w:ascii="Times New Roman" w:hAnsi="Times New Roman" w:cs="Times New Roman"/>
          <w:i/>
          <w:iCs/>
          <w:sz w:val="24"/>
          <w:szCs w:val="24"/>
        </w:rPr>
        <w:t>Orthosiphon aristatus</w:t>
      </w:r>
      <w:r>
        <w:rPr>
          <w:rFonts w:ascii="Times New Roman" w:hAnsi="Times New Roman" w:cs="Times New Roman"/>
          <w:sz w:val="24"/>
          <w:szCs w:val="24"/>
        </w:rPr>
        <w:t>), and Agik-agik (</w:t>
      </w:r>
      <w:r>
        <w:rPr>
          <w:rFonts w:ascii="Times New Roman" w:hAnsi="Times New Roman" w:cs="Times New Roman"/>
          <w:i/>
          <w:iCs/>
          <w:sz w:val="24"/>
          <w:szCs w:val="24"/>
        </w:rPr>
        <w:t>Acmella oleracea</w:t>
      </w:r>
      <w:r>
        <w:rPr>
          <w:rFonts w:ascii="Times New Roman" w:hAnsi="Times New Roman" w:cs="Times New Roman"/>
          <w:sz w:val="24"/>
          <w:szCs w:val="24"/>
        </w:rPr>
        <w:t>). The phytochemical screening used a descriptive method to elaborate on the results and ensure clearer and well-explai</w:t>
      </w:r>
      <w:r>
        <w:rPr>
          <w:rFonts w:ascii="Times New Roman" w:hAnsi="Times New Roman" w:cs="Times New Roman"/>
          <w:sz w:val="24"/>
          <w:szCs w:val="24"/>
        </w:rPr>
        <w:t>ned results. In doing so, the claims about the tribe’s effectiveness and knowledge were shown to be scientifically valid.</w:t>
      </w: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presence of phytochemicals was determined using the laboratory’s qualitative scale: </w:t>
      </w:r>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rPr>
          <w:rFonts w:ascii="Arial" w:hAnsi="Arial" w:cs="Arial"/>
          <w:b/>
          <w:bCs/>
          <w:sz w:val="24"/>
          <w:szCs w:val="24"/>
        </w:rPr>
      </w:pPr>
      <w:r>
        <w:rPr>
          <w:rFonts w:ascii="Arial" w:hAnsi="Arial" w:cs="Arial"/>
          <w:b/>
          <w:bCs/>
          <w:sz w:val="24"/>
          <w:szCs w:val="24"/>
        </w:rPr>
        <w:t>Table 1: WVN Research Laboratory (Qualitati</w:t>
      </w:r>
      <w:r>
        <w:rPr>
          <w:rFonts w:ascii="Arial" w:hAnsi="Arial" w:cs="Arial"/>
          <w:b/>
          <w:bCs/>
          <w:sz w:val="24"/>
          <w:szCs w:val="24"/>
        </w:rPr>
        <w:t>ve scale)</w:t>
      </w:r>
    </w:p>
    <w:tbl>
      <w:tblPr>
        <w:tblStyle w:val="TableGrid"/>
        <w:tblW w:w="0" w:type="auto"/>
        <w:tblLook w:val="04A0" w:firstRow="1" w:lastRow="0" w:firstColumn="1" w:lastColumn="0" w:noHBand="0" w:noVBand="1"/>
      </w:tblPr>
      <w:tblGrid>
        <w:gridCol w:w="4675"/>
        <w:gridCol w:w="4675"/>
      </w:tblGrid>
      <w:tr w:rsidR="00F03517">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Qualitative Scale</w:t>
            </w:r>
          </w:p>
        </w:tc>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Description</w:t>
            </w:r>
          </w:p>
        </w:tc>
      </w:tr>
      <w:tr w:rsidR="00F03517">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w:t>
            </w:r>
          </w:p>
        </w:tc>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Strongly Positive</w:t>
            </w:r>
          </w:p>
        </w:tc>
      </w:tr>
      <w:tr w:rsidR="00F03517">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w:t>
            </w:r>
          </w:p>
        </w:tc>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Moderately positive</w:t>
            </w:r>
          </w:p>
        </w:tc>
      </w:tr>
      <w:tr w:rsidR="00F03517">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w:t>
            </w:r>
          </w:p>
        </w:tc>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Weakly positive</w:t>
            </w:r>
          </w:p>
        </w:tc>
      </w:tr>
      <w:tr w:rsidR="00F03517">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w:t>
            </w:r>
          </w:p>
        </w:tc>
        <w:tc>
          <w:tcPr>
            <w:tcW w:w="4675" w:type="dxa"/>
          </w:tcPr>
          <w:p w:rsidR="00F03517" w:rsidRDefault="00F33808">
            <w:pPr>
              <w:spacing w:after="0" w:line="240" w:lineRule="auto"/>
              <w:jc w:val="center"/>
              <w:rPr>
                <w:rFonts w:ascii="Arial" w:eastAsia="SimSun" w:hAnsi="Arial" w:cs="Arial"/>
                <w:sz w:val="24"/>
                <w:szCs w:val="24"/>
              </w:rPr>
            </w:pPr>
            <w:r>
              <w:rPr>
                <w:rFonts w:ascii="Arial" w:eastAsia="SimSun" w:hAnsi="Arial" w:cs="Arial"/>
                <w:sz w:val="24"/>
                <w:szCs w:val="24"/>
              </w:rPr>
              <w:t>Negative</w:t>
            </w:r>
          </w:p>
        </w:tc>
      </w:tr>
    </w:tbl>
    <w:p w:rsidR="00F03517" w:rsidRDefault="00F03517">
      <w:pPr>
        <w:spacing w:after="0" w:line="480" w:lineRule="auto"/>
        <w:jc w:val="both"/>
        <w:rPr>
          <w:rFonts w:ascii="Times New Roman" w:eastAsia="Arial-BoldMT" w:hAnsi="Times New Roman" w:cs="Times New Roman"/>
          <w:b/>
          <w:bCs/>
          <w:sz w:val="28"/>
          <w:szCs w:val="28"/>
          <w:lang w:eastAsia="zh-CN"/>
        </w:rPr>
      </w:pPr>
    </w:p>
    <w:p w:rsidR="00F03517" w:rsidRDefault="00F33808">
      <w:pPr>
        <w:spacing w:after="0" w:line="480" w:lineRule="auto"/>
        <w:jc w:val="both"/>
        <w:rPr>
          <w:rFonts w:ascii="Times New Roman" w:eastAsia="Arial-BoldMT" w:hAnsi="Times New Roman" w:cs="Times New Roman"/>
          <w:b/>
          <w:bCs/>
          <w:sz w:val="28"/>
          <w:szCs w:val="28"/>
          <w:lang w:eastAsia="zh-CN"/>
        </w:rPr>
      </w:pPr>
      <w:r>
        <w:rPr>
          <w:rFonts w:ascii="Times New Roman" w:eastAsia="Arial-BoldMT" w:hAnsi="Times New Roman" w:cs="Times New Roman"/>
          <w:b/>
          <w:bCs/>
          <w:sz w:val="28"/>
          <w:szCs w:val="28"/>
          <w:lang w:eastAsia="zh-CN"/>
        </w:rPr>
        <w:t>RESEARCH PROCEDURE</w:t>
      </w:r>
    </w:p>
    <w:p w:rsidR="00F03517" w:rsidRDefault="00F33808">
      <w:pPr>
        <w:spacing w:after="0" w:line="240" w:lineRule="auto"/>
        <w:ind w:firstLine="720"/>
        <w:jc w:val="both"/>
        <w:rPr>
          <w:rFonts w:ascii="Times New Roman" w:eastAsia="Arial-BoldMT" w:hAnsi="Times New Roman" w:cs="Times New Roman"/>
          <w:sz w:val="24"/>
          <w:szCs w:val="24"/>
          <w:lang w:eastAsia="zh-CN"/>
        </w:rPr>
      </w:pPr>
      <w:r>
        <w:rPr>
          <w:rFonts w:ascii="Times New Roman" w:eastAsia="Arial-BoldMT" w:hAnsi="Times New Roman" w:cs="Times New Roman"/>
          <w:sz w:val="24"/>
          <w:szCs w:val="24"/>
          <w:lang w:eastAsia="zh-CN"/>
        </w:rPr>
        <w:t xml:space="preserve">This part of the study describes the processes used in conducting the study. It describes how the processes were </w:t>
      </w:r>
      <w:r>
        <w:rPr>
          <w:rFonts w:ascii="Times New Roman" w:eastAsia="Arial-BoldMT" w:hAnsi="Times New Roman" w:cs="Times New Roman"/>
          <w:sz w:val="24"/>
          <w:szCs w:val="24"/>
          <w:lang w:eastAsia="zh-CN"/>
        </w:rPr>
        <w:t>gathered and how the ethical and environmental principles were maintained during the research.</w:t>
      </w:r>
    </w:p>
    <w:p w:rsidR="00F03517" w:rsidRDefault="00F33808">
      <w:pPr>
        <w:spacing w:after="0" w:line="240" w:lineRule="auto"/>
        <w:ind w:firstLine="720"/>
        <w:jc w:val="both"/>
        <w:rPr>
          <w:rFonts w:ascii="Times New Roman" w:eastAsia="Segoe UI Historic" w:hAnsi="Times New Roman" w:cs="Times New Roman"/>
          <w:sz w:val="24"/>
          <w:szCs w:val="24"/>
        </w:rPr>
      </w:pPr>
      <w:r>
        <w:rPr>
          <w:rStyle w:val="Strong"/>
          <w:rFonts w:ascii="Times New Roman" w:hAnsi="Times New Roman" w:cs="Times New Roman"/>
          <w:sz w:val="24"/>
          <w:szCs w:val="24"/>
        </w:rPr>
        <w:t xml:space="preserve"> Authorization for Collection.</w:t>
      </w:r>
      <w:r>
        <w:rPr>
          <w:rFonts w:ascii="Times New Roman" w:hAnsi="Times New Roman" w:cs="Times New Roman"/>
          <w:sz w:val="24"/>
          <w:szCs w:val="24"/>
        </w:rPr>
        <w:t xml:space="preserve"> </w:t>
      </w:r>
      <w:r>
        <w:rPr>
          <w:rFonts w:ascii="Times New Roman" w:hAnsi="Times New Roman" w:cs="Times New Roman"/>
          <w:color w:val="000000"/>
          <w:sz w:val="24"/>
          <w:szCs w:val="24"/>
        </w:rPr>
        <w:t>The formal letter of permission was also taken to the relevant local authorities in the places where the plant species naturally o</w:t>
      </w:r>
      <w:r>
        <w:rPr>
          <w:rFonts w:ascii="Times New Roman" w:hAnsi="Times New Roman" w:cs="Times New Roman"/>
          <w:color w:val="000000"/>
          <w:sz w:val="24"/>
          <w:szCs w:val="24"/>
        </w:rPr>
        <w:t>ccur before plant samples were collected. This also ensured that the collection process complied with local environmental regulations and research ethical standards.</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Collection of Plant Samples.</w:t>
      </w:r>
      <w:r>
        <w:rPr>
          <w:rFonts w:ascii="Times New Roman" w:eastAsia="Times New Roman" w:hAnsi="Times New Roman" w:cs="Times New Roman"/>
          <w:sz w:val="24"/>
          <w:szCs w:val="24"/>
        </w:rPr>
        <w:t xml:space="preserve"> Gmelina, Balbas-pusa, and Agik-agik plant specimens were coll</w:t>
      </w:r>
      <w:r>
        <w:rPr>
          <w:rFonts w:ascii="Times New Roman" w:eastAsia="Times New Roman" w:hAnsi="Times New Roman" w:cs="Times New Roman"/>
          <w:sz w:val="24"/>
          <w:szCs w:val="24"/>
        </w:rPr>
        <w:t>ected from their natural habitats. The right consent was obtained by obtaining a letter of permission from the relevant local authorities before the collection was done ethically and legally.</w:t>
      </w:r>
    </w:p>
    <w:p w:rsidR="00F03517" w:rsidRDefault="00F33808">
      <w:pPr>
        <w:spacing w:after="0" w:line="24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Selection of Plant Material.</w:t>
      </w:r>
      <w:r>
        <w:rPr>
          <w:rFonts w:ascii="Times New Roman" w:eastAsia="Times New Roman" w:hAnsi="Times New Roman" w:cs="Times New Roman"/>
          <w:color w:val="000000"/>
          <w:sz w:val="24"/>
          <w:szCs w:val="24"/>
        </w:rPr>
        <w:t xml:space="preserve"> The sampling was conducted on healt</w:t>
      </w:r>
      <w:r>
        <w:rPr>
          <w:rFonts w:ascii="Times New Roman" w:eastAsia="Times New Roman" w:hAnsi="Times New Roman" w:cs="Times New Roman"/>
          <w:color w:val="000000"/>
          <w:sz w:val="24"/>
          <w:szCs w:val="24"/>
        </w:rPr>
        <w:t>hy and mature plants. Certain sections of every plant were targeted: Gmelina is Intermediate leaves, Balbas-pusa is flowers, and Agik-agik is roots.</w:t>
      </w:r>
    </w:p>
    <w:p w:rsidR="00F03517" w:rsidRDefault="00F3380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t xml:space="preserve">Sample Handling. </w:t>
      </w:r>
      <w:r>
        <w:rPr>
          <w:rFonts w:ascii="Times New Roman" w:eastAsia="Times New Roman" w:hAnsi="Times New Roman" w:cs="Times New Roman"/>
          <w:sz w:val="24"/>
          <w:szCs w:val="24"/>
        </w:rPr>
        <w:t xml:space="preserve">To avoid contamination during handling, rubber gloves were used. The plant parts were </w:t>
      </w:r>
      <w:r>
        <w:rPr>
          <w:rFonts w:ascii="Times New Roman" w:eastAsia="Times New Roman" w:hAnsi="Times New Roman" w:cs="Times New Roman"/>
          <w:sz w:val="24"/>
          <w:szCs w:val="24"/>
        </w:rPr>
        <w:t>cut with clean and sterilized instruments, e.g., scissors. All collected samples were properly handled to prevent physical damage and contamination.</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Labeling and Documentation. </w:t>
      </w:r>
      <w:r>
        <w:rPr>
          <w:rFonts w:ascii="Times New Roman" w:eastAsia="Times New Roman" w:hAnsi="Times New Roman" w:cs="Times New Roman"/>
          <w:sz w:val="24"/>
          <w:szCs w:val="24"/>
        </w:rPr>
        <w:t xml:space="preserve">Name tags were affixed to all samples, including the collection date and other </w:t>
      </w:r>
      <w:r>
        <w:rPr>
          <w:rFonts w:ascii="Times New Roman" w:eastAsia="Times New Roman" w:hAnsi="Times New Roman" w:cs="Times New Roman"/>
          <w:sz w:val="24"/>
          <w:szCs w:val="24"/>
        </w:rPr>
        <w:t>pertinent information. This information was also documented in a journal notebook for reference and tracking.</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Storage and Transport. </w:t>
      </w:r>
      <w:r>
        <w:rPr>
          <w:rFonts w:ascii="Times New Roman" w:eastAsia="Times New Roman" w:hAnsi="Times New Roman" w:cs="Times New Roman"/>
          <w:sz w:val="24"/>
          <w:szCs w:val="24"/>
        </w:rPr>
        <w:t>The samples of the different parts of the plants had been collected in individually labeled zip-lock bags.  The samples wer</w:t>
      </w:r>
      <w:r>
        <w:rPr>
          <w:rFonts w:ascii="Times New Roman" w:eastAsia="Times New Roman" w:hAnsi="Times New Roman" w:cs="Times New Roman"/>
          <w:sz w:val="24"/>
          <w:szCs w:val="24"/>
        </w:rPr>
        <w:t>e kept in a clean environment and mishandled to avoid cross-contamination. Labeling and documentation were properly in place to preserve the reliability and validity of the further phytochemical testing.</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Submission for Phytochemical Analysis. </w:t>
      </w:r>
      <w:r>
        <w:rPr>
          <w:rFonts w:ascii="Times New Roman" w:eastAsia="Times New Roman" w:hAnsi="Times New Roman" w:cs="Times New Roman"/>
          <w:sz w:val="24"/>
          <w:szCs w:val="24"/>
        </w:rPr>
        <w:t>Phytochemical</w:t>
      </w:r>
      <w:r>
        <w:rPr>
          <w:rFonts w:ascii="Times New Roman" w:eastAsia="Times New Roman" w:hAnsi="Times New Roman" w:cs="Times New Roman"/>
          <w:sz w:val="24"/>
          <w:szCs w:val="24"/>
        </w:rPr>
        <w:t xml:space="preserve"> screening of the plants and the labeled were forwarded to the WVN Research laboratory in Davao City, Davao del Sur, Philippines. The laboratory study will determine the bioactive compounds contained in and the quantity of the selected medicinal plants. Th</w:t>
      </w:r>
      <w:r>
        <w:rPr>
          <w:rFonts w:ascii="Times New Roman" w:eastAsia="Times New Roman" w:hAnsi="Times New Roman" w:cs="Times New Roman"/>
          <w:sz w:val="24"/>
          <w:szCs w:val="24"/>
        </w:rPr>
        <w:t>is will help to confirm the claims of traditional medicines and justify their possible use in the treatment of certain diseases.</w:t>
      </w:r>
    </w:p>
    <w:p w:rsidR="00F03517" w:rsidRDefault="00F03517">
      <w:pPr>
        <w:spacing w:after="0" w:line="240" w:lineRule="auto"/>
        <w:ind w:firstLine="720"/>
        <w:jc w:val="both"/>
        <w:rPr>
          <w:rFonts w:ascii="Times New Roman" w:eastAsia="Times New Roman" w:hAnsi="Times New Roman" w:cs="Times New Roman"/>
          <w:sz w:val="24"/>
          <w:szCs w:val="24"/>
        </w:rPr>
      </w:pPr>
    </w:p>
    <w:p w:rsidR="00F03517" w:rsidRDefault="00F33808">
      <w:pPr>
        <w:spacing w:line="240" w:lineRule="auto"/>
        <w:rPr>
          <w:rFonts w:ascii="Times New Roman" w:hAnsi="Times New Roman" w:cs="Times New Roman"/>
          <w:b/>
          <w:bCs/>
          <w:sz w:val="28"/>
          <w:szCs w:val="28"/>
        </w:rPr>
      </w:pPr>
      <w:r>
        <w:rPr>
          <w:rFonts w:ascii="Times New Roman" w:hAnsi="Times New Roman" w:cs="Times New Roman"/>
          <w:b/>
          <w:bCs/>
          <w:sz w:val="28"/>
          <w:szCs w:val="28"/>
        </w:rPr>
        <w:t>PRESENTATION, ANALYSIS, AND INTERPRETATION OF DATA</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chapter, the researcher presented and commented on the outcomes of </w:t>
      </w:r>
      <w:r>
        <w:rPr>
          <w:rFonts w:ascii="Times New Roman" w:hAnsi="Times New Roman" w:cs="Times New Roman"/>
          <w:sz w:val="24"/>
          <w:szCs w:val="24"/>
        </w:rPr>
        <w:t xml:space="preserve">the phytochemical screening of the three chosen medicinal plants used by the B’laan tribe. This analysis is based on the official results provided by the WVN Testing and Research Laboratory. </w:t>
      </w:r>
    </w:p>
    <w:p w:rsidR="00F03517" w:rsidRDefault="00F03517">
      <w:pPr>
        <w:spacing w:after="0" w:line="240" w:lineRule="auto"/>
        <w:ind w:firstLine="720"/>
        <w:jc w:val="both"/>
        <w:rPr>
          <w:rFonts w:ascii="Times New Roman" w:hAnsi="Times New Roman" w:cs="Times New Roman"/>
          <w:sz w:val="24"/>
          <w:szCs w:val="24"/>
        </w:rPr>
      </w:pPr>
    </w:p>
    <w:p w:rsidR="00F03517" w:rsidRDefault="00F33808">
      <w:pPr>
        <w:spacing w:after="0" w:line="240" w:lineRule="auto"/>
        <w:jc w:val="both"/>
        <w:rPr>
          <w:rFonts w:ascii="Times New Roman" w:hAnsi="Times New Roman" w:cs="Times New Roman"/>
          <w:b/>
          <w:bCs/>
          <w:sz w:val="24"/>
          <w:szCs w:val="24"/>
        </w:rPr>
      </w:pPr>
      <w:bookmarkStart w:id="3" w:name="_Hlk220234856"/>
      <w:r>
        <w:rPr>
          <w:rFonts w:ascii="Times New Roman" w:hAnsi="Times New Roman" w:cs="Times New Roman"/>
          <w:b/>
          <w:bCs/>
          <w:sz w:val="24"/>
          <w:szCs w:val="24"/>
        </w:rPr>
        <w:t xml:space="preserve"> Bioactive Compounds Present in Each Selected Medicinal Plant E</w:t>
      </w:r>
      <w:r>
        <w:rPr>
          <w:rFonts w:ascii="Times New Roman" w:hAnsi="Times New Roman" w:cs="Times New Roman"/>
          <w:b/>
          <w:bCs/>
          <w:sz w:val="24"/>
          <w:szCs w:val="24"/>
        </w:rPr>
        <w:t>xtract.</w:t>
      </w:r>
    </w:p>
    <w:p w:rsidR="00F03517" w:rsidRDefault="00F03517">
      <w:pPr>
        <w:spacing w:after="0" w:line="240" w:lineRule="auto"/>
        <w:jc w:val="both"/>
        <w:rPr>
          <w:rFonts w:ascii="Times New Roman" w:hAnsi="Times New Roman" w:cs="Times New Roman"/>
          <w:b/>
          <w:bCs/>
          <w:sz w:val="24"/>
          <w:szCs w:val="24"/>
        </w:rPr>
      </w:pPr>
    </w:p>
    <w:bookmarkEnd w:id="3"/>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Gmelina (</w:t>
      </w:r>
      <w:r>
        <w:rPr>
          <w:rFonts w:ascii="Times New Roman" w:hAnsi="Times New Roman" w:cs="Times New Roman"/>
          <w:b/>
          <w:bCs/>
          <w:i/>
          <w:iCs/>
          <w:sz w:val="24"/>
          <w:szCs w:val="24"/>
        </w:rPr>
        <w:t>Gmelina arborea).</w:t>
      </w:r>
      <w:r>
        <w:rPr>
          <w:rFonts w:ascii="Times New Roman" w:hAnsi="Times New Roman" w:cs="Times New Roman"/>
          <w:sz w:val="24"/>
          <w:szCs w:val="24"/>
        </w:rPr>
        <w:t xml:space="preserve"> The study employed qualitative phytochemical screening methods to identify and characterize bioactive compounds in the plant. The results were presented in:</w:t>
      </w:r>
    </w:p>
    <w:p w:rsidR="00F03517" w:rsidRDefault="00F03517">
      <w:pPr>
        <w:spacing w:after="0" w:line="240" w:lineRule="auto"/>
        <w:ind w:firstLine="720"/>
        <w:jc w:val="both"/>
        <w:rPr>
          <w:rFonts w:ascii="Times New Roman" w:hAnsi="Times New Roman" w:cs="Times New Roman"/>
          <w:b/>
          <w:bCs/>
          <w:color w:val="FF0000"/>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1:Gmelina (</w:t>
      </w:r>
      <w:r>
        <w:rPr>
          <w:rFonts w:ascii="Times New Roman" w:hAnsi="Times New Roman" w:cs="Times New Roman"/>
          <w:b/>
          <w:bCs/>
          <w:i/>
          <w:iCs/>
          <w:sz w:val="24"/>
          <w:szCs w:val="24"/>
        </w:rPr>
        <w:t>Gmelina arborea).</w:t>
      </w:r>
    </w:p>
    <w:tbl>
      <w:tblPr>
        <w:tblStyle w:val="TableGrid"/>
        <w:tblW w:w="0" w:type="auto"/>
        <w:tblInd w:w="280" w:type="dxa"/>
        <w:tblLook w:val="04A0" w:firstRow="1" w:lastRow="0" w:firstColumn="1" w:lastColumn="0" w:noHBand="0" w:noVBand="1"/>
      </w:tblPr>
      <w:tblGrid>
        <w:gridCol w:w="2646"/>
        <w:gridCol w:w="2964"/>
        <w:gridCol w:w="2964"/>
      </w:tblGrid>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Phytochemical compound</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Qualitative Screening</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Qualitative Description</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Alkaloids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Weakly positive</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Flavonoids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Strongly positive</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Tannins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Strongly positive</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Saponins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Negative</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Plobotanins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Moderately positive </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Steroids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Moderately positive</w:t>
            </w:r>
          </w:p>
        </w:tc>
      </w:tr>
      <w:tr w:rsidR="00F03517">
        <w:tc>
          <w:tcPr>
            <w:tcW w:w="2646"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Glycosides</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64"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 xml:space="preserve">Weakly </w:t>
            </w:r>
            <w:r>
              <w:rPr>
                <w:rFonts w:ascii="Times New Roman" w:eastAsia="SimSun" w:hAnsi="Times New Roman" w:cs="Times New Roman"/>
                <w:sz w:val="24"/>
                <w:szCs w:val="24"/>
              </w:rPr>
              <w:t>positive</w:t>
            </w:r>
          </w:p>
        </w:tc>
      </w:tr>
    </w:tbl>
    <w:p w:rsidR="00F03517" w:rsidRDefault="00F03517">
      <w:pPr>
        <w:spacing w:after="0" w:line="240" w:lineRule="auto"/>
        <w:jc w:val="both"/>
        <w:rPr>
          <w:rFonts w:ascii="Times New Roman" w:hAnsi="Times New Roman" w:cs="Times New Roman"/>
          <w:b/>
          <w:bCs/>
          <w:i/>
          <w:iCs/>
          <w:sz w:val="24"/>
          <w:szCs w:val="24"/>
        </w:rPr>
      </w:pPr>
    </w:p>
    <w:p w:rsidR="00F03517" w:rsidRDefault="00F33808">
      <w:pPr>
        <w:spacing w:after="0" w:line="240" w:lineRule="auto"/>
        <w:ind w:firstLine="720"/>
        <w:jc w:val="both"/>
        <w:rPr>
          <w:rFonts w:ascii="Times New Roman" w:eastAsia="SimSun" w:hAnsi="Times New Roman" w:cs="Times New Roman"/>
          <w:sz w:val="24"/>
          <w:szCs w:val="24"/>
        </w:rPr>
      </w:pPr>
      <w:r>
        <w:rPr>
          <w:rStyle w:val="x3jgonx"/>
          <w:rFonts w:ascii="Times New Roman" w:eastAsia="SimSun" w:hAnsi="Times New Roman" w:cs="Times New Roman"/>
          <w:sz w:val="24"/>
          <w:szCs w:val="24"/>
        </w:rPr>
        <w:t>Table 1 presents the results of the quantitative screening of Gmelina (Gmelina arborea), which revealed important bioactive compounds present in the plant. Bioactive compounds such as flavonoids and tannins were strongly present (+++) in the Gme</w:t>
      </w:r>
      <w:r>
        <w:rPr>
          <w:rStyle w:val="x3jgonx"/>
          <w:rFonts w:ascii="Times New Roman" w:eastAsia="SimSun" w:hAnsi="Times New Roman" w:cs="Times New Roman"/>
          <w:sz w:val="24"/>
          <w:szCs w:val="24"/>
        </w:rPr>
        <w:t>lina, indicating that the plant has antioxidant, anti-inflammatory, and antiviral potential. These results align with the claims that G. arborea contains flavonoids, tannins, terpenoids, and saponins (Offor et al., 2016; Yang et al., 2020). These compounds</w:t>
      </w:r>
      <w:r>
        <w:rPr>
          <w:rStyle w:val="x3jgonx"/>
          <w:rFonts w:ascii="Times New Roman" w:eastAsia="SimSun" w:hAnsi="Times New Roman" w:cs="Times New Roman"/>
          <w:sz w:val="24"/>
          <w:szCs w:val="24"/>
        </w:rPr>
        <w:t xml:space="preserve"> support the tribe’s claims for treating common sicknesses such as cough, fever, urinary tract infections, hypertension, and wounds (Cordero et al., 2022). Some also use this to treat rheumatism, according to Pucot et al (2019).</w:t>
      </w:r>
    </w:p>
    <w:p w:rsidR="00F03517" w:rsidRDefault="00F33808">
      <w:pPr>
        <w:spacing w:after="0" w:line="240" w:lineRule="auto"/>
        <w:ind w:firstLine="720"/>
        <w:jc w:val="both"/>
        <w:rPr>
          <w:rFonts w:ascii="Times New Roman" w:hAnsi="Times New Roman" w:cs="Times New Roman"/>
          <w:b/>
          <w:bCs/>
          <w:i/>
          <w:iCs/>
          <w:sz w:val="24"/>
          <w:szCs w:val="24"/>
        </w:rPr>
      </w:pPr>
      <w:r>
        <w:rPr>
          <w:rStyle w:val="x3jgonx"/>
          <w:rFonts w:ascii="Times New Roman" w:eastAsia="SimSun" w:hAnsi="Times New Roman" w:cs="Times New Roman"/>
          <w:sz w:val="24"/>
          <w:szCs w:val="24"/>
        </w:rPr>
        <w:t>Plobotannins and steroids w</w:t>
      </w:r>
      <w:r>
        <w:rPr>
          <w:rStyle w:val="x3jgonx"/>
          <w:rFonts w:ascii="Times New Roman" w:eastAsia="SimSun" w:hAnsi="Times New Roman" w:cs="Times New Roman"/>
          <w:sz w:val="24"/>
          <w:szCs w:val="24"/>
        </w:rPr>
        <w:t>ere also found in the plant sample in moderate (++) amounts, suggesting additional benefits beyond the plant’s antimicrobial, anti-inflammatory, and diuretic effects of the plant. This corresponds with studies that Gmelina contains hepatoprotective, antidi</w:t>
      </w:r>
      <w:r>
        <w:rPr>
          <w:rStyle w:val="x3jgonx"/>
          <w:rFonts w:ascii="Times New Roman" w:eastAsia="SimSun" w:hAnsi="Times New Roman" w:cs="Times New Roman"/>
          <w:sz w:val="24"/>
          <w:szCs w:val="24"/>
        </w:rPr>
        <w:t>abetic, antimicrobial, and antipyretic properties. Analgesic and anti-inflammatory actions have been linked to inhibition of prostaglandin synthesis and modulation of inflammatory mediators, which supports its use in pain and inflammation management (Yadav</w:t>
      </w:r>
      <w:r>
        <w:rPr>
          <w:rStyle w:val="x3jgonx"/>
          <w:rFonts w:ascii="Times New Roman" w:eastAsia="SimSun" w:hAnsi="Times New Roman" w:cs="Times New Roman"/>
          <w:sz w:val="24"/>
          <w:szCs w:val="24"/>
        </w:rPr>
        <w:t xml:space="preserve"> et al., 2021). Glycosides and alkaloids were weakly present (+), indicating that the plant has therapeutic effects, such as analgesics.</w:t>
      </w:r>
      <w:r>
        <w:rPr>
          <w:rFonts w:ascii="Times New Roman" w:eastAsia="SimSun" w:hAnsi="Times New Roman" w:cs="Times New Roman"/>
          <w:sz w:val="24"/>
          <w:szCs w:val="24"/>
        </w:rPr>
        <w:br/>
      </w:r>
      <w:r>
        <w:rPr>
          <w:rFonts w:ascii="Times New Roman" w:eastAsia="SimSun" w:hAnsi="Times New Roman" w:cs="Times New Roman"/>
          <w:sz w:val="24"/>
          <w:szCs w:val="24"/>
        </w:rPr>
        <w:tab/>
      </w:r>
      <w:r>
        <w:rPr>
          <w:rStyle w:val="x3jgonx"/>
          <w:rFonts w:ascii="Times New Roman" w:eastAsia="SimSun" w:hAnsi="Times New Roman" w:cs="Times New Roman"/>
          <w:sz w:val="24"/>
          <w:szCs w:val="24"/>
        </w:rPr>
        <w:t>However, saponins were not detected in the plant, indicating that they do not contribute to medicinal properties. Thou</w:t>
      </w:r>
      <w:r>
        <w:rPr>
          <w:rStyle w:val="x3jgonx"/>
          <w:rFonts w:ascii="Times New Roman" w:eastAsia="SimSun" w:hAnsi="Times New Roman" w:cs="Times New Roman"/>
          <w:sz w:val="24"/>
          <w:szCs w:val="24"/>
        </w:rPr>
        <w:t xml:space="preserve">gh literature emphasized its importance as a natural glycoside with notable hypoglycemic and antidiabetic activity. Saponins are reported to stimulate insulin secretion and enhance glucose metabolism, which makes them promising for managing diabetes (Jain </w:t>
      </w:r>
      <w:r>
        <w:rPr>
          <w:rStyle w:val="x3jgonx"/>
          <w:rFonts w:ascii="Times New Roman" w:eastAsia="SimSun" w:hAnsi="Times New Roman" w:cs="Times New Roman"/>
          <w:sz w:val="24"/>
          <w:szCs w:val="24"/>
        </w:rPr>
        <w:t>et al., 2024; Kumar et al., 2022)</w:t>
      </w:r>
      <w:r>
        <w:rPr>
          <w:rFonts w:ascii="Times New Roman" w:eastAsia="SimSun" w:hAnsi="Times New Roman" w:cs="Times New Roman"/>
          <w:sz w:val="24"/>
          <w:szCs w:val="24"/>
        </w:rPr>
        <w:br/>
      </w:r>
      <w:r>
        <w:rPr>
          <w:rFonts w:ascii="Times New Roman" w:eastAsia="SimSun" w:hAnsi="Times New Roman" w:cs="Times New Roman"/>
          <w:sz w:val="24"/>
          <w:szCs w:val="24"/>
        </w:rPr>
        <w:tab/>
      </w:r>
      <w:r>
        <w:rPr>
          <w:rStyle w:val="x3jgonx"/>
          <w:rFonts w:ascii="Times New Roman" w:eastAsia="SimSun" w:hAnsi="Times New Roman" w:cs="Times New Roman"/>
          <w:sz w:val="24"/>
          <w:szCs w:val="24"/>
        </w:rPr>
        <w:t>In general, Gmelina arborea contains beneficial phytochemicals, which explains its traditional and modern use as a herbal medicine. The strong presence of flavonoids and tannins, supported by ethnobotanical and pharmacolo</w:t>
      </w:r>
      <w:r>
        <w:rPr>
          <w:rStyle w:val="x3jgonx"/>
          <w:rFonts w:ascii="Times New Roman" w:eastAsia="SimSun" w:hAnsi="Times New Roman" w:cs="Times New Roman"/>
          <w:sz w:val="24"/>
          <w:szCs w:val="24"/>
        </w:rPr>
        <w:t>gical studies, shows that Gmelina is a valuable natural remedy for cough, inflammation, and infections (Yadav et al., 2021).</w:t>
      </w:r>
    </w:p>
    <w:p w:rsidR="00F03517" w:rsidRDefault="00F03517">
      <w:pPr>
        <w:spacing w:after="0" w:line="240" w:lineRule="auto"/>
        <w:ind w:firstLine="720"/>
        <w:jc w:val="both"/>
        <w:rPr>
          <w:rFonts w:ascii="Times New Roman" w:hAnsi="Times New Roman" w:cs="Times New Roman"/>
          <w:b/>
          <w:bCs/>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Balbas-pusa (</w:t>
      </w:r>
      <w:r>
        <w:rPr>
          <w:rFonts w:ascii="Times New Roman" w:hAnsi="Times New Roman" w:cs="Times New Roman"/>
          <w:b/>
          <w:bCs/>
          <w:i/>
          <w:iCs/>
          <w:sz w:val="24"/>
          <w:szCs w:val="24"/>
        </w:rPr>
        <w:t>Orthosiphon aristatus</w:t>
      </w:r>
      <w:r>
        <w:rPr>
          <w:rFonts w:ascii="Times New Roman" w:hAnsi="Times New Roman" w:cs="Times New Roman"/>
          <w:b/>
          <w:bCs/>
          <w:sz w:val="24"/>
          <w:szCs w:val="24"/>
        </w:rPr>
        <w:t xml:space="preserve">). </w:t>
      </w:r>
      <w:r>
        <w:rPr>
          <w:rFonts w:ascii="Times New Roman" w:hAnsi="Times New Roman" w:cs="Times New Roman"/>
          <w:sz w:val="24"/>
          <w:szCs w:val="24"/>
        </w:rPr>
        <w:t>The study employed qualitative phytochemical screening methods to identify and characterize b</w:t>
      </w:r>
      <w:r>
        <w:rPr>
          <w:rFonts w:ascii="Times New Roman" w:hAnsi="Times New Roman" w:cs="Times New Roman"/>
          <w:sz w:val="24"/>
          <w:szCs w:val="24"/>
        </w:rPr>
        <w:t>ioactive compounds in the plant. The results are presented in:</w:t>
      </w:r>
    </w:p>
    <w:p w:rsidR="00F03517" w:rsidRDefault="00F03517">
      <w:pPr>
        <w:spacing w:after="0" w:line="240" w:lineRule="auto"/>
        <w:ind w:firstLine="720"/>
        <w:jc w:val="both"/>
        <w:rPr>
          <w:rFonts w:ascii="Times New Roman" w:hAnsi="Times New Roman" w:cs="Times New Roman"/>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2:Balbas-pusa (</w:t>
      </w:r>
      <w:r>
        <w:rPr>
          <w:rFonts w:ascii="Times New Roman" w:hAnsi="Times New Roman" w:cs="Times New Roman"/>
          <w:b/>
          <w:bCs/>
          <w:i/>
          <w:iCs/>
          <w:sz w:val="24"/>
          <w:szCs w:val="24"/>
        </w:rPr>
        <w:t>Orthosiphon aristatus</w:t>
      </w:r>
      <w:r>
        <w:rPr>
          <w:rFonts w:ascii="Times New Roman" w:hAnsi="Times New Roman" w:cs="Times New Roman"/>
          <w:b/>
          <w:bCs/>
          <w:sz w:val="24"/>
          <w:szCs w:val="24"/>
        </w:rPr>
        <w:t>)</w:t>
      </w:r>
    </w:p>
    <w:tbl>
      <w:tblPr>
        <w:tblStyle w:val="TableGrid"/>
        <w:tblW w:w="0" w:type="auto"/>
        <w:tblInd w:w="199" w:type="dxa"/>
        <w:tblLook w:val="04A0" w:firstRow="1" w:lastRow="0" w:firstColumn="1" w:lastColumn="0" w:noHBand="0" w:noVBand="1"/>
      </w:tblPr>
      <w:tblGrid>
        <w:gridCol w:w="2831"/>
        <w:gridCol w:w="2912"/>
        <w:gridCol w:w="2912"/>
      </w:tblGrid>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Phytochemical compound</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Qualitative Screening</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Qualitative Description</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Alkaloids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Negative</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Flavonoids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Moderately positive</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Tannins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Moderately</w:t>
            </w:r>
            <w:r>
              <w:rPr>
                <w:rFonts w:ascii="Times New Roman" w:eastAsia="SimSun" w:hAnsi="Times New Roman" w:cs="Times New Roman"/>
                <w:sz w:val="24"/>
                <w:szCs w:val="24"/>
              </w:rPr>
              <w:t xml:space="preserve"> positive</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Saponins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Negative</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Plobotannins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Weakly positive</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Steroids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Weakly positive</w:t>
            </w:r>
          </w:p>
        </w:tc>
      </w:tr>
      <w:tr w:rsidR="00F03517">
        <w:tc>
          <w:tcPr>
            <w:tcW w:w="283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Glycosides</w:t>
            </w:r>
          </w:p>
        </w:tc>
        <w:tc>
          <w:tcPr>
            <w:tcW w:w="2912"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912"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Weakly positive</w:t>
            </w:r>
          </w:p>
        </w:tc>
      </w:tr>
    </w:tbl>
    <w:p w:rsidR="00F03517" w:rsidRDefault="00F03517">
      <w:pPr>
        <w:spacing w:after="0" w:line="240" w:lineRule="auto"/>
        <w:jc w:val="both"/>
        <w:rPr>
          <w:rFonts w:ascii="Times New Roman" w:hAnsi="Times New Roman" w:cs="Times New Roman"/>
          <w:b/>
          <w:bCs/>
          <w:i/>
          <w:iCs/>
          <w:sz w:val="24"/>
          <w:szCs w:val="24"/>
        </w:rPr>
      </w:pPr>
    </w:p>
    <w:p w:rsidR="00F03517" w:rsidRDefault="00F33808">
      <w:pPr>
        <w:shd w:val="clear" w:color="auto" w:fill="FFFFFF"/>
        <w:spacing w:after="0" w:line="240" w:lineRule="auto"/>
        <w:ind w:firstLine="720"/>
        <w:jc w:val="both"/>
        <w:rPr>
          <w:rStyle w:val="x3jgonx"/>
          <w:rFonts w:ascii="Times New Roman" w:eastAsia="SimSun" w:hAnsi="Times New Roman" w:cs="Times New Roman"/>
          <w:sz w:val="24"/>
          <w:szCs w:val="24"/>
        </w:rPr>
      </w:pPr>
      <w:r>
        <w:rPr>
          <w:rStyle w:val="x3jgonx"/>
          <w:rFonts w:ascii="Times New Roman" w:eastAsia="SimSun" w:hAnsi="Times New Roman" w:cs="Times New Roman"/>
          <w:sz w:val="24"/>
          <w:szCs w:val="24"/>
        </w:rPr>
        <w:t xml:space="preserve">Table 2 presents the qualitative screening of Balbas-pusa (Orthosiphon aristatus). The table presented the presence (+) or absence </w:t>
      </w:r>
      <w:r>
        <w:rPr>
          <w:rStyle w:val="x3jgonx"/>
          <w:rFonts w:ascii="Times New Roman" w:eastAsia="SimSun" w:hAnsi="Times New Roman" w:cs="Times New Roman"/>
          <w:sz w:val="24"/>
          <w:szCs w:val="24"/>
        </w:rPr>
        <w:t>(-) of plants that contain several important bioactive compounds found in the plant extract. Flavonoids and Tannins were moderately positive (++), indicating that the plant has high antioxidant and anti-inflammatory potential. These findings align with the</w:t>
      </w:r>
      <w:r>
        <w:rPr>
          <w:rStyle w:val="x3jgonx"/>
          <w:rFonts w:ascii="Times New Roman" w:eastAsia="SimSun" w:hAnsi="Times New Roman" w:cs="Times New Roman"/>
          <w:sz w:val="24"/>
          <w:szCs w:val="24"/>
        </w:rPr>
        <w:t xml:space="preserve"> literature, which states that O. aristatus contains phenolic acids and flavonoids, particularly rosmarinic acid, which contribute to the antioxidant and anti-inflammatory activities. These compounds support their traditional use for urinary problems and k</w:t>
      </w:r>
      <w:r>
        <w:rPr>
          <w:rStyle w:val="x3jgonx"/>
          <w:rFonts w:ascii="Times New Roman" w:eastAsia="SimSun" w:hAnsi="Times New Roman" w:cs="Times New Roman"/>
          <w:sz w:val="24"/>
          <w:szCs w:val="24"/>
        </w:rPr>
        <w:t>idney cleansing, consistent with studies showing that the plant is widely used as a diuretic and for treatment of urinary tract infections, kidney stones, hypertension, and inflammation (Nguyan et al., 2020; Pimentel et al., 2022).</w:t>
      </w:r>
      <w:r>
        <w:rPr>
          <w:rFonts w:ascii="Times New Roman" w:eastAsia="SimSun" w:hAnsi="Times New Roman" w:cs="Times New Roman"/>
          <w:sz w:val="24"/>
          <w:szCs w:val="24"/>
        </w:rPr>
        <w:t xml:space="preserve"> </w:t>
      </w:r>
      <w:r>
        <w:rPr>
          <w:rStyle w:val="x3jgonx"/>
          <w:rFonts w:ascii="Times New Roman" w:eastAsia="SimSun" w:hAnsi="Times New Roman" w:cs="Times New Roman"/>
          <w:sz w:val="24"/>
          <w:szCs w:val="24"/>
        </w:rPr>
        <w:t xml:space="preserve">Plobotannins, steroids, </w:t>
      </w:r>
      <w:r>
        <w:rPr>
          <w:rStyle w:val="x3jgonx"/>
          <w:rFonts w:ascii="Times New Roman" w:eastAsia="SimSun" w:hAnsi="Times New Roman" w:cs="Times New Roman"/>
          <w:sz w:val="24"/>
          <w:szCs w:val="24"/>
        </w:rPr>
        <w:t>and glycosides were also detected weakly positive (+). Their presence suggests additional benefits, including antimicrobial, diuretic, and anti-inflammatory effects.</w:t>
      </w:r>
    </w:p>
    <w:p w:rsidR="00F03517" w:rsidRDefault="00F33808">
      <w:pPr>
        <w:shd w:val="clear" w:color="auto" w:fill="FFFFFF"/>
        <w:spacing w:after="0" w:line="240" w:lineRule="auto"/>
        <w:ind w:firstLine="720"/>
        <w:jc w:val="both"/>
        <w:rPr>
          <w:rStyle w:val="x3jgonx"/>
          <w:rFonts w:ascii="Times New Roman" w:eastAsia="SimSun" w:hAnsi="Times New Roman" w:cs="Times New Roman"/>
          <w:sz w:val="24"/>
          <w:szCs w:val="24"/>
        </w:rPr>
      </w:pPr>
      <w:r>
        <w:rPr>
          <w:rStyle w:val="x3jgonx"/>
          <w:rFonts w:ascii="Times New Roman" w:eastAsia="SimSun" w:hAnsi="Times New Roman" w:cs="Times New Roman"/>
          <w:sz w:val="24"/>
          <w:szCs w:val="24"/>
        </w:rPr>
        <w:t xml:space="preserve"> This is consistent with reports that Orthosiphon aristatus exhibits nephroprotective, ant</w:t>
      </w:r>
      <w:r>
        <w:rPr>
          <w:rStyle w:val="x3jgonx"/>
          <w:rFonts w:ascii="Times New Roman" w:eastAsia="SimSun" w:hAnsi="Times New Roman" w:cs="Times New Roman"/>
          <w:sz w:val="24"/>
          <w:szCs w:val="24"/>
        </w:rPr>
        <w:t>idiabetic, and antimicrobial properties, with key compounds such as sinensetin, eupatorin, and ursolic acid contributing to these effects (Yam et al., 2017; Zareisedehizadeh et al., 2023). In the meantime, Alkaloids and Saponins showed a negative (-) resul</w:t>
      </w:r>
      <w:r>
        <w:rPr>
          <w:rStyle w:val="x3jgonx"/>
          <w:rFonts w:ascii="Times New Roman" w:eastAsia="SimSun" w:hAnsi="Times New Roman" w:cs="Times New Roman"/>
          <w:sz w:val="24"/>
          <w:szCs w:val="24"/>
        </w:rPr>
        <w:t>t, indicating that they do not play a major role in the medicinal value of this plant. The literature, however, highlights that saponins, naturally occurring glycosides, contain significant hypoglycemic and antidiabetic actions. It is reported that they tr</w:t>
      </w:r>
      <w:r>
        <w:rPr>
          <w:rStyle w:val="x3jgonx"/>
          <w:rFonts w:ascii="Times New Roman" w:eastAsia="SimSun" w:hAnsi="Times New Roman" w:cs="Times New Roman"/>
          <w:sz w:val="24"/>
          <w:szCs w:val="24"/>
        </w:rPr>
        <w:t>igger insulin release and improve glucose utilization, making them an effective choice in managing diabetes (Jain et al., 2024; Kumar et al., 2022).</w:t>
      </w:r>
    </w:p>
    <w:p w:rsidR="00F03517" w:rsidRDefault="00F33808">
      <w:pPr>
        <w:shd w:val="clear" w:color="auto" w:fill="FFFFFF"/>
        <w:spacing w:after="0" w:line="240" w:lineRule="auto"/>
        <w:ind w:firstLine="720"/>
        <w:jc w:val="both"/>
        <w:rPr>
          <w:rFonts w:ascii="Times New Roman" w:eastAsia="SimSun" w:hAnsi="Times New Roman" w:cs="Times New Roman"/>
          <w:sz w:val="24"/>
          <w:szCs w:val="24"/>
        </w:rPr>
      </w:pPr>
      <w:r>
        <w:rPr>
          <w:rStyle w:val="x3jgonx"/>
          <w:rFonts w:ascii="Times New Roman" w:eastAsia="SimSun" w:hAnsi="Times New Roman" w:cs="Times New Roman"/>
          <w:sz w:val="24"/>
          <w:szCs w:val="24"/>
        </w:rPr>
        <w:t>‎</w:t>
      </w:r>
      <w:r>
        <w:rPr>
          <w:rStyle w:val="x3jgonx"/>
          <w:rFonts w:ascii="Times New Roman" w:eastAsia="SimSun" w:hAnsi="Times New Roman" w:cs="Times New Roman"/>
          <w:sz w:val="24"/>
          <w:szCs w:val="24"/>
        </w:rPr>
        <w:tab/>
        <w:t xml:space="preserve">Generally, the findings demonstrate that Balbas-pusa contains beneficial phytochemicals that support the </w:t>
      </w:r>
      <w:r>
        <w:rPr>
          <w:rStyle w:val="x3jgonx"/>
          <w:rFonts w:ascii="Times New Roman" w:eastAsia="SimSun" w:hAnsi="Times New Roman" w:cs="Times New Roman"/>
          <w:sz w:val="24"/>
          <w:szCs w:val="24"/>
        </w:rPr>
        <w:t>conventional and contemporary application of the herb as an alternative medicine. Ethnobotanical and pharmacological research has shown that the plant contains high levels of flavonoids and tannins, indicating that the product can be used as an effective n</w:t>
      </w:r>
      <w:r>
        <w:rPr>
          <w:rStyle w:val="x3jgonx"/>
          <w:rFonts w:ascii="Times New Roman" w:eastAsia="SimSun" w:hAnsi="Times New Roman" w:cs="Times New Roman"/>
          <w:sz w:val="24"/>
          <w:szCs w:val="24"/>
        </w:rPr>
        <w:t>atural detoxifier for the treatment of urinary infection, inflammatory, and metabolic disorders (Pilapil et al., 2022).</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Agik-agik (</w:t>
      </w:r>
      <w:r>
        <w:rPr>
          <w:rFonts w:ascii="Times New Roman" w:hAnsi="Times New Roman" w:cs="Times New Roman"/>
          <w:b/>
          <w:bCs/>
          <w:i/>
          <w:iCs/>
          <w:sz w:val="24"/>
          <w:szCs w:val="24"/>
        </w:rPr>
        <w:t>Acmella oleracea</w:t>
      </w:r>
      <w:r>
        <w:rPr>
          <w:rFonts w:ascii="Times New Roman" w:hAnsi="Times New Roman" w:cs="Times New Roman"/>
          <w:b/>
          <w:bCs/>
          <w:sz w:val="24"/>
          <w:szCs w:val="24"/>
        </w:rPr>
        <w:t xml:space="preserve">). </w:t>
      </w:r>
      <w:r>
        <w:rPr>
          <w:rFonts w:ascii="Times New Roman" w:hAnsi="Times New Roman" w:cs="Times New Roman"/>
          <w:sz w:val="24"/>
          <w:szCs w:val="24"/>
        </w:rPr>
        <w:t xml:space="preserve">The study employed qualitative phytochemical screening methods to identify and characterize bioactive </w:t>
      </w:r>
      <w:r>
        <w:rPr>
          <w:rFonts w:ascii="Times New Roman" w:hAnsi="Times New Roman" w:cs="Times New Roman"/>
          <w:sz w:val="24"/>
          <w:szCs w:val="24"/>
        </w:rPr>
        <w:t>compounds in the plant. The results are presented in:</w:t>
      </w:r>
    </w:p>
    <w:p w:rsidR="00F03517" w:rsidRDefault="00F03517">
      <w:pPr>
        <w:spacing w:after="0" w:line="240" w:lineRule="auto"/>
        <w:jc w:val="center"/>
        <w:rPr>
          <w:rFonts w:ascii="Times New Roman" w:hAnsi="Times New Roman" w:cs="Times New Roman"/>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3:Agik-agik (</w:t>
      </w:r>
      <w:r>
        <w:rPr>
          <w:rFonts w:ascii="Times New Roman" w:hAnsi="Times New Roman" w:cs="Times New Roman"/>
          <w:b/>
          <w:bCs/>
          <w:i/>
          <w:iCs/>
          <w:sz w:val="24"/>
          <w:szCs w:val="24"/>
        </w:rPr>
        <w:t>Acmella oleracea</w:t>
      </w:r>
      <w:r>
        <w:rPr>
          <w:rFonts w:ascii="Times New Roman" w:hAnsi="Times New Roman" w:cs="Times New Roman"/>
          <w:b/>
          <w:bCs/>
          <w:sz w:val="24"/>
          <w:szCs w:val="24"/>
        </w:rPr>
        <w:t>)</w:t>
      </w:r>
    </w:p>
    <w:tbl>
      <w:tblPr>
        <w:tblStyle w:val="TableGrid"/>
        <w:tblW w:w="0" w:type="auto"/>
        <w:tblInd w:w="211" w:type="dxa"/>
        <w:tblLook w:val="04A0" w:firstRow="1" w:lastRow="0" w:firstColumn="1" w:lastColumn="0" w:noHBand="0" w:noVBand="1"/>
      </w:tblPr>
      <w:tblGrid>
        <w:gridCol w:w="2849"/>
        <w:gridCol w:w="2897"/>
        <w:gridCol w:w="2897"/>
      </w:tblGrid>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Phytochemical compound</w:t>
            </w:r>
          </w:p>
        </w:tc>
        <w:tc>
          <w:tcPr>
            <w:tcW w:w="2897"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Qualitative Screening</w:t>
            </w:r>
          </w:p>
        </w:tc>
        <w:tc>
          <w:tcPr>
            <w:tcW w:w="2897"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Qualitative Description</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Alkaloids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Negative</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Flavonoids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Weakly positive</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Tannins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Weakly positive</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Saponins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Negative</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Plobotannins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Weakly positive</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Steroids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Weakly positive</w:t>
            </w:r>
          </w:p>
        </w:tc>
      </w:tr>
      <w:tr w:rsidR="00F03517">
        <w:tc>
          <w:tcPr>
            <w:tcW w:w="2849"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Glycosides</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b/>
                <w:bCs/>
                <w:i/>
                <w:iCs/>
                <w:sz w:val="24"/>
                <w:szCs w:val="24"/>
              </w:rPr>
              <w:t>+</w:t>
            </w:r>
          </w:p>
        </w:tc>
        <w:tc>
          <w:tcPr>
            <w:tcW w:w="2897" w:type="dxa"/>
          </w:tcPr>
          <w:p w:rsidR="00F03517" w:rsidRDefault="00F33808">
            <w:pPr>
              <w:spacing w:after="0" w:line="240" w:lineRule="auto"/>
              <w:jc w:val="center"/>
              <w:rPr>
                <w:rFonts w:ascii="Times New Roman" w:eastAsia="SimSun" w:hAnsi="Times New Roman" w:cs="Times New Roman"/>
                <w:b/>
                <w:bCs/>
                <w:i/>
                <w:iCs/>
                <w:sz w:val="24"/>
                <w:szCs w:val="24"/>
              </w:rPr>
            </w:pPr>
            <w:r>
              <w:rPr>
                <w:rFonts w:ascii="Times New Roman" w:eastAsia="SimSun" w:hAnsi="Times New Roman" w:cs="Times New Roman"/>
                <w:sz w:val="24"/>
                <w:szCs w:val="24"/>
              </w:rPr>
              <w:t>Weakly positive</w:t>
            </w:r>
          </w:p>
        </w:tc>
      </w:tr>
    </w:tbl>
    <w:p w:rsidR="00F03517" w:rsidRDefault="00F03517">
      <w:pPr>
        <w:spacing w:after="0" w:line="240" w:lineRule="auto"/>
        <w:jc w:val="both"/>
        <w:rPr>
          <w:rFonts w:ascii="Times New Roman" w:hAnsi="Times New Roman" w:cs="Times New Roman"/>
          <w:b/>
          <w:bCs/>
          <w:i/>
          <w:iCs/>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Table 3 illustrates the results of the qualitative screening of Agik-agik (</w:t>
      </w:r>
      <w:r>
        <w:rPr>
          <w:rFonts w:ascii="Times New Roman" w:hAnsi="Times New Roman" w:cs="Times New Roman"/>
          <w:i/>
          <w:iCs/>
          <w:sz w:val="24"/>
          <w:szCs w:val="24"/>
        </w:rPr>
        <w:t>Acmella oleracea</w:t>
      </w:r>
      <w:r>
        <w:rPr>
          <w:rFonts w:ascii="Times New Roman" w:hAnsi="Times New Roman" w:cs="Times New Roman"/>
          <w:sz w:val="24"/>
          <w:szCs w:val="24"/>
        </w:rPr>
        <w:t xml:space="preserve">). The table presented the presence (+) or absence (-) of </w:t>
      </w:r>
      <w:r>
        <w:rPr>
          <w:rFonts w:ascii="Times New Roman" w:hAnsi="Times New Roman" w:cs="Times New Roman"/>
          <w:sz w:val="24"/>
          <w:szCs w:val="24"/>
        </w:rPr>
        <w:t>different bioactive compounds found in the plant extract.</w:t>
      </w:r>
    </w:p>
    <w:p w:rsidR="00F03517" w:rsidRDefault="00F33808">
      <w:pPr>
        <w:pStyle w:val="NormalWeb"/>
        <w:spacing w:beforeAutospacing="0" w:afterAutospacing="0" w:line="240" w:lineRule="auto"/>
        <w:ind w:firstLine="720"/>
        <w:jc w:val="both"/>
      </w:pPr>
      <w:r>
        <w:t>The results showed that flavonoids, tannins, plobotannins, steroids, and glycosides tested weakly positive (+), indicating that these compounds are present in Agik-agik. These phytochemicals are rec</w:t>
      </w:r>
      <w:r>
        <w:t>ognized to have many biological functions. Just like flavonoids have anti-inflammatory, antimicrobial, antiviral, and hepatoprotective properties, and are synthesized by plants in response to microbial infection. It can help nourish the immune system and p</w:t>
      </w:r>
      <w:r>
        <w:t xml:space="preserve">rovide protection against oxidative stress (Afzal et al., 2023). And tannins also have antioxidant, antimicrobial, and anti-inflammatory properties, which are important for medicinal properties. And it can prevent cardiovascular damage caused by oxidative </w:t>
      </w:r>
      <w:r>
        <w:t xml:space="preserve">agents (Kumar et al., 2022). Saponins possess anti-fungal, hypoglycemic, and anti-inflammatory effects, and these properties have been studied for their role in injury recovery and systemic disease. </w:t>
      </w:r>
    </w:p>
    <w:p w:rsidR="00F03517" w:rsidRDefault="00F33808">
      <w:pPr>
        <w:pStyle w:val="NormalWeb"/>
        <w:spacing w:beforeAutospacing="0" w:afterAutospacing="0" w:line="240" w:lineRule="auto"/>
        <w:ind w:firstLine="720"/>
        <w:jc w:val="both"/>
      </w:pPr>
      <w:r>
        <w:t>Glycosides present in many medicinal plants have attract</w:t>
      </w:r>
      <w:r>
        <w:t>ed attention due to their diverse biological activities. These compounds exhibit antioxidant and anticancer properties. They also contribute to cardiovascular health by reducing cholesterol levels by forming insoluble complexes with cholesterol and bile ac</w:t>
      </w:r>
      <w:r>
        <w:t xml:space="preserve">ids, thus inhibiting their absorption. In addition, these compounds also show promise in managing diabetes by stimulating insulin secretion and enhancing glucose metabolism (Jain et al., 2024; Kumar et al., 2022). </w:t>
      </w:r>
    </w:p>
    <w:p w:rsidR="00F03517" w:rsidRDefault="00F33808">
      <w:pPr>
        <w:pStyle w:val="NormalWeb"/>
        <w:spacing w:beforeAutospacing="0" w:afterAutospacing="0" w:line="240" w:lineRule="auto"/>
        <w:ind w:firstLine="720"/>
        <w:jc w:val="both"/>
        <w:rPr>
          <w:rStyle w:val="x3jgonx"/>
        </w:rPr>
      </w:pPr>
      <w:r>
        <w:t>The benefits of steroids include regulati</w:t>
      </w:r>
      <w:r>
        <w:t xml:space="preserve">ng cholesterol metabolism, possessing anti-inflammatory and anticancer effects, and contributing to cardiovascular health (Thacker &amp; Ram, 2024). </w:t>
      </w:r>
      <w:r>
        <w:rPr>
          <w:rStyle w:val="x3jgonx"/>
        </w:rPr>
        <w:t>Plobotanins are also present in Agik-agik. These compounds are found to have rich antioxidant and anti-microbia</w:t>
      </w:r>
      <w:r>
        <w:rPr>
          <w:rStyle w:val="x3jgonx"/>
        </w:rPr>
        <w:t>l activities.</w:t>
      </w:r>
    </w:p>
    <w:p w:rsidR="00F03517" w:rsidRDefault="00F03517">
      <w:pPr>
        <w:pStyle w:val="NormalWeb"/>
        <w:spacing w:beforeAutospacing="0" w:afterAutospacing="0" w:line="240" w:lineRule="auto"/>
        <w:ind w:firstLine="720"/>
        <w:jc w:val="both"/>
        <w:rPr>
          <w:rStyle w:val="x3jgonx"/>
        </w:rPr>
      </w:pPr>
    </w:p>
    <w:p w:rsidR="00F03517" w:rsidRDefault="00F33808">
      <w:pPr>
        <w:pStyle w:val="NormalWeb"/>
        <w:spacing w:beforeAutospacing="0" w:afterAutospacing="0" w:line="240" w:lineRule="auto"/>
        <w:jc w:val="both"/>
        <w:rPr>
          <w:b/>
          <w:bCs/>
          <w:i/>
          <w:iCs/>
        </w:rPr>
      </w:pPr>
      <w:bookmarkStart w:id="4" w:name="_Hlk220234955"/>
      <w:r>
        <w:rPr>
          <w:b/>
          <w:bCs/>
        </w:rPr>
        <w:t>The Total Bioactive Compound Concentrations Present in Each Plant</w:t>
      </w:r>
      <w:r>
        <w:rPr>
          <w:b/>
          <w:bCs/>
          <w:i/>
          <w:iCs/>
        </w:rPr>
        <w:t>.</w:t>
      </w:r>
    </w:p>
    <w:p w:rsidR="00F03517" w:rsidRDefault="00F03517">
      <w:pPr>
        <w:pStyle w:val="NormalWeb"/>
        <w:spacing w:beforeAutospacing="0" w:afterAutospacing="0" w:line="240" w:lineRule="auto"/>
        <w:jc w:val="both"/>
      </w:pPr>
    </w:p>
    <w:bookmarkEnd w:id="4"/>
    <w:p w:rsidR="00F03517" w:rsidRDefault="00F33808">
      <w:pPr>
        <w:spacing w:after="0" w:line="240" w:lineRule="auto"/>
        <w:ind w:firstLine="720"/>
        <w:rPr>
          <w:rFonts w:ascii="Times New Roman" w:hAnsi="Times New Roman" w:cs="Times New Roman"/>
          <w:sz w:val="24"/>
          <w:szCs w:val="24"/>
        </w:rPr>
      </w:pPr>
      <w:r>
        <w:rPr>
          <w:rFonts w:ascii="Times New Roman" w:hAnsi="Times New Roman" w:cs="Times New Roman"/>
          <w:b/>
          <w:bCs/>
          <w:sz w:val="24"/>
          <w:szCs w:val="24"/>
        </w:rPr>
        <w:t>Gmelina (</w:t>
      </w:r>
      <w:r>
        <w:rPr>
          <w:rFonts w:ascii="Times New Roman" w:hAnsi="Times New Roman" w:cs="Times New Roman"/>
          <w:b/>
          <w:bCs/>
          <w:i/>
          <w:iCs/>
          <w:sz w:val="24"/>
          <w:szCs w:val="24"/>
        </w:rPr>
        <w:t xml:space="preserve">Gmelina arborea). </w:t>
      </w:r>
      <w:r>
        <w:rPr>
          <w:rFonts w:ascii="Times New Roman" w:hAnsi="Times New Roman" w:cs="Times New Roman"/>
          <w:sz w:val="24"/>
          <w:szCs w:val="24"/>
        </w:rPr>
        <w:t xml:space="preserve">The study employed quantitative phytochemical screening methods to identify and quantify the concentrations of bioactive compounds of the plant. </w:t>
      </w:r>
      <w:r>
        <w:rPr>
          <w:rFonts w:ascii="Times New Roman" w:hAnsi="Times New Roman" w:cs="Times New Roman"/>
          <w:sz w:val="24"/>
          <w:szCs w:val="24"/>
        </w:rPr>
        <w:t>The results are presented in:</w:t>
      </w:r>
    </w:p>
    <w:p w:rsidR="00F03517" w:rsidRDefault="00F03517">
      <w:pPr>
        <w:spacing w:after="0" w:line="240" w:lineRule="auto"/>
        <w:ind w:firstLine="720"/>
        <w:rPr>
          <w:rFonts w:ascii="Times New Roman" w:hAnsi="Times New Roman" w:cs="Times New Roman"/>
          <w:b/>
          <w:bCs/>
          <w:i/>
          <w:iCs/>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4:Gmelina (</w:t>
      </w:r>
      <w:r>
        <w:rPr>
          <w:rFonts w:ascii="Times New Roman" w:hAnsi="Times New Roman" w:cs="Times New Roman"/>
          <w:b/>
          <w:bCs/>
          <w:i/>
          <w:iCs/>
          <w:sz w:val="24"/>
          <w:szCs w:val="24"/>
        </w:rPr>
        <w:t>Gmelina arborea)</w:t>
      </w:r>
    </w:p>
    <w:tbl>
      <w:tblPr>
        <w:tblStyle w:val="TableGrid"/>
        <w:tblW w:w="0" w:type="auto"/>
        <w:tblInd w:w="267" w:type="dxa"/>
        <w:tblLook w:val="04A0" w:firstRow="1" w:lastRow="0" w:firstColumn="1" w:lastColumn="0" w:noHBand="0" w:noVBand="1"/>
      </w:tblPr>
      <w:tblGrid>
        <w:gridCol w:w="4104"/>
        <w:gridCol w:w="4241"/>
      </w:tblGrid>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Phytochemical test</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Quantitative concentration</w:t>
            </w:r>
          </w:p>
        </w:tc>
      </w:tr>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Alkaloids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3.52</w:t>
            </w:r>
          </w:p>
        </w:tc>
      </w:tr>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Flavanoids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16.52</w:t>
            </w:r>
          </w:p>
        </w:tc>
      </w:tr>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Tannins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15.21</w:t>
            </w:r>
          </w:p>
        </w:tc>
      </w:tr>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Plobotannins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7.56</w:t>
            </w:r>
          </w:p>
        </w:tc>
      </w:tr>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Steroids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1.42</w:t>
            </w:r>
          </w:p>
        </w:tc>
      </w:tr>
      <w:tr w:rsidR="00F03517">
        <w:tc>
          <w:tcPr>
            <w:tcW w:w="410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Glycosides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3.25</w:t>
            </w:r>
          </w:p>
        </w:tc>
      </w:tr>
    </w:tbl>
    <w:p w:rsidR="00F03517" w:rsidRDefault="00F03517">
      <w:pPr>
        <w:spacing w:after="0" w:line="240" w:lineRule="auto"/>
        <w:ind w:firstLine="720"/>
        <w:jc w:val="both"/>
        <w:rPr>
          <w:rFonts w:ascii="Times New Roman" w:hAnsi="Times New Roman" w:cs="Times New Roman"/>
          <w:sz w:val="24"/>
          <w:szCs w:val="24"/>
        </w:rPr>
      </w:pPr>
    </w:p>
    <w:p w:rsidR="00F03517" w:rsidRDefault="00F33808">
      <w:pPr>
        <w:spacing w:after="0" w:line="240" w:lineRule="auto"/>
        <w:ind w:firstLine="720"/>
        <w:jc w:val="both"/>
        <w:rPr>
          <w:rStyle w:val="x3jgonx"/>
          <w:rFonts w:ascii="Times New Roman" w:eastAsia="SimSun" w:hAnsi="Times New Roman" w:cs="Times New Roman"/>
          <w:sz w:val="24"/>
          <w:szCs w:val="24"/>
        </w:rPr>
      </w:pPr>
      <w:r>
        <w:rPr>
          <w:rFonts w:ascii="Times New Roman" w:hAnsi="Times New Roman" w:cs="Times New Roman"/>
          <w:sz w:val="24"/>
          <w:szCs w:val="24"/>
        </w:rPr>
        <w:t xml:space="preserve">Table 4 showed the quantitative concentrations of </w:t>
      </w:r>
      <w:r>
        <w:rPr>
          <w:rStyle w:val="x3jgonx"/>
          <w:rFonts w:ascii="Times New Roman" w:eastAsia="SimSun" w:hAnsi="Times New Roman" w:cs="Times New Roman"/>
          <w:sz w:val="24"/>
          <w:szCs w:val="24"/>
        </w:rPr>
        <w:t>Gmelina (Gmelina arborea)</w:t>
      </w:r>
      <w:r>
        <w:rPr>
          <w:rFonts w:ascii="Times New Roman" w:hAnsi="Times New Roman" w:cs="Times New Roman"/>
          <w:sz w:val="24"/>
          <w:szCs w:val="24"/>
        </w:rPr>
        <w:t xml:space="preserve">. Gmelina leaves, expressed in milligrams per gram (mg/g) using appropriate standards. </w:t>
      </w:r>
      <w:r>
        <w:rPr>
          <w:rStyle w:val="x3jgonx"/>
          <w:rFonts w:ascii="Times New Roman" w:eastAsia="SimSun" w:hAnsi="Times New Roman" w:cs="Times New Roman"/>
          <w:sz w:val="24"/>
          <w:szCs w:val="24"/>
        </w:rPr>
        <w:t>Among the said compounds, flavonoids have the highest concentration (16.52 mg/g as quercetin).</w:t>
      </w:r>
      <w:r>
        <w:rPr>
          <w:rStyle w:val="x3jgonx"/>
          <w:rFonts w:ascii="Times New Roman" w:eastAsia="SimSun" w:hAnsi="Times New Roman" w:cs="Times New Roman"/>
          <w:sz w:val="24"/>
          <w:szCs w:val="24"/>
        </w:rPr>
        <w:t xml:space="preserve"> This result shows that Gmelina arborea is rich in flavonoids, which are its primary source of antioxidant and anti-inflammatory properties. As shown, tannins also have a high concentration (15.21 mg/g as tannic acid). Tannins have antimicrobial properties</w:t>
      </w:r>
      <w:r>
        <w:rPr>
          <w:rStyle w:val="x3jgonx"/>
          <w:rFonts w:ascii="Times New Roman" w:eastAsia="SimSun" w:hAnsi="Times New Roman" w:cs="Times New Roman"/>
          <w:sz w:val="24"/>
          <w:szCs w:val="24"/>
        </w:rPr>
        <w:t xml:space="preserve"> that support the traditional use of Gmelina as treatment for cough, colds, and fever. In addition, the presence of phlobotannins, glycosides, alkaloids, and steroids may improve the plant's overall biological effects as a traditional medicine.</w:t>
      </w:r>
      <w:r>
        <w:rPr>
          <w:rFonts w:ascii="Times New Roman" w:eastAsia="SimSun" w:hAnsi="Times New Roman" w:cs="Times New Roman"/>
          <w:sz w:val="24"/>
          <w:szCs w:val="24"/>
        </w:rPr>
        <w:br/>
      </w:r>
      <w:r>
        <w:rPr>
          <w:rFonts w:ascii="Times New Roman" w:eastAsia="SimSun" w:hAnsi="Times New Roman" w:cs="Times New Roman"/>
          <w:sz w:val="24"/>
          <w:szCs w:val="24"/>
        </w:rPr>
        <w:tab/>
        <w:t>Though the</w:t>
      </w:r>
      <w:r>
        <w:rPr>
          <w:rFonts w:ascii="Times New Roman" w:eastAsia="SimSun" w:hAnsi="Times New Roman" w:cs="Times New Roman"/>
          <w:sz w:val="24"/>
          <w:szCs w:val="24"/>
        </w:rPr>
        <w:t xml:space="preserve">re are no fixed standards, Offor et al (2016) report saponins (3.85 ± 0.07 mg/100g), glycosides (1.77 ± 0.06 mg/100g), phenols (0.32 mg/100g), and lower levels of tannins, flavonoids, alkaloids, and steroid ranges (0.06–0.09 mg/100g). </w:t>
      </w:r>
      <w:r>
        <w:rPr>
          <w:rStyle w:val="x3jgonx"/>
          <w:rFonts w:ascii="Times New Roman" w:eastAsia="SimSun" w:hAnsi="Times New Roman" w:cs="Times New Roman"/>
          <w:sz w:val="24"/>
          <w:szCs w:val="24"/>
        </w:rPr>
        <w:t>In general, the phyto</w:t>
      </w:r>
      <w:r>
        <w:rPr>
          <w:rStyle w:val="x3jgonx"/>
          <w:rFonts w:ascii="Times New Roman" w:eastAsia="SimSun" w:hAnsi="Times New Roman" w:cs="Times New Roman"/>
          <w:sz w:val="24"/>
          <w:szCs w:val="24"/>
        </w:rPr>
        <w:t xml:space="preserve">chemicals identified in this test were identical to those reported in previous studies. These findings provide validation and support for the traditional use of Gmelina arborea in the treatment of cough, cold, and fever. </w:t>
      </w:r>
    </w:p>
    <w:p w:rsidR="00F03517" w:rsidRDefault="00F03517">
      <w:pPr>
        <w:spacing w:after="0" w:line="240" w:lineRule="auto"/>
        <w:ind w:firstLine="720"/>
        <w:jc w:val="both"/>
        <w:rPr>
          <w:rStyle w:val="x3jgonx"/>
          <w:rFonts w:ascii="Times New Roman" w:hAnsi="Times New Roman" w:cs="Times New Roman"/>
          <w:color w:val="FF0000"/>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Balbas-pusa (</w:t>
      </w:r>
      <w:r>
        <w:rPr>
          <w:rFonts w:ascii="Times New Roman" w:hAnsi="Times New Roman" w:cs="Times New Roman"/>
          <w:b/>
          <w:bCs/>
          <w:i/>
          <w:iCs/>
          <w:sz w:val="24"/>
          <w:szCs w:val="24"/>
        </w:rPr>
        <w:t>Orthosiphon aristatu</w:t>
      </w:r>
      <w:r>
        <w:rPr>
          <w:rFonts w:ascii="Times New Roman" w:hAnsi="Times New Roman" w:cs="Times New Roman"/>
          <w:b/>
          <w:bCs/>
          <w:i/>
          <w:iCs/>
          <w:sz w:val="24"/>
          <w:szCs w:val="24"/>
        </w:rPr>
        <w:t>s</w:t>
      </w:r>
      <w:r>
        <w:rPr>
          <w:rFonts w:ascii="Times New Roman" w:hAnsi="Times New Roman" w:cs="Times New Roman"/>
          <w:b/>
          <w:b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The study employed quantitative phytochemical screening methods to identify and quantify the concentrations of bioactive compounds of the plant. The results are presented in:</w:t>
      </w:r>
    </w:p>
    <w:p w:rsidR="00F03517" w:rsidRDefault="00F03517">
      <w:pPr>
        <w:spacing w:after="0" w:line="240" w:lineRule="auto"/>
        <w:ind w:firstLine="720"/>
        <w:jc w:val="both"/>
        <w:rPr>
          <w:rFonts w:ascii="Times New Roman" w:hAnsi="Times New Roman" w:cs="Times New Roman"/>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5:Balbas-pusa (</w:t>
      </w:r>
      <w:r>
        <w:rPr>
          <w:rFonts w:ascii="Times New Roman" w:hAnsi="Times New Roman" w:cs="Times New Roman"/>
          <w:b/>
          <w:bCs/>
          <w:i/>
          <w:iCs/>
          <w:sz w:val="24"/>
          <w:szCs w:val="24"/>
        </w:rPr>
        <w:t>Orthosiphon aristatus</w:t>
      </w:r>
      <w:r>
        <w:rPr>
          <w:rFonts w:ascii="Times New Roman" w:hAnsi="Times New Roman" w:cs="Times New Roman"/>
          <w:b/>
          <w:bCs/>
          <w:sz w:val="24"/>
          <w:szCs w:val="24"/>
        </w:rPr>
        <w:t>)</w:t>
      </w:r>
    </w:p>
    <w:tbl>
      <w:tblPr>
        <w:tblStyle w:val="TableGrid"/>
        <w:tblW w:w="0" w:type="auto"/>
        <w:tblInd w:w="141" w:type="dxa"/>
        <w:tblLook w:val="04A0" w:firstRow="1" w:lastRow="0" w:firstColumn="1" w:lastColumn="0" w:noHBand="0" w:noVBand="1"/>
      </w:tblPr>
      <w:tblGrid>
        <w:gridCol w:w="4310"/>
        <w:gridCol w:w="4224"/>
      </w:tblGrid>
      <w:tr w:rsidR="00F03517">
        <w:tc>
          <w:tcPr>
            <w:tcW w:w="4310"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Phytochemical test</w:t>
            </w:r>
          </w:p>
        </w:tc>
        <w:tc>
          <w:tcPr>
            <w:tcW w:w="422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Quantitative </w:t>
            </w:r>
            <w:r>
              <w:rPr>
                <w:rFonts w:ascii="Times New Roman" w:eastAsia="SimSun" w:hAnsi="Times New Roman" w:cs="Times New Roman"/>
                <w:sz w:val="24"/>
                <w:szCs w:val="24"/>
              </w:rPr>
              <w:t>concentration</w:t>
            </w:r>
          </w:p>
        </w:tc>
      </w:tr>
      <w:tr w:rsidR="00F03517">
        <w:tc>
          <w:tcPr>
            <w:tcW w:w="4310"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Flavonoids</w:t>
            </w:r>
          </w:p>
        </w:tc>
        <w:tc>
          <w:tcPr>
            <w:tcW w:w="422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14.22</w:t>
            </w:r>
          </w:p>
        </w:tc>
      </w:tr>
      <w:tr w:rsidR="00F03517">
        <w:tc>
          <w:tcPr>
            <w:tcW w:w="4310"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Tannins</w:t>
            </w:r>
          </w:p>
        </w:tc>
        <w:tc>
          <w:tcPr>
            <w:tcW w:w="422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10.24</w:t>
            </w:r>
          </w:p>
        </w:tc>
      </w:tr>
      <w:tr w:rsidR="00F03517">
        <w:tc>
          <w:tcPr>
            <w:tcW w:w="4310"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Plobotannins</w:t>
            </w:r>
          </w:p>
        </w:tc>
        <w:tc>
          <w:tcPr>
            <w:tcW w:w="422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5.26</w:t>
            </w:r>
          </w:p>
        </w:tc>
      </w:tr>
      <w:tr w:rsidR="00F03517">
        <w:tc>
          <w:tcPr>
            <w:tcW w:w="4310"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Steroids</w:t>
            </w:r>
          </w:p>
        </w:tc>
        <w:tc>
          <w:tcPr>
            <w:tcW w:w="422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1.23</w:t>
            </w:r>
          </w:p>
        </w:tc>
      </w:tr>
      <w:tr w:rsidR="00F03517">
        <w:tc>
          <w:tcPr>
            <w:tcW w:w="4310"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Glycosides</w:t>
            </w:r>
          </w:p>
        </w:tc>
        <w:tc>
          <w:tcPr>
            <w:tcW w:w="4224"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2.12</w:t>
            </w:r>
          </w:p>
        </w:tc>
      </w:tr>
    </w:tbl>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5 showed the quantitative concentrations </w:t>
      </w:r>
      <w:r>
        <w:rPr>
          <w:rStyle w:val="x3jgonx"/>
          <w:rFonts w:ascii="Times New Roman" w:eastAsia="SimSun" w:hAnsi="Times New Roman" w:cs="Times New Roman"/>
          <w:sz w:val="24"/>
          <w:szCs w:val="24"/>
        </w:rPr>
        <w:t>of Balbas-pusa (Orthosiphon aristatus</w:t>
      </w:r>
      <w:r>
        <w:rPr>
          <w:rFonts w:ascii="Times New Roman" w:hAnsi="Times New Roman" w:cs="Times New Roman"/>
          <w:sz w:val="24"/>
          <w:szCs w:val="24"/>
        </w:rPr>
        <w:t xml:space="preserve">). Using properly situated standards, the </w:t>
      </w:r>
      <w:r>
        <w:rPr>
          <w:rFonts w:ascii="Times New Roman" w:hAnsi="Times New Roman" w:cs="Times New Roman"/>
          <w:i/>
          <w:iCs/>
          <w:sz w:val="24"/>
          <w:szCs w:val="24"/>
        </w:rPr>
        <w:t>O. aristatus</w:t>
      </w:r>
      <w:r>
        <w:rPr>
          <w:rFonts w:ascii="Times New Roman" w:hAnsi="Times New Roman" w:cs="Times New Roman"/>
          <w:sz w:val="24"/>
          <w:szCs w:val="24"/>
        </w:rPr>
        <w:t xml:space="preserve"> flower was calculated in milligrams per gram (mg/g).‎ These compounds included flavonoids, which had the highest concentrations (14.22 mg/g quercetin equivalent). The given outcome aligns with previous research, indicating that </w:t>
      </w:r>
      <w:r>
        <w:rPr>
          <w:rFonts w:ascii="Times New Roman" w:hAnsi="Times New Roman" w:cs="Times New Roman"/>
          <w:i/>
          <w:iCs/>
          <w:sz w:val="24"/>
          <w:szCs w:val="24"/>
        </w:rPr>
        <w:t>O. aristatus</w:t>
      </w:r>
      <w:r>
        <w:rPr>
          <w:rFonts w:ascii="Times New Roman" w:hAnsi="Times New Roman" w:cs="Times New Roman"/>
          <w:sz w:val="24"/>
          <w:szCs w:val="24"/>
        </w:rPr>
        <w:t xml:space="preserve"> is rich in fla</w:t>
      </w:r>
      <w:r>
        <w:rPr>
          <w:rFonts w:ascii="Times New Roman" w:hAnsi="Times New Roman" w:cs="Times New Roman"/>
          <w:sz w:val="24"/>
          <w:szCs w:val="24"/>
        </w:rPr>
        <w:t>vonoids and phenolic compounds that have been reported to have potent antioxidant and anti-inflammatory properties.</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tannins were also found in significant contents (10.2410.88 mg/g tannic acid equivalent). These compounds possess antimicrobial and anti</w:t>
      </w:r>
      <w:r>
        <w:rPr>
          <w:rFonts w:ascii="Times New Roman" w:hAnsi="Times New Roman" w:cs="Times New Roman"/>
          <w:sz w:val="24"/>
          <w:szCs w:val="24"/>
        </w:rPr>
        <w:t xml:space="preserve">-inflammatory effects, which may explain the traditional use of </w:t>
      </w:r>
      <w:r>
        <w:rPr>
          <w:rFonts w:ascii="Times New Roman" w:hAnsi="Times New Roman" w:cs="Times New Roman"/>
          <w:i/>
          <w:iCs/>
          <w:sz w:val="24"/>
          <w:szCs w:val="24"/>
        </w:rPr>
        <w:t>O. aristatus</w:t>
      </w:r>
      <w:r>
        <w:rPr>
          <w:rFonts w:ascii="Times New Roman" w:hAnsi="Times New Roman" w:cs="Times New Roman"/>
          <w:sz w:val="24"/>
          <w:szCs w:val="24"/>
        </w:rPr>
        <w:t xml:space="preserve"> as a medicinal treatment for kidney and urinary tract issues. Furthermore, the inclusion of phlobotannins, steroids, and glycosides could supplement the overall biological impacts</w:t>
      </w:r>
      <w:r>
        <w:rPr>
          <w:rFonts w:ascii="Times New Roman" w:hAnsi="Times New Roman" w:cs="Times New Roman"/>
          <w:sz w:val="24"/>
          <w:szCs w:val="24"/>
        </w:rPr>
        <w:t xml:space="preserve"> of the plant.</w:t>
      </w:r>
    </w:p>
    <w:p w:rsidR="00F03517" w:rsidRDefault="00F33808">
      <w:pPr>
        <w:spacing w:after="0" w:line="240" w:lineRule="auto"/>
        <w:ind w:firstLine="720"/>
        <w:jc w:val="both"/>
        <w:rPr>
          <w:rStyle w:val="x3jgonx"/>
          <w:rFonts w:ascii="Times New Roman" w:eastAsia="SimSun" w:hAnsi="Times New Roman" w:cs="Times New Roman"/>
          <w:sz w:val="24"/>
          <w:szCs w:val="24"/>
        </w:rPr>
      </w:pPr>
      <w:r>
        <w:rPr>
          <w:rFonts w:ascii="Times New Roman" w:hAnsi="Times New Roman" w:cs="Times New Roman"/>
          <w:sz w:val="24"/>
          <w:szCs w:val="24"/>
        </w:rPr>
        <w:tab/>
        <w:t>According to the Committee on Herbal Medicinal Products (2021), a high percentage of rosmarinic acid (3 mg/g dried leaf) is used as a quality indicator; Philippine research shows 1.594-2.957 mg/200g sample</w:t>
      </w:r>
      <w:r>
        <w:rPr>
          <w:rFonts w:ascii="Times New Roman" w:eastAsia="SimSun" w:hAnsi="Times New Roman" w:cs="Times New Roman"/>
          <w:sz w:val="24"/>
          <w:szCs w:val="24"/>
        </w:rPr>
        <w:t xml:space="preserve">. </w:t>
      </w:r>
      <w:r>
        <w:rPr>
          <w:rStyle w:val="x3jgonx"/>
          <w:rFonts w:ascii="Times New Roman" w:eastAsia="SimSun" w:hAnsi="Times New Roman" w:cs="Times New Roman"/>
          <w:sz w:val="24"/>
          <w:szCs w:val="24"/>
        </w:rPr>
        <w:t>Overall, the phytochemicals ident</w:t>
      </w:r>
      <w:r>
        <w:rPr>
          <w:rStyle w:val="x3jgonx"/>
          <w:rFonts w:ascii="Times New Roman" w:eastAsia="SimSun" w:hAnsi="Times New Roman" w:cs="Times New Roman"/>
          <w:sz w:val="24"/>
          <w:szCs w:val="24"/>
        </w:rPr>
        <w:t>ified in this study are similar to those reported in previous research. These findings provide scientific validation for the traditional use of O. aristatus in managing diabetes, kidney-related, inflammatory, and metabolic conditions.</w:t>
      </w:r>
    </w:p>
    <w:p w:rsidR="00F03517" w:rsidRDefault="00F03517">
      <w:pPr>
        <w:spacing w:after="0" w:line="240" w:lineRule="auto"/>
        <w:ind w:firstLine="720"/>
        <w:jc w:val="both"/>
        <w:rPr>
          <w:rStyle w:val="x3jgonx"/>
          <w:rFonts w:ascii="Times New Roman" w:eastAsia="SimSun" w:hAnsi="Times New Roman" w:cs="Times New Roman"/>
          <w:sz w:val="24"/>
          <w:szCs w:val="24"/>
        </w:rPr>
      </w:pP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Agik-agik (</w:t>
      </w:r>
      <w:r>
        <w:rPr>
          <w:rFonts w:ascii="Times New Roman" w:hAnsi="Times New Roman" w:cs="Times New Roman"/>
          <w:b/>
          <w:bCs/>
          <w:i/>
          <w:iCs/>
          <w:sz w:val="24"/>
          <w:szCs w:val="24"/>
        </w:rPr>
        <w:t xml:space="preserve">Acmella </w:t>
      </w:r>
      <w:r>
        <w:rPr>
          <w:rFonts w:ascii="Times New Roman" w:hAnsi="Times New Roman" w:cs="Times New Roman"/>
          <w:b/>
          <w:bCs/>
          <w:i/>
          <w:iCs/>
          <w:sz w:val="24"/>
          <w:szCs w:val="24"/>
        </w:rPr>
        <w:t>oleracea</w:t>
      </w:r>
      <w:r>
        <w:rPr>
          <w:rFonts w:ascii="Times New Roman" w:hAnsi="Times New Roman" w:cs="Times New Roman"/>
          <w:b/>
          <w:b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The study employed quantitative phytochemical screening methods to identify and quantify the concentrations of bioactive compounds of the plant. The results are presented in:</w:t>
      </w:r>
    </w:p>
    <w:p w:rsidR="00F03517" w:rsidRDefault="00F03517">
      <w:pPr>
        <w:spacing w:after="0" w:line="240" w:lineRule="auto"/>
        <w:jc w:val="both"/>
        <w:rPr>
          <w:rFonts w:ascii="Times New Roman" w:hAnsi="Times New Roman" w:cs="Times New Roman"/>
          <w:sz w:val="24"/>
          <w:szCs w:val="24"/>
        </w:rPr>
      </w:pPr>
    </w:p>
    <w:p w:rsidR="00F03517" w:rsidRDefault="00F338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6:Agik-agik (</w:t>
      </w:r>
      <w:r>
        <w:rPr>
          <w:rFonts w:ascii="Times New Roman" w:hAnsi="Times New Roman" w:cs="Times New Roman"/>
          <w:b/>
          <w:bCs/>
          <w:i/>
          <w:iCs/>
          <w:sz w:val="24"/>
          <w:szCs w:val="24"/>
        </w:rPr>
        <w:t>Acmella oleracea</w:t>
      </w:r>
      <w:r>
        <w:rPr>
          <w:rFonts w:ascii="Times New Roman" w:hAnsi="Times New Roman" w:cs="Times New Roman"/>
          <w:b/>
          <w:bCs/>
          <w:sz w:val="24"/>
          <w:szCs w:val="24"/>
        </w:rPr>
        <w:t>)</w:t>
      </w:r>
    </w:p>
    <w:tbl>
      <w:tblPr>
        <w:tblStyle w:val="TableGrid"/>
        <w:tblW w:w="0" w:type="auto"/>
        <w:tblInd w:w="164" w:type="dxa"/>
        <w:tblLook w:val="04A0" w:firstRow="1" w:lastRow="0" w:firstColumn="1" w:lastColumn="0" w:noHBand="0" w:noVBand="1"/>
      </w:tblPr>
      <w:tblGrid>
        <w:gridCol w:w="4241"/>
        <w:gridCol w:w="4241"/>
      </w:tblGrid>
      <w:tr w:rsidR="00F03517">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Phytochemical test</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Quantitative </w:t>
            </w:r>
            <w:r>
              <w:rPr>
                <w:rFonts w:ascii="Times New Roman" w:eastAsia="SimSun" w:hAnsi="Times New Roman" w:cs="Times New Roman"/>
                <w:sz w:val="24"/>
                <w:szCs w:val="24"/>
              </w:rPr>
              <w:t>concentration</w:t>
            </w:r>
          </w:p>
        </w:tc>
      </w:tr>
      <w:tr w:rsidR="00F03517">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Flavonoids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12.65</w:t>
            </w:r>
          </w:p>
        </w:tc>
      </w:tr>
      <w:tr w:rsidR="00F03517">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Tannins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11.28</w:t>
            </w:r>
          </w:p>
        </w:tc>
      </w:tr>
      <w:tr w:rsidR="00F03517">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Plobotannins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4.23</w:t>
            </w:r>
          </w:p>
        </w:tc>
      </w:tr>
      <w:tr w:rsidR="00F03517">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Steroids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1.32</w:t>
            </w:r>
          </w:p>
        </w:tc>
      </w:tr>
      <w:tr w:rsidR="00F03517">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Glaycosides</w:t>
            </w:r>
          </w:p>
        </w:tc>
        <w:tc>
          <w:tcPr>
            <w:tcW w:w="4241" w:type="dxa"/>
          </w:tcPr>
          <w:p w:rsidR="00F03517" w:rsidRDefault="00F33808">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2.45</w:t>
            </w:r>
          </w:p>
        </w:tc>
      </w:tr>
    </w:tbl>
    <w:p w:rsidR="00F03517" w:rsidRDefault="00F03517">
      <w:pPr>
        <w:spacing w:after="0" w:line="240" w:lineRule="auto"/>
        <w:jc w:val="both"/>
        <w:rPr>
          <w:rFonts w:ascii="Times New Roman" w:hAnsi="Times New Roman" w:cs="Times New Roman"/>
          <w:b/>
          <w:bCs/>
          <w:i/>
          <w:iCs/>
          <w:sz w:val="24"/>
          <w:szCs w:val="24"/>
        </w:rPr>
      </w:pPr>
    </w:p>
    <w:p w:rsidR="00F03517" w:rsidRDefault="00F33808">
      <w:pPr>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Table 6 showed the quantitative concentrations of agik-agik (</w:t>
      </w:r>
      <w:r>
        <w:rPr>
          <w:rFonts w:ascii="Times New Roman" w:hAnsi="Times New Roman" w:cs="Times New Roman"/>
          <w:i/>
          <w:iCs/>
          <w:sz w:val="24"/>
          <w:szCs w:val="24"/>
        </w:rPr>
        <w:t>Acmella oleracea</w:t>
      </w:r>
      <w:r>
        <w:rPr>
          <w:rFonts w:ascii="Times New Roman" w:hAnsi="Times New Roman" w:cs="Times New Roman"/>
          <w:sz w:val="24"/>
          <w:szCs w:val="24"/>
        </w:rPr>
        <w:t xml:space="preserve">). Acmella roots, expressed in milligrams per gram (mg/g) using appropriate </w:t>
      </w:r>
      <w:r>
        <w:rPr>
          <w:rFonts w:ascii="Times New Roman" w:hAnsi="Times New Roman" w:cs="Times New Roman"/>
          <w:sz w:val="24"/>
          <w:szCs w:val="24"/>
        </w:rPr>
        <w:t>standards. Among these compounds, flavonoids have the highest concentration at (12.65 mg/g as quercetin). This indicates that flavonoids are the predominant bioactive compounds in Acmella roots, with anti-inflammatory and antimicrobial properties that supp</w:t>
      </w:r>
      <w:r>
        <w:rPr>
          <w:rFonts w:ascii="Times New Roman" w:hAnsi="Times New Roman" w:cs="Times New Roman"/>
          <w:sz w:val="24"/>
          <w:szCs w:val="24"/>
        </w:rPr>
        <w:t xml:space="preserve">ort immune system function. Flavonoids are known for their antioxidant properties and for defending cells from oxidative stress. Tannins are also present at a high concentration (11.28 mg/g as tannic acid). The essential tannin contents that Acmella roots </w:t>
      </w:r>
      <w:r>
        <w:rPr>
          <w:rFonts w:ascii="Times New Roman" w:hAnsi="Times New Roman" w:cs="Times New Roman"/>
          <w:sz w:val="24"/>
          <w:szCs w:val="24"/>
        </w:rPr>
        <w:t>possess also include antioxidants, anti-microbial, and anti-inflammatory compounds, which are important to medicinal properties. At the same time, the saponins were detected at a moderate concentration of 4.23 mg/g, indicating that they have an anti-fungal</w:t>
      </w:r>
      <w:r>
        <w:rPr>
          <w:rFonts w:ascii="Times New Roman" w:hAnsi="Times New Roman" w:cs="Times New Roman"/>
          <w:sz w:val="24"/>
          <w:szCs w:val="24"/>
        </w:rPr>
        <w:t>, hypoglycemic, and inflammatory effect and play a role in injury recovery and systemic disease.</w:t>
      </w:r>
    </w:p>
    <w:p w:rsidR="00F03517" w:rsidRDefault="00F33808">
      <w:pPr>
        <w:pStyle w:val="NormalWeb"/>
        <w:spacing w:beforeAutospacing="0" w:afterAutospacing="0" w:line="240" w:lineRule="auto"/>
        <w:ind w:firstLine="720"/>
        <w:jc w:val="both"/>
      </w:pPr>
      <w:r>
        <w:t>In contrast, glycosides and steroids were found at lower concentrations, measuring 2.45 (mg/g) and 1.32(mg/g), respectively. Even at a lower level, this compou</w:t>
      </w:r>
      <w:r>
        <w:t>nd remains biologically important. Glycosides may contribute to cardiovascular health; these compounds also show antidiabetic potential and hypoglycemic activity, while steroids are closely tied to cholesterol metabolism regulation and anticancer effects.</w:t>
      </w:r>
    </w:p>
    <w:p w:rsidR="00F03517" w:rsidRDefault="00F33808">
      <w:pPr>
        <w:shd w:val="clear" w:color="auto" w:fill="FFFFFF"/>
        <w:spacing w:after="0" w:line="240" w:lineRule="auto"/>
        <w:ind w:firstLine="720"/>
        <w:jc w:val="both"/>
        <w:rPr>
          <w:rStyle w:val="x3jgonx"/>
          <w:rFonts w:ascii="Times New Roman" w:eastAsia="SimSun" w:hAnsi="Times New Roman" w:cs="Times New Roman"/>
          <w:sz w:val="24"/>
          <w:szCs w:val="24"/>
        </w:rPr>
      </w:pPr>
      <w:r>
        <w:rPr>
          <w:rFonts w:ascii="Times New Roman" w:hAnsi="Times New Roman" w:cs="Times New Roman"/>
          <w:sz w:val="24"/>
          <w:szCs w:val="24"/>
        </w:rPr>
        <w:t xml:space="preserve">Spilanthol content reaches 99.97% in several species in the genus Acmella, including </w:t>
      </w:r>
      <w:r>
        <w:rPr>
          <w:rFonts w:ascii="Times New Roman" w:hAnsi="Times New Roman" w:cs="Times New Roman"/>
          <w:i/>
          <w:iCs/>
          <w:sz w:val="24"/>
          <w:szCs w:val="24"/>
        </w:rPr>
        <w:t>A. Oleracea</w:t>
      </w:r>
      <w:r>
        <w:rPr>
          <w:rFonts w:ascii="Times New Roman" w:hAnsi="Times New Roman" w:cs="Times New Roman"/>
          <w:sz w:val="24"/>
          <w:szCs w:val="24"/>
        </w:rPr>
        <w:t>, with no standard concentration on their bioactive compounds (Alperth et al., 2024). Overall, the results indicate that Agik-agik (</w:t>
      </w:r>
      <w:r>
        <w:rPr>
          <w:rFonts w:ascii="Times New Roman" w:hAnsi="Times New Roman" w:cs="Times New Roman"/>
          <w:i/>
          <w:iCs/>
          <w:sz w:val="24"/>
          <w:szCs w:val="24"/>
        </w:rPr>
        <w:t>Acmella oleracea</w:t>
      </w:r>
      <w:r>
        <w:rPr>
          <w:rFonts w:ascii="Times New Roman" w:hAnsi="Times New Roman" w:cs="Times New Roman"/>
          <w:sz w:val="24"/>
          <w:szCs w:val="24"/>
        </w:rPr>
        <w:t>) is rich in</w:t>
      </w:r>
      <w:r>
        <w:rPr>
          <w:rFonts w:ascii="Times New Roman" w:hAnsi="Times New Roman" w:cs="Times New Roman"/>
          <w:sz w:val="24"/>
          <w:szCs w:val="24"/>
        </w:rPr>
        <w:t xml:space="preserve"> phenolic compounds, </w:t>
      </w:r>
      <w:r>
        <w:rPr>
          <w:rFonts w:ascii="Times New Roman" w:eastAsia="SimSun" w:hAnsi="Times New Roman" w:cs="Times New Roman"/>
          <w:sz w:val="24"/>
          <w:szCs w:val="24"/>
          <w:lang w:eastAsia="zh-CN"/>
        </w:rPr>
        <w:t xml:space="preserve">particularly flavonoids and tannins, which likely contribute significantly to its biological and medicinal properties. </w:t>
      </w:r>
      <w:r>
        <w:rPr>
          <w:rStyle w:val="x3jgonx"/>
          <w:rFonts w:ascii="Times New Roman" w:eastAsia="SimSun" w:hAnsi="Times New Roman" w:cs="Times New Roman"/>
          <w:sz w:val="24"/>
          <w:szCs w:val="24"/>
        </w:rPr>
        <w:t xml:space="preserve">These findings provide validation and support for the traditional use of </w:t>
      </w:r>
      <w:r>
        <w:rPr>
          <w:rFonts w:ascii="Times New Roman" w:hAnsi="Times New Roman" w:cs="Times New Roman"/>
          <w:sz w:val="24"/>
          <w:szCs w:val="24"/>
        </w:rPr>
        <w:t>Agik-agik (</w:t>
      </w:r>
      <w:r>
        <w:rPr>
          <w:rFonts w:ascii="Times New Roman" w:hAnsi="Times New Roman" w:cs="Times New Roman"/>
          <w:i/>
          <w:iCs/>
          <w:sz w:val="24"/>
          <w:szCs w:val="24"/>
        </w:rPr>
        <w:t>Acmella oleracea</w:t>
      </w:r>
      <w:r>
        <w:rPr>
          <w:rFonts w:ascii="Times New Roman" w:hAnsi="Times New Roman" w:cs="Times New Roman"/>
          <w:sz w:val="24"/>
          <w:szCs w:val="24"/>
        </w:rPr>
        <w:t xml:space="preserve">) </w:t>
      </w:r>
      <w:r>
        <w:rPr>
          <w:rStyle w:val="x3jgonx"/>
          <w:rFonts w:ascii="Times New Roman" w:eastAsia="SimSun" w:hAnsi="Times New Roman" w:cs="Times New Roman"/>
          <w:sz w:val="24"/>
          <w:szCs w:val="24"/>
        </w:rPr>
        <w:t xml:space="preserve">in treating </w:t>
      </w:r>
      <w:r>
        <w:rPr>
          <w:rStyle w:val="x3jgonx"/>
          <w:rFonts w:ascii="Times New Roman" w:eastAsia="SimSun" w:hAnsi="Times New Roman" w:cs="Times New Roman"/>
          <w:sz w:val="24"/>
          <w:szCs w:val="24"/>
        </w:rPr>
        <w:t>toothache (Pilapil et al., 2022).</w:t>
      </w: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33808">
      <w:pPr>
        <w:spacing w:after="0" w:line="480" w:lineRule="auto"/>
        <w:rPr>
          <w:rFonts w:ascii="Times New Roman" w:eastAsia="Arial" w:hAnsi="Times New Roman" w:cs="Times New Roman"/>
          <w:b/>
          <w:sz w:val="28"/>
          <w:szCs w:val="28"/>
        </w:rPr>
      </w:pPr>
      <w:bookmarkStart w:id="5" w:name="_Hlk220235043"/>
      <w:r>
        <w:rPr>
          <w:rFonts w:ascii="Times New Roman" w:eastAsia="Arial" w:hAnsi="Times New Roman" w:cs="Times New Roman"/>
          <w:b/>
          <w:sz w:val="28"/>
          <w:szCs w:val="28"/>
        </w:rPr>
        <w:t>SUMMARY OF FINDINGS, CONCLUSION, AND RECOMMENDATIONS</w:t>
      </w:r>
    </w:p>
    <w:bookmarkEnd w:id="5"/>
    <w:p w:rsidR="00F03517" w:rsidRDefault="00F33808">
      <w:pPr>
        <w:spacing w:after="0" w:line="240" w:lineRule="auto"/>
        <w:ind w:firstLine="720"/>
        <w:jc w:val="both"/>
        <w:rPr>
          <w:rStyle w:val="x3jgonx"/>
          <w:rFonts w:ascii="Times New Roman" w:eastAsia="SimSun" w:hAnsi="Times New Roman" w:cs="Times New Roman"/>
          <w:sz w:val="24"/>
          <w:szCs w:val="24"/>
        </w:rPr>
      </w:pPr>
      <w:r>
        <w:rPr>
          <w:rStyle w:val="x3jgonx"/>
          <w:rFonts w:ascii="Times New Roman" w:eastAsia="SimSun" w:hAnsi="Times New Roman" w:cs="Times New Roman"/>
          <w:sz w:val="24"/>
          <w:szCs w:val="24"/>
        </w:rPr>
        <w:t>This chapter summarizes the study’s findings, conclusions, and recommendations. It focuses on the phytochemical composition of the selected medicinal plants used by the</w:t>
      </w:r>
      <w:r>
        <w:rPr>
          <w:rStyle w:val="x3jgonx"/>
          <w:rFonts w:ascii="Times New Roman" w:eastAsia="SimSun" w:hAnsi="Times New Roman" w:cs="Times New Roman"/>
          <w:sz w:val="24"/>
          <w:szCs w:val="24"/>
        </w:rPr>
        <w:t xml:space="preserve"> B’laan tribe and discusses their significant medicinal value.</w:t>
      </w:r>
    </w:p>
    <w:p w:rsidR="00F03517" w:rsidRDefault="00F03517">
      <w:pPr>
        <w:spacing w:after="0" w:line="240" w:lineRule="auto"/>
        <w:ind w:firstLine="720"/>
        <w:jc w:val="both"/>
        <w:rPr>
          <w:rStyle w:val="x3jgonx"/>
          <w:rFonts w:ascii="Times New Roman" w:eastAsia="SimSun" w:hAnsi="Times New Roman" w:cs="Times New Roman"/>
          <w:sz w:val="24"/>
          <w:szCs w:val="24"/>
        </w:rPr>
      </w:pPr>
    </w:p>
    <w:p w:rsidR="00F03517" w:rsidRDefault="00F33808">
      <w:pPr>
        <w:spacing w:after="0" w:line="240" w:lineRule="auto"/>
        <w:jc w:val="both"/>
        <w:rPr>
          <w:rStyle w:val="x3jgonx"/>
          <w:rFonts w:ascii="Times New Roman" w:eastAsia="SimSun" w:hAnsi="Times New Roman" w:cs="Times New Roman"/>
          <w:b/>
          <w:bCs/>
          <w:sz w:val="28"/>
          <w:szCs w:val="28"/>
        </w:rPr>
      </w:pPr>
      <w:r>
        <w:rPr>
          <w:rStyle w:val="x3jgonx"/>
          <w:rFonts w:ascii="Times New Roman" w:eastAsia="SimSun" w:hAnsi="Times New Roman" w:cs="Times New Roman"/>
          <w:b/>
          <w:bCs/>
          <w:sz w:val="28"/>
          <w:szCs w:val="28"/>
        </w:rPr>
        <w:t>SUMMARY OF FINDINGS</w:t>
      </w:r>
    </w:p>
    <w:p w:rsidR="00F03517" w:rsidRDefault="00F03517">
      <w:pPr>
        <w:spacing w:after="0" w:line="240" w:lineRule="auto"/>
        <w:jc w:val="both"/>
        <w:rPr>
          <w:rStyle w:val="x3jgonx"/>
          <w:rFonts w:ascii="Times New Roman" w:eastAsia="SimSun" w:hAnsi="Times New Roman" w:cs="Times New Roman"/>
          <w:b/>
          <w:bCs/>
          <w:sz w:val="28"/>
          <w:szCs w:val="28"/>
        </w:rPr>
      </w:pPr>
    </w:p>
    <w:p w:rsidR="00F03517" w:rsidRDefault="00F33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results provided by the WVN Testing and Research Laboratory, by conducting two tests, which are the qualitative and the quantitative tests on the plants </w:t>
      </w:r>
      <w:r>
        <w:rPr>
          <w:rFonts w:ascii="Times New Roman" w:hAnsi="Times New Roman" w:cs="Times New Roman"/>
          <w:i/>
          <w:iCs/>
          <w:sz w:val="24"/>
          <w:szCs w:val="24"/>
        </w:rPr>
        <w:t>Gmelina arbor</w:t>
      </w:r>
      <w:r>
        <w:rPr>
          <w:rFonts w:ascii="Times New Roman" w:hAnsi="Times New Roman" w:cs="Times New Roman"/>
          <w:i/>
          <w:iCs/>
          <w:sz w:val="24"/>
          <w:szCs w:val="24"/>
        </w:rPr>
        <w:t>ea</w:t>
      </w:r>
      <w:r>
        <w:rPr>
          <w:rFonts w:ascii="Times New Roman" w:hAnsi="Times New Roman" w:cs="Times New Roman"/>
          <w:sz w:val="24"/>
          <w:szCs w:val="24"/>
        </w:rPr>
        <w:t xml:space="preserve">, </w:t>
      </w:r>
      <w:r>
        <w:rPr>
          <w:rFonts w:ascii="Times New Roman" w:hAnsi="Times New Roman" w:cs="Times New Roman"/>
          <w:i/>
          <w:iCs/>
          <w:sz w:val="24"/>
          <w:szCs w:val="24"/>
        </w:rPr>
        <w:t>Orthosiphon aristatus</w:t>
      </w:r>
      <w:r>
        <w:rPr>
          <w:rFonts w:ascii="Times New Roman" w:hAnsi="Times New Roman" w:cs="Times New Roman"/>
          <w:sz w:val="24"/>
          <w:szCs w:val="24"/>
        </w:rPr>
        <w:t xml:space="preserve">, and </w:t>
      </w:r>
      <w:r>
        <w:rPr>
          <w:rFonts w:ascii="Times New Roman" w:hAnsi="Times New Roman" w:cs="Times New Roman"/>
          <w:i/>
          <w:iCs/>
          <w:sz w:val="24"/>
          <w:szCs w:val="24"/>
        </w:rPr>
        <w:t>Acmella oleracea,</w:t>
      </w:r>
      <w:r>
        <w:rPr>
          <w:rFonts w:ascii="Times New Roman" w:hAnsi="Times New Roman" w:cs="Times New Roman"/>
          <w:sz w:val="24"/>
          <w:szCs w:val="24"/>
        </w:rPr>
        <w:t xml:space="preserve"> are shown in the tables below:</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 xml:space="preserve"> Results showed that Gmelina possesses a great number of flavonoids and tannins, as they appear to be strongly positive (+++). Gmelina also contains plobotannins and steroids</w:t>
      </w:r>
      <w:r>
        <w:rPr>
          <w:rFonts w:ascii="Times New Roman" w:hAnsi="Times New Roman" w:cs="Times New Roman"/>
          <w:sz w:val="24"/>
          <w:szCs w:val="24"/>
        </w:rPr>
        <w:t>, which showed to be moderately positive (++). Lastly, the test also shows that Gmelina contains glycosides and alkaloids in minimal amounts, as indicated weakly positive (+), and the absence of saponins. These compounds help in the overall effectiveness o</w:t>
      </w:r>
      <w:r>
        <w:rPr>
          <w:rFonts w:ascii="Times New Roman" w:hAnsi="Times New Roman" w:cs="Times New Roman"/>
          <w:sz w:val="24"/>
          <w:szCs w:val="24"/>
        </w:rPr>
        <w:t xml:space="preserve">f </w:t>
      </w:r>
      <w:r>
        <w:rPr>
          <w:rFonts w:ascii="Times New Roman" w:hAnsi="Times New Roman" w:cs="Times New Roman"/>
          <w:i/>
          <w:iCs/>
          <w:sz w:val="24"/>
          <w:szCs w:val="24"/>
        </w:rPr>
        <w:t xml:space="preserve">Gmelina arborea </w:t>
      </w:r>
      <w:r>
        <w:rPr>
          <w:rFonts w:ascii="Times New Roman" w:hAnsi="Times New Roman" w:cs="Times New Roman"/>
          <w:sz w:val="24"/>
          <w:szCs w:val="24"/>
        </w:rPr>
        <w:t>in traditional healing, as these compounds are responsible for the antimicrobial, anti-inflammatory, antipyretic, analgesic, antiviral, and antioxidant.</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 xml:space="preserve"> Flavonoids and tannins were found to be moderately positive (++) while plobotannin</w:t>
      </w:r>
      <w:r>
        <w:rPr>
          <w:rFonts w:ascii="Times New Roman" w:hAnsi="Times New Roman" w:cs="Times New Roman"/>
          <w:sz w:val="24"/>
          <w:szCs w:val="24"/>
        </w:rPr>
        <w:t>s, steroids, and glycosides are weakly positive (+). However, both alkaloids and saponins were absent. The qualitative result for the Balbas-pusa may not be strongly positive, but it still serves its purpose traditionally in the tribe's practice. The compo</w:t>
      </w:r>
      <w:r>
        <w:rPr>
          <w:rFonts w:ascii="Times New Roman" w:hAnsi="Times New Roman" w:cs="Times New Roman"/>
          <w:sz w:val="24"/>
          <w:szCs w:val="24"/>
        </w:rPr>
        <w:t xml:space="preserve">unds present are responsible for the antimicrobial, anti-inflammatory, antidiabetic, and diuretic effects, which the tribe uses in treating diabetes.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sz w:val="24"/>
          <w:szCs w:val="24"/>
        </w:rPr>
        <w:t>Results showed that flavonoids, tannins, plobotannins, steroids, and glycosides are weakly positive (+</w:t>
      </w:r>
      <w:r>
        <w:rPr>
          <w:rFonts w:ascii="Times New Roman" w:hAnsi="Times New Roman" w:cs="Times New Roman"/>
          <w:sz w:val="24"/>
          <w:szCs w:val="24"/>
        </w:rPr>
        <w:t>). However, alkaloids and saponins were absent. These compounds may be weakly positive throughout the plant. However, significantly enhance the plant’s overall effect in relieving toothache as they have anti-inflammatory, antimicrobial, antiviral, and anti</w:t>
      </w:r>
      <w:r>
        <w:rPr>
          <w:rFonts w:ascii="Times New Roman" w:hAnsi="Times New Roman" w:cs="Times New Roman"/>
          <w:sz w:val="24"/>
          <w:szCs w:val="24"/>
        </w:rPr>
        <w:t xml:space="preserve">oxidant properties.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4. </w:t>
      </w:r>
      <w:r>
        <w:rPr>
          <w:rFonts w:ascii="Times New Roman" w:hAnsi="Times New Roman" w:cs="Times New Roman"/>
          <w:sz w:val="24"/>
          <w:szCs w:val="24"/>
        </w:rPr>
        <w:t>Flavonoids have the highest amount of 16.52 mg/g, followed by tannins with 15.21 mg/g as the most abundant compound in the plant. Plobotannins also show significant levels of 7.56 mg/g, glycosides at 3.25 mg/g and 3.52 mg/g, respect</w:t>
      </w:r>
      <w:r>
        <w:rPr>
          <w:rFonts w:ascii="Times New Roman" w:hAnsi="Times New Roman" w:cs="Times New Roman"/>
          <w:sz w:val="24"/>
          <w:szCs w:val="24"/>
        </w:rPr>
        <w:t>ively, and a low concentration of steroids containing only 1.42 mg/g. This amount of concentration is significant for the benefits and healing properties of gmelina.</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sz w:val="24"/>
          <w:szCs w:val="24"/>
        </w:rPr>
        <w:t xml:space="preserve"> This data shows that flavonoids are the most dominant compound with a concentration of </w:t>
      </w:r>
      <w:r>
        <w:rPr>
          <w:rFonts w:ascii="Times New Roman" w:hAnsi="Times New Roman" w:cs="Times New Roman"/>
          <w:sz w:val="24"/>
          <w:szCs w:val="24"/>
        </w:rPr>
        <w:t>14.22 mg/g, followed by tannins with 10.24 mg/g. Plobotannins showed the highest concentration at 5.26 mg/g, while glycosides and steroids had the lowest concentration of 2.12 mg/g and 1.23 mg/g, respectively. These concentrations are significant in the ov</w:t>
      </w:r>
      <w:r>
        <w:rPr>
          <w:rFonts w:ascii="Times New Roman" w:hAnsi="Times New Roman" w:cs="Times New Roman"/>
          <w:sz w:val="24"/>
          <w:szCs w:val="24"/>
        </w:rPr>
        <w:t xml:space="preserve">erall effect of the Balbas-pusa as a treatment for diabetes. </w:t>
      </w:r>
    </w:p>
    <w:p w:rsidR="00F03517" w:rsidRDefault="00F33808">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6. </w:t>
      </w:r>
      <w:r>
        <w:rPr>
          <w:rFonts w:ascii="Times New Roman" w:hAnsi="Times New Roman" w:cs="Times New Roman"/>
          <w:sz w:val="24"/>
          <w:szCs w:val="24"/>
        </w:rPr>
        <w:t xml:space="preserve">Tests revealed that flavonoids have the highest concentration of 12.65 mg/g, followed by tannins with 11.28 mg/g. Plobotannins, glycosides, and steroids have the lowest concentration with </w:t>
      </w:r>
      <w:r>
        <w:rPr>
          <w:rFonts w:ascii="Times New Roman" w:hAnsi="Times New Roman" w:cs="Times New Roman"/>
          <w:sz w:val="24"/>
          <w:szCs w:val="24"/>
        </w:rPr>
        <w:t>4.23 mg/g, 2.45 mg/g, and 1.32 mg/g, respectively. The effectiveness of the plant as medicine or treatment for inflammation and infections has been supported by this level of concentration.</w:t>
      </w:r>
    </w:p>
    <w:p w:rsidR="00F03517" w:rsidRDefault="00F03517">
      <w:pPr>
        <w:spacing w:after="0" w:line="240" w:lineRule="auto"/>
        <w:ind w:firstLine="720"/>
        <w:jc w:val="both"/>
        <w:rPr>
          <w:rFonts w:ascii="Times New Roman" w:hAnsi="Times New Roman" w:cs="Times New Roman"/>
          <w:sz w:val="24"/>
          <w:szCs w:val="24"/>
        </w:rPr>
      </w:pPr>
    </w:p>
    <w:p w:rsidR="00F03517" w:rsidRDefault="00F33808">
      <w:pPr>
        <w:spacing w:after="0" w:line="240" w:lineRule="auto"/>
        <w:jc w:val="both"/>
        <w:rPr>
          <w:rStyle w:val="x3jgonx"/>
          <w:rFonts w:ascii="Times New Roman" w:hAnsi="Times New Roman" w:cs="Times New Roman"/>
          <w:b/>
          <w:bCs/>
          <w:sz w:val="28"/>
          <w:szCs w:val="28"/>
        </w:rPr>
      </w:pPr>
      <w:r>
        <w:rPr>
          <w:rFonts w:ascii="Times New Roman" w:hAnsi="Times New Roman" w:cs="Times New Roman"/>
          <w:b/>
          <w:bCs/>
          <w:sz w:val="28"/>
          <w:szCs w:val="28"/>
        </w:rPr>
        <w:t>C</w:t>
      </w:r>
      <w:r>
        <w:rPr>
          <w:rStyle w:val="x3jgonx"/>
          <w:rFonts w:ascii="Times New Roman" w:hAnsi="Times New Roman" w:cs="Times New Roman"/>
          <w:b/>
          <w:bCs/>
          <w:sz w:val="28"/>
          <w:szCs w:val="28"/>
        </w:rPr>
        <w:t xml:space="preserve">ONCLUSIONS </w:t>
      </w:r>
    </w:p>
    <w:p w:rsidR="00F03517" w:rsidRDefault="00F03517">
      <w:pPr>
        <w:spacing w:after="0" w:line="240" w:lineRule="auto"/>
        <w:jc w:val="both"/>
        <w:rPr>
          <w:rStyle w:val="x3jgonx"/>
          <w:rFonts w:ascii="Times New Roman" w:hAnsi="Times New Roman" w:cs="Times New Roman"/>
          <w:sz w:val="24"/>
          <w:szCs w:val="24"/>
        </w:rPr>
      </w:pPr>
    </w:p>
    <w:p w:rsidR="00F03517" w:rsidRDefault="00F33808">
      <w:pPr>
        <w:spacing w:after="0" w:line="240" w:lineRule="auto"/>
        <w:ind w:firstLine="720"/>
        <w:jc w:val="both"/>
        <w:rPr>
          <w:rFonts w:ascii="Times New Roman" w:hAnsi="Times New Roman" w:cs="Times New Roman"/>
          <w:sz w:val="24"/>
          <w:szCs w:val="24"/>
        </w:rPr>
      </w:pPr>
      <w:r>
        <w:rPr>
          <w:rStyle w:val="x3jgonx"/>
          <w:rFonts w:ascii="Times New Roman" w:hAnsi="Times New Roman" w:cs="Times New Roman"/>
          <w:sz w:val="24"/>
          <w:szCs w:val="24"/>
        </w:rPr>
        <w:t>The results indicated the presence of medicinally r</w:t>
      </w:r>
      <w:r>
        <w:rPr>
          <w:rStyle w:val="x3jgonx"/>
          <w:rFonts w:ascii="Times New Roman" w:hAnsi="Times New Roman" w:cs="Times New Roman"/>
          <w:sz w:val="24"/>
          <w:szCs w:val="24"/>
        </w:rPr>
        <w:t xml:space="preserve">elevant compounds in the plants that were being tested. </w:t>
      </w:r>
      <w:r>
        <w:rPr>
          <w:rFonts w:ascii="Times New Roman" w:hAnsi="Times New Roman" w:cs="Times New Roman"/>
          <w:i/>
          <w:iCs/>
          <w:sz w:val="24"/>
          <w:szCs w:val="24"/>
        </w:rPr>
        <w:t>Gmelina arborea</w:t>
      </w:r>
      <w:r>
        <w:rPr>
          <w:rFonts w:ascii="Times New Roman" w:hAnsi="Times New Roman" w:cs="Times New Roman"/>
          <w:sz w:val="24"/>
          <w:szCs w:val="24"/>
        </w:rPr>
        <w:t xml:space="preserve">, </w:t>
      </w:r>
      <w:r>
        <w:rPr>
          <w:rFonts w:ascii="Times New Roman" w:hAnsi="Times New Roman" w:cs="Times New Roman"/>
          <w:i/>
          <w:iCs/>
          <w:sz w:val="24"/>
          <w:szCs w:val="24"/>
        </w:rPr>
        <w:t>Orthosiphon aristatus</w:t>
      </w:r>
      <w:r>
        <w:rPr>
          <w:rFonts w:ascii="Times New Roman" w:hAnsi="Times New Roman" w:cs="Times New Roman"/>
          <w:sz w:val="24"/>
          <w:szCs w:val="24"/>
        </w:rPr>
        <w:t xml:space="preserve">, and </w:t>
      </w:r>
      <w:r>
        <w:rPr>
          <w:rFonts w:ascii="Times New Roman" w:hAnsi="Times New Roman" w:cs="Times New Roman"/>
          <w:i/>
          <w:iCs/>
          <w:sz w:val="24"/>
          <w:szCs w:val="24"/>
        </w:rPr>
        <w:t xml:space="preserve">Acmella oleracea </w:t>
      </w:r>
      <w:r>
        <w:rPr>
          <w:rFonts w:ascii="Times New Roman" w:hAnsi="Times New Roman" w:cs="Times New Roman"/>
          <w:sz w:val="24"/>
          <w:szCs w:val="24"/>
        </w:rPr>
        <w:t>contain important phytochemicals that contribute to therapeutic efficacy. All plant samples contain flavonoids and tannins, indicating that</w:t>
      </w:r>
      <w:r>
        <w:rPr>
          <w:rFonts w:ascii="Times New Roman" w:hAnsi="Times New Roman" w:cs="Times New Roman"/>
          <w:sz w:val="24"/>
          <w:szCs w:val="24"/>
        </w:rPr>
        <w:t xml:space="preserve"> these phenolic compounds play major roles in plants as antioxidants, antimicrobials, and anti-inflammatory properties. </w:t>
      </w:r>
      <w:r>
        <w:rPr>
          <w:rFonts w:ascii="Times New Roman" w:hAnsi="Times New Roman" w:cs="Times New Roman"/>
          <w:i/>
          <w:iCs/>
          <w:sz w:val="24"/>
          <w:szCs w:val="24"/>
        </w:rPr>
        <w:t xml:space="preserve">Gmelina arborea </w:t>
      </w:r>
      <w:r>
        <w:rPr>
          <w:rFonts w:ascii="Times New Roman" w:hAnsi="Times New Roman" w:cs="Times New Roman"/>
          <w:sz w:val="24"/>
          <w:szCs w:val="24"/>
        </w:rPr>
        <w:t>has the richest phytochemical profile, supporting its traditional use in the treatment of fever, cold, and cough. Import</w:t>
      </w:r>
      <w:r>
        <w:rPr>
          <w:rFonts w:ascii="Times New Roman" w:hAnsi="Times New Roman" w:cs="Times New Roman"/>
          <w:sz w:val="24"/>
          <w:szCs w:val="24"/>
        </w:rPr>
        <w:t xml:space="preserve">ant phytochemicals linked to </w:t>
      </w:r>
      <w:r>
        <w:rPr>
          <w:rStyle w:val="x3jgonx"/>
          <w:rFonts w:ascii="Times New Roman" w:hAnsi="Times New Roman" w:cs="Times New Roman"/>
          <w:sz w:val="24"/>
          <w:szCs w:val="24"/>
        </w:rPr>
        <w:t xml:space="preserve">diabetes, kidney-related conditions, inflammation, and metabolic conditions are found in </w:t>
      </w:r>
      <w:r>
        <w:rPr>
          <w:rFonts w:ascii="Times New Roman" w:hAnsi="Times New Roman" w:cs="Times New Roman"/>
          <w:i/>
          <w:iCs/>
          <w:sz w:val="24"/>
          <w:szCs w:val="24"/>
        </w:rPr>
        <w:t xml:space="preserve">Orthosiphon aristatus. </w:t>
      </w:r>
      <w:r>
        <w:rPr>
          <w:rFonts w:ascii="Times New Roman" w:hAnsi="Times New Roman" w:cs="Times New Roman"/>
          <w:sz w:val="24"/>
          <w:szCs w:val="24"/>
        </w:rPr>
        <w:t xml:space="preserve">Despite having a lower concentration, </w:t>
      </w:r>
      <w:r>
        <w:rPr>
          <w:rFonts w:ascii="Times New Roman" w:hAnsi="Times New Roman" w:cs="Times New Roman"/>
          <w:i/>
          <w:iCs/>
          <w:sz w:val="24"/>
          <w:szCs w:val="24"/>
        </w:rPr>
        <w:t xml:space="preserve">Acmella oleracea </w:t>
      </w:r>
      <w:r>
        <w:rPr>
          <w:rFonts w:ascii="Times New Roman" w:hAnsi="Times New Roman" w:cs="Times New Roman"/>
          <w:sz w:val="24"/>
          <w:szCs w:val="24"/>
        </w:rPr>
        <w:t>demonstrated a vital bioactive compound that supports its us</w:t>
      </w:r>
      <w:r>
        <w:rPr>
          <w:rFonts w:ascii="Times New Roman" w:hAnsi="Times New Roman" w:cs="Times New Roman"/>
          <w:sz w:val="24"/>
          <w:szCs w:val="24"/>
        </w:rPr>
        <w:t>e for toothaches.</w:t>
      </w:r>
    </w:p>
    <w:p w:rsidR="00F03517" w:rsidRDefault="00F33808">
      <w:pPr>
        <w:spacing w:after="0" w:line="240" w:lineRule="auto"/>
        <w:ind w:firstLine="720"/>
        <w:jc w:val="both"/>
        <w:rPr>
          <w:rStyle w:val="x3jgonx"/>
          <w:rFonts w:ascii="Times New Roman" w:hAnsi="Times New Roman" w:cs="Times New Roman"/>
          <w:sz w:val="24"/>
          <w:szCs w:val="24"/>
        </w:rPr>
      </w:pPr>
      <w:r>
        <w:rPr>
          <w:rStyle w:val="x3jgonx"/>
          <w:rFonts w:ascii="Times New Roman" w:hAnsi="Times New Roman" w:cs="Times New Roman"/>
          <w:sz w:val="24"/>
          <w:szCs w:val="24"/>
        </w:rPr>
        <w:t>It is strongly recommended that the traditional use of these plants be supported, and confirms that these natural sources of bioactive compounds have potential for pharmacological therapeutic research.</w:t>
      </w:r>
    </w:p>
    <w:p w:rsidR="00F03517" w:rsidRDefault="00F03517">
      <w:pPr>
        <w:spacing w:after="0" w:line="240" w:lineRule="auto"/>
        <w:ind w:firstLine="720"/>
        <w:jc w:val="both"/>
        <w:rPr>
          <w:rStyle w:val="x3jgonx"/>
          <w:rFonts w:ascii="Times New Roman" w:hAnsi="Times New Roman" w:cs="Times New Roman"/>
          <w:sz w:val="24"/>
          <w:szCs w:val="24"/>
        </w:rPr>
      </w:pPr>
    </w:p>
    <w:p w:rsidR="00F03517" w:rsidRDefault="00F33808">
      <w:pPr>
        <w:spacing w:after="0" w:line="240" w:lineRule="auto"/>
        <w:jc w:val="both"/>
        <w:rPr>
          <w:rStyle w:val="x3jgonx"/>
          <w:rFonts w:ascii="Times New Roman" w:hAnsi="Times New Roman" w:cs="Times New Roman"/>
          <w:b/>
          <w:bCs/>
          <w:sz w:val="28"/>
          <w:szCs w:val="28"/>
        </w:rPr>
      </w:pPr>
      <w:r>
        <w:rPr>
          <w:rStyle w:val="x3jgonx"/>
          <w:rFonts w:ascii="Times New Roman" w:hAnsi="Times New Roman" w:cs="Times New Roman"/>
          <w:b/>
          <w:bCs/>
          <w:sz w:val="28"/>
          <w:szCs w:val="28"/>
        </w:rPr>
        <w:t>RECOMMENDATIONS</w:t>
      </w:r>
    </w:p>
    <w:p w:rsidR="00F03517" w:rsidRDefault="00F03517">
      <w:pPr>
        <w:spacing w:after="0" w:line="240" w:lineRule="auto"/>
        <w:jc w:val="both"/>
        <w:rPr>
          <w:rStyle w:val="x3jgonx"/>
          <w:rFonts w:ascii="Times New Roman" w:hAnsi="Times New Roman" w:cs="Times New Roman"/>
          <w:b/>
          <w:bCs/>
          <w:sz w:val="28"/>
          <w:szCs w:val="28"/>
        </w:rPr>
      </w:pPr>
    </w:p>
    <w:p w:rsidR="00F03517" w:rsidRDefault="00F33808">
      <w:pPr>
        <w:spacing w:after="0" w:line="240" w:lineRule="auto"/>
        <w:ind w:firstLine="720"/>
        <w:jc w:val="both"/>
        <w:rPr>
          <w:rStyle w:val="x3jgonx"/>
          <w:rFonts w:ascii="Times New Roman" w:hAnsi="Times New Roman" w:cs="Times New Roman"/>
          <w:sz w:val="24"/>
          <w:szCs w:val="24"/>
        </w:rPr>
      </w:pPr>
      <w:r>
        <w:rPr>
          <w:rStyle w:val="x3jgonx"/>
          <w:rFonts w:ascii="Times New Roman" w:hAnsi="Times New Roman" w:cs="Times New Roman"/>
          <w:sz w:val="24"/>
          <w:szCs w:val="24"/>
        </w:rPr>
        <w:t>According to the r</w:t>
      </w:r>
      <w:r>
        <w:rPr>
          <w:rStyle w:val="x3jgonx"/>
          <w:rFonts w:ascii="Times New Roman" w:hAnsi="Times New Roman" w:cs="Times New Roman"/>
          <w:sz w:val="24"/>
          <w:szCs w:val="24"/>
        </w:rPr>
        <w:t>esults of the research conducted within the framework of the current study, it is possible to suggest the following recommendations to conduct future research and practice:</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B'laan traditional healers and indigenous communities are motivated to continue </w:t>
      </w:r>
      <w:r>
        <w:rPr>
          <w:rFonts w:ascii="Times New Roman" w:eastAsia="Times New Roman" w:hAnsi="Times New Roman" w:cs="Times New Roman"/>
          <w:sz w:val="24"/>
          <w:szCs w:val="24"/>
        </w:rPr>
        <w:t>preserving and practicing their traditional healing knowledge. These practices should be documented and validated to conserve cultural heritage and acknowledge the great contributions of owners of indigenous knowledge in community healthcare and scientific</w:t>
      </w:r>
      <w:r>
        <w:rPr>
          <w:rFonts w:ascii="Times New Roman" w:eastAsia="Times New Roman" w:hAnsi="Times New Roman" w:cs="Times New Roman"/>
          <w:sz w:val="24"/>
          <w:szCs w:val="24"/>
        </w:rPr>
        <w:t xml:space="preserve"> progress. The outcomes of these phytochemical studies can serve as scientific evidence to demonstrate the safety, efficacy, and stability of the traditional remedies, as well as facilitate cooperation with contemporary medical practice. </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communitie</w:t>
      </w:r>
      <w:r>
        <w:rPr>
          <w:rFonts w:ascii="Times New Roman" w:eastAsia="Times New Roman" w:hAnsi="Times New Roman" w:cs="Times New Roman"/>
          <w:sz w:val="24"/>
          <w:szCs w:val="24"/>
        </w:rPr>
        <w:t>s, especially the B’laan tribe and those around them, are also urged to enhance their knowledge and understanding of medicinal plants found in and around them. Its natural resource sustainability would prevent the company by encouraging sustainable harvest</w:t>
      </w:r>
      <w:r>
        <w:rPr>
          <w:rFonts w:ascii="Times New Roman" w:eastAsia="Times New Roman" w:hAnsi="Times New Roman" w:cs="Times New Roman"/>
          <w:sz w:val="24"/>
          <w:szCs w:val="24"/>
        </w:rPr>
        <w:t xml:space="preserve">ing and conservation programs to ensure the long-term availability of these superior natural resources. </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This research might be utilized by local health offices as a reference to perceiving the prospect of traditional and alternative medicines. The outc</w:t>
      </w:r>
      <w:r>
        <w:rPr>
          <w:rFonts w:ascii="Times New Roman" w:eastAsia="Times New Roman" w:hAnsi="Times New Roman" w:cs="Times New Roman"/>
          <w:sz w:val="24"/>
          <w:szCs w:val="24"/>
        </w:rPr>
        <w:t xml:space="preserve">ome could aid in the development, legislation, and potential introduction of safe herbal medications in the local health services and community-based health systems. </w:t>
      </w:r>
    </w:p>
    <w:p w:rsidR="00F03517" w:rsidRDefault="00F3380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This study can be used by ethnobotanists and Pharmacologists as a source of informatio</w:t>
      </w:r>
      <w:r>
        <w:rPr>
          <w:rFonts w:ascii="Times New Roman" w:eastAsia="Times New Roman" w:hAnsi="Times New Roman" w:cs="Times New Roman"/>
          <w:sz w:val="24"/>
          <w:szCs w:val="24"/>
        </w:rPr>
        <w:t>n on the identification of medicinal plants that have applications in the pharmaceutical industry. The results indicate the importance of native understanding of bioprospecting and can serve as a basis for other studies on plant-based drug development base</w:t>
      </w:r>
      <w:r>
        <w:rPr>
          <w:rFonts w:ascii="Times New Roman" w:eastAsia="Times New Roman" w:hAnsi="Times New Roman" w:cs="Times New Roman"/>
          <w:sz w:val="24"/>
          <w:szCs w:val="24"/>
        </w:rPr>
        <w:t xml:space="preserve">d on plants. </w:t>
      </w:r>
    </w:p>
    <w:p w:rsidR="00F03517" w:rsidRDefault="00F33808">
      <w:pPr>
        <w:spacing w:after="0" w:line="240" w:lineRule="auto"/>
        <w:ind w:firstLine="720"/>
        <w:jc w:val="both"/>
        <w:rPr>
          <w:rStyle w:val="x3jgonx"/>
          <w:rFonts w:ascii="Times New Roman" w:eastAsia="SimSun" w:hAnsi="Times New Roman" w:cs="Times New Roman"/>
          <w:sz w:val="24"/>
          <w:szCs w:val="24"/>
        </w:rPr>
      </w:pPr>
      <w:r>
        <w:rPr>
          <w:rFonts w:ascii="Times New Roman" w:eastAsia="Times New Roman" w:hAnsi="Times New Roman" w:cs="Times New Roman"/>
          <w:sz w:val="24"/>
          <w:szCs w:val="24"/>
        </w:rPr>
        <w:t xml:space="preserve">5. As research in the future, it is recommended that committed researchers employ more studies to extend the effectiveness, safety, and active constituents of the traditional medicinal plants in the Philippines, as well as in other areas. It </w:t>
      </w:r>
      <w:r>
        <w:rPr>
          <w:rFonts w:ascii="Times New Roman" w:eastAsia="Times New Roman" w:hAnsi="Times New Roman" w:cs="Times New Roman"/>
          <w:sz w:val="24"/>
          <w:szCs w:val="24"/>
        </w:rPr>
        <w:t>is suggested that laboratory studies, clinical validation, and comparisons ne conducted to enhance the science of traditional medicines.</w:t>
      </w: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03517">
      <w:pPr>
        <w:shd w:val="clear" w:color="auto" w:fill="FFFFFF"/>
        <w:spacing w:after="0" w:line="240" w:lineRule="auto"/>
        <w:ind w:firstLine="720"/>
        <w:jc w:val="both"/>
        <w:rPr>
          <w:rStyle w:val="x3jgonx"/>
          <w:rFonts w:ascii="Times New Roman" w:eastAsia="SimSun" w:hAnsi="Times New Roman" w:cs="Times New Roman"/>
          <w:sz w:val="24"/>
          <w:szCs w:val="24"/>
        </w:rPr>
      </w:pPr>
    </w:p>
    <w:p w:rsidR="00F03517" w:rsidRDefault="00F33808">
      <w:pPr>
        <w:spacing w:after="0" w:line="240" w:lineRule="auto"/>
        <w:ind w:left="720" w:hanging="720"/>
        <w:rPr>
          <w:rStyle w:val="x3jgonx"/>
          <w:rFonts w:ascii="Times New Roman" w:eastAsia="SimSun" w:hAnsi="Times New Roman" w:cs="Times New Roman"/>
          <w:b/>
          <w:bCs/>
          <w:sz w:val="28"/>
          <w:szCs w:val="28"/>
        </w:rPr>
      </w:pPr>
      <w:r>
        <w:rPr>
          <w:rStyle w:val="x3jgonx"/>
          <w:rFonts w:ascii="Times New Roman" w:eastAsia="SimSun" w:hAnsi="Times New Roman" w:cs="Times New Roman"/>
          <w:b/>
          <w:bCs/>
          <w:sz w:val="28"/>
          <w:szCs w:val="28"/>
        </w:rPr>
        <w:t>REFERENCES</w:t>
      </w:r>
    </w:p>
    <w:p w:rsidR="00F03517" w:rsidRDefault="00F03517">
      <w:pPr>
        <w:spacing w:after="0" w:line="240" w:lineRule="auto"/>
        <w:ind w:hanging="720"/>
        <w:jc w:val="center"/>
        <w:rPr>
          <w:rStyle w:val="x3jgonx"/>
          <w:rFonts w:ascii="Times New Roman" w:eastAsia="SimSun" w:hAnsi="Times New Roman" w:cs="Times New Roman"/>
          <w:b/>
          <w:bCs/>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Acosta, D. Y., Jose, R. Z., &amp; Oronce, J. R. (2022). A comprehensive evaluation of medicinal </w:t>
      </w:r>
      <w:r>
        <w:rPr>
          <w:rStyle w:val="Hyperlink"/>
          <w:rFonts w:ascii="Times New Roman" w:hAnsi="Times New Roman" w:cs="Times New Roman"/>
          <w:color w:val="000000" w:themeColor="text1"/>
          <w:sz w:val="24"/>
          <w:szCs w:val="24"/>
          <w:u w:val="none"/>
        </w:rPr>
        <w:t>plants from Mindanao, Philippines using secondary data reported between 1970 and 2020. Retrieved from </w:t>
      </w:r>
      <w:hyperlink r:id="rId10" w:tgtFrame="_blank" w:history="1">
        <w:r>
          <w:rPr>
            <w:rStyle w:val="Hyperlink"/>
            <w:rFonts w:ascii="Times New Roman" w:hAnsi="Times New Roman" w:cs="Times New Roman"/>
            <w:color w:val="000000" w:themeColor="text1"/>
            <w:sz w:val="24"/>
            <w:szCs w:val="24"/>
            <w:u w:val="none"/>
          </w:rPr>
          <w:t>https://animorepository.dlsu.edu.ph/etdb_bio/10</w:t>
        </w:r>
      </w:hyperlink>
    </w:p>
    <w:p w:rsidR="00F03517" w:rsidRDefault="00F03517">
      <w:pPr>
        <w:spacing w:after="0" w:line="240" w:lineRule="auto"/>
        <w:ind w:left="36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Ahmad, M., Tahir, M., Hong, Z</w:t>
      </w:r>
      <w:r>
        <w:rPr>
          <w:rStyle w:val="Hyperlink"/>
          <w:rFonts w:ascii="Times New Roman" w:hAnsi="Times New Roman" w:cs="Times New Roman"/>
          <w:color w:val="000000" w:themeColor="text1"/>
          <w:sz w:val="24"/>
          <w:szCs w:val="24"/>
          <w:u w:val="none"/>
        </w:rPr>
        <w:t xml:space="preserve">., Zia, M. A., Rafeeq, H., Ahmad, M. S., Rehman, S. U., &amp; Sun, J. (2025). Plant and marine-derived natural products: Sustainable pathways for future drug discovery and therapeutic development. Frontiers in Pharmacology, 15. </w:t>
      </w:r>
      <w:hyperlink r:id="rId11" w:history="1">
        <w:r>
          <w:rPr>
            <w:rStyle w:val="Hyperlink"/>
            <w:rFonts w:ascii="Times New Roman" w:hAnsi="Times New Roman" w:cs="Times New Roman"/>
            <w:color w:val="000000" w:themeColor="text1"/>
            <w:sz w:val="24"/>
            <w:szCs w:val="24"/>
            <w:u w:val="none"/>
          </w:rPr>
          <w:t>https://doi.org/10.3389/fphar.2024.1497668</w:t>
        </w:r>
      </w:hyperlink>
    </w:p>
    <w:p w:rsidR="00F03517" w:rsidRDefault="00F03517">
      <w:pPr>
        <w:spacing w:after="0" w:line="240" w:lineRule="auto"/>
        <w:ind w:left="36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Agusan Manobo Study. (2020). A Philippine tribe's plant-based medical tradition. Mongabay News. Retrieved from </w:t>
      </w:r>
      <w:hyperlink r:id="rId12" w:tgtFrame="_blank" w:history="1">
        <w:r>
          <w:rPr>
            <w:rStyle w:val="Hyperlink"/>
            <w:rFonts w:ascii="Times New Roman" w:hAnsi="Times New Roman" w:cs="Times New Roman"/>
            <w:color w:val="000000" w:themeColor="text1"/>
            <w:sz w:val="24"/>
            <w:szCs w:val="24"/>
            <w:u w:val="none"/>
          </w:rPr>
          <w:t>https://news.mongabay.com/2020/10/a-philippine-tribes-plant-based-medical-tradition-gets-its-moment/</w:t>
        </w:r>
      </w:hyperlink>
    </w:p>
    <w:p w:rsidR="00F03517" w:rsidRDefault="00F03517">
      <w:pPr>
        <w:spacing w:after="0" w:line="240" w:lineRule="auto"/>
        <w:ind w:left="36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Alharbi, N., &amp; Alzahrani, Y. A. (2023). Phytochemical screening of some medicinal plants in Al Jouf</w:t>
      </w:r>
      <w:r>
        <w:rPr>
          <w:rStyle w:val="Hyperlink"/>
          <w:rFonts w:ascii="Times New Roman" w:hAnsi="Times New Roman" w:cs="Times New Roman"/>
          <w:color w:val="000000" w:themeColor="text1"/>
          <w:sz w:val="24"/>
          <w:szCs w:val="24"/>
          <w:u w:val="none"/>
        </w:rPr>
        <w:t xml:space="preserve">, KSA. </w:t>
      </w:r>
      <w:r>
        <w:rPr>
          <w:rStyle w:val="Hyperlink"/>
          <w:rFonts w:ascii="Times New Roman" w:hAnsi="Times New Roman" w:cs="Times New Roman"/>
          <w:i/>
          <w:iCs/>
          <w:color w:val="000000" w:themeColor="text1"/>
          <w:sz w:val="24"/>
          <w:szCs w:val="24"/>
          <w:u w:val="none"/>
        </w:rPr>
        <w:t>Journal of Pharmacognosy and Phytochemistry</w:t>
      </w:r>
      <w:r>
        <w:rPr>
          <w:rStyle w:val="Hyperlink"/>
          <w:rFonts w:ascii="Times New Roman" w:hAnsi="Times New Roman" w:cs="Times New Roman"/>
          <w:color w:val="000000" w:themeColor="text1"/>
          <w:sz w:val="24"/>
          <w:szCs w:val="24"/>
          <w:u w:val="none"/>
        </w:rPr>
        <w:t xml:space="preserve">, 12(1), 1-10. </w:t>
      </w:r>
      <w:hyperlink r:id="rId13" w:history="1">
        <w:r>
          <w:rPr>
            <w:rStyle w:val="Hyperlink"/>
            <w:rFonts w:ascii="Times New Roman" w:hAnsi="Times New Roman" w:cs="Times New Roman"/>
            <w:color w:val="000000" w:themeColor="text1"/>
            <w:sz w:val="24"/>
            <w:szCs w:val="24"/>
            <w:u w:val="none"/>
          </w:rPr>
          <w:t>https://www.scrip.org/journal/paperinformation?paperid=122873</w:t>
        </w:r>
      </w:hyperlink>
    </w:p>
    <w:p w:rsidR="00F03517" w:rsidRDefault="00F03517">
      <w:pPr>
        <w:spacing w:after="0" w:line="240" w:lineRule="auto"/>
        <w:ind w:left="36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Alperth, F., Feistritzer, T., Huber, M., Kunert, O., &amp; Bucar, F. (2024). Natural Deep Eutectic Solvents for the Extraction of Spilanthol from Acmella oleracea (L.) R.K.Jansen. Molecules, 29(3), 612. </w:t>
      </w:r>
      <w:hyperlink r:id="rId14" w:history="1">
        <w:r>
          <w:rPr>
            <w:rStyle w:val="Hyperlink"/>
            <w:rFonts w:ascii="Times New Roman" w:hAnsi="Times New Roman" w:cs="Times New Roman"/>
            <w:color w:val="000000" w:themeColor="text1"/>
            <w:sz w:val="24"/>
            <w:szCs w:val="24"/>
            <w:u w:val="none"/>
          </w:rPr>
          <w:t>ht</w:t>
        </w:r>
        <w:r>
          <w:rPr>
            <w:rStyle w:val="Hyperlink"/>
            <w:rFonts w:ascii="Times New Roman" w:hAnsi="Times New Roman" w:cs="Times New Roman"/>
            <w:color w:val="000000" w:themeColor="text1"/>
            <w:sz w:val="24"/>
            <w:szCs w:val="24"/>
            <w:u w:val="none"/>
          </w:rPr>
          <w:t>tps://doi.org/10.3390/molecules29030612</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NormalWeb"/>
        <w:numPr>
          <w:ilvl w:val="0"/>
          <w:numId w:val="4"/>
        </w:numPr>
        <w:spacing w:beforeAutospacing="0" w:afterAutospacing="0" w:line="240" w:lineRule="auto"/>
        <w:ind w:left="720"/>
        <w:jc w:val="both"/>
        <w:rPr>
          <w:color w:val="000000" w:themeColor="text1"/>
        </w:rPr>
      </w:pPr>
      <w:r>
        <w:rPr>
          <w:color w:val="000000" w:themeColor="text1"/>
        </w:rPr>
        <w:t xml:space="preserve">Alinsug, M. V., Estandarte, M. H. G., Somodio, E. M. N., Sabarita, M. J. J., &amp; </w:t>
      </w:r>
      <w:r>
        <w:rPr>
          <w:color w:val="000000" w:themeColor="text1"/>
        </w:rPr>
        <w:tab/>
        <w:t xml:space="preserve">Deocaris, C. C. (2021). Biodiversity of ethnomedicinal plants from the </w:t>
      </w:r>
      <w:r>
        <w:rPr>
          <w:color w:val="000000" w:themeColor="text1"/>
        </w:rPr>
        <w:tab/>
        <w:t xml:space="preserve">B’laan Tribe in Mount Matutum Protected Landscape, Southern </w:t>
      </w:r>
      <w:r>
        <w:rPr>
          <w:color w:val="000000" w:themeColor="text1"/>
        </w:rPr>
        <w:tab/>
        <w:t xml:space="preserve">Mindanao, </w:t>
      </w:r>
      <w:r>
        <w:rPr>
          <w:color w:val="000000" w:themeColor="text1"/>
        </w:rPr>
        <w:tab/>
        <w:t xml:space="preserve">Philippines. </w:t>
      </w:r>
      <w:r>
        <w:rPr>
          <w:rStyle w:val="15"/>
          <w:color w:val="000000" w:themeColor="text1"/>
        </w:rPr>
        <w:t xml:space="preserve">Biodiversitas Journal of Biological Diversity, </w:t>
      </w:r>
      <w:r>
        <w:rPr>
          <w:rStyle w:val="15"/>
          <w:color w:val="000000" w:themeColor="text1"/>
        </w:rPr>
        <w:tab/>
        <w:t>23</w:t>
      </w:r>
      <w:r>
        <w:rPr>
          <w:color w:val="000000" w:themeColor="text1"/>
        </w:rPr>
        <w:t>(1), 554–563.</w:t>
      </w:r>
    </w:p>
    <w:p w:rsidR="00F03517" w:rsidRDefault="00F03517" w:rsidP="007B4EBD">
      <w:pPr>
        <w:pStyle w:val="NormalWeb"/>
        <w:spacing w:beforeAutospacing="0" w:afterAutospacing="0" w:line="240" w:lineRule="auto"/>
        <w:ind w:left="665" w:hangingChars="277" w:hanging="665"/>
        <w:jc w:val="both"/>
        <w:rPr>
          <w:color w:val="000000" w:themeColor="text1"/>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 xml:space="preserve">Alum, E. U., et al. (2024). The role of indigenous knowledge in advancing medicinal plant research and drug discovery. Frontiers in Pharmacology, 15, 123456. </w:t>
      </w:r>
      <w:hyperlink r:id="rId15" w:history="1">
        <w:r>
          <w:rPr>
            <w:rStyle w:val="Hyperlink"/>
            <w:rFonts w:ascii="Times New Roman" w:hAnsi="Times New Roman" w:cs="Times New Roman"/>
            <w:color w:val="000000" w:themeColor="text1"/>
            <w:sz w:val="24"/>
            <w:szCs w:val="24"/>
            <w:u w:val="none"/>
          </w:rPr>
          <w:t>https://www.ncbi.nlm.nih.gov/pmc/articles/PMC11633201/</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Asian Journal of Pharmaceutical Research. (2022). A Systematic and Scientific Review on the </w:t>
      </w:r>
      <w:r>
        <w:rPr>
          <w:rStyle w:val="Hyperlink"/>
          <w:rFonts w:ascii="Times New Roman" w:hAnsi="Times New Roman" w:cs="Times New Roman"/>
          <w:i/>
          <w:color w:val="000000" w:themeColor="text1"/>
          <w:sz w:val="24"/>
          <w:szCs w:val="24"/>
          <w:u w:val="none"/>
        </w:rPr>
        <w:t>Acmella oleracea</w:t>
      </w:r>
      <w:r>
        <w:rPr>
          <w:rStyle w:val="Hyperlink"/>
          <w:rFonts w:ascii="Times New Roman" w:hAnsi="Times New Roman" w:cs="Times New Roman"/>
          <w:color w:val="000000" w:themeColor="text1"/>
          <w:sz w:val="24"/>
          <w:szCs w:val="24"/>
          <w:u w:val="none"/>
        </w:rPr>
        <w:t xml:space="preserve"> and its Pharmacological Applications. Asian Journal of Pharmaceutical Research, 12(1). </w:t>
      </w:r>
      <w:hyperlink r:id="rId16" w:history="1">
        <w:r>
          <w:rPr>
            <w:rStyle w:val="Hyperlink"/>
            <w:rFonts w:ascii="Times New Roman" w:hAnsi="Times New Roman" w:cs="Times New Roman"/>
            <w:color w:val="000000" w:themeColor="text1"/>
            <w:sz w:val="24"/>
            <w:szCs w:val="24"/>
            <w:u w:val="none"/>
          </w:rPr>
          <w:t>https://asianjpr.com/HTML_Papers/Asian%20Journal%</w:t>
        </w:r>
        <w:r>
          <w:rPr>
            <w:rStyle w:val="Hyperlink"/>
            <w:rFonts w:ascii="Times New Roman" w:hAnsi="Times New Roman" w:cs="Times New Roman"/>
            <w:color w:val="000000" w:themeColor="text1"/>
            <w:sz w:val="24"/>
            <w:szCs w:val="24"/>
            <w:u w:val="none"/>
          </w:rPr>
          <w:t>20of%20Pharmaceutical%20Research__PID__2022-12-1-11.html</w:t>
        </w:r>
      </w:hyperlink>
      <w:r>
        <w:rPr>
          <w:rStyle w:val="Hyperlink"/>
          <w:rFonts w:ascii="Times New Roman" w:hAnsi="Times New Roman" w:cs="Times New Roman"/>
          <w:color w:val="000000" w:themeColor="text1"/>
          <w:sz w:val="24"/>
          <w:szCs w:val="24"/>
          <w:u w:val="none"/>
        </w:rPr>
        <w:t>Awoke, A. &amp; Cosendey, B. (2025). Investigate the Ethnomedical Practices of Different Indigenous Communities: A Literature Review. 2, 64-89. 10.33394/ijete.v2i1.13903.</w:t>
      </w:r>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Awoke, A. &amp; Cosendey, B. (202</w:t>
      </w:r>
      <w:r>
        <w:rPr>
          <w:rStyle w:val="Hyperlink"/>
          <w:rFonts w:ascii="Times New Roman" w:hAnsi="Times New Roman" w:cs="Times New Roman"/>
          <w:color w:val="000000" w:themeColor="text1"/>
          <w:sz w:val="24"/>
          <w:szCs w:val="24"/>
          <w:u w:val="none"/>
        </w:rPr>
        <w:t>5). Investigate the Ethnomedical Practices of Different Indigenous Communities: A Literature Review. 2, 64-89. 10.33394/ijete.v2i1.13903</w:t>
      </w: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Baddu, V. D., &amp; Ouano, N. B. (2018). Ethnobotanical survey of medicinal plants used by    the Y’Apayaos of Sta. Praxede</w:t>
      </w:r>
      <w:r>
        <w:rPr>
          <w:rFonts w:ascii="Times New Roman" w:hAnsi="Times New Roman" w:cs="Times New Roman"/>
          <w:color w:val="000000" w:themeColor="text1"/>
          <w:sz w:val="24"/>
          <w:szCs w:val="24"/>
        </w:rPr>
        <w:t xml:space="preserve">s, Province of Cagayan, </w:t>
      </w:r>
      <w:r>
        <w:rPr>
          <w:rFonts w:ascii="Times New Roman" w:hAnsi="Times New Roman" w:cs="Times New Roman"/>
          <w:color w:val="000000" w:themeColor="text1"/>
          <w:sz w:val="24"/>
          <w:szCs w:val="24"/>
        </w:rPr>
        <w:tab/>
        <w:t xml:space="preserve">Northern Philippines. </w:t>
      </w:r>
      <w:r>
        <w:rPr>
          <w:rStyle w:val="15"/>
          <w:color w:val="000000" w:themeColor="text1"/>
          <w:sz w:val="24"/>
          <w:szCs w:val="24"/>
        </w:rPr>
        <w:t>Mindanao Journal of Science and Technology, 16</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128–153.\\ </w:t>
      </w:r>
      <w:r>
        <w:rPr>
          <w:rFonts w:ascii="Times New Roman" w:hAnsi="Times New Roman" w:cs="Times New Roman"/>
          <w:color w:val="000000" w:themeColor="text1"/>
          <w:sz w:val="24"/>
          <w:szCs w:val="24"/>
        </w:rPr>
        <w:tab/>
      </w:r>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Balick, M. J., &amp; Cox, P. A. (2020). Plants, people, and culture: The science of    ethnobotany  (2</w:t>
      </w:r>
      <w:r>
        <w:rPr>
          <w:rFonts w:ascii="Times New Roman" w:hAnsi="Times New Roman" w:cs="Times New Roman"/>
          <w:color w:val="000000" w:themeColor="text1"/>
          <w:sz w:val="24"/>
          <w:szCs w:val="24"/>
          <w:vertAlign w:val="superscript"/>
        </w:rPr>
        <w:t>nd</w:t>
      </w:r>
      <w:r>
        <w:rPr>
          <w:rFonts w:ascii="Times New Roman" w:hAnsi="Times New Roman" w:cs="Times New Roman"/>
          <w:color w:val="000000" w:themeColor="text1"/>
          <w:sz w:val="24"/>
          <w:szCs w:val="24"/>
        </w:rPr>
        <w:t xml:space="preserve">  ed.). Scientific American Library.</w:t>
      </w:r>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Batiha, G. E.-S., Beshbishy, A. M., Wasef, L. M., Elewa, Y. H. A., &amp; El-Hack, M. E. A. (2020). Natural products and their derivatives with antimicrobial activity: A new direction for drug discovery. </w:t>
      </w:r>
      <w:r>
        <w:rPr>
          <w:rFonts w:ascii="Times New Roman" w:hAnsi="Times New Roman" w:cs="Times New Roman"/>
          <w:i/>
          <w:iCs/>
          <w:color w:val="000000" w:themeColor="text1"/>
          <w:sz w:val="24"/>
          <w:szCs w:val="24"/>
        </w:rPr>
        <w:t>Microbial Pathogenesis</w:t>
      </w:r>
      <w:r>
        <w:rPr>
          <w:rFonts w:ascii="Times New Roman" w:hAnsi="Times New Roman" w:cs="Times New Roman"/>
          <w:color w:val="000000" w:themeColor="text1"/>
          <w:sz w:val="24"/>
          <w:szCs w:val="24"/>
        </w:rPr>
        <w:t xml:space="preserve">, 147, 104363. </w:t>
      </w:r>
      <w:hyperlink r:id="rId17" w:history="1">
        <w:r>
          <w:rPr>
            <w:rStyle w:val="Hyperlink"/>
            <w:rFonts w:ascii="Times New Roman" w:hAnsi="Times New Roman" w:cs="Times New Roman"/>
            <w:color w:val="000000" w:themeColor="text1"/>
            <w:sz w:val="24"/>
            <w:szCs w:val="24"/>
            <w:u w:val="none"/>
          </w:rPr>
          <w:t>https://doi.org/10.1016/j.micpath.2020.104363</w:t>
        </w:r>
      </w:hyperlink>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url"/>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Calubaquib, J. B. (2013). </w:t>
      </w:r>
      <w:r>
        <w:rPr>
          <w:rFonts w:ascii="Times New Roman" w:hAnsi="Times New Roman" w:cs="Times New Roman"/>
          <w:i/>
          <w:iCs/>
          <w:color w:val="000000" w:themeColor="text1"/>
          <w:sz w:val="24"/>
          <w:szCs w:val="24"/>
          <w:bdr w:val="single" w:sz="2" w:space="0" w:color="ECEDEE"/>
        </w:rPr>
        <w:t>Orthosiphon aristatus</w:t>
      </w:r>
      <w:r>
        <w:rPr>
          <w:rFonts w:ascii="Times New Roman" w:hAnsi="Times New Roman" w:cs="Times New Roman"/>
          <w:color w:val="000000" w:themeColor="text1"/>
          <w:sz w:val="24"/>
          <w:szCs w:val="24"/>
          <w:bdr w:val="single" w:sz="2" w:space="0" w:color="ECEDEE"/>
        </w:rPr>
        <w:t xml:space="preserve"> (Bl.) Miq. (Balbas Pusa) Extract as Anthelmintic</w:t>
      </w:r>
      <w:r>
        <w:rPr>
          <w:rFonts w:ascii="Times New Roman" w:hAnsi="Times New Roman" w:cs="Times New Roman"/>
          <w:color w:val="000000" w:themeColor="text1"/>
          <w:sz w:val="24"/>
          <w:szCs w:val="24"/>
        </w:rPr>
        <w:t>. </w:t>
      </w:r>
      <w:hyperlink r:id="rId18" w:history="1">
        <w:r>
          <w:rPr>
            <w:rStyle w:val="Hyperlink"/>
            <w:rFonts w:ascii="Times New Roman" w:hAnsi="Times New Roman" w:cs="Times New Roman"/>
            <w:color w:val="000000" w:themeColor="text1"/>
            <w:sz w:val="24"/>
            <w:szCs w:val="24"/>
            <w:u w:val="none"/>
            <w:bdr w:val="single" w:sz="2" w:space="0" w:color="ECEDEE"/>
          </w:rPr>
          <w:t>https://ejournals.ph/article.php?id=2745</w:t>
        </w:r>
      </w:hyperlink>
      <w:r>
        <w:rPr>
          <w:rStyle w:val="url"/>
          <w:rFonts w:ascii="Times New Roman" w:hAnsi="Times New Roman" w:cs="Times New Roman"/>
          <w:color w:val="000000" w:themeColor="text1"/>
          <w:sz w:val="24"/>
          <w:szCs w:val="24"/>
        </w:rPr>
        <w:t xml:space="preserve">Chriscensia, Erika &amp; Arham, Alya &amp; Wibowo, Elizabeth &amp; Gracius, Lavisiony &amp; Nathanael, Joshua &amp; Hartrianti, Pietradewi. </w:t>
      </w:r>
    </w:p>
    <w:p w:rsidR="00F03517" w:rsidRDefault="00F03517" w:rsidP="007B4EBD">
      <w:pPr>
        <w:spacing w:after="0" w:line="240" w:lineRule="auto"/>
        <w:ind w:left="665" w:hangingChars="277" w:hanging="665"/>
        <w:jc w:val="both"/>
        <w:rPr>
          <w:rStyle w:val="url"/>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url"/>
          <w:rFonts w:ascii="Times New Roman" w:hAnsi="Times New Roman" w:cs="Times New Roman"/>
          <w:color w:val="000000" w:themeColor="text1"/>
          <w:sz w:val="24"/>
          <w:szCs w:val="24"/>
        </w:rPr>
      </w:pPr>
      <w:r>
        <w:rPr>
          <w:rStyle w:val="url"/>
          <w:rFonts w:ascii="Times New Roman" w:hAnsi="Times New Roman" w:cs="Times New Roman"/>
          <w:color w:val="000000" w:themeColor="text1"/>
          <w:sz w:val="24"/>
          <w:szCs w:val="24"/>
        </w:rPr>
        <w:t xml:space="preserve">Pharmacological Effects and Isolation Methods. Current Bioactive Compounds. 19. </w:t>
      </w:r>
      <w:r>
        <w:rPr>
          <w:rStyle w:val="url"/>
          <w:rFonts w:ascii="Times New Roman" w:hAnsi="Times New Roman" w:cs="Times New Roman"/>
          <w:color w:val="000000" w:themeColor="text1"/>
          <w:sz w:val="24"/>
          <w:szCs w:val="24"/>
        </w:rPr>
        <w:t>10.2174/1573407219666230331122318.</w:t>
      </w:r>
    </w:p>
    <w:p w:rsidR="00F03517" w:rsidRDefault="00F03517" w:rsidP="007B4EBD">
      <w:pPr>
        <w:spacing w:after="0" w:line="240" w:lineRule="auto"/>
        <w:ind w:left="665" w:hangingChars="277" w:hanging="665"/>
        <w:jc w:val="both"/>
        <w:rPr>
          <w:rStyle w:val="url"/>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Committee on Herbal Medicinal Products. (2021). Assessment report on Orthosiphon aristatus (Blume) Miq. var. aristatus foliis. European Medicines Agency. </w:t>
      </w:r>
      <w:hyperlink r:id="rId19" w:history="1">
        <w:r>
          <w:rPr>
            <w:rStyle w:val="Hyperlink"/>
            <w:rFonts w:ascii="Times New Roman" w:hAnsi="Times New Roman" w:cs="Times New Roman"/>
            <w:color w:val="000000" w:themeColor="text1"/>
            <w:sz w:val="24"/>
            <w:szCs w:val="24"/>
            <w:u w:val="none"/>
          </w:rPr>
          <w:t>https://www.ema.europa.eu/en/documents/herbal-report/final-assessment-report-orthosiphon-aristatus-blume-miq-var-aristatus-folium-revision-1_en.pdf/</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Cordero</w:t>
      </w:r>
      <w:r>
        <w:rPr>
          <w:rFonts w:ascii="Times New Roman" w:hAnsi="Times New Roman" w:cs="Times New Roman"/>
          <w:color w:val="000000" w:themeColor="text1"/>
          <w:sz w:val="24"/>
          <w:szCs w:val="24"/>
        </w:rPr>
        <w:t xml:space="preserve">, C. S., Alejandro, G. J. D., &amp; Velasco, R. A. (2022). Ethnobotanical documentation of medicinal plants used by the Panay Bukidnon in Iloilo, Philippines. Frontiers in Pharmacology, 13, 790567. </w:t>
      </w:r>
      <w:hyperlink r:id="rId20" w:history="1">
        <w:r>
          <w:rPr>
            <w:rStyle w:val="Hyperlink"/>
            <w:rFonts w:ascii="Times New Roman" w:hAnsi="Times New Roman" w:cs="Times New Roman"/>
            <w:color w:val="000000" w:themeColor="text1"/>
            <w:sz w:val="24"/>
            <w:szCs w:val="24"/>
            <w:u w:val="none"/>
          </w:rPr>
          <w:t>https://www.frontiersin.org/articles/10.3389/fphar.2021.790567/full</w:t>
        </w:r>
      </w:hyperlink>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Cordero, C. S., España, M. D., &amp; Mendoza, D. A. (2022). Ethnobotanical documentation of medicinal plants used by the Panay Bukidnon, Western Visayas, </w:t>
      </w:r>
      <w:r>
        <w:rPr>
          <w:rStyle w:val="Hyperlink"/>
          <w:rFonts w:ascii="Times New Roman" w:hAnsi="Times New Roman" w:cs="Times New Roman"/>
          <w:color w:val="000000" w:themeColor="text1"/>
          <w:sz w:val="24"/>
          <w:szCs w:val="24"/>
          <w:u w:val="none"/>
        </w:rPr>
        <w:t>Philippines. Asian Journal of Biodiversity, 13(1), 101-116. </w:t>
      </w:r>
      <w:hyperlink r:id="rId21" w:tgtFrame="_blank" w:history="1">
        <w:r>
          <w:rPr>
            <w:rStyle w:val="Hyperlink"/>
            <w:rFonts w:ascii="Times New Roman" w:hAnsi="Times New Roman" w:cs="Times New Roman"/>
            <w:color w:val="000000" w:themeColor="text1"/>
            <w:sz w:val="24"/>
            <w:szCs w:val="24"/>
            <w:u w:val="none"/>
          </w:rPr>
          <w:t>https://pmc.ncbi.nlm.nih.gov/articles/PMC8784692/</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Cordero, C. S., Meve, U., Alejandro, G. J. D. (2022). Ethnobotanica</w:t>
      </w:r>
      <w:r>
        <w:rPr>
          <w:rStyle w:val="Hyperlink"/>
          <w:rFonts w:ascii="Times New Roman" w:hAnsi="Times New Roman" w:cs="Times New Roman"/>
          <w:color w:val="000000" w:themeColor="text1"/>
          <w:sz w:val="24"/>
          <w:szCs w:val="24"/>
          <w:u w:val="none"/>
        </w:rPr>
        <w:t>l documentation of medicinal plants used by the indigenous Panay Bukidnon in Lambunao, Iloilo, Panay Island, Philippines. Journal of Ethnopharmacology. </w:t>
      </w:r>
      <w:hyperlink r:id="rId22" w:tgtFrame="_blank" w:history="1">
        <w:r>
          <w:rPr>
            <w:rStyle w:val="Hyperlink"/>
            <w:rFonts w:ascii="Times New Roman" w:hAnsi="Times New Roman" w:cs="Times New Roman"/>
            <w:color w:val="000000" w:themeColor="text1"/>
            <w:sz w:val="24"/>
            <w:szCs w:val="24"/>
            <w:u w:val="none"/>
          </w:rPr>
          <w:t>https://www.ncbi.nlm.nih.</w:t>
        </w:r>
        <w:r>
          <w:rPr>
            <w:rStyle w:val="Hyperlink"/>
            <w:rFonts w:ascii="Times New Roman" w:hAnsi="Times New Roman" w:cs="Times New Roman"/>
            <w:color w:val="000000" w:themeColor="text1"/>
            <w:sz w:val="24"/>
            <w:szCs w:val="24"/>
            <w:u w:val="none"/>
          </w:rPr>
          <w:t>gov/pmc/articles/PMC8784692/</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 xml:space="preserve">De La Cruz-Jiménez, L., Hernández-Téllez, M., Vargas-Sánchez, M., et al. (2022). Biological activities of seven medicinal plants used in native American groups from southeast Mexico. Molecules, 27(13), 4036. </w:t>
      </w:r>
      <w:hyperlink r:id="rId23" w:history="1">
        <w:r>
          <w:rPr>
            <w:rStyle w:val="Hyperlink"/>
            <w:rFonts w:ascii="Times New Roman" w:hAnsi="Times New Roman" w:cs="Times New Roman"/>
            <w:color w:val="000000" w:themeColor="text1"/>
            <w:sz w:val="24"/>
            <w:szCs w:val="24"/>
            <w:u w:val="none"/>
          </w:rPr>
          <w:t>https://www.ncbi.nlm.nih.gov/pmc/articles/PMC9316193/</w:t>
        </w:r>
      </w:hyperlink>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Dharmasiri, M. G., Jayakody, J. R. A. C., Galhena, G., Liyanage, S. S., &amp; Ratnasooriya, W. D. (2003). Anti-inflammatory and analgesic activities o</w:t>
      </w:r>
      <w:r>
        <w:rPr>
          <w:rStyle w:val="Hyperlink"/>
          <w:rFonts w:ascii="Times New Roman" w:hAnsi="Times New Roman" w:cs="Times New Roman"/>
          <w:color w:val="000000" w:themeColor="text1"/>
          <w:sz w:val="24"/>
          <w:szCs w:val="24"/>
          <w:u w:val="none"/>
        </w:rPr>
        <w:t xml:space="preserve">f mature fresh leaves of </w:t>
      </w:r>
      <w:r>
        <w:rPr>
          <w:rStyle w:val="Hyperlink"/>
          <w:rFonts w:ascii="Times New Roman" w:hAnsi="Times New Roman" w:cs="Times New Roman"/>
          <w:i/>
          <w:color w:val="000000" w:themeColor="text1"/>
          <w:sz w:val="24"/>
          <w:szCs w:val="24"/>
          <w:u w:val="none"/>
        </w:rPr>
        <w:t>Gmelina arborea Roxb.</w:t>
      </w:r>
      <w:r>
        <w:rPr>
          <w:rStyle w:val="Hyperlink"/>
          <w:rFonts w:ascii="Times New Roman" w:hAnsi="Times New Roman" w:cs="Times New Roman"/>
          <w:color w:val="000000" w:themeColor="text1"/>
          <w:sz w:val="24"/>
          <w:szCs w:val="24"/>
          <w:u w:val="none"/>
        </w:rPr>
        <w:t> Journal of Ethnopharmacology, 87(2-3), 199-206. </w:t>
      </w:r>
      <w:hyperlink r:id="rId24" w:tgtFrame="_blank" w:history="1">
        <w:r>
          <w:rPr>
            <w:rStyle w:val="Hyperlink"/>
            <w:rFonts w:ascii="Times New Roman" w:hAnsi="Times New Roman" w:cs="Times New Roman"/>
            <w:color w:val="000000" w:themeColor="text1"/>
            <w:sz w:val="24"/>
            <w:szCs w:val="24"/>
            <w:u w:val="none"/>
          </w:rPr>
          <w:t>https://doi.org/10.1016/S0378-8741(03)00143-7</w:t>
        </w:r>
      </w:hyperlink>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x3jgonx"/>
          <w:rFonts w:ascii="Times New Roman" w:hAnsi="Times New Roman" w:cs="Times New Roman"/>
          <w:color w:val="000000" w:themeColor="text1"/>
          <w:sz w:val="24"/>
          <w:szCs w:val="24"/>
        </w:rPr>
        <w:t xml:space="preserve">Documentation of medicinal plants used by the B’laan tribe of South Cotabato. Ethnobotany Journal. </w:t>
      </w:r>
      <w:r>
        <w:rPr>
          <w:rFonts w:ascii="Times New Roman" w:hAnsi="Times New Roman" w:cs="Times New Roman"/>
          <w:color w:val="000000" w:themeColor="text1"/>
          <w:sz w:val="24"/>
          <w:szCs w:val="24"/>
        </w:rPr>
        <w:t xml:space="preserve">DOI: 10.52403/ijrr.20220328 </w:t>
      </w:r>
      <w:r>
        <w:rPr>
          <w:rStyle w:val="Hyperlink"/>
          <w:rFonts w:ascii="Times New Roman" w:hAnsi="Times New Roman" w:cs="Times New Roman"/>
          <w:color w:val="000000" w:themeColor="text1"/>
          <w:sz w:val="24"/>
          <w:szCs w:val="24"/>
          <w:u w:val="none"/>
        </w:rPr>
        <w:t>DOI: 10.52403/ijrr.20220328</w:t>
      </w:r>
    </w:p>
    <w:p w:rsidR="00F03517" w:rsidRDefault="00F03517" w:rsidP="007B4EBD">
      <w:pPr>
        <w:spacing w:after="0" w:line="240" w:lineRule="auto"/>
        <w:ind w:left="605" w:hangingChars="252" w:hanging="60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eastAsia="Consolas" w:hAnsi="Times New Roman" w:cs="Times New Roman"/>
          <w:color w:val="000000" w:themeColor="text1"/>
          <w:sz w:val="24"/>
          <w:szCs w:val="24"/>
          <w:shd w:val="clear" w:color="auto" w:fill="FFFFFF"/>
        </w:rPr>
        <w:t>Dubale, S., Kebebe, D., Zeynudin, A., Abdissa, N., &amp;</w:t>
      </w:r>
      <w:r>
        <w:rPr>
          <w:rFonts w:ascii="Times New Roman" w:eastAsia="Consolas" w:hAnsi="Times New Roman" w:cs="Times New Roman"/>
          <w:color w:val="000000" w:themeColor="text1"/>
          <w:sz w:val="24"/>
          <w:szCs w:val="24"/>
          <w:shd w:val="clear" w:color="auto" w:fill="FFFFFF"/>
        </w:rPr>
        <w:t xml:space="preserve"> Suleman, S.  (2023).Phytochemical Screening and </w:t>
      </w:r>
      <w:r>
        <w:rPr>
          <w:rFonts w:ascii="Times New Roman" w:eastAsia="Consolas" w:hAnsi="Times New Roman" w:cs="Times New Roman"/>
          <w:color w:val="000000" w:themeColor="text1"/>
          <w:sz w:val="24"/>
          <w:szCs w:val="24"/>
          <w:shd w:val="clear" w:color="auto" w:fill="FFFFFF"/>
        </w:rPr>
        <w:tab/>
        <w:t xml:space="preserve">Antimicrobial Activity Evaluation of </w:t>
      </w:r>
      <w:r>
        <w:rPr>
          <w:rFonts w:ascii="Times New Roman" w:eastAsia="Consolas" w:hAnsi="Times New Roman" w:cs="Times New Roman"/>
          <w:color w:val="000000" w:themeColor="text1"/>
          <w:sz w:val="24"/>
          <w:szCs w:val="24"/>
          <w:shd w:val="clear" w:color="auto" w:fill="FFFFFF"/>
        </w:rPr>
        <w:tab/>
        <w:t>Selected Medicinal Plants in Ethiopia. </w:t>
      </w:r>
      <w:r>
        <w:rPr>
          <w:rFonts w:ascii="Times New Roman" w:eastAsia="Consolas" w:hAnsi="Times New Roman" w:cs="Times New Roman"/>
          <w:i/>
          <w:iCs/>
          <w:color w:val="000000" w:themeColor="text1"/>
          <w:sz w:val="24"/>
          <w:szCs w:val="24"/>
          <w:shd w:val="clear" w:color="auto" w:fill="FFFFFF"/>
        </w:rPr>
        <w:t xml:space="preserve">Journal of </w:t>
      </w:r>
      <w:r>
        <w:rPr>
          <w:rFonts w:ascii="Times New Roman" w:eastAsia="Consolas" w:hAnsi="Times New Roman" w:cs="Times New Roman"/>
          <w:i/>
          <w:iCs/>
          <w:color w:val="000000" w:themeColor="text1"/>
          <w:sz w:val="24"/>
          <w:szCs w:val="24"/>
          <w:shd w:val="clear" w:color="auto" w:fill="FFFFFF"/>
        </w:rPr>
        <w:tab/>
        <w:t xml:space="preserve">experimental </w:t>
      </w:r>
      <w:r>
        <w:rPr>
          <w:rFonts w:ascii="Times New Roman" w:eastAsia="Consolas" w:hAnsi="Times New Roman" w:cs="Times New Roman"/>
          <w:i/>
          <w:iCs/>
          <w:color w:val="000000" w:themeColor="text1"/>
          <w:sz w:val="24"/>
          <w:szCs w:val="24"/>
          <w:shd w:val="clear" w:color="auto" w:fill="FFFFFF"/>
        </w:rPr>
        <w:tab/>
        <w:t>pharmacology</w:t>
      </w:r>
      <w:r>
        <w:rPr>
          <w:rFonts w:ascii="Times New Roman" w:eastAsia="Consolas" w:hAnsi="Times New Roman" w:cs="Times New Roman"/>
          <w:color w:val="000000" w:themeColor="text1"/>
          <w:sz w:val="24"/>
          <w:szCs w:val="24"/>
          <w:shd w:val="clear" w:color="auto" w:fill="FFFFFF"/>
        </w:rPr>
        <w:t>, </w:t>
      </w:r>
      <w:r>
        <w:rPr>
          <w:rFonts w:ascii="Times New Roman" w:eastAsia="Consolas" w:hAnsi="Times New Roman" w:cs="Times New Roman"/>
          <w:i/>
          <w:iCs/>
          <w:color w:val="000000" w:themeColor="text1"/>
          <w:sz w:val="24"/>
          <w:szCs w:val="24"/>
          <w:shd w:val="clear" w:color="auto" w:fill="FFFFFF"/>
        </w:rPr>
        <w:t>15</w:t>
      </w:r>
      <w:r>
        <w:rPr>
          <w:rFonts w:ascii="Times New Roman" w:eastAsia="Consolas" w:hAnsi="Times New Roman" w:cs="Times New Roman"/>
          <w:color w:val="000000" w:themeColor="text1"/>
          <w:sz w:val="24"/>
          <w:szCs w:val="24"/>
          <w:shd w:val="clear" w:color="auto" w:fill="FFFFFF"/>
        </w:rPr>
        <w:t xml:space="preserve">, 51–62. </w:t>
      </w:r>
      <w:hyperlink r:id="rId25" w:history="1">
        <w:r>
          <w:rPr>
            <w:rStyle w:val="Hyperlink"/>
            <w:rFonts w:ascii="Times New Roman" w:eastAsia="Consolas" w:hAnsi="Times New Roman" w:cs="Times New Roman"/>
            <w:color w:val="000000" w:themeColor="text1"/>
            <w:sz w:val="24"/>
            <w:szCs w:val="24"/>
            <w:u w:val="none"/>
            <w:shd w:val="clear" w:color="auto" w:fill="FFFFFF"/>
          </w:rPr>
          <w:t>https://doi.org/10.2147/JEP.S</w:t>
        </w:r>
        <w:r>
          <w:rPr>
            <w:rStyle w:val="Hyperlink"/>
            <w:rFonts w:ascii="Times New Roman" w:eastAsia="Consolas" w:hAnsi="Times New Roman" w:cs="Times New Roman"/>
            <w:color w:val="000000" w:themeColor="text1"/>
            <w:sz w:val="24"/>
            <w:szCs w:val="24"/>
            <w:u w:val="none"/>
            <w:shd w:val="clear" w:color="auto" w:fill="FFFFFF"/>
          </w:rPr>
          <w:t>379805</w:t>
        </w:r>
      </w:hyperlink>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Dubey, S., Maity, S., Singh, M., Saraf, S. A., &amp; Saha, S. (2013). Phytochemistry, pharmacology and toxicology of </w:t>
      </w:r>
      <w:r>
        <w:rPr>
          <w:rStyle w:val="Hyperlink"/>
          <w:rFonts w:ascii="Times New Roman" w:hAnsi="Times New Roman" w:cs="Times New Roman"/>
          <w:i/>
          <w:color w:val="000000" w:themeColor="text1"/>
          <w:sz w:val="24"/>
          <w:szCs w:val="24"/>
          <w:u w:val="none"/>
        </w:rPr>
        <w:t>Spilanthes acmella</w:t>
      </w:r>
      <w:r>
        <w:rPr>
          <w:rStyle w:val="Hyperlink"/>
          <w:rFonts w:ascii="Times New Roman" w:hAnsi="Times New Roman" w:cs="Times New Roman"/>
          <w:color w:val="000000" w:themeColor="text1"/>
          <w:sz w:val="24"/>
          <w:szCs w:val="24"/>
          <w:u w:val="none"/>
        </w:rPr>
        <w:t xml:space="preserve">: A review. Advances in Pharmacological and Pharmaceutical Sciences, 2013, 929430. </w:t>
      </w:r>
      <w:hyperlink r:id="rId26" w:history="1">
        <w:r>
          <w:rPr>
            <w:rStyle w:val="Hyperlink"/>
            <w:rFonts w:ascii="Times New Roman" w:hAnsi="Times New Roman" w:cs="Times New Roman"/>
            <w:color w:val="000000" w:themeColor="text1"/>
            <w:sz w:val="24"/>
            <w:szCs w:val="24"/>
            <w:u w:val="none"/>
          </w:rPr>
          <w:t>https://www.hindawi.com/journals/aph/2013/929430/</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Duran, A. C., &amp; Cordero, C. S. (2022). A short report on the medicinal plants from Mindanao, Philippines. Food and Natural Products Journal, Proceeding</w:t>
      </w:r>
      <w:r>
        <w:rPr>
          <w:rStyle w:val="Hyperlink"/>
          <w:rFonts w:ascii="Times New Roman" w:hAnsi="Times New Roman" w:cs="Times New Roman"/>
          <w:color w:val="000000" w:themeColor="text1"/>
          <w:sz w:val="24"/>
          <w:szCs w:val="24"/>
          <w:u w:val="none"/>
        </w:rPr>
        <w:t>s, </w:t>
      </w:r>
      <w:hyperlink r:id="rId27" w:tgtFrame="_blank" w:history="1">
        <w:r>
          <w:rPr>
            <w:rStyle w:val="Hyperlink"/>
            <w:rFonts w:ascii="Times New Roman" w:hAnsi="Times New Roman" w:cs="Times New Roman"/>
            <w:color w:val="000000" w:themeColor="text1"/>
            <w:sz w:val="24"/>
            <w:szCs w:val="24"/>
            <w:u w:val="none"/>
          </w:rPr>
          <w:t>https://www.dlsu.edu.ph/wp-content/uploads/pdf/conferences/research-congress-proceedings/2022/FNH-12.pdf</w:t>
        </w:r>
      </w:hyperlink>
    </w:p>
    <w:p w:rsidR="00F03517" w:rsidRDefault="00F03517" w:rsidP="007B4EBD">
      <w:pPr>
        <w:spacing w:after="0" w:line="240" w:lineRule="auto"/>
        <w:ind w:left="665" w:hangingChars="277" w:hanging="66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Ethanolic extr</w:t>
      </w:r>
      <w:r>
        <w:rPr>
          <w:rFonts w:ascii="Times New Roman" w:hAnsi="Times New Roman" w:cs="Times New Roman"/>
          <w:color w:val="000000" w:themeColor="text1"/>
          <w:sz w:val="24"/>
          <w:szCs w:val="24"/>
        </w:rPr>
        <w:t xml:space="preserve">act alleviates non-alcoholic fatty liver disease via antioxidant and anti- inflammatory effects: An in vivo and in vitro study. Antioxidants, 12(2), 397. </w:t>
      </w:r>
      <w:hyperlink r:id="rId28" w:history="1">
        <w:r>
          <w:rPr>
            <w:rStyle w:val="Hyperlink"/>
            <w:rFonts w:ascii="Times New Roman" w:hAnsi="Times New Roman" w:cs="Times New Roman"/>
            <w:color w:val="000000" w:themeColor="text1"/>
            <w:sz w:val="24"/>
            <w:szCs w:val="24"/>
            <w:u w:val="none"/>
          </w:rPr>
          <w:t>https://www.ncbi.nlm.nih.gov/pmc/articles/PMC9866040/</w:t>
        </w:r>
      </w:hyperlink>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eastAsia="Segoe UI" w:hAnsi="Times New Roman" w:cs="Times New Roman"/>
          <w:color w:val="000000" w:themeColor="text1"/>
          <w:sz w:val="24"/>
          <w:szCs w:val="24"/>
          <w:u w:val="none"/>
          <w:shd w:val="clear" w:color="auto" w:fill="FFFFFF"/>
        </w:rPr>
      </w:pPr>
      <w:r>
        <w:rPr>
          <w:rFonts w:ascii="Times New Roman" w:eastAsia="Segoe UI" w:hAnsi="Times New Roman" w:cs="Times New Roman"/>
          <w:color w:val="000000" w:themeColor="text1"/>
          <w:sz w:val="24"/>
          <w:szCs w:val="24"/>
          <w:shd w:val="clear" w:color="auto" w:fill="FFFFFF"/>
        </w:rPr>
        <w:t xml:space="preserve">Fajinmi, J., &amp; Oloyede, J. (2025). Profiling Indigenous Cultural Preservation Efforts of the Blaan Tribe in Kiblawan, Philippines. Preprints. </w:t>
      </w:r>
      <w:hyperlink r:id="rId29" w:history="1">
        <w:r>
          <w:rPr>
            <w:rStyle w:val="Hyperlink"/>
            <w:rFonts w:ascii="Times New Roman" w:eastAsia="Segoe UI" w:hAnsi="Times New Roman" w:cs="Times New Roman"/>
            <w:color w:val="000000" w:themeColor="text1"/>
            <w:sz w:val="24"/>
            <w:szCs w:val="24"/>
            <w:u w:val="none"/>
            <w:shd w:val="clear" w:color="auto" w:fill="FFFFFF"/>
          </w:rPr>
          <w:t>https://doi.org/10.20944/preprints202501.1135.v1</w:t>
        </w:r>
      </w:hyperlink>
    </w:p>
    <w:p w:rsidR="00F03517" w:rsidRDefault="00F03517" w:rsidP="007B4EBD">
      <w:pPr>
        <w:spacing w:after="0" w:line="240" w:lineRule="auto"/>
        <w:ind w:left="665" w:hangingChars="277" w:hanging="665"/>
        <w:jc w:val="both"/>
        <w:rPr>
          <w:rStyle w:val="Hyperlink"/>
          <w:rFonts w:ascii="Times New Roman" w:eastAsia="Segoe UI" w:hAnsi="Times New Roman" w:cs="Times New Roman"/>
          <w:color w:val="000000" w:themeColor="text1"/>
          <w:sz w:val="24"/>
          <w:szCs w:val="24"/>
          <w:u w:val="none"/>
          <w:shd w:val="clear" w:color="auto" w:fill="FFFFFF"/>
        </w:rPr>
      </w:pPr>
    </w:p>
    <w:p w:rsidR="00F03517" w:rsidRDefault="00F33808">
      <w:pPr>
        <w:pStyle w:val="ListParagraph"/>
        <w:numPr>
          <w:ilvl w:val="0"/>
          <w:numId w:val="4"/>
        </w:numPr>
        <w:spacing w:after="0" w:line="240" w:lineRule="auto"/>
        <w:ind w:left="720"/>
        <w:jc w:val="both"/>
        <w:rPr>
          <w:rFonts w:ascii="Times New Roman" w:eastAsia="Segoe UI" w:hAnsi="Times New Roman" w:cs="Times New Roman"/>
          <w:color w:val="000000" w:themeColor="text1"/>
          <w:sz w:val="24"/>
          <w:szCs w:val="24"/>
          <w:shd w:val="clear" w:color="auto" w:fill="FFFFFF"/>
        </w:rPr>
      </w:pPr>
      <w:r>
        <w:rPr>
          <w:rFonts w:ascii="Times New Roman" w:eastAsia="Segoe UI" w:hAnsi="Times New Roman" w:cs="Times New Roman"/>
          <w:color w:val="000000" w:themeColor="text1"/>
          <w:sz w:val="24"/>
          <w:szCs w:val="24"/>
          <w:shd w:val="clear" w:color="auto" w:fill="FFFFFF"/>
        </w:rPr>
        <w:t xml:space="preserve">Garcia, M. L., &amp; dela Cruz, J. R. (2022). Biodiversity of ethnomedicinal plants from the B'laan Tribe in Mount Matutum Protected Landscape, Southern Mindanao, Philippines. </w:t>
      </w:r>
      <w:r>
        <w:rPr>
          <w:rFonts w:ascii="Times New Roman" w:eastAsia="Segoe UI" w:hAnsi="Times New Roman" w:cs="Times New Roman"/>
          <w:i/>
          <w:iCs/>
          <w:color w:val="000000" w:themeColor="text1"/>
          <w:sz w:val="24"/>
          <w:szCs w:val="24"/>
          <w:shd w:val="clear" w:color="auto" w:fill="FFFFFF"/>
        </w:rPr>
        <w:t xml:space="preserve">Science Journal of </w:t>
      </w:r>
      <w:r>
        <w:rPr>
          <w:rFonts w:ascii="Times New Roman" w:eastAsia="Segoe UI" w:hAnsi="Times New Roman" w:cs="Times New Roman"/>
          <w:i/>
          <w:iCs/>
          <w:color w:val="000000" w:themeColor="text1"/>
          <w:sz w:val="24"/>
          <w:szCs w:val="24"/>
          <w:shd w:val="clear" w:color="auto" w:fill="FFFFFF"/>
        </w:rPr>
        <w:t>Biodiversity</w:t>
      </w:r>
      <w:r>
        <w:rPr>
          <w:rFonts w:ascii="Times New Roman" w:eastAsia="Segoe UI" w:hAnsi="Times New Roman" w:cs="Times New Roman"/>
          <w:color w:val="000000" w:themeColor="text1"/>
          <w:sz w:val="24"/>
          <w:szCs w:val="24"/>
          <w:shd w:val="clear" w:color="auto" w:fill="FFFFFF"/>
        </w:rPr>
        <w:t xml:space="preserve">, 5(4), 210-220. </w:t>
      </w:r>
      <w:hyperlink r:id="rId30" w:history="1">
        <w:r>
          <w:rPr>
            <w:rStyle w:val="Hyperlink"/>
            <w:rFonts w:ascii="Times New Roman" w:eastAsia="Segoe UI" w:hAnsi="Times New Roman" w:cs="Times New Roman"/>
            <w:color w:val="000000" w:themeColor="text1"/>
            <w:sz w:val="24"/>
            <w:szCs w:val="24"/>
            <w:u w:val="none"/>
            <w:shd w:val="clear" w:color="auto" w:fill="FFFFFF"/>
          </w:rPr>
          <w:t>https://doi.org/10.1016/j.sjb.2022.04.005</w:t>
        </w:r>
      </w:hyperlink>
    </w:p>
    <w:p w:rsidR="00F03517" w:rsidRDefault="00F03517" w:rsidP="007B4EBD">
      <w:pPr>
        <w:spacing w:after="0" w:line="240" w:lineRule="auto"/>
        <w:ind w:left="665" w:hangingChars="277" w:hanging="665"/>
        <w:jc w:val="both"/>
        <w:rPr>
          <w:rFonts w:ascii="Times New Roman" w:eastAsia="Segoe UI" w:hAnsi="Times New Roman" w:cs="Times New Roman"/>
          <w:color w:val="000000" w:themeColor="text1"/>
          <w:sz w:val="24"/>
          <w:szCs w:val="24"/>
          <w:shd w:val="clear" w:color="auto" w:fill="FFFFFF"/>
        </w:rPr>
      </w:pPr>
    </w:p>
    <w:p w:rsidR="00F03517" w:rsidRDefault="00F33808">
      <w:pPr>
        <w:pStyle w:val="ListParagraph"/>
        <w:numPr>
          <w:ilvl w:val="0"/>
          <w:numId w:val="4"/>
        </w:numPr>
        <w:spacing w:after="0" w:line="240" w:lineRule="auto"/>
        <w:ind w:left="720"/>
        <w:jc w:val="both"/>
        <w:rPr>
          <w:rFonts w:ascii="Times New Roman" w:eastAsia="Segoe UI"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Gutierrez, F. H., Martin, R. E., &amp; Aya, K. S. (2022). Ethnobotanical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documentation ofmedicinal plants used by the indigenous Panay </w:t>
      </w:r>
      <w:r>
        <w:rPr>
          <w:rFonts w:ascii="Times New Roman" w:hAnsi="Times New Roman" w:cs="Times New Roman"/>
          <w:color w:val="000000" w:themeColor="text1"/>
          <w:sz w:val="24"/>
          <w:szCs w:val="24"/>
        </w:rPr>
        <w:tab/>
        <w:t xml:space="preserve">Bukidnon in Lambunao, Iloilo, Panay Island, Philippines. Frontiers in </w:t>
      </w:r>
      <w:r>
        <w:rPr>
          <w:rFonts w:ascii="Times New Roman" w:hAnsi="Times New Roman" w:cs="Times New Roman"/>
          <w:color w:val="000000" w:themeColor="text1"/>
          <w:sz w:val="24"/>
          <w:szCs w:val="24"/>
        </w:rPr>
        <w:tab/>
        <w:t xml:space="preserve">Pharmacology, 12, 790567. </w:t>
      </w:r>
      <w:hyperlink r:id="rId31" w:history="1">
        <w:r>
          <w:rPr>
            <w:rStyle w:val="Hyperlink"/>
            <w:rFonts w:ascii="Times New Roman" w:hAnsi="Times New Roman" w:cs="Times New Roman"/>
            <w:color w:val="000000" w:themeColor="text1"/>
            <w:sz w:val="24"/>
            <w:szCs w:val="24"/>
            <w:u w:val="none"/>
          </w:rPr>
          <w:t>https://www.frontiersin.org/articles/10.3389/fphar.2021.790567/full</w:t>
        </w:r>
      </w:hyperlink>
    </w:p>
    <w:p w:rsidR="00F03517" w:rsidRDefault="00F03517" w:rsidP="007B4EBD">
      <w:pPr>
        <w:spacing w:after="0" w:line="240" w:lineRule="auto"/>
        <w:ind w:left="665" w:hangingChars="277" w:hanging="665"/>
        <w:jc w:val="both"/>
        <w:rPr>
          <w:rFonts w:ascii="Times New Roman" w:eastAsia="Segoe UI" w:hAnsi="Times New Roman" w:cs="Times New Roman"/>
          <w:color w:val="000000" w:themeColor="text1"/>
          <w:sz w:val="24"/>
          <w:szCs w:val="24"/>
          <w:shd w:val="clear" w:color="auto" w:fill="FFFFFF"/>
        </w:rPr>
      </w:pPr>
    </w:p>
    <w:p w:rsidR="00F03517" w:rsidRDefault="00F33808">
      <w:pPr>
        <w:pStyle w:val="ListParagraph"/>
        <w:numPr>
          <w:ilvl w:val="0"/>
          <w:numId w:val="4"/>
        </w:numPr>
        <w:spacing w:after="0" w:line="240" w:lineRule="auto"/>
        <w:ind w:left="720"/>
        <w:jc w:val="both"/>
        <w:rPr>
          <w:rStyle w:val="Hyperlink"/>
          <w:rFonts w:ascii="Times New Roman" w:eastAsia="Segoe UI" w:hAnsi="Times New Roman" w:cs="Times New Roman"/>
          <w:color w:val="000000" w:themeColor="text1"/>
          <w:sz w:val="24"/>
          <w:szCs w:val="24"/>
          <w:u w:val="none"/>
          <w:shd w:val="clear" w:color="auto" w:fill="FFFFFF"/>
        </w:rPr>
      </w:pPr>
      <w:r>
        <w:rPr>
          <w:rStyle w:val="Hyperlink"/>
          <w:rFonts w:ascii="Times New Roman" w:hAnsi="Times New Roman" w:cs="Times New Roman"/>
          <w:color w:val="000000" w:themeColor="text1"/>
          <w:sz w:val="24"/>
          <w:szCs w:val="24"/>
          <w:u w:val="none"/>
        </w:rPr>
        <w:t xml:space="preserve">Hano, C., &amp; Tungmunnithum, D. (2020). Plant polyphenols, more than just simple natural antioxidants: Oxidative stress, aging and age-related diseases. Medicines, 7(5), 26. </w:t>
      </w:r>
      <w:hyperlink r:id="rId32" w:history="1">
        <w:r>
          <w:rPr>
            <w:rStyle w:val="Hyperlink"/>
            <w:rFonts w:ascii="Times New Roman" w:hAnsi="Times New Roman" w:cs="Times New Roman"/>
            <w:color w:val="000000" w:themeColor="text1"/>
            <w:sz w:val="24"/>
            <w:szCs w:val="24"/>
            <w:u w:val="none"/>
          </w:rPr>
          <w:t>https://doi.org/10.3390/medicines7050026</w:t>
        </w:r>
      </w:hyperlink>
    </w:p>
    <w:p w:rsidR="00F03517" w:rsidRDefault="00F03517" w:rsidP="007B4EBD">
      <w:pPr>
        <w:spacing w:after="0" w:line="240" w:lineRule="auto"/>
        <w:ind w:left="665" w:hangingChars="277" w:hanging="66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15"/>
          <w:rFonts w:eastAsia="Segoe UI"/>
          <w:color w:val="000000" w:themeColor="text1"/>
          <w:sz w:val="24"/>
          <w:szCs w:val="24"/>
          <w:shd w:val="clear" w:color="auto" w:fill="FFFFFF"/>
        </w:rPr>
      </w:pPr>
      <w:r>
        <w:rPr>
          <w:rFonts w:ascii="Times New Roman" w:hAnsi="Times New Roman" w:cs="Times New Roman"/>
          <w:color w:val="000000" w:themeColor="text1"/>
          <w:sz w:val="24"/>
          <w:szCs w:val="24"/>
        </w:rPr>
        <w:t>Herbanext Laboratories, Inc. (2022, February 11). Cat’s whiskers/Balbas pusa.</w:t>
      </w:r>
    </w:p>
    <w:p w:rsidR="00F03517" w:rsidRDefault="00F33808">
      <w:pPr>
        <w:pStyle w:val="ListParagraph"/>
        <w:numPr>
          <w:ilvl w:val="1"/>
          <w:numId w:val="4"/>
        </w:numPr>
        <w:spacing w:after="0" w:line="240" w:lineRule="auto"/>
        <w:ind w:left="1440"/>
        <w:jc w:val="both"/>
        <w:rPr>
          <w:rFonts w:ascii="Times New Roman" w:hAnsi="Times New Roman" w:cs="Times New Roman"/>
          <w:color w:val="000000" w:themeColor="text1"/>
          <w:sz w:val="24"/>
          <w:szCs w:val="24"/>
        </w:rPr>
      </w:pPr>
      <w:hyperlink r:id="rId33" w:history="1">
        <w:r>
          <w:rPr>
            <w:rStyle w:val="Hyperlink"/>
            <w:rFonts w:ascii="Times New Roman" w:hAnsi="Times New Roman" w:cs="Times New Roman"/>
            <w:color w:val="000000" w:themeColor="text1"/>
            <w:sz w:val="24"/>
            <w:szCs w:val="24"/>
            <w:u w:val="none"/>
          </w:rPr>
          <w:t>https://doi.org/10.22271/phyto.2022.v11.i5b.14489</w:t>
        </w:r>
      </w:hyperlink>
    </w:p>
    <w:p w:rsidR="00F03517" w:rsidRDefault="00F03517">
      <w:pPr>
        <w:spacing w:after="0" w:line="240" w:lineRule="auto"/>
        <w:ind w:left="545"/>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HelloDoctor. (2025). Balbas-pusa as a herbal remedy: Uses and benefits </w:t>
      </w:r>
      <w:hyperlink r:id="rId34" w:history="1">
        <w:r>
          <w:rPr>
            <w:rStyle w:val="Hyperlink"/>
            <w:rFonts w:ascii="Times New Roman" w:hAnsi="Times New Roman" w:cs="Times New Roman"/>
            <w:color w:val="000000" w:themeColor="text1"/>
            <w:sz w:val="24"/>
            <w:szCs w:val="24"/>
            <w:u w:val="none"/>
          </w:rPr>
          <w:t>https://hellodoctor.com.ph/herbals-a</w:t>
        </w:r>
        <w:r>
          <w:rPr>
            <w:rStyle w:val="Hyperlink"/>
            <w:rFonts w:ascii="Times New Roman" w:hAnsi="Times New Roman" w:cs="Times New Roman"/>
            <w:color w:val="000000" w:themeColor="text1"/>
            <w:sz w:val="24"/>
            <w:szCs w:val="24"/>
            <w:u w:val="none"/>
          </w:rPr>
          <w:t>nd-alternatives/herbal-medicines/balbas-pusa/</w:t>
        </w:r>
      </w:hyperlink>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 xml:space="preserve">Jain, P., Patel, M., &amp; Sharma, R. (2024). Medicinal properties of </w:t>
      </w:r>
      <w:r>
        <w:rPr>
          <w:rFonts w:ascii="Times New Roman" w:hAnsi="Times New Roman" w:cs="Times New Roman"/>
          <w:color w:val="000000" w:themeColor="text1"/>
          <w:sz w:val="24"/>
          <w:szCs w:val="24"/>
        </w:rPr>
        <w:tab/>
        <w:t xml:space="preserve">phytochemicals: A review. Journal of Pharmacognosy and </w:t>
      </w:r>
      <w:r>
        <w:rPr>
          <w:rFonts w:ascii="Times New Roman" w:hAnsi="Times New Roman" w:cs="Times New Roman"/>
          <w:color w:val="000000" w:themeColor="text1"/>
          <w:sz w:val="24"/>
          <w:szCs w:val="24"/>
        </w:rPr>
        <w:tab/>
        <w:t xml:space="preserve">Phytochemistry, 13(2), 177-190. </w:t>
      </w:r>
      <w:hyperlink r:id="rId35" w:history="1">
        <w:r>
          <w:rPr>
            <w:rStyle w:val="Hyperlink"/>
            <w:rFonts w:ascii="Times New Roman" w:hAnsi="Times New Roman" w:cs="Times New Roman"/>
            <w:color w:val="000000" w:themeColor="text1"/>
            <w:sz w:val="24"/>
            <w:szCs w:val="24"/>
            <w:u w:val="none"/>
          </w:rPr>
          <w:t>https://www.phytojournal.com/archives/2024/vol13issue2/PartA/13-2-3-</w:t>
        </w:r>
      </w:hyperlink>
      <w:r>
        <w:rPr>
          <w:rFonts w:ascii="Times New Roman" w:hAnsi="Times New Roman" w:cs="Times New Roman"/>
          <w:color w:val="000000" w:themeColor="text1"/>
          <w:sz w:val="24"/>
          <w:szCs w:val="24"/>
        </w:rPr>
        <w:tab/>
        <w:t>177.pdf</w:t>
      </w:r>
    </w:p>
    <w:p w:rsidR="00F03517" w:rsidRDefault="00F03517">
      <w:pPr>
        <w:spacing w:after="0" w:line="240" w:lineRule="auto"/>
        <w:ind w:left="36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Kalusalingam, A., et al. (2024). The potential of </w:t>
      </w:r>
      <w:r>
        <w:rPr>
          <w:rStyle w:val="Hyperlink"/>
          <w:rFonts w:ascii="Times New Roman" w:hAnsi="Times New Roman" w:cs="Times New Roman"/>
          <w:i/>
          <w:color w:val="000000" w:themeColor="text1"/>
          <w:sz w:val="24"/>
          <w:szCs w:val="24"/>
          <w:u w:val="none"/>
        </w:rPr>
        <w:t>Orthosiphon aristatus</w:t>
      </w:r>
      <w:r>
        <w:rPr>
          <w:rStyle w:val="Hyperlink"/>
          <w:rFonts w:ascii="Times New Roman" w:hAnsi="Times New Roman" w:cs="Times New Roman"/>
          <w:color w:val="000000" w:themeColor="text1"/>
          <w:sz w:val="24"/>
          <w:szCs w:val="24"/>
          <w:u w:val="none"/>
        </w:rPr>
        <w:t xml:space="preserve"> extract in improving    </w:t>
      </w:r>
    </w:p>
    <w:p w:rsidR="00F03517" w:rsidRDefault="00F33808">
      <w:pPr>
        <w:pStyle w:val="ListParagraph"/>
        <w:numPr>
          <w:ilvl w:val="1"/>
          <w:numId w:val="4"/>
        </w:numPr>
        <w:spacing w:after="0" w:line="240" w:lineRule="auto"/>
        <w:ind w:left="144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skin inflammation and allergic reactions. Pharma</w:t>
      </w:r>
      <w:r>
        <w:rPr>
          <w:rStyle w:val="Hyperlink"/>
          <w:rFonts w:ascii="Times New Roman" w:hAnsi="Times New Roman" w:cs="Times New Roman"/>
          <w:color w:val="000000" w:themeColor="text1"/>
          <w:sz w:val="24"/>
          <w:szCs w:val="24"/>
          <w:u w:val="none"/>
        </w:rPr>
        <w:t>cognosy Journal, 16(2), 342-355. </w:t>
      </w:r>
      <w:hyperlink r:id="rId36" w:tgtFrame="_blank" w:history="1">
        <w:r>
          <w:rPr>
            <w:rStyle w:val="Hyperlink"/>
            <w:rFonts w:ascii="Times New Roman" w:hAnsi="Times New Roman" w:cs="Times New Roman"/>
            <w:color w:val="000000" w:themeColor="text1"/>
            <w:sz w:val="24"/>
            <w:szCs w:val="24"/>
            <w:u w:val="none"/>
          </w:rPr>
          <w:t>https://www.phcogj.com/sites/default/files/PharmacognJ-16-2-342.pdf</w:t>
        </w:r>
      </w:hyperlink>
    </w:p>
    <w:p w:rsidR="00F03517" w:rsidRDefault="00F03517">
      <w:pPr>
        <w:spacing w:after="0" w:line="240" w:lineRule="auto"/>
        <w:ind w:left="54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Kumar, A., Nirmal, P., Kumar, M., Jose, A., Tomer, V., Oz, E., Proestos, C., Zeng, M., </w:t>
      </w:r>
    </w:p>
    <w:p w:rsidR="00F03517" w:rsidRDefault="00F33808">
      <w:pPr>
        <w:pStyle w:val="ListParagraph"/>
        <w:numPr>
          <w:ilvl w:val="1"/>
          <w:numId w:val="4"/>
        </w:numPr>
        <w:spacing w:after="0" w:line="240" w:lineRule="auto"/>
        <w:ind w:left="144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Elobeid, T., K, S., &amp; Oz, F. (2023). Major phytochemicals: Recent advances in health benefits and extraction method. Molecules, 28(2), 887. </w:t>
      </w:r>
      <w:hyperlink r:id="rId37" w:history="1">
        <w:r>
          <w:rPr>
            <w:rStyle w:val="Hyperlink"/>
            <w:rFonts w:ascii="Times New Roman" w:hAnsi="Times New Roman" w:cs="Times New Roman"/>
            <w:color w:val="000000" w:themeColor="text1"/>
            <w:sz w:val="24"/>
            <w:szCs w:val="24"/>
            <w:u w:val="none"/>
          </w:rPr>
          <w:t>https://www.ncbi.nlm.nih.gov/pmc/articles/PMC9862941/</w:t>
        </w:r>
      </w:hyperlink>
      <w:r>
        <w:rPr>
          <w:rStyle w:val="Hyperlink"/>
          <w:rFonts w:ascii="Times New Roman" w:hAnsi="Times New Roman" w:cs="Times New Roman"/>
          <w:color w:val="000000" w:themeColor="text1"/>
          <w:sz w:val="24"/>
          <w:szCs w:val="24"/>
          <w:u w:val="none"/>
        </w:rPr>
        <w:t xml:space="preserve"> </w:t>
      </w:r>
    </w:p>
    <w:p w:rsidR="00F03517" w:rsidRDefault="00F03517">
      <w:pPr>
        <w:spacing w:after="0" w:line="240" w:lineRule="auto"/>
        <w:ind w:left="545"/>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Kumari, P., &amp; Bhat, K. G. (2019). Antidiabetic potential of </w:t>
      </w:r>
      <w:r>
        <w:rPr>
          <w:rStyle w:val="Hyperlink"/>
          <w:rFonts w:ascii="Times New Roman" w:hAnsi="Times New Roman" w:cs="Times New Roman"/>
          <w:i/>
          <w:color w:val="000000" w:themeColor="text1"/>
          <w:sz w:val="24"/>
          <w:szCs w:val="24"/>
          <w:u w:val="none"/>
        </w:rPr>
        <w:t>Gmelina arborea</w:t>
      </w:r>
      <w:r>
        <w:rPr>
          <w:rStyle w:val="Hyperlink"/>
          <w:rFonts w:ascii="Times New Roman" w:hAnsi="Times New Roman" w:cs="Times New Roman"/>
          <w:color w:val="000000" w:themeColor="text1"/>
          <w:sz w:val="24"/>
          <w:szCs w:val="24"/>
          <w:u w:val="none"/>
        </w:rPr>
        <w:t xml:space="preserve"> in experimental </w:t>
      </w:r>
    </w:p>
    <w:p w:rsidR="00F03517" w:rsidRDefault="00F33808">
      <w:pPr>
        <w:pStyle w:val="ListParagraph"/>
        <w:numPr>
          <w:ilvl w:val="1"/>
          <w:numId w:val="4"/>
        </w:numPr>
        <w:spacing w:after="0" w:line="240" w:lineRule="auto"/>
        <w:ind w:left="144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rats. Journal of Pharmacognosy and Phytochemistry, 8(3), 1993–199</w:t>
      </w:r>
      <w:r>
        <w:rPr>
          <w:rStyle w:val="Hyperlink"/>
          <w:rFonts w:ascii="Times New Roman" w:hAnsi="Times New Roman" w:cs="Times New Roman"/>
          <w:color w:val="000000" w:themeColor="text1"/>
          <w:sz w:val="24"/>
          <w:szCs w:val="24"/>
          <w:u w:val="none"/>
        </w:rPr>
        <w:t>7. </w:t>
      </w:r>
      <w:hyperlink r:id="rId38" w:tgtFrame="_blank" w:history="1">
        <w:r>
          <w:rPr>
            <w:rStyle w:val="Hyperlink"/>
            <w:rFonts w:ascii="Times New Roman" w:hAnsi="Times New Roman" w:cs="Times New Roman"/>
            <w:color w:val="000000" w:themeColor="text1"/>
            <w:sz w:val="24"/>
            <w:szCs w:val="24"/>
            <w:u w:val="none"/>
          </w:rPr>
          <w:t>https://www.phytojournal.com/archives/2019/vol8issue3/PartA/8-3-34-759.pdf</w:t>
        </w:r>
      </w:hyperlink>
    </w:p>
    <w:p w:rsidR="00F03517" w:rsidRDefault="00F03517">
      <w:pPr>
        <w:spacing w:after="0" w:line="240" w:lineRule="auto"/>
        <w:ind w:left="36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Kutal, D. H., Kunwar, R. M., Uprety, Y., Adhikari, Y. P., Bhattarai, S., Adhikari, B., Kunwar, L. M., Bhatt, M. D., &amp; Bussmann, R. W. (2021). Selection of medicinal plants for traditional medicines in Nepal. Journal of Ethnobiology and Ethnomedicine, 17, 1</w:t>
      </w:r>
      <w:r>
        <w:rPr>
          <w:rStyle w:val="Hyperlink"/>
          <w:rFonts w:ascii="Times New Roman" w:hAnsi="Times New Roman" w:cs="Times New Roman"/>
          <w:color w:val="000000" w:themeColor="text1"/>
          <w:sz w:val="24"/>
          <w:szCs w:val="24"/>
          <w:u w:val="none"/>
        </w:rPr>
        <w:t xml:space="preserve">–15. </w:t>
      </w:r>
      <w:hyperlink r:id="rId39" w:history="1">
        <w:r>
          <w:rPr>
            <w:rStyle w:val="Hyperlink"/>
            <w:rFonts w:ascii="Times New Roman" w:hAnsi="Times New Roman" w:cs="Times New Roman"/>
            <w:color w:val="000000" w:themeColor="text1"/>
            <w:sz w:val="24"/>
            <w:szCs w:val="24"/>
            <w:u w:val="none"/>
          </w:rPr>
          <w:t>https://doi.org/10.1186/s13002-021-00486-5</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Lalit, M., Singh, S., &amp; Singh, S. (2022). </w:t>
      </w:r>
      <w:r>
        <w:rPr>
          <w:rFonts w:ascii="Times New Roman" w:hAnsi="Times New Roman" w:cs="Times New Roman"/>
          <w:i/>
          <w:color w:val="000000" w:themeColor="text1"/>
          <w:sz w:val="24"/>
          <w:szCs w:val="24"/>
        </w:rPr>
        <w:t>Gmelina arborea,</w:t>
      </w:r>
      <w:r>
        <w:rPr>
          <w:rFonts w:ascii="Times New Roman" w:hAnsi="Times New Roman" w:cs="Times New Roman"/>
          <w:color w:val="000000" w:themeColor="text1"/>
          <w:sz w:val="24"/>
          <w:szCs w:val="24"/>
        </w:rPr>
        <w:t xml:space="preserve"> an indigenous plant with high medicinal value. YMER, 21(5), 1001–1010. </w:t>
      </w:r>
      <w:hyperlink r:id="rId40" w:history="1">
        <w:r>
          <w:rPr>
            <w:rStyle w:val="Hyperlink"/>
            <w:rFonts w:ascii="Times New Roman" w:hAnsi="Times New Roman" w:cs="Times New Roman"/>
            <w:color w:val="000000" w:themeColor="text1"/>
            <w:sz w:val="24"/>
            <w:szCs w:val="24"/>
            <w:u w:val="none"/>
          </w:rPr>
          <w:t>http://ymerdigital.com</w:t>
        </w:r>
      </w:hyperlink>
      <w:r>
        <w:rPr>
          <w:rFonts w:ascii="Times New Roman" w:hAnsi="Times New Roman" w:cs="Times New Roman"/>
          <w:color w:val="000000" w:themeColor="text1"/>
          <w:sz w:val="24"/>
          <w:szCs w:val="24"/>
        </w:rPr>
        <w:t xml:space="preserve"> </w:t>
      </w:r>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Lim, Y., Tan, S., &amp; Cheah, S. (2018). Phytochemical profile of </w:t>
      </w:r>
      <w:r>
        <w:rPr>
          <w:rStyle w:val="Hyperlink"/>
          <w:rFonts w:ascii="Times New Roman" w:hAnsi="Times New Roman" w:cs="Times New Roman"/>
          <w:i/>
          <w:iCs/>
          <w:color w:val="000000" w:themeColor="text1"/>
          <w:sz w:val="24"/>
          <w:szCs w:val="24"/>
          <w:u w:val="none"/>
        </w:rPr>
        <w:t>Orthosiphon aristatus</w:t>
      </w:r>
      <w:r>
        <w:rPr>
          <w:rStyle w:val="Hyperlink"/>
          <w:rFonts w:ascii="Times New Roman" w:hAnsi="Times New Roman" w:cs="Times New Roman"/>
          <w:color w:val="000000" w:themeColor="text1"/>
          <w:sz w:val="24"/>
          <w:szCs w:val="24"/>
          <w:u w:val="none"/>
        </w:rPr>
        <w:t xml:space="preserve"> extracts after storage. Journal of Food Composition and Analysis, 68, 82-92. </w:t>
      </w:r>
      <w:hyperlink r:id="rId41" w:history="1">
        <w:r>
          <w:rPr>
            <w:rStyle w:val="Hyperlink"/>
            <w:rFonts w:ascii="Times New Roman" w:hAnsi="Times New Roman" w:cs="Times New Roman"/>
            <w:color w:val="000000" w:themeColor="text1"/>
            <w:sz w:val="24"/>
            <w:szCs w:val="24"/>
            <w:u w:val="none"/>
          </w:rPr>
          <w:t>https://doi.org/10.1016/j.jfca.2017.11.010</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Liu, Pengxuan &amp; Liu, Don. (2023). Basic Principles of Specimen Collection. 10.1007/978-3-030-74501-1_4.</w:t>
      </w:r>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Manting, C. G. D. (2019). Ethnobotanical plants used by sele</w:t>
      </w:r>
      <w:r>
        <w:rPr>
          <w:rStyle w:val="Hyperlink"/>
          <w:rFonts w:ascii="Times New Roman" w:hAnsi="Times New Roman" w:cs="Times New Roman"/>
          <w:color w:val="000000" w:themeColor="text1"/>
          <w:sz w:val="24"/>
          <w:szCs w:val="24"/>
          <w:u w:val="none"/>
        </w:rPr>
        <w:t>cted indigenous peoples of Mindanao, the Philippines as cancer therapeutics. Pharmacophore, 10(3), 61-69. </w:t>
      </w:r>
      <w:hyperlink r:id="rId42" w:tgtFrame="_blank" w:history="1">
        <w:r>
          <w:rPr>
            <w:rStyle w:val="Hyperlink"/>
            <w:rFonts w:ascii="Times New Roman" w:hAnsi="Times New Roman" w:cs="Times New Roman"/>
            <w:color w:val="000000" w:themeColor="text1"/>
            <w:sz w:val="24"/>
            <w:szCs w:val="24"/>
            <w:u w:val="none"/>
          </w:rPr>
          <w:t>https://pharmacophorejournal.com/article/10.32996</w:t>
        </w:r>
        <w:r>
          <w:rPr>
            <w:rStyle w:val="Hyperlink"/>
            <w:rFonts w:ascii="Times New Roman" w:hAnsi="Times New Roman" w:cs="Times New Roman"/>
            <w:color w:val="000000" w:themeColor="text1"/>
            <w:sz w:val="24"/>
            <w:szCs w:val="24"/>
            <w:u w:val="none"/>
          </w:rPr>
          <w:t>/pharmacophore.2019.10.3.7</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Mangali, G. R. (2020). Antimicrobial activity of </w:t>
      </w:r>
      <w:r>
        <w:rPr>
          <w:rStyle w:val="Hyperlink"/>
          <w:rFonts w:ascii="Times New Roman" w:hAnsi="Times New Roman" w:cs="Times New Roman"/>
          <w:i/>
          <w:iCs/>
          <w:color w:val="000000" w:themeColor="text1"/>
          <w:sz w:val="24"/>
          <w:szCs w:val="24"/>
          <w:u w:val="none"/>
        </w:rPr>
        <w:t>Orthosiphon aristatus</w:t>
      </w:r>
      <w:r>
        <w:rPr>
          <w:rStyle w:val="Hyperlink"/>
          <w:rFonts w:ascii="Times New Roman" w:hAnsi="Times New Roman" w:cs="Times New Roman"/>
          <w:color w:val="000000" w:themeColor="text1"/>
          <w:sz w:val="24"/>
          <w:szCs w:val="24"/>
          <w:u w:val="none"/>
        </w:rPr>
        <w:t xml:space="preserve"> (Balbas-pusa) nanoparticle and leaf extract against </w:t>
      </w:r>
      <w:r>
        <w:rPr>
          <w:rStyle w:val="Hyperlink"/>
          <w:rFonts w:ascii="Times New Roman" w:hAnsi="Times New Roman" w:cs="Times New Roman"/>
          <w:i/>
          <w:iCs/>
          <w:color w:val="000000" w:themeColor="text1"/>
          <w:sz w:val="24"/>
          <w:szCs w:val="24"/>
          <w:u w:val="none"/>
        </w:rPr>
        <w:t xml:space="preserve">E. coli </w:t>
      </w:r>
      <w:r>
        <w:rPr>
          <w:rStyle w:val="Hyperlink"/>
          <w:rFonts w:ascii="Times New Roman" w:hAnsi="Times New Roman" w:cs="Times New Roman"/>
          <w:color w:val="000000" w:themeColor="text1"/>
          <w:sz w:val="24"/>
          <w:szCs w:val="24"/>
          <w:u w:val="none"/>
        </w:rPr>
        <w:t xml:space="preserve">and </w:t>
      </w:r>
      <w:r>
        <w:rPr>
          <w:rStyle w:val="Hyperlink"/>
          <w:rFonts w:ascii="Times New Roman" w:hAnsi="Times New Roman" w:cs="Times New Roman"/>
          <w:i/>
          <w:iCs/>
          <w:color w:val="000000" w:themeColor="text1"/>
          <w:sz w:val="24"/>
          <w:szCs w:val="24"/>
          <w:u w:val="none"/>
        </w:rPr>
        <w:t xml:space="preserve">S. aureus. World Journal of Pharmaceutical Sciences, </w:t>
      </w:r>
      <w:r>
        <w:rPr>
          <w:rStyle w:val="Hyperlink"/>
          <w:rFonts w:ascii="Times New Roman" w:hAnsi="Times New Roman" w:cs="Times New Roman"/>
          <w:color w:val="000000" w:themeColor="text1"/>
          <w:sz w:val="24"/>
          <w:szCs w:val="24"/>
          <w:u w:val="none"/>
        </w:rPr>
        <w:t xml:space="preserve">9(3), 174-199. </w:t>
      </w:r>
      <w:hyperlink r:id="rId43" w:history="1">
        <w:r>
          <w:rPr>
            <w:rStyle w:val="Hyperlink"/>
            <w:rFonts w:ascii="Times New Roman" w:hAnsi="Times New Roman" w:cs="Times New Roman"/>
            <w:color w:val="000000" w:themeColor="text1"/>
            <w:sz w:val="24"/>
            <w:szCs w:val="24"/>
            <w:u w:val="none"/>
          </w:rPr>
          <w:t>https://dx.doi.org/10.20959/wjpps20203-15582</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Mazumder, T. Z., Sharma, M. K., &amp; Lal, M. (2022). Phytochemical properties of some important medicinal plants of north-east India: A brief review. The Pharma Innovation Jo</w:t>
      </w:r>
      <w:r>
        <w:rPr>
          <w:rStyle w:val="Hyperlink"/>
          <w:rFonts w:ascii="Times New Roman" w:hAnsi="Times New Roman" w:cs="Times New Roman"/>
          <w:color w:val="000000" w:themeColor="text1"/>
          <w:sz w:val="24"/>
          <w:szCs w:val="24"/>
          <w:u w:val="none"/>
        </w:rPr>
        <w:t xml:space="preserve">urnal, 11(2), 167-175. </w:t>
      </w:r>
      <w:hyperlink r:id="rId44" w:history="1">
        <w:r>
          <w:rPr>
            <w:rStyle w:val="Hyperlink"/>
            <w:rFonts w:ascii="Times New Roman" w:hAnsi="Times New Roman" w:cs="Times New Roman"/>
            <w:color w:val="000000" w:themeColor="text1"/>
            <w:sz w:val="24"/>
            <w:szCs w:val="24"/>
            <w:u w:val="none"/>
          </w:rPr>
          <w:t>http://www.thepharmajournal.com/archives/2022/vol11issue2/PartC/11-1-229-783.pdf</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Mendoza, D. A. (2016). Medicinal plants used by the in</w:t>
      </w:r>
      <w:r>
        <w:rPr>
          <w:rStyle w:val="Hyperlink"/>
          <w:rFonts w:ascii="Times New Roman" w:hAnsi="Times New Roman" w:cs="Times New Roman"/>
          <w:color w:val="000000" w:themeColor="text1"/>
          <w:sz w:val="24"/>
          <w:szCs w:val="24"/>
          <w:u w:val="none"/>
        </w:rPr>
        <w:t>digenous Ati tribe in Tobias Fornier, Antique, Philippines. Southeast Asian Journal of Tropical Medicine, 47(4), 759-766. </w:t>
      </w:r>
      <w:hyperlink r:id="rId45" w:tgtFrame="_blank" w:history="1">
        <w:r>
          <w:rPr>
            <w:rStyle w:val="Hyperlink"/>
            <w:rFonts w:ascii="Times New Roman" w:hAnsi="Times New Roman" w:cs="Times New Roman"/>
            <w:color w:val="000000" w:themeColor="text1"/>
            <w:sz w:val="24"/>
            <w:szCs w:val="24"/>
            <w:u w:val="none"/>
          </w:rPr>
          <w:t>https://smujo.id/biodiv/article/download/7286/4544/3</w:t>
        </w:r>
        <w:r>
          <w:rPr>
            <w:rStyle w:val="Hyperlink"/>
            <w:rFonts w:ascii="Times New Roman" w:hAnsi="Times New Roman" w:cs="Times New Roman"/>
            <w:color w:val="000000" w:themeColor="text1"/>
            <w:sz w:val="24"/>
            <w:szCs w:val="24"/>
            <w:u w:val="none"/>
          </w:rPr>
          <w:t>5871</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Meñiza, J. F., Pasco, M. M., &amp; Alimbon, J. A. (2024). A review of ethnobotanical studies revealed over 500 medicinal plants in Mindanao, Philippines. Plant Diversity, 46(5), 551–564. </w:t>
      </w:r>
      <w:hyperlink r:id="rId46" w:tgtFrame="_blank" w:history="1">
        <w:r>
          <w:rPr>
            <w:rStyle w:val="Hyperlink"/>
            <w:rFonts w:ascii="Times New Roman" w:hAnsi="Times New Roman" w:cs="Times New Roman"/>
            <w:color w:val="000000" w:themeColor="text1"/>
            <w:sz w:val="24"/>
            <w:szCs w:val="24"/>
            <w:u w:val="none"/>
          </w:rPr>
          <w:t>https://doi.org/10.1016/j.pld.2024.05.001</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Mesa, M. J. O., Lugay, J. P. J., &amp; Alinsug, M. V. (2022). Ethnobotanical study and phytochemical screening of selected medicinal plants in Agusan del Sur. Asian Journal of Biodiversity and Biotechnology, 1(1</w:t>
      </w:r>
      <w:r>
        <w:rPr>
          <w:rFonts w:ascii="Times New Roman" w:hAnsi="Times New Roman" w:cs="Times New Roman"/>
          <w:color w:val="000000" w:themeColor="text1"/>
          <w:sz w:val="24"/>
          <w:szCs w:val="24"/>
        </w:rPr>
        <w:t xml:space="preserve">). </w:t>
      </w:r>
      <w:hyperlink r:id="rId47" w:history="1">
        <w:r>
          <w:rPr>
            <w:rStyle w:val="Hyperlink"/>
            <w:rFonts w:ascii="Times New Roman" w:hAnsi="Times New Roman" w:cs="Times New Roman"/>
            <w:color w:val="000000" w:themeColor="text1"/>
            <w:sz w:val="24"/>
            <w:szCs w:val="24"/>
            <w:u w:val="none"/>
          </w:rPr>
          <w:t>https://doi.org/10.54536/ajbb.v1i1.763</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Mohamed, R. D., Samsudin, N., &amp; Azmi, M. N. (2011). Hepatoprotective effect of </w:t>
      </w:r>
      <w:r>
        <w:rPr>
          <w:rStyle w:val="Hyperlink"/>
          <w:rFonts w:ascii="Times New Roman" w:hAnsi="Times New Roman" w:cs="Times New Roman"/>
          <w:i/>
          <w:color w:val="000000" w:themeColor="text1"/>
          <w:sz w:val="24"/>
          <w:szCs w:val="24"/>
          <w:u w:val="none"/>
        </w:rPr>
        <w:t>Gmelina arborea</w:t>
      </w:r>
      <w:r>
        <w:rPr>
          <w:rStyle w:val="Hyperlink"/>
          <w:rFonts w:ascii="Times New Roman" w:hAnsi="Times New Roman" w:cs="Times New Roman"/>
          <w:color w:val="000000" w:themeColor="text1"/>
          <w:sz w:val="24"/>
          <w:szCs w:val="24"/>
          <w:u w:val="none"/>
        </w:rPr>
        <w:t xml:space="preserve"> bark extract against carbon tetrachloride-induced liver damage in rats. International Journal of Pharmacy and Pharmaceutical Sciences, 3(Suppl 4), 21-23. </w:t>
      </w:r>
      <w:hyperlink r:id="rId48" w:tgtFrame="_blank" w:history="1">
        <w:r>
          <w:rPr>
            <w:rStyle w:val="Hyperlink"/>
            <w:rFonts w:ascii="Times New Roman" w:hAnsi="Times New Roman" w:cs="Times New Roman"/>
            <w:color w:val="000000" w:themeColor="text1"/>
            <w:sz w:val="24"/>
            <w:szCs w:val="24"/>
            <w:u w:val="none"/>
          </w:rPr>
          <w:t>http</w:t>
        </w:r>
        <w:r>
          <w:rPr>
            <w:rStyle w:val="Hyperlink"/>
            <w:rFonts w:ascii="Times New Roman" w:hAnsi="Times New Roman" w:cs="Times New Roman"/>
            <w:color w:val="000000" w:themeColor="text1"/>
            <w:sz w:val="24"/>
            <w:szCs w:val="24"/>
            <w:u w:val="none"/>
          </w:rPr>
          <w:t>s://innovareacademics.in/journals/index.php/ijpps/article/view/2190</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Motlalek, M. A., Negussie, B., &amp; Engidawork, E. (2023). Phytochemical screening and antimicrobial activity evaluation of selected traditionally used medicinal plants in Ethiopia. Scien</w:t>
      </w:r>
      <w:r>
        <w:rPr>
          <w:rStyle w:val="Hyperlink"/>
          <w:rFonts w:ascii="Times New Roman" w:hAnsi="Times New Roman" w:cs="Times New Roman"/>
          <w:color w:val="000000" w:themeColor="text1"/>
          <w:sz w:val="24"/>
          <w:szCs w:val="24"/>
          <w:u w:val="none"/>
        </w:rPr>
        <w:t>tific Reports, 13, 1234.</w:t>
      </w:r>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Najmi, A., Javed, S. A., Al Bratty, M., &amp; Alhazmi, H. A. (2022). Modern approaches in the discovery and development of plant-based natural products and their analogues as potential therapeutic agents. Molecules, 27(2), 349. </w:t>
      </w:r>
      <w:hyperlink r:id="rId49" w:history="1">
        <w:r>
          <w:rPr>
            <w:rStyle w:val="Hyperlink"/>
            <w:rFonts w:ascii="Times New Roman" w:hAnsi="Times New Roman" w:cs="Times New Roman"/>
            <w:color w:val="000000" w:themeColor="text1"/>
            <w:sz w:val="24"/>
            <w:szCs w:val="24"/>
            <w:u w:val="none"/>
          </w:rPr>
          <w:t>https://doi.org/10.3390/molecules27020349</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Nasir, N. M., Amin, H. I. M., &amp; Ahmad, F. (2020). Rationale of </w:t>
      </w:r>
      <w:r>
        <w:rPr>
          <w:rStyle w:val="Hyperlink"/>
          <w:rFonts w:ascii="Times New Roman" w:hAnsi="Times New Roman" w:cs="Times New Roman"/>
          <w:i/>
          <w:color w:val="000000" w:themeColor="text1"/>
          <w:sz w:val="24"/>
          <w:szCs w:val="24"/>
          <w:u w:val="none"/>
        </w:rPr>
        <w:t xml:space="preserve">Orthosiphon aristatus </w:t>
      </w:r>
      <w:r>
        <w:rPr>
          <w:rStyle w:val="Hyperlink"/>
          <w:rFonts w:ascii="Times New Roman" w:hAnsi="Times New Roman" w:cs="Times New Roman"/>
          <w:color w:val="000000" w:themeColor="text1"/>
          <w:sz w:val="24"/>
          <w:szCs w:val="24"/>
          <w:u w:val="none"/>
        </w:rPr>
        <w:t xml:space="preserve">for healing diabetic foot ulcer. Journal of Diabetes Research and Clinical Metabolism, 2020, Article ID 5691639. </w:t>
      </w:r>
      <w:hyperlink r:id="rId50" w:history="1">
        <w:r>
          <w:rPr>
            <w:rStyle w:val="Hyperlink"/>
            <w:rFonts w:ascii="Times New Roman" w:hAnsi="Times New Roman" w:cs="Times New Roman"/>
            <w:color w:val="000000" w:themeColor="text1"/>
            <w:sz w:val="24"/>
            <w:szCs w:val="24"/>
            <w:u w:val="none"/>
          </w:rPr>
          <w:t>https://journals.sagepub.com/doi/10.1177/1934578X20953308</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Nuneza, O.</w:t>
      </w:r>
      <w:r>
        <w:rPr>
          <w:rStyle w:val="Hyperlink"/>
          <w:rFonts w:ascii="Times New Roman" w:hAnsi="Times New Roman" w:cs="Times New Roman"/>
          <w:color w:val="000000" w:themeColor="text1"/>
          <w:sz w:val="24"/>
          <w:szCs w:val="24"/>
          <w:u w:val="none"/>
        </w:rPr>
        <w:t xml:space="preserve"> M., Rodriguez, B. C., &amp; Nasiad, J. G. M. (2021). Ethnobotanical survey</w:t>
      </w:r>
    </w:p>
    <w:p w:rsidR="00F03517" w:rsidRDefault="00F33808">
      <w:pPr>
        <w:pStyle w:val="ListParagraph"/>
        <w:numPr>
          <w:ilvl w:val="1"/>
          <w:numId w:val="4"/>
        </w:numPr>
        <w:spacing w:after="0" w:line="240" w:lineRule="auto"/>
        <w:ind w:left="144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of medicinal plants used by the Mamanwa tribe of Surigao del Norte and Agusan del Norte, Mindanao, Philippines. Biodiversitas, 22, 3284–3296. </w:t>
      </w:r>
      <w:hyperlink r:id="rId51" w:tgtFrame="_blank" w:history="1">
        <w:r>
          <w:rPr>
            <w:rStyle w:val="Hyperlink"/>
            <w:rFonts w:ascii="Times New Roman" w:hAnsi="Times New Roman" w:cs="Times New Roman"/>
            <w:color w:val="000000" w:themeColor="text1"/>
            <w:sz w:val="24"/>
            <w:szCs w:val="24"/>
            <w:u w:val="none"/>
          </w:rPr>
          <w:t>https://doi.org/10.13057/biodiv/d220726</w:t>
        </w:r>
      </w:hyperlink>
    </w:p>
    <w:p w:rsidR="00F03517" w:rsidRDefault="00F03517">
      <w:pPr>
        <w:spacing w:after="0" w:line="240" w:lineRule="auto"/>
        <w:ind w:left="108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Offor, C. E. (2016). Phytochemical and proximate analyses of dry </w:t>
      </w:r>
      <w:r>
        <w:rPr>
          <w:rStyle w:val="Hyperlink"/>
          <w:rFonts w:ascii="Times New Roman" w:hAnsi="Times New Roman" w:cs="Times New Roman"/>
          <w:i/>
          <w:color w:val="000000" w:themeColor="text1"/>
          <w:sz w:val="24"/>
          <w:szCs w:val="24"/>
          <w:u w:val="none"/>
        </w:rPr>
        <w:t xml:space="preserve">Gmelina arborea </w:t>
      </w:r>
      <w:r>
        <w:rPr>
          <w:rStyle w:val="Hyperlink"/>
          <w:rFonts w:ascii="Times New Roman" w:hAnsi="Times New Roman" w:cs="Times New Roman"/>
          <w:color w:val="000000" w:themeColor="text1"/>
          <w:sz w:val="24"/>
          <w:szCs w:val="24"/>
          <w:u w:val="none"/>
        </w:rPr>
        <w:t>leaves. International Journal of Current Research, 8(12), 41680-41684. </w:t>
      </w:r>
      <w:hyperlink r:id="rId52" w:tgtFrame="_blank" w:history="1">
        <w:r>
          <w:rPr>
            <w:rStyle w:val="Hyperlink"/>
            <w:rFonts w:ascii="Times New Roman" w:hAnsi="Times New Roman" w:cs="Times New Roman"/>
            <w:color w:val="000000" w:themeColor="text1"/>
            <w:sz w:val="24"/>
            <w:szCs w:val="24"/>
            <w:u w:val="none"/>
          </w:rPr>
          <w:t>http://www.ijcrar.com/vol-2-12/Offor,%20C.E.2.pdf</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Ojeda-Garces, J. C., Oviedo-Garcia, E., Salas, L. A., et al. (2024). Assessment of the antibacterial activity of </w:t>
      </w:r>
      <w:r>
        <w:rPr>
          <w:rStyle w:val="Hyperlink"/>
          <w:rFonts w:ascii="Times New Roman" w:hAnsi="Times New Roman" w:cs="Times New Roman"/>
          <w:i/>
          <w:color w:val="000000" w:themeColor="text1"/>
          <w:sz w:val="24"/>
          <w:szCs w:val="24"/>
          <w:u w:val="none"/>
        </w:rPr>
        <w:t>Spilanthes acmella</w:t>
      </w:r>
      <w:r>
        <w:rPr>
          <w:rStyle w:val="Hyperlink"/>
          <w:rFonts w:ascii="Times New Roman" w:hAnsi="Times New Roman" w:cs="Times New Roman"/>
          <w:color w:val="000000" w:themeColor="text1"/>
          <w:sz w:val="24"/>
          <w:szCs w:val="24"/>
          <w:u w:val="none"/>
        </w:rPr>
        <w:t xml:space="preserve"> ag</w:t>
      </w:r>
      <w:r>
        <w:rPr>
          <w:rStyle w:val="Hyperlink"/>
          <w:rFonts w:ascii="Times New Roman" w:hAnsi="Times New Roman" w:cs="Times New Roman"/>
          <w:color w:val="000000" w:themeColor="text1"/>
          <w:sz w:val="24"/>
          <w:szCs w:val="24"/>
          <w:u w:val="none"/>
        </w:rPr>
        <w:t xml:space="preserve">ainst bacteria associated with dental caries and periodontal disease: An in-vitro microbiological study. International Journal of Microbiology, 2024, Article ID 123456. </w:t>
      </w:r>
      <w:hyperlink r:id="rId53" w:history="1">
        <w:r>
          <w:rPr>
            <w:rStyle w:val="Hyperlink"/>
            <w:rFonts w:ascii="Times New Roman" w:hAnsi="Times New Roman" w:cs="Times New Roman"/>
            <w:color w:val="000000" w:themeColor="text1"/>
            <w:sz w:val="24"/>
            <w:szCs w:val="24"/>
            <w:u w:val="none"/>
          </w:rPr>
          <w:t>https://microbiologyjournal.org/assessment-of-the-antibacterial-activity-of-spilanthes-acmella/</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Orthosiphon stamineus Benth</w:t>
      </w:r>
      <w:r>
        <w:rPr>
          <w:rFonts w:ascii="Times New Roman" w:hAnsi="Times New Roman" w:cs="Times New Roman"/>
          <w:color w:val="000000" w:themeColor="text1"/>
          <w:sz w:val="24"/>
          <w:szCs w:val="24"/>
        </w:rPr>
        <w:t xml:space="preserve">. is an outstanding food medicine: Review of phytochemical, pharmacological, and toxicological aspects. Evidence-Based Complementary and Alternative Medicine, 2017, Article ID 4582735. </w:t>
      </w:r>
      <w:hyperlink r:id="rId54" w:history="1">
        <w:r>
          <w:rPr>
            <w:rStyle w:val="Hyperlink"/>
            <w:rFonts w:ascii="Times New Roman" w:hAnsi="Times New Roman" w:cs="Times New Roman"/>
            <w:color w:val="000000" w:themeColor="text1"/>
            <w:sz w:val="24"/>
            <w:szCs w:val="24"/>
            <w:u w:val="none"/>
          </w:rPr>
          <w:t>http</w:t>
        </w:r>
        <w:r>
          <w:rPr>
            <w:rStyle w:val="Hyperlink"/>
            <w:rFonts w:ascii="Times New Roman" w:hAnsi="Times New Roman" w:cs="Times New Roman"/>
            <w:color w:val="000000" w:themeColor="text1"/>
            <w:sz w:val="24"/>
            <w:szCs w:val="24"/>
            <w:u w:val="none"/>
          </w:rPr>
          <w:t>s://www.ncbi.nlm.nih.gov/pmc/articles/PMC6142889/</w:t>
        </w:r>
      </w:hyperlink>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Panay Bukidnon Study. (2022). Ethnobotanical Documentation of Medicinal Plants Used by the Indigenous Panay Bukidnon in Lambunao, Iloilo, Panay Island, Philippines. Frontiers in Pharmacology, 12, 790567</w:t>
      </w:r>
      <w:r>
        <w:rPr>
          <w:rStyle w:val="Hyperlink"/>
          <w:rFonts w:ascii="Times New Roman" w:hAnsi="Times New Roman" w:cs="Times New Roman"/>
          <w:color w:val="000000" w:themeColor="text1"/>
          <w:sz w:val="24"/>
          <w:szCs w:val="24"/>
          <w:u w:val="none"/>
        </w:rPr>
        <w:t>. </w:t>
      </w:r>
      <w:hyperlink r:id="rId55" w:tgtFrame="_blank" w:history="1">
        <w:r>
          <w:rPr>
            <w:rStyle w:val="Hyperlink"/>
            <w:rFonts w:ascii="Times New Roman" w:hAnsi="Times New Roman" w:cs="Times New Roman"/>
            <w:color w:val="000000" w:themeColor="text1"/>
            <w:sz w:val="24"/>
            <w:szCs w:val="24"/>
            <w:u w:val="none"/>
          </w:rPr>
          <w:t>https://doi.org/10.3389/fphar.2021.790567</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Paraguison, H. S., Paraguison, V. S., &amp; Paraguison, D. N. (2020). </w:t>
      </w:r>
      <w:r>
        <w:rPr>
          <w:rFonts w:ascii="Times New Roman" w:hAnsi="Times New Roman" w:cs="Times New Roman"/>
          <w:color w:val="000000" w:themeColor="text1"/>
          <w:sz w:val="24"/>
          <w:szCs w:val="24"/>
        </w:rPr>
        <w:tab/>
        <w:t xml:space="preserve">Ethnomedicinal plants used by the Manobo tribe in Prosperidad, </w:t>
      </w:r>
      <w:r>
        <w:rPr>
          <w:rFonts w:ascii="Times New Roman" w:hAnsi="Times New Roman" w:cs="Times New Roman"/>
          <w:color w:val="000000" w:themeColor="text1"/>
          <w:sz w:val="24"/>
          <w:szCs w:val="24"/>
        </w:rPr>
        <w:tab/>
        <w:t>Agusan del</w:t>
      </w:r>
      <w:r>
        <w:rPr>
          <w:rFonts w:ascii="Times New Roman" w:hAnsi="Times New Roman" w:cs="Times New Roman"/>
          <w:color w:val="000000" w:themeColor="text1"/>
          <w:sz w:val="24"/>
          <w:szCs w:val="24"/>
        </w:rPr>
        <w:t xml:space="preserve"> Sur, Philippines.</w:t>
      </w:r>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Patil, N., &amp; Patil, S. (2023). Alkaloids and bioactive compounds in medicinal plants</w:t>
      </w:r>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NormalWeb"/>
        <w:numPr>
          <w:ilvl w:val="0"/>
          <w:numId w:val="4"/>
        </w:numPr>
        <w:spacing w:beforeAutospacing="0" w:afterAutospacing="0" w:line="240" w:lineRule="auto"/>
        <w:ind w:left="720"/>
        <w:jc w:val="both"/>
        <w:rPr>
          <w:rFonts w:eastAsia="Calibri"/>
          <w:color w:val="000000" w:themeColor="text1"/>
        </w:rPr>
      </w:pPr>
      <w:r>
        <w:rPr>
          <w:color w:val="000000" w:themeColor="text1"/>
        </w:rPr>
        <w:t xml:space="preserve">Paul, A., Singh, J., &amp; Sharma, P. (2022). The potential of </w:t>
      </w:r>
      <w:r>
        <w:rPr>
          <w:i/>
          <w:color w:val="000000" w:themeColor="text1"/>
        </w:rPr>
        <w:t>Acmella oleracea</w:t>
      </w:r>
      <w:r>
        <w:rPr>
          <w:color w:val="000000" w:themeColor="text1"/>
        </w:rPr>
        <w:t xml:space="preserve"> as nutraceutical source for health benefits. Journal of Nutraceuticals, </w:t>
      </w:r>
      <w:r>
        <w:rPr>
          <w:color w:val="000000" w:themeColor="text1"/>
        </w:rPr>
        <w:tab/>
      </w:r>
      <w:r>
        <w:rPr>
          <w:color w:val="000000" w:themeColor="text1"/>
        </w:rPr>
        <w:t xml:space="preserve">8(2), 102-109. </w:t>
      </w:r>
      <w:hyperlink r:id="rId56" w:history="1">
        <w:r>
          <w:rPr>
            <w:rStyle w:val="Hyperlink"/>
            <w:color w:val="000000" w:themeColor="text1"/>
            <w:u w:val="none"/>
          </w:rPr>
          <w:t>https://doi.org/10.1016/j.jnutbio.2022.108930</w:t>
        </w:r>
      </w:hyperlink>
      <w:r>
        <w:rPr>
          <w:color w:val="000000" w:themeColor="text1"/>
        </w:rPr>
        <w:t xml:space="preserve"> </w:t>
      </w:r>
      <w:r>
        <w:rPr>
          <w:rFonts w:eastAsia="Calibri"/>
          <w:color w:val="000000" w:themeColor="text1"/>
        </w:rPr>
        <w:t xml:space="preserve">pharmacological advances and nanodelivery approaches. Journal of Controlled Release, 355, 527–541. </w:t>
      </w:r>
      <w:hyperlink r:id="rId57" w:history="1">
        <w:r>
          <w:rPr>
            <w:rStyle w:val="Hyperlink"/>
            <w:rFonts w:eastAsia="Calibri"/>
            <w:color w:val="000000" w:themeColor="text1"/>
            <w:u w:val="none"/>
          </w:rPr>
          <w:t>https://doi.org/10.1016/j.jconrel.2023.05.071</w:t>
        </w:r>
      </w:hyperlink>
    </w:p>
    <w:p w:rsidR="00F03517" w:rsidRDefault="00F03517">
      <w:pPr>
        <w:pStyle w:val="NormalWeb"/>
        <w:spacing w:beforeAutospacing="0" w:afterAutospacing="0" w:line="240" w:lineRule="auto"/>
        <w:ind w:left="1080" w:hanging="720"/>
        <w:jc w:val="both"/>
        <w:rPr>
          <w:rStyle w:val="Hyperlink"/>
          <w:color w:val="000000" w:themeColor="text1"/>
          <w:u w:val="none"/>
        </w:rPr>
      </w:pPr>
    </w:p>
    <w:p w:rsidR="00F03517" w:rsidRDefault="00F33808">
      <w:pPr>
        <w:pStyle w:val="ListParagraph"/>
        <w:numPr>
          <w:ilvl w:val="0"/>
          <w:numId w:val="4"/>
        </w:numPr>
        <w:spacing w:after="0" w:line="240" w:lineRule="auto"/>
        <w:ind w:left="720"/>
        <w:jc w:val="both"/>
        <w:rPr>
          <w:rStyle w:val="x3jgonx"/>
          <w:rFonts w:ascii="Times New Roman" w:hAnsi="Times New Roman" w:cs="Times New Roman"/>
          <w:color w:val="000000" w:themeColor="text1"/>
          <w:sz w:val="24"/>
          <w:szCs w:val="24"/>
        </w:rPr>
      </w:pPr>
      <w:r>
        <w:rPr>
          <w:rStyle w:val="x3jgonx"/>
          <w:rFonts w:ascii="Times New Roman" w:hAnsi="Times New Roman" w:cs="Times New Roman"/>
          <w:color w:val="000000" w:themeColor="text1"/>
          <w:sz w:val="24"/>
          <w:szCs w:val="24"/>
        </w:rPr>
        <w:t>Pilapil, S. V., Donaire, J. A., Latumbo, E., &amp; Juanico, J. M. (2022). Ethnobotanical Documentation of Selected Medicinal Plants Used By the B’laan Tribe of South Cotabato</w:t>
      </w:r>
    </w:p>
    <w:p w:rsidR="00F03517" w:rsidRDefault="00F03517">
      <w:pPr>
        <w:spacing w:after="0" w:line="240" w:lineRule="auto"/>
        <w:ind w:left="1080" w:hanging="720"/>
        <w:jc w:val="both"/>
        <w:rPr>
          <w:rStyle w:val="x3jgonx"/>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Pimentel,</w:t>
      </w:r>
      <w:r>
        <w:rPr>
          <w:rStyle w:val="Hyperlink"/>
          <w:rFonts w:ascii="Times New Roman" w:hAnsi="Times New Roman" w:cs="Times New Roman"/>
          <w:color w:val="000000" w:themeColor="text1"/>
          <w:sz w:val="24"/>
          <w:szCs w:val="24"/>
          <w:u w:val="none"/>
        </w:rPr>
        <w:t xml:space="preserve"> J. J. Y., Stangeland, E. J., &amp; Madrazo, L. D. (2022). In vitro</w:t>
      </w:r>
    </w:p>
    <w:p w:rsidR="00F03517" w:rsidRDefault="00F33808">
      <w:pPr>
        <w:pStyle w:val="ListParagraph"/>
        <w:numPr>
          <w:ilvl w:val="1"/>
          <w:numId w:val="4"/>
        </w:numPr>
        <w:spacing w:after="0" w:line="240" w:lineRule="auto"/>
        <w:ind w:left="144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antimitotic activity of </w:t>
      </w:r>
      <w:r>
        <w:rPr>
          <w:rStyle w:val="Hyperlink"/>
          <w:rFonts w:ascii="Times New Roman" w:hAnsi="Times New Roman" w:cs="Times New Roman"/>
          <w:i/>
          <w:color w:val="000000" w:themeColor="text1"/>
          <w:sz w:val="24"/>
          <w:szCs w:val="24"/>
          <w:u w:val="none"/>
        </w:rPr>
        <w:t>Orthosiphon aristatus</w:t>
      </w:r>
      <w:r>
        <w:rPr>
          <w:rStyle w:val="Hyperlink"/>
          <w:rFonts w:ascii="Times New Roman" w:hAnsi="Times New Roman" w:cs="Times New Roman"/>
          <w:color w:val="000000" w:themeColor="text1"/>
          <w:sz w:val="24"/>
          <w:szCs w:val="24"/>
          <w:u w:val="none"/>
        </w:rPr>
        <w:t xml:space="preserve"> (Cat's Whiskers) using </w:t>
      </w:r>
      <w:r>
        <w:rPr>
          <w:rStyle w:val="Hyperlink"/>
          <w:rFonts w:ascii="Times New Roman" w:hAnsi="Times New Roman" w:cs="Times New Roman"/>
          <w:i/>
          <w:color w:val="000000" w:themeColor="text1"/>
          <w:sz w:val="24"/>
          <w:szCs w:val="24"/>
          <w:u w:val="none"/>
        </w:rPr>
        <w:t>Allium cepa</w:t>
      </w:r>
      <w:r>
        <w:rPr>
          <w:rStyle w:val="Hyperlink"/>
          <w:rFonts w:ascii="Times New Roman" w:hAnsi="Times New Roman" w:cs="Times New Roman"/>
          <w:color w:val="000000" w:themeColor="text1"/>
          <w:sz w:val="24"/>
          <w:szCs w:val="24"/>
          <w:u w:val="none"/>
        </w:rPr>
        <w:t xml:space="preserve"> root assay. De La Salle University Integrated School Research Journal. </w:t>
      </w:r>
      <w:hyperlink r:id="rId58" w:tgtFrame="_blank" w:history="1">
        <w:r>
          <w:rPr>
            <w:rStyle w:val="Hyperlink"/>
            <w:rFonts w:ascii="Times New Roman" w:hAnsi="Times New Roman" w:cs="Times New Roman"/>
            <w:color w:val="000000" w:themeColor="text1"/>
            <w:sz w:val="24"/>
            <w:szCs w:val="24"/>
            <w:u w:val="none"/>
          </w:rPr>
          <w:t>https://animorepository.dlsu.edu.ph/cgi/viewcontent.cgi?article=1034&amp;context=conf_shsrescon</w:t>
        </w:r>
      </w:hyperlink>
    </w:p>
    <w:p w:rsidR="00F03517" w:rsidRDefault="00F03517">
      <w:pPr>
        <w:spacing w:after="0" w:line="240" w:lineRule="auto"/>
        <w:ind w:left="108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Prachayasittikul, V., Prachayasittikul, S., &amp;</w:t>
      </w:r>
      <w:r>
        <w:rPr>
          <w:rStyle w:val="Hyperlink"/>
          <w:rFonts w:ascii="Times New Roman" w:hAnsi="Times New Roman" w:cs="Times New Roman"/>
          <w:color w:val="000000" w:themeColor="text1"/>
          <w:sz w:val="24"/>
          <w:szCs w:val="24"/>
          <w:u w:val="none"/>
        </w:rPr>
        <w:t xml:space="preserve"> Ruchirawat, S. (2009). High therapeutic potential of </w:t>
      </w:r>
      <w:r>
        <w:rPr>
          <w:rStyle w:val="Hyperlink"/>
          <w:rFonts w:ascii="Times New Roman" w:hAnsi="Times New Roman" w:cs="Times New Roman"/>
          <w:i/>
          <w:color w:val="000000" w:themeColor="text1"/>
          <w:sz w:val="24"/>
          <w:szCs w:val="24"/>
          <w:u w:val="none"/>
        </w:rPr>
        <w:t>Spilanthes acmella:</w:t>
      </w:r>
      <w:r>
        <w:rPr>
          <w:rStyle w:val="Hyperlink"/>
          <w:rFonts w:ascii="Times New Roman" w:hAnsi="Times New Roman" w:cs="Times New Roman"/>
          <w:color w:val="000000" w:themeColor="text1"/>
          <w:sz w:val="24"/>
          <w:szCs w:val="24"/>
          <w:u w:val="none"/>
        </w:rPr>
        <w:t xml:space="preserve"> A review. EXCLI Journal, 12, 291-312. </w:t>
      </w:r>
      <w:hyperlink r:id="rId59" w:history="1">
        <w:r>
          <w:rPr>
            <w:rStyle w:val="Hyperlink"/>
            <w:rFonts w:ascii="Times New Roman" w:hAnsi="Times New Roman" w:cs="Times New Roman"/>
            <w:color w:val="000000" w:themeColor="text1"/>
            <w:sz w:val="24"/>
            <w:szCs w:val="24"/>
            <w:u w:val="none"/>
          </w:rPr>
          <w:t>https://www.ncbi.nlm.nih.gov/pmc/articles/PMC4827075/</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Pucot, J. R., Demay</w:t>
      </w:r>
      <w:r>
        <w:rPr>
          <w:rStyle w:val="Hyperlink"/>
          <w:rFonts w:ascii="Times New Roman" w:hAnsi="Times New Roman" w:cs="Times New Roman"/>
          <w:color w:val="000000" w:themeColor="text1"/>
          <w:sz w:val="24"/>
          <w:szCs w:val="24"/>
          <w:u w:val="none"/>
        </w:rPr>
        <w:t>o, C. G., &amp; Manting, C. (2019). Ethnobotanical plants used by selected indigenous peoples of Mindanao, the Philippines, as cancer therapeutics. Pharmacophore, 10(3), 61–69. </w:t>
      </w:r>
      <w:hyperlink r:id="rId60" w:tgtFrame="_blank" w:history="1">
        <w:r>
          <w:rPr>
            <w:rStyle w:val="Hyperlink"/>
            <w:rFonts w:ascii="Times New Roman" w:hAnsi="Times New Roman" w:cs="Times New Roman"/>
            <w:color w:val="000000" w:themeColor="text1"/>
            <w:sz w:val="24"/>
            <w:szCs w:val="24"/>
            <w:u w:val="none"/>
          </w:rPr>
          <w:t>https://www.pharmacophorejournal.com/storage/models/article/fwsG7HKua0MzCWdnnVIMnrudQZSfQT</w:t>
        </w:r>
        <w:r>
          <w:rPr>
            <w:rStyle w:val="Hyperlink"/>
            <w:rFonts w:ascii="Times New Roman" w:hAnsi="Times New Roman" w:cs="Times New Roman"/>
            <w:color w:val="000000" w:themeColor="text1"/>
            <w:sz w:val="24"/>
            <w:szCs w:val="24"/>
            <w:u w:val="none"/>
          </w:rPr>
          <w:t>WeodZ7mxDsOEjtL4jgLPAsnqlEinZQ/ethnobotanical-plants-used-by-selected-indigenous-peoples-of-mindanao-the-philippines-as-cancer-th.pdf</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u w:val="none"/>
        </w:rPr>
        <w:t>Ramalho, F. V., Fernandes, A. W. C., &amp; Oliveira, J. T. A. (2015). Spilanthol: Occurrence, extraction, chemistry and bi</w:t>
      </w:r>
      <w:r>
        <w:rPr>
          <w:rStyle w:val="Hyperlink"/>
          <w:rFonts w:ascii="Times New Roman" w:hAnsi="Times New Roman" w:cs="Times New Roman"/>
          <w:color w:val="000000" w:themeColor="text1"/>
          <w:sz w:val="24"/>
          <w:szCs w:val="24"/>
          <w:u w:val="none"/>
        </w:rPr>
        <w:t xml:space="preserve">ological activities. Revista Brasileira de Farmacognosia, 25(5), 488–494. </w:t>
      </w:r>
      <w:hyperlink r:id="rId61" w:history="1">
        <w:r>
          <w:rPr>
            <w:rStyle w:val="Hyperlink"/>
            <w:rFonts w:ascii="Times New Roman" w:hAnsi="Times New Roman" w:cs="Times New Roman"/>
            <w:color w:val="000000" w:themeColor="text1"/>
            <w:sz w:val="24"/>
            <w:szCs w:val="24"/>
            <w:u w:val="none"/>
          </w:rPr>
          <w:t>https://www.scielo.br/j/rbfar/a/NYzSpVFF4cKrybK4Dnhcy4c/</w:t>
        </w:r>
      </w:hyperlink>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Ricciutelli, M., Ferrati, M., Petrelli, R., Canale,</w:t>
      </w:r>
      <w:r>
        <w:rPr>
          <w:rStyle w:val="Hyperlink"/>
          <w:rFonts w:ascii="Times New Roman" w:hAnsi="Times New Roman" w:cs="Times New Roman"/>
          <w:color w:val="000000" w:themeColor="text1"/>
          <w:sz w:val="24"/>
          <w:szCs w:val="24"/>
          <w:u w:val="none"/>
        </w:rPr>
        <w:t xml:space="preserve"> A., &amp; Benelli, G. (2022). Spilanthol-rich essential oil obtained by microwave-assisted extraction from Acmella oleracea (L.) R.K. Jansen and its nanoemulsion: Insecticidal, cytotoxic and anti-inflammatory activities. Journal of Pharmacognosy and Natural P</w:t>
      </w:r>
      <w:r>
        <w:rPr>
          <w:rStyle w:val="Hyperlink"/>
          <w:rFonts w:ascii="Times New Roman" w:hAnsi="Times New Roman" w:cs="Times New Roman"/>
          <w:color w:val="000000" w:themeColor="text1"/>
          <w:sz w:val="24"/>
          <w:szCs w:val="24"/>
          <w:u w:val="none"/>
        </w:rPr>
        <w:t xml:space="preserve">roducts, 9(2), 3-4. </w:t>
      </w:r>
      <w:hyperlink r:id="rId62" w:history="1">
        <w:r>
          <w:rPr>
            <w:rStyle w:val="Hyperlink"/>
            <w:rFonts w:ascii="Times New Roman" w:hAnsi="Times New Roman" w:cs="Times New Roman"/>
            <w:color w:val="000000" w:themeColor="text1"/>
            <w:sz w:val="24"/>
            <w:szCs w:val="24"/>
            <w:u w:val="none"/>
          </w:rPr>
          <w:t>https://www.hilarispublisher.com/open-access/recent-discovries-on-acmella-oleracea-a-review.pdf</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i/>
          <w:color w:val="000000" w:themeColor="text1"/>
          <w:sz w:val="24"/>
          <w:szCs w:val="24"/>
          <w:u w:val="none"/>
        </w:rPr>
      </w:pPr>
      <w:r>
        <w:rPr>
          <w:rFonts w:ascii="Times New Roman" w:hAnsi="Times New Roman" w:cs="Times New Roman"/>
          <w:color w:val="000000" w:themeColor="text1"/>
          <w:sz w:val="24"/>
          <w:szCs w:val="24"/>
        </w:rPr>
        <w:t>Rizkita, N., et al. (2023).</w:t>
      </w:r>
      <w:r>
        <w:rPr>
          <w:rFonts w:ascii="Times New Roman" w:hAnsi="Times New Roman" w:cs="Times New Roman"/>
          <w:color w:val="000000" w:themeColor="text1"/>
          <w:sz w:val="24"/>
          <w:szCs w:val="24"/>
        </w:rPr>
        <w:t xml:space="preserve"> Phytochemical compounds extraction from </w:t>
      </w:r>
      <w:r>
        <w:rPr>
          <w:rFonts w:ascii="Times New Roman" w:hAnsi="Times New Roman" w:cs="Times New Roman"/>
          <w:i/>
          <w:color w:val="000000" w:themeColor="text1"/>
          <w:sz w:val="24"/>
          <w:szCs w:val="24"/>
        </w:rPr>
        <w:t>Orthosiphon aristatus</w:t>
      </w:r>
      <w:r>
        <w:rPr>
          <w:rFonts w:ascii="Times New Roman" w:hAnsi="Times New Roman" w:cs="Times New Roman"/>
          <w:color w:val="000000" w:themeColor="text1"/>
          <w:sz w:val="24"/>
          <w:szCs w:val="24"/>
        </w:rPr>
        <w:t xml:space="preserve"> leaves. Asian Journal of Chemistry. </w:t>
      </w:r>
      <w:hyperlink r:id="rId63" w:history="1">
        <w:r>
          <w:rPr>
            <w:rStyle w:val="Hyperlink"/>
            <w:rFonts w:ascii="Times New Roman" w:hAnsi="Times New Roman" w:cs="Times New Roman"/>
            <w:color w:val="000000" w:themeColor="text1"/>
            <w:sz w:val="24"/>
            <w:szCs w:val="24"/>
            <w:u w:val="none"/>
          </w:rPr>
          <w:t>https://www.sciencedirect.com/science/article/pii/S1026918523000811</w:t>
        </w:r>
      </w:hyperlink>
      <w:r>
        <w:rPr>
          <w:rStyle w:val="Hyperlink"/>
          <w:rFonts w:ascii="Times New Roman" w:hAnsi="Times New Roman" w:cs="Times New Roman"/>
          <w:i/>
          <w:color w:val="000000" w:themeColor="text1"/>
          <w:sz w:val="24"/>
          <w:szCs w:val="24"/>
          <w:u w:val="none"/>
        </w:rPr>
        <w:t xml:space="preserve"> </w:t>
      </w:r>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Rondanelli, M., Fossari, F., Vecchio, V., Braschi, V., Riva, A., Allegrini, P.,Petrangolini, G., Iannello, G., Faliva, M. A., Peroni, G., Nichetti, M., Gasparri, C., Spadaccini, D., Infantino, V., Mustafa, S., Alalwan, T., &amp; Perna, S. (n.d.). </w:t>
      </w:r>
      <w:r>
        <w:rPr>
          <w:rFonts w:ascii="Times New Roman" w:hAnsi="Times New Roman" w:cs="Times New Roman"/>
          <w:i/>
          <w:color w:val="000000" w:themeColor="text1"/>
          <w:sz w:val="24"/>
          <w:szCs w:val="24"/>
        </w:rPr>
        <w:t>Acmella olera</w:t>
      </w:r>
      <w:r>
        <w:rPr>
          <w:rFonts w:ascii="Times New Roman" w:hAnsi="Times New Roman" w:cs="Times New Roman"/>
          <w:i/>
          <w:color w:val="000000" w:themeColor="text1"/>
          <w:sz w:val="24"/>
          <w:szCs w:val="24"/>
        </w:rPr>
        <w:t>cea</w:t>
      </w:r>
      <w:r>
        <w:rPr>
          <w:rFonts w:ascii="Times New Roman" w:hAnsi="Times New Roman" w:cs="Times New Roman"/>
          <w:color w:val="000000" w:themeColor="text1"/>
          <w:sz w:val="24"/>
          <w:szCs w:val="24"/>
        </w:rPr>
        <w:t xml:space="preserve"> for pain management. </w:t>
      </w:r>
      <w:r>
        <w:rPr>
          <w:rFonts w:ascii="Times New Roman" w:hAnsi="Times New Roman" w:cs="Times New Roman"/>
          <w:i/>
          <w:iCs/>
          <w:color w:val="000000" w:themeColor="text1"/>
          <w:sz w:val="24"/>
          <w:szCs w:val="24"/>
        </w:rPr>
        <w:t>Fitoterapia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140</w:t>
      </w:r>
      <w:r>
        <w:rPr>
          <w:rFonts w:ascii="Times New Roman" w:hAnsi="Times New Roman" w:cs="Times New Roman"/>
          <w:color w:val="000000" w:themeColor="text1"/>
          <w:sz w:val="24"/>
          <w:szCs w:val="24"/>
        </w:rPr>
        <w:t xml:space="preserve">, 104419. </w:t>
      </w:r>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Santos, E., Reyes, F., &amp; Martinez, L. (2023). Documentation of ethnomedicinal plants used by the B'laan tribe in Mindanao: Preserving indigenous knowledge. Ethnobotany Research and Applications, 25, 1-12</w:t>
      </w:r>
      <w:r>
        <w:rPr>
          <w:rFonts w:ascii="Times New Roman" w:hAnsi="Times New Roman" w:cs="Times New Roman"/>
          <w:color w:val="000000" w:themeColor="text1"/>
          <w:sz w:val="24"/>
          <w:szCs w:val="24"/>
        </w:rPr>
        <w:t>.</w:t>
      </w:r>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Savant, P. B., &amp; Kareppa, M. S. (2022). The role of </w:t>
      </w:r>
      <w:r>
        <w:rPr>
          <w:rStyle w:val="Hyperlink"/>
          <w:rFonts w:ascii="Times New Roman" w:hAnsi="Times New Roman" w:cs="Times New Roman"/>
          <w:i/>
          <w:color w:val="000000" w:themeColor="text1"/>
          <w:sz w:val="24"/>
          <w:szCs w:val="24"/>
          <w:u w:val="none"/>
        </w:rPr>
        <w:t>Acmella oleracea</w:t>
      </w:r>
      <w:r>
        <w:rPr>
          <w:rStyle w:val="Hyperlink"/>
          <w:rFonts w:ascii="Times New Roman" w:hAnsi="Times New Roman" w:cs="Times New Roman"/>
          <w:color w:val="000000" w:themeColor="text1"/>
          <w:sz w:val="24"/>
          <w:szCs w:val="24"/>
          <w:u w:val="none"/>
        </w:rPr>
        <w:t xml:space="preserve"> in medicine – A Review. Asian Journal of Pharmaceutical Research, 12(1). </w:t>
      </w:r>
      <w:hyperlink r:id="rId64" w:tgtFrame="_blank" w:history="1">
        <w:r>
          <w:rPr>
            <w:rStyle w:val="Hyperlink"/>
            <w:rFonts w:ascii="Times New Roman" w:hAnsi="Times New Roman" w:cs="Times New Roman"/>
            <w:color w:val="000000" w:themeColor="text1"/>
            <w:sz w:val="24"/>
            <w:szCs w:val="24"/>
            <w:u w:val="none"/>
          </w:rPr>
          <w:t>https://asianjpr.com/HTML_Papers/Asian%20Journal%20of%20Pharmaceutical%20Research__PID__2022-12-1-11.html</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rPr>
        <w:t>Sawalha, H. D., Qalalweh, G</w:t>
      </w:r>
      <w:r>
        <w:rPr>
          <w:rFonts w:ascii="Times New Roman" w:eastAsia="SimSun" w:hAnsi="Times New Roman" w:cs="Times New Roman"/>
          <w:color w:val="000000" w:themeColor="text1"/>
          <w:sz w:val="24"/>
          <w:szCs w:val="24"/>
        </w:rPr>
        <w:t xml:space="preserve">., Nazzal, H., Kmail, A., &amp; Qoraan, I. (2025). </w:t>
      </w:r>
      <w:r>
        <w:rPr>
          <w:rFonts w:ascii="Times New Roman" w:eastAsia="SimSun" w:hAnsi="Times New Roman" w:cs="Times New Roman"/>
          <w:color w:val="000000" w:themeColor="text1"/>
          <w:sz w:val="24"/>
          <w:szCs w:val="24"/>
        </w:rPr>
        <w:tab/>
      </w:r>
      <w:r>
        <w:rPr>
          <w:rStyle w:val="Emphasis"/>
          <w:rFonts w:ascii="Times New Roman" w:eastAsia="SimSun" w:hAnsi="Times New Roman" w:cs="Times New Roman"/>
          <w:color w:val="000000" w:themeColor="text1"/>
          <w:sz w:val="24"/>
          <w:szCs w:val="24"/>
        </w:rPr>
        <w:t xml:space="preserve">Antibacterial potential of plant extracts against foodborne pathogenic bacteria: </w:t>
      </w:r>
      <w:r>
        <w:rPr>
          <w:rStyle w:val="Emphasis"/>
          <w:rFonts w:ascii="Times New Roman" w:eastAsia="SimSun" w:hAnsi="Times New Roman" w:cs="Times New Roman"/>
          <w:color w:val="000000" w:themeColor="text1"/>
          <w:sz w:val="24"/>
          <w:szCs w:val="24"/>
        </w:rPr>
        <w:tab/>
        <w:t>A phytochemical and bioactive analysis</w:t>
      </w:r>
      <w:r>
        <w:rPr>
          <w:rFonts w:ascii="Times New Roman" w:eastAsia="SimSun" w:hAnsi="Times New Roman" w:cs="Times New Roman"/>
          <w:color w:val="000000" w:themeColor="text1"/>
          <w:sz w:val="24"/>
          <w:szCs w:val="24"/>
        </w:rPr>
        <w:t xml:space="preserve">. </w:t>
      </w:r>
      <w:r>
        <w:rPr>
          <w:rStyle w:val="Emphasis"/>
          <w:rFonts w:ascii="Times New Roman" w:eastAsia="SimSun" w:hAnsi="Times New Roman" w:cs="Times New Roman"/>
          <w:color w:val="000000" w:themeColor="text1"/>
          <w:sz w:val="24"/>
          <w:szCs w:val="24"/>
        </w:rPr>
        <w:t xml:space="preserve">Journal of Pure and Applied </w:t>
      </w:r>
      <w:r>
        <w:rPr>
          <w:rStyle w:val="Emphasis"/>
          <w:rFonts w:ascii="Times New Roman" w:eastAsia="SimSun" w:hAnsi="Times New Roman" w:cs="Times New Roman"/>
          <w:color w:val="000000" w:themeColor="text1"/>
          <w:sz w:val="24"/>
          <w:szCs w:val="24"/>
        </w:rPr>
        <w:tab/>
        <w:t>Microbiology, 19</w:t>
      </w:r>
      <w:r>
        <w:rPr>
          <w:rFonts w:ascii="Times New Roman" w:eastAsia="SimSun" w:hAnsi="Times New Roman" w:cs="Times New Roman"/>
          <w:color w:val="000000" w:themeColor="text1"/>
          <w:sz w:val="24"/>
          <w:szCs w:val="24"/>
        </w:rPr>
        <w:t>(3), 2211-2226.</w:t>
      </w:r>
    </w:p>
    <w:p w:rsidR="00F03517" w:rsidRDefault="00F03517">
      <w:pPr>
        <w:spacing w:after="0" w:line="240" w:lineRule="auto"/>
        <w:ind w:left="1080" w:hanging="720"/>
        <w:jc w:val="both"/>
        <w:rPr>
          <w:rFonts w:ascii="Times New Roman" w:eastAsia="SimSu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Sharma, T., Pandey, B., </w:t>
      </w:r>
      <w:r>
        <w:rPr>
          <w:rStyle w:val="Hyperlink"/>
          <w:rFonts w:ascii="Times New Roman" w:hAnsi="Times New Roman" w:cs="Times New Roman"/>
          <w:color w:val="000000" w:themeColor="text1"/>
          <w:sz w:val="24"/>
          <w:szCs w:val="24"/>
          <w:u w:val="none"/>
        </w:rPr>
        <w:t>Shrestha, B. K., Karki, N., &amp; Thusa, R. (2020). Phytochemical screening of medicinal plants and study of the effect of phytoconstituents in seed germination. Tribhuvan University Journal, 35(2), 1-11.</w:t>
      </w:r>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Shinija, Mrs.N.Adlin. (2024). DESCRIPTIVE RESEARCH DES</w:t>
      </w:r>
      <w:r>
        <w:rPr>
          <w:rFonts w:ascii="Times New Roman" w:hAnsi="Times New Roman" w:cs="Times New Roman"/>
          <w:bCs/>
          <w:color w:val="000000" w:themeColor="text1"/>
          <w:sz w:val="24"/>
          <w:szCs w:val="24"/>
        </w:rPr>
        <w:t>IGN. 10.13140/RG.2.2.19205.36325.</w:t>
      </w:r>
    </w:p>
    <w:p w:rsidR="00F03517" w:rsidRDefault="00F03517">
      <w:pPr>
        <w:spacing w:after="0" w:line="240" w:lineRule="auto"/>
        <w:ind w:left="1080" w:hanging="720"/>
        <w:jc w:val="both"/>
        <w:rPr>
          <w:rStyle w:val="Hyperlink"/>
          <w:rFonts w:ascii="Times New Roman" w:hAnsi="Times New Roman" w:cs="Times New Roman"/>
          <w:bCs/>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Singh, Y., Yadav, P. K., &amp; Chaurasia, R. (2018). Phytochemical and antimicrobial studies on medicinally important </w:t>
      </w:r>
      <w:r>
        <w:rPr>
          <w:rStyle w:val="Hyperlink"/>
          <w:rFonts w:ascii="Times New Roman" w:hAnsi="Times New Roman" w:cs="Times New Roman"/>
          <w:i/>
          <w:color w:val="000000" w:themeColor="text1"/>
          <w:sz w:val="24"/>
          <w:szCs w:val="24"/>
          <w:u w:val="none"/>
        </w:rPr>
        <w:t>Gmelina arborea Roxb</w:t>
      </w:r>
      <w:r>
        <w:rPr>
          <w:rStyle w:val="Hyperlink"/>
          <w:rFonts w:ascii="Times New Roman" w:hAnsi="Times New Roman" w:cs="Times New Roman"/>
          <w:color w:val="000000" w:themeColor="text1"/>
          <w:sz w:val="24"/>
          <w:szCs w:val="24"/>
          <w:u w:val="none"/>
        </w:rPr>
        <w:t>. Journal of Applied Pharmaceutical Science, 8(4), 144-152. </w:t>
      </w:r>
      <w:hyperlink r:id="rId65" w:tgtFrame="_blank" w:history="1">
        <w:r>
          <w:rPr>
            <w:rStyle w:val="Hyperlink"/>
            <w:rFonts w:ascii="Times New Roman" w:hAnsi="Times New Roman" w:cs="Times New Roman"/>
            <w:color w:val="000000" w:themeColor="text1"/>
            <w:sz w:val="24"/>
            <w:szCs w:val="24"/>
            <w:u w:val="none"/>
          </w:rPr>
          <w:t>https://doi.org/10.7324/JAPS.2018.80420</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Spinozzi, E., Boukouvala, M. C., Kavallieratos, N. G., Maggi, F., Angeloni, S., Ricciutelli, M., Ferrati, M., Petrelli, R., Canale, A., &amp;</w:t>
      </w:r>
      <w:r>
        <w:rPr>
          <w:rFonts w:ascii="Times New Roman" w:hAnsi="Times New Roman" w:cs="Times New Roman"/>
          <w:color w:val="000000" w:themeColor="text1"/>
          <w:sz w:val="24"/>
          <w:szCs w:val="24"/>
        </w:rPr>
        <w:t xml:space="preserve"> Benelli, G. (2022). Spilanthol-rich essential oil obtained by microwave-assisted extraction from </w:t>
      </w:r>
      <w:r>
        <w:rPr>
          <w:rFonts w:ascii="Times New Roman" w:hAnsi="Times New Roman" w:cs="Times New Roman"/>
          <w:i/>
          <w:color w:val="000000" w:themeColor="text1"/>
          <w:sz w:val="24"/>
          <w:szCs w:val="24"/>
        </w:rPr>
        <w:t xml:space="preserve">Acmella oleracea </w:t>
      </w:r>
      <w:r>
        <w:rPr>
          <w:rFonts w:ascii="Times New Roman" w:hAnsi="Times New Roman" w:cs="Times New Roman"/>
          <w:color w:val="000000" w:themeColor="text1"/>
          <w:sz w:val="24"/>
          <w:szCs w:val="24"/>
        </w:rPr>
        <w:t>(L.) R.K. Jansen and its nanoemulsion: Insecticidal, cytotoxic and anti-inflammatory activities. Journal of Pharmacognosy and Natural Product</w:t>
      </w:r>
      <w:r>
        <w:rPr>
          <w:rFonts w:ascii="Times New Roman" w:hAnsi="Times New Roman" w:cs="Times New Roman"/>
          <w:color w:val="000000" w:themeColor="text1"/>
          <w:sz w:val="24"/>
          <w:szCs w:val="24"/>
        </w:rPr>
        <w:t xml:space="preserve">s, 9(2), 3-4. </w:t>
      </w:r>
      <w:hyperlink r:id="rId66" w:history="1">
        <w:r>
          <w:rPr>
            <w:rStyle w:val="Hyperlink"/>
            <w:rFonts w:ascii="Times New Roman" w:hAnsi="Times New Roman" w:cs="Times New Roman"/>
            <w:color w:val="000000" w:themeColor="text1"/>
            <w:sz w:val="24"/>
            <w:szCs w:val="24"/>
            <w:u w:val="none"/>
          </w:rPr>
          <w:t>https://www.hilarispublisher.com/open-access/recent-discovries-on-acmella-oleracea-a-review.pdf</w:t>
        </w:r>
      </w:hyperlink>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Thacker, H., &amp; Ram, V. (2024). Me</w:t>
      </w:r>
      <w:r>
        <w:rPr>
          <w:rFonts w:ascii="Times New Roman" w:hAnsi="Times New Roman" w:cs="Times New Roman"/>
          <w:color w:val="000000" w:themeColor="text1"/>
          <w:sz w:val="24"/>
          <w:szCs w:val="24"/>
        </w:rPr>
        <w:t xml:space="preserve">dicinal properties of phytochemicals: A review. </w:t>
      </w:r>
      <w:r>
        <w:rPr>
          <w:rFonts w:ascii="Times New Roman" w:hAnsi="Times New Roman" w:cs="Times New Roman"/>
          <w:i/>
          <w:iCs/>
          <w:color w:val="000000" w:themeColor="text1"/>
          <w:sz w:val="24"/>
          <w:szCs w:val="24"/>
        </w:rPr>
        <w:t>Journal of Pharmacognosy and Phytochemistry</w:t>
      </w:r>
      <w:r>
        <w:rPr>
          <w:rFonts w:ascii="Times New Roman" w:hAnsi="Times New Roman" w:cs="Times New Roman"/>
          <w:color w:val="000000" w:themeColor="text1"/>
          <w:sz w:val="24"/>
          <w:szCs w:val="24"/>
        </w:rPr>
        <w:t xml:space="preserve">, 13(2), 78-82. </w:t>
      </w:r>
      <w:hyperlink r:id="rId67" w:history="1">
        <w:r>
          <w:rPr>
            <w:rStyle w:val="Hyperlink"/>
            <w:rFonts w:ascii="Times New Roman" w:hAnsi="Times New Roman" w:cs="Times New Roman"/>
            <w:color w:val="000000" w:themeColor="text1"/>
            <w:sz w:val="24"/>
            <w:szCs w:val="24"/>
            <w:u w:val="none"/>
          </w:rPr>
          <w:t>https://doi.org/10.22271/phyto.2024.v13.i2a.14873</w:t>
        </w:r>
      </w:hyperlink>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 xml:space="preserve">The Useful Tropical Plants Database. (2025). </w:t>
      </w:r>
      <w:r>
        <w:rPr>
          <w:rFonts w:ascii="Times New Roman" w:hAnsi="Times New Roman" w:cs="Times New Roman"/>
          <w:i/>
          <w:color w:val="000000" w:themeColor="text1"/>
          <w:sz w:val="24"/>
          <w:szCs w:val="24"/>
        </w:rPr>
        <w:t>Orthosiphon aristatus.</w:t>
      </w:r>
      <w:hyperlink r:id="rId68" w:history="1">
        <w:r>
          <w:rPr>
            <w:rStyle w:val="Hyperlink"/>
            <w:rFonts w:ascii="Times New Roman" w:hAnsi="Times New Roman" w:cs="Times New Roman"/>
            <w:color w:val="000000" w:themeColor="text1"/>
            <w:sz w:val="24"/>
            <w:szCs w:val="24"/>
            <w:u w:val="none"/>
          </w:rPr>
          <w:t>https://tropical.theferns.info/viewtropical.php?id=Orthosiphon+aristatus</w:t>
        </w:r>
      </w:hyperlink>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Verma, K., Dhruvakumar, D.</w:t>
      </w:r>
      <w:r>
        <w:rPr>
          <w:rFonts w:ascii="Times New Roman" w:hAnsi="Times New Roman" w:cs="Times New Roman"/>
          <w:color w:val="000000" w:themeColor="text1"/>
          <w:sz w:val="24"/>
          <w:szCs w:val="24"/>
        </w:rPr>
        <w:t xml:space="preserve">, &amp; Pande, M. (2022). A clinical and microbiological study to assess the efficacy of </w:t>
      </w:r>
      <w:r>
        <w:rPr>
          <w:rFonts w:ascii="Times New Roman" w:hAnsi="Times New Roman" w:cs="Times New Roman"/>
          <w:i/>
          <w:color w:val="000000" w:themeColor="text1"/>
          <w:sz w:val="24"/>
          <w:szCs w:val="24"/>
        </w:rPr>
        <w:t>Acmella oleracea</w:t>
      </w:r>
      <w:r>
        <w:rPr>
          <w:rFonts w:ascii="Times New Roman" w:hAnsi="Times New Roman" w:cs="Times New Roman"/>
          <w:color w:val="000000" w:themeColor="text1"/>
          <w:sz w:val="24"/>
          <w:szCs w:val="24"/>
        </w:rPr>
        <w:t xml:space="preserve"> and Acacia catechu herbs as local drug delivery in treatment of chronic generalized periodontitis patients. Journal of Periodontology, 93(5), 737-744. </w:t>
      </w:r>
      <w:hyperlink r:id="rId69" w:history="1">
        <w:r>
          <w:rPr>
            <w:rStyle w:val="Hyperlink"/>
            <w:rFonts w:ascii="Times New Roman" w:hAnsi="Times New Roman" w:cs="Times New Roman"/>
            <w:color w:val="000000" w:themeColor="text1"/>
            <w:sz w:val="24"/>
            <w:szCs w:val="24"/>
            <w:u w:val="none"/>
          </w:rPr>
          <w:t>https://www.ncbi.nlm.nih.gov/pmc/articles/PMC9118937/</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Wang, J., Chen, W., &amp; Zhang, X. (2023). Role of phenolic compounds as antioxidants in disease prevention and therapy. </w:t>
      </w:r>
      <w:r>
        <w:rPr>
          <w:rStyle w:val="Hyperlink"/>
          <w:rFonts w:ascii="Times New Roman" w:hAnsi="Times New Roman" w:cs="Times New Roman"/>
          <w:i/>
          <w:iCs/>
          <w:color w:val="000000" w:themeColor="text1"/>
          <w:sz w:val="24"/>
          <w:szCs w:val="24"/>
          <w:u w:val="none"/>
        </w:rPr>
        <w:t>Molecules</w:t>
      </w:r>
      <w:r>
        <w:rPr>
          <w:rStyle w:val="Hyperlink"/>
          <w:rFonts w:ascii="Times New Roman" w:hAnsi="Times New Roman" w:cs="Times New Roman"/>
          <w:color w:val="000000" w:themeColor="text1"/>
          <w:sz w:val="24"/>
          <w:szCs w:val="24"/>
          <w:u w:val="none"/>
        </w:rPr>
        <w:t xml:space="preserve">, 28(6), 2554. </w:t>
      </w:r>
      <w:hyperlink r:id="rId70" w:history="1">
        <w:r>
          <w:rPr>
            <w:rStyle w:val="Hyperlink"/>
            <w:rFonts w:ascii="Times New Roman" w:hAnsi="Times New Roman" w:cs="Times New Roman"/>
            <w:color w:val="000000" w:themeColor="text1"/>
            <w:sz w:val="24"/>
            <w:szCs w:val="24"/>
            <w:u w:val="none"/>
          </w:rPr>
          <w:t>https://doi.org/10.3390/molecules28062554</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Wang. Y., Lee, F., &amp; Chen, S. (2022). Polyphenols, saponins and phytosterols in lentils and their health benefits. Nutrients, 14(20), 4447. </w:t>
      </w:r>
      <w:hyperlink r:id="rId71" w:history="1">
        <w:r>
          <w:rPr>
            <w:rStyle w:val="Hyperlink"/>
            <w:rFonts w:ascii="Times New Roman" w:hAnsi="Times New Roman" w:cs="Times New Roman"/>
            <w:color w:val="000000" w:themeColor="text1"/>
            <w:sz w:val="24"/>
            <w:szCs w:val="24"/>
            <w:u w:val="none"/>
          </w:rPr>
          <w:t>https://www.ncbi.nih.gov/pmc/articles/PMC9609092/</w:t>
        </w:r>
      </w:hyperlink>
    </w:p>
    <w:p w:rsidR="00F03517" w:rsidRDefault="00F03517">
      <w:pPr>
        <w:spacing w:after="0" w:line="240" w:lineRule="auto"/>
        <w:ind w:left="1080" w:hanging="720"/>
        <w:jc w:val="both"/>
        <w:rPr>
          <w:rStyle w:val="Hyperlink"/>
          <w:rFonts w:ascii="Times New Roman" w:hAnsi="Times New Roman" w:cs="Times New Roman"/>
          <w:color w:val="000000" w:themeColor="text1"/>
          <w:sz w:val="24"/>
          <w:szCs w:val="24"/>
          <w:u w:val="none"/>
        </w:rPr>
      </w:pPr>
    </w:p>
    <w:p w:rsidR="00F03517" w:rsidRDefault="00F33808">
      <w:pPr>
        <w:pStyle w:val="ListParagraph"/>
        <w:numPr>
          <w:ilvl w:val="0"/>
          <w:numId w:val="4"/>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Waghchaure, A. G., Jadhav, R. S., Vikhe, D. N., &amp; Ghule, Y. L. (2022). A Review on Pharmacognostic, Phytochemical and Biological Potential </w:t>
      </w:r>
      <w:r>
        <w:rPr>
          <w:rFonts w:ascii="Times New Roman" w:hAnsi="Times New Roman" w:cs="Times New Roman"/>
          <w:color w:val="000000" w:themeColor="text1"/>
          <w:sz w:val="24"/>
          <w:szCs w:val="24"/>
        </w:rPr>
        <w:t xml:space="preserve">of </w:t>
      </w:r>
      <w:r>
        <w:rPr>
          <w:rFonts w:ascii="Times New Roman" w:hAnsi="Times New Roman" w:cs="Times New Roman"/>
          <w:i/>
          <w:color w:val="000000" w:themeColor="text1"/>
          <w:sz w:val="24"/>
          <w:szCs w:val="24"/>
        </w:rPr>
        <w:t>Gmelina arborea</w:t>
      </w:r>
      <w:r>
        <w:rPr>
          <w:rFonts w:ascii="Times New Roman" w:hAnsi="Times New Roman" w:cs="Times New Roman"/>
          <w:color w:val="000000" w:themeColor="text1"/>
          <w:sz w:val="24"/>
          <w:szCs w:val="24"/>
        </w:rPr>
        <w:t xml:space="preserve"> Roxb (Shivan Plant). International Journal of Research and Review, 9(3), 237-246.</w:t>
      </w:r>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NormalWeb"/>
        <w:numPr>
          <w:ilvl w:val="0"/>
          <w:numId w:val="4"/>
        </w:numPr>
        <w:spacing w:beforeAutospacing="0" w:afterAutospacing="0" w:line="240" w:lineRule="auto"/>
        <w:ind w:left="720"/>
        <w:jc w:val="both"/>
        <w:rPr>
          <w:rStyle w:val="url"/>
          <w:color w:val="000000" w:themeColor="text1"/>
        </w:rPr>
      </w:pPr>
      <w:r>
        <w:rPr>
          <w:color w:val="000000" w:themeColor="text1"/>
        </w:rPr>
        <w:t xml:space="preserve">Warrier, R. R., Priya, S. M., &amp; Kalaiselvi, R. (n.d.). </w:t>
      </w:r>
      <w:r>
        <w:rPr>
          <w:i/>
          <w:color w:val="000000" w:themeColor="text1"/>
        </w:rPr>
        <w:t>Gmelina arborea</w:t>
      </w:r>
      <w:r>
        <w:rPr>
          <w:color w:val="000000" w:themeColor="text1"/>
        </w:rPr>
        <w:t xml:space="preserve">– an indigenous timber species of India with high medicinal value: A review on its pharmacology, pharmacognosy and phytochemistry. </w:t>
      </w:r>
      <w:r>
        <w:rPr>
          <w:i/>
          <w:iCs/>
          <w:color w:val="000000" w:themeColor="text1"/>
        </w:rPr>
        <w:t>Journal of Ethnopharmacology</w:t>
      </w:r>
      <w:r>
        <w:rPr>
          <w:color w:val="000000" w:themeColor="text1"/>
        </w:rPr>
        <w:t xml:space="preserve">, </w:t>
      </w:r>
      <w:r>
        <w:rPr>
          <w:i/>
          <w:iCs/>
          <w:color w:val="000000" w:themeColor="text1"/>
        </w:rPr>
        <w:t>267</w:t>
      </w:r>
      <w:r>
        <w:rPr>
          <w:color w:val="000000" w:themeColor="text1"/>
        </w:rPr>
        <w:t xml:space="preserve">, 113593. </w:t>
      </w:r>
      <w:hyperlink r:id="rId72" w:history="1">
        <w:r>
          <w:rPr>
            <w:rStyle w:val="Hyperlink"/>
            <w:color w:val="000000" w:themeColor="text1"/>
            <w:u w:val="none"/>
          </w:rPr>
          <w:t>https://doi.org/10.1016/j.j</w:t>
        </w:r>
        <w:r>
          <w:rPr>
            <w:rStyle w:val="Hyperlink"/>
            <w:color w:val="000000" w:themeColor="text1"/>
            <w:u w:val="none"/>
          </w:rPr>
          <w:t>ep.2020.113593</w:t>
        </w:r>
      </w:hyperlink>
      <w:r>
        <w:rPr>
          <w:rStyle w:val="url"/>
          <w:color w:val="000000" w:themeColor="text1"/>
        </w:rPr>
        <w:t>.</w:t>
      </w:r>
    </w:p>
    <w:p w:rsidR="00F03517" w:rsidRDefault="00F03517">
      <w:pPr>
        <w:pStyle w:val="NormalWeb"/>
        <w:spacing w:beforeAutospacing="0" w:afterAutospacing="0" w:line="240" w:lineRule="auto"/>
        <w:ind w:left="1080" w:hanging="720"/>
        <w:jc w:val="both"/>
        <w:rPr>
          <w:rStyle w:val="url"/>
          <w:color w:val="000000" w:themeColor="text1"/>
        </w:rPr>
      </w:pPr>
    </w:p>
    <w:p w:rsidR="00F03517" w:rsidRDefault="00F33808">
      <w:pPr>
        <w:pStyle w:val="NormalWeb"/>
        <w:numPr>
          <w:ilvl w:val="0"/>
          <w:numId w:val="4"/>
        </w:numPr>
        <w:spacing w:beforeAutospacing="0" w:afterAutospacing="0" w:line="240" w:lineRule="auto"/>
        <w:ind w:left="720"/>
        <w:jc w:val="both"/>
        <w:rPr>
          <w:rStyle w:val="url"/>
          <w:color w:val="000000" w:themeColor="text1"/>
        </w:rPr>
      </w:pPr>
      <w:r>
        <w:rPr>
          <w:rStyle w:val="url"/>
          <w:color w:val="000000" w:themeColor="text1"/>
        </w:rPr>
        <w:t xml:space="preserve">World Health Organization. (2019). </w:t>
      </w:r>
      <w:r>
        <w:rPr>
          <w:rStyle w:val="url"/>
          <w:i/>
          <w:iCs/>
          <w:color w:val="000000" w:themeColor="text1"/>
        </w:rPr>
        <w:t>Traditional medicine strategy 2014-2023</w:t>
      </w:r>
      <w:r>
        <w:rPr>
          <w:rStyle w:val="url"/>
          <w:color w:val="000000" w:themeColor="text1"/>
        </w:rPr>
        <w:t xml:space="preserve"> (3rd ed.). WHO Press.</w:t>
      </w:r>
    </w:p>
    <w:p w:rsidR="00F03517" w:rsidRDefault="00F03517">
      <w:pPr>
        <w:pStyle w:val="NormalWeb"/>
        <w:spacing w:beforeAutospacing="0" w:afterAutospacing="0" w:line="240" w:lineRule="auto"/>
        <w:ind w:left="1080" w:hanging="720"/>
        <w:jc w:val="both"/>
        <w:rPr>
          <w:rStyle w:val="url"/>
          <w:color w:val="000000" w:themeColor="text1"/>
        </w:rPr>
      </w:pPr>
    </w:p>
    <w:p w:rsidR="00F03517" w:rsidRDefault="00F33808">
      <w:pPr>
        <w:pStyle w:val="NormalWeb"/>
        <w:numPr>
          <w:ilvl w:val="0"/>
          <w:numId w:val="4"/>
        </w:numPr>
        <w:spacing w:beforeAutospacing="0" w:afterAutospacing="0" w:line="240" w:lineRule="auto"/>
        <w:ind w:left="720"/>
        <w:jc w:val="both"/>
        <w:rPr>
          <w:rStyle w:val="url"/>
          <w:color w:val="000000" w:themeColor="text1"/>
        </w:rPr>
      </w:pPr>
      <w:r>
        <w:rPr>
          <w:rStyle w:val="url"/>
          <w:color w:val="000000" w:themeColor="text1"/>
        </w:rPr>
        <w:t xml:space="preserve">Yadav, P., et al. (2021). Pharmacological properties of Gmelina arborea: A comprehensive review. International Journal of Botany Studies, </w:t>
      </w:r>
      <w:r>
        <w:rPr>
          <w:rStyle w:val="url"/>
          <w:color w:val="000000" w:themeColor="text1"/>
        </w:rPr>
        <w:t>6(4), 112-118.</w:t>
      </w:r>
    </w:p>
    <w:p w:rsidR="00F03517" w:rsidRDefault="00F03517">
      <w:pPr>
        <w:pStyle w:val="NormalWeb"/>
        <w:spacing w:beforeAutospacing="0" w:afterAutospacing="0" w:line="240" w:lineRule="auto"/>
        <w:ind w:left="1080" w:hanging="720"/>
        <w:jc w:val="both"/>
        <w:rPr>
          <w:rStyle w:val="url"/>
          <w:color w:val="000000" w:themeColor="text1"/>
        </w:rPr>
      </w:pPr>
    </w:p>
    <w:p w:rsidR="00F03517" w:rsidRDefault="00F33808">
      <w:pPr>
        <w:pStyle w:val="NormalWeb"/>
        <w:numPr>
          <w:ilvl w:val="0"/>
          <w:numId w:val="4"/>
        </w:numPr>
        <w:spacing w:beforeAutospacing="0" w:afterAutospacing="0" w:line="240" w:lineRule="auto"/>
        <w:ind w:left="720"/>
        <w:jc w:val="both"/>
        <w:rPr>
          <w:rStyle w:val="Hyperlink"/>
          <w:color w:val="000000" w:themeColor="text1"/>
          <w:u w:val="none"/>
        </w:rPr>
      </w:pPr>
      <w:r>
        <w:rPr>
          <w:rStyle w:val="url"/>
          <w:color w:val="000000" w:themeColor="text1"/>
        </w:rPr>
        <w:t xml:space="preserve">Yam, M. F., Basir, R., Asmaa, A., Nor, M. N. M., &amp; Muhammad, N. (2017). </w:t>
      </w:r>
      <w:r>
        <w:rPr>
          <w:rStyle w:val="url"/>
          <w:i/>
          <w:color w:val="000000" w:themeColor="text1"/>
        </w:rPr>
        <w:t>Orthosiphon stamineus Benth</w:t>
      </w:r>
      <w:r>
        <w:rPr>
          <w:rStyle w:val="url"/>
          <w:color w:val="000000" w:themeColor="text1"/>
        </w:rPr>
        <w:t>. is an outstanding food medicine: Review of phytochemical, pharmacological, and toxicological aspects. Evidence-Based Complementary and Alte</w:t>
      </w:r>
      <w:r>
        <w:rPr>
          <w:rStyle w:val="url"/>
          <w:color w:val="000000" w:themeColor="text1"/>
        </w:rPr>
        <w:t xml:space="preserve">rnative Medicine, 2017, Article ID 4582735. </w:t>
      </w:r>
      <w:hyperlink r:id="rId73" w:history="1">
        <w:r>
          <w:rPr>
            <w:rStyle w:val="Hyperlink"/>
            <w:color w:val="000000" w:themeColor="text1"/>
            <w:u w:val="none"/>
          </w:rPr>
          <w:t>https://www.ncbi.nlm.nih.gov/pmc/articles/PMC6142889/</w:t>
        </w:r>
      </w:hyperlink>
    </w:p>
    <w:p w:rsidR="00F03517" w:rsidRDefault="00F03517">
      <w:pPr>
        <w:pStyle w:val="NormalWeb"/>
        <w:spacing w:beforeAutospacing="0" w:afterAutospacing="0" w:line="240" w:lineRule="auto"/>
        <w:ind w:left="1080" w:hanging="720"/>
        <w:jc w:val="both"/>
        <w:rPr>
          <w:color w:val="000000" w:themeColor="text1"/>
          <w14:shadow w14:blurRad="38100" w14:dist="12700" w14:dir="2700000" w14:sx="100000" w14:sy="100000" w14:kx="0" w14:ky="0" w14:algn="tl">
            <w14:srgbClr w14:val="000000">
              <w14:alpha w14:val="60001"/>
            </w14:srgbClr>
          </w14:shadow>
        </w:rPr>
      </w:pPr>
    </w:p>
    <w:p w:rsidR="00F03517" w:rsidRDefault="00F33808">
      <w:pPr>
        <w:pStyle w:val="ListParagraph"/>
        <w:numPr>
          <w:ilvl w:val="0"/>
          <w:numId w:val="4"/>
        </w:numPr>
        <w:spacing w:after="0" w:line="240" w:lineRule="auto"/>
        <w:ind w:left="720"/>
        <w:jc w:val="both"/>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 xml:space="preserve">Yang W, Chen X, Li Y, Guo S, Wang Z, Yu X. Advances in Pharmacological Activities of Terpenoids. </w:t>
      </w:r>
      <w:r>
        <w:rPr>
          <w:rFonts w:ascii="Times New Roman" w:hAnsi="Times New Roman" w:cs="Times New Roman"/>
          <w:i/>
          <w:iCs/>
          <w:color w:val="000000" w:themeColor="text1"/>
          <w:sz w:val="24"/>
          <w:szCs w:val="24"/>
        </w:rPr>
        <w:t>Natural Product Communications</w:t>
      </w:r>
      <w:r>
        <w:rPr>
          <w:rFonts w:ascii="Times New Roman" w:hAnsi="Times New Roman" w:cs="Times New Roman"/>
          <w:color w:val="000000" w:themeColor="text1"/>
          <w:sz w:val="24"/>
          <w:szCs w:val="24"/>
        </w:rPr>
        <w:t>. 2020;15(3). doi:</w:t>
      </w:r>
      <w:hyperlink r:id="rId74" w:history="1">
        <w:r>
          <w:rPr>
            <w:rStyle w:val="Hyperlink"/>
            <w:rFonts w:ascii="Times New Roman" w:hAnsi="Times New Roman" w:cs="Times New Roman"/>
            <w:color w:val="000000" w:themeColor="text1"/>
            <w:sz w:val="24"/>
            <w:szCs w:val="24"/>
            <w:u w:val="none"/>
          </w:rPr>
          <w:t>10.1177/1934578X20903555</w:t>
        </w:r>
      </w:hyperlink>
    </w:p>
    <w:p w:rsidR="00F03517" w:rsidRDefault="00F03517">
      <w:pPr>
        <w:spacing w:after="0" w:line="240" w:lineRule="auto"/>
        <w:ind w:left="1080" w:hanging="720"/>
        <w:jc w:val="both"/>
        <w:rPr>
          <w:rFonts w:ascii="Times New Roman" w:hAnsi="Times New Roman" w:cs="Times New Roman"/>
          <w:color w:val="000000" w:themeColor="text1"/>
          <w:sz w:val="24"/>
          <w:szCs w:val="24"/>
        </w:rPr>
      </w:pPr>
    </w:p>
    <w:p w:rsidR="00F03517" w:rsidRDefault="00F33808">
      <w:pPr>
        <w:pStyle w:val="ListParagraph"/>
        <w:numPr>
          <w:ilvl w:val="0"/>
          <w:numId w:val="4"/>
        </w:numPr>
        <w:spacing w:after="0" w:line="240" w:lineRule="auto"/>
        <w:ind w:left="720"/>
        <w:jc w:val="both"/>
        <w:rPr>
          <w:rStyle w:val="x3jgonx"/>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Zareisedehizadeh, S., Salek, S., &amp; Shahi, B. (2023). </w:t>
      </w:r>
      <w:r>
        <w:rPr>
          <w:rFonts w:ascii="Times New Roman" w:hAnsi="Times New Roman" w:cs="Times New Roman"/>
          <w:i/>
          <w:color w:val="000000" w:themeColor="text1"/>
          <w:sz w:val="24"/>
          <w:szCs w:val="24"/>
        </w:rPr>
        <w:t xml:space="preserve">Orthosiphon </w:t>
      </w:r>
      <w:r>
        <w:rPr>
          <w:rFonts w:ascii="Times New Roman" w:hAnsi="Times New Roman" w:cs="Times New Roman"/>
          <w:color w:val="000000" w:themeColor="text1"/>
          <w:sz w:val="24"/>
          <w:szCs w:val="24"/>
        </w:rPr>
        <w:t xml:space="preserve">aristatus ethanolic extract alleviates non-alcoholic fatty liver disease via antioxidant and anti-inflammatory effects: An in vivo and in vitro study. Antioxidants, 12(2), 397. </w:t>
      </w:r>
      <w:hyperlink r:id="rId75" w:history="1">
        <w:r>
          <w:rPr>
            <w:rStyle w:val="Hyperlink"/>
            <w:rFonts w:ascii="Times New Roman" w:hAnsi="Times New Roman" w:cs="Times New Roman"/>
            <w:color w:val="000000" w:themeColor="text1"/>
            <w:sz w:val="24"/>
            <w:szCs w:val="24"/>
            <w:u w:val="none"/>
          </w:rPr>
          <w:t>https://www.ncbi.nlm.nih.gov/pmc/articles/PMC9866040/</w:t>
        </w:r>
      </w:hyperlink>
    </w:p>
    <w:sectPr w:rsidR="00F03517">
      <w:pgSz w:w="11909" w:h="16834"/>
      <w:pgMar w:top="1080" w:right="605" w:bottom="605" w:left="1080"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808" w:rsidRDefault="00F33808">
      <w:pPr>
        <w:spacing w:line="240" w:lineRule="auto"/>
      </w:pPr>
      <w:r>
        <w:separator/>
      </w:r>
    </w:p>
  </w:endnote>
  <w:endnote w:type="continuationSeparator" w:id="0">
    <w:p w:rsidR="00F33808" w:rsidRDefault="00F338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BoldM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altName w:val="Microsoft YaHei"/>
    <w:charset w:val="86"/>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808" w:rsidRDefault="00F33808">
      <w:pPr>
        <w:spacing w:after="0"/>
      </w:pPr>
      <w:r>
        <w:separator/>
      </w:r>
    </w:p>
  </w:footnote>
  <w:footnote w:type="continuationSeparator" w:id="0">
    <w:p w:rsidR="00F33808" w:rsidRDefault="00F3380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0000002"/>
    <w:multiLevelType w:val="multilevel"/>
    <w:tmpl w:val="00000002"/>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0000004"/>
    <w:multiLevelType w:val="multilevel"/>
    <w:tmpl w:val="00000004"/>
    <w:lvl w:ilvl="0">
      <w:start w:val="1"/>
      <w:numFmt w:val="decimal"/>
      <w:suff w:val="space"/>
      <w:lvlText w:val="%1."/>
      <w:lvlJc w:val="left"/>
      <w:pPr>
        <w:ind w:left="720" w:firstLine="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04E6145F"/>
    <w:multiLevelType w:val="multilevel"/>
    <w:tmpl w:val="04E614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91C"/>
    <w:rsid w:val="001918B2"/>
    <w:rsid w:val="001C35E9"/>
    <w:rsid w:val="00211125"/>
    <w:rsid w:val="0023648D"/>
    <w:rsid w:val="002D4FC2"/>
    <w:rsid w:val="0037762D"/>
    <w:rsid w:val="0047591C"/>
    <w:rsid w:val="00513001"/>
    <w:rsid w:val="005172DA"/>
    <w:rsid w:val="005C610D"/>
    <w:rsid w:val="00654338"/>
    <w:rsid w:val="00762690"/>
    <w:rsid w:val="007B4EBD"/>
    <w:rsid w:val="00841CE7"/>
    <w:rsid w:val="00877BCF"/>
    <w:rsid w:val="00DC7C3A"/>
    <w:rsid w:val="00DD4DAB"/>
    <w:rsid w:val="00DE4A12"/>
    <w:rsid w:val="00E07765"/>
    <w:rsid w:val="00F03517"/>
    <w:rsid w:val="00F33808"/>
    <w:rsid w:val="3FC92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1">
    <w:name w:val="heading 1"/>
    <w:next w:val="Normal"/>
    <w:link w:val="Heading1Char"/>
    <w:uiPriority w:val="9"/>
    <w:qFormat/>
    <w:pPr>
      <w:spacing w:beforeAutospacing="1" w:afterAutospacing="1"/>
      <w:outlineLvl w:val="0"/>
    </w:pPr>
    <w:rPr>
      <w:rFonts w:ascii="SimSun" w:eastAsia="SimSun" w:hAnsi="SimSun" w:cs="Times New Roma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Autospacing="1" w:after="0"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99"/>
    <w:qFormat/>
    <w:pPr>
      <w:widowControl w:val="0"/>
      <w:jc w:val="both"/>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15">
    <w:name w:val="15"/>
    <w:basedOn w:val="DefaultParagraphFont"/>
    <w:qFormat/>
    <w:rPr>
      <w:rFonts w:ascii="Times New Roman" w:hAnsi="Times New Roman" w:cs="Times New Roman" w:hint="default"/>
    </w:rPr>
  </w:style>
  <w:style w:type="character" w:customStyle="1" w:styleId="Heading1Char">
    <w:name w:val="Heading 1 Char"/>
    <w:basedOn w:val="DefaultParagraphFont"/>
    <w:link w:val="Heading1"/>
    <w:uiPriority w:val="9"/>
    <w:qFormat/>
    <w:rPr>
      <w:rFonts w:ascii="SimSun" w:eastAsia="SimSun" w:hAnsi="SimSun" w:cs="Times New Roman"/>
      <w:b/>
      <w:bCs/>
      <w:kern w:val="44"/>
      <w:sz w:val="48"/>
      <w:szCs w:val="48"/>
      <w:lang w:eastAsia="zh-CN"/>
    </w:rPr>
  </w:style>
  <w:style w:type="character" w:customStyle="1" w:styleId="x3jgonx">
    <w:name w:val="x3jgonx"/>
    <w:basedOn w:val="DefaultParagraphFont"/>
    <w:qFormat/>
  </w:style>
  <w:style w:type="character" w:customStyle="1" w:styleId="url">
    <w:name w:val="url"/>
    <w:basedOn w:val="DefaultParagraphFont"/>
    <w:qFormat/>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1">
    <w:name w:val="heading 1"/>
    <w:next w:val="Normal"/>
    <w:link w:val="Heading1Char"/>
    <w:uiPriority w:val="9"/>
    <w:qFormat/>
    <w:pPr>
      <w:spacing w:beforeAutospacing="1" w:afterAutospacing="1"/>
      <w:outlineLvl w:val="0"/>
    </w:pPr>
    <w:rPr>
      <w:rFonts w:ascii="SimSun" w:eastAsia="SimSun" w:hAnsi="SimSun" w:cs="Times New Roma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Autospacing="1" w:after="0"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99"/>
    <w:qFormat/>
    <w:pPr>
      <w:widowControl w:val="0"/>
      <w:jc w:val="both"/>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15">
    <w:name w:val="15"/>
    <w:basedOn w:val="DefaultParagraphFont"/>
    <w:qFormat/>
    <w:rPr>
      <w:rFonts w:ascii="Times New Roman" w:hAnsi="Times New Roman" w:cs="Times New Roman" w:hint="default"/>
    </w:rPr>
  </w:style>
  <w:style w:type="character" w:customStyle="1" w:styleId="Heading1Char">
    <w:name w:val="Heading 1 Char"/>
    <w:basedOn w:val="DefaultParagraphFont"/>
    <w:link w:val="Heading1"/>
    <w:uiPriority w:val="9"/>
    <w:qFormat/>
    <w:rPr>
      <w:rFonts w:ascii="SimSun" w:eastAsia="SimSun" w:hAnsi="SimSun" w:cs="Times New Roman"/>
      <w:b/>
      <w:bCs/>
      <w:kern w:val="44"/>
      <w:sz w:val="48"/>
      <w:szCs w:val="48"/>
      <w:lang w:eastAsia="zh-CN"/>
    </w:rPr>
  </w:style>
  <w:style w:type="character" w:customStyle="1" w:styleId="x3jgonx">
    <w:name w:val="x3jgonx"/>
    <w:basedOn w:val="DefaultParagraphFont"/>
    <w:qFormat/>
  </w:style>
  <w:style w:type="character" w:customStyle="1" w:styleId="url">
    <w:name w:val="url"/>
    <w:basedOn w:val="DefaultParagraphFont"/>
    <w:qFormat/>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hindawi.com/journals/aph/2013/929430/" TargetMode="External"/><Relationship Id="rId21" Type="http://schemas.openxmlformats.org/officeDocument/2006/relationships/hyperlink" Target="https://pmc.ncbi.nlm.nih.gov/articles/PMC8784692/" TargetMode="External"/><Relationship Id="rId42" Type="http://schemas.openxmlformats.org/officeDocument/2006/relationships/hyperlink" Target="https://pharmacophorejournal.com/article/10.32996/pharmacophore.2019.10.3.7" TargetMode="External"/><Relationship Id="rId47" Type="http://schemas.openxmlformats.org/officeDocument/2006/relationships/hyperlink" Target="https://doi.org/10.54536/ajbb.v1i1.763" TargetMode="External"/><Relationship Id="rId63" Type="http://schemas.openxmlformats.org/officeDocument/2006/relationships/hyperlink" Target="https://www.sciencedirect.com/science/article/pii/S1026918523000811" TargetMode="External"/><Relationship Id="rId68" Type="http://schemas.openxmlformats.org/officeDocument/2006/relationships/hyperlink" Target="https://tropical.theferns.info/viewtropical.php?id=Orthosiphon+aristatus" TargetMode="External"/><Relationship Id="rId16" Type="http://schemas.openxmlformats.org/officeDocument/2006/relationships/hyperlink" Target="https://asianjpr.com/HTML_Papers/Asian%20Journal%20of%20Pharmaceutical%20Research__PID__2022-12-1-11.html" TargetMode="External"/><Relationship Id="rId11" Type="http://schemas.openxmlformats.org/officeDocument/2006/relationships/hyperlink" Target="https://doi.org/10.3389/fphar.2024.1497668" TargetMode="External"/><Relationship Id="rId24" Type="http://schemas.openxmlformats.org/officeDocument/2006/relationships/hyperlink" Target="https://doi.org/10.1016/S0378-8741(03)00143-7" TargetMode="External"/><Relationship Id="rId32" Type="http://schemas.openxmlformats.org/officeDocument/2006/relationships/hyperlink" Target="https://doi.org/10.3390/medicines7050026" TargetMode="External"/><Relationship Id="rId37" Type="http://schemas.openxmlformats.org/officeDocument/2006/relationships/hyperlink" Target="https://www.ncbi.nlm.nih.gov/pmc/articles/PMC9862941/" TargetMode="External"/><Relationship Id="rId40" Type="http://schemas.openxmlformats.org/officeDocument/2006/relationships/hyperlink" Target="http://ymerdigital.com" TargetMode="External"/><Relationship Id="rId45" Type="http://schemas.openxmlformats.org/officeDocument/2006/relationships/hyperlink" Target="https://smujo.id/biodiv/article/download/7286/4544/35871" TargetMode="External"/><Relationship Id="rId53" Type="http://schemas.openxmlformats.org/officeDocument/2006/relationships/hyperlink" Target="https://microbiologyjournal.org/assessment-of-the-antibacterial-activity-of-spilanthes-acmella/" TargetMode="External"/><Relationship Id="rId58" Type="http://schemas.openxmlformats.org/officeDocument/2006/relationships/hyperlink" Target="https://animorepository.dlsu.edu.ph/cgi/viewcontent.cgi?article=1034&amp;context=conf_shsrescon" TargetMode="External"/><Relationship Id="rId66" Type="http://schemas.openxmlformats.org/officeDocument/2006/relationships/hyperlink" Target="https://www.hilarispublisher.com/open-access/recent-discovries-on-acmella-oleracea-a-review.pdf" TargetMode="External"/><Relationship Id="rId74" Type="http://schemas.openxmlformats.org/officeDocument/2006/relationships/hyperlink" Target="https://doi.org/10.1177/1934578X20903555" TargetMode="External"/><Relationship Id="rId5" Type="http://schemas.openxmlformats.org/officeDocument/2006/relationships/settings" Target="settings.xml"/><Relationship Id="rId61" Type="http://schemas.openxmlformats.org/officeDocument/2006/relationships/hyperlink" Target="https://www.scielo.br/j/rbfar/a/NYzSpVFF4cKrybK4Dnhcy4c/" TargetMode="External"/><Relationship Id="rId19" Type="http://schemas.openxmlformats.org/officeDocument/2006/relationships/hyperlink" Target="https://www.ema.europa.eu/en/documents/herbal-report/final-assessment-report-orthosiphon-aristatus-blume-miq-var-aristatus-folium-revision-1_en.pdf/" TargetMode="External"/><Relationship Id="rId14" Type="http://schemas.openxmlformats.org/officeDocument/2006/relationships/hyperlink" Target="https://doi.org/10.3390/molecules29030612" TargetMode="External"/><Relationship Id="rId22" Type="http://schemas.openxmlformats.org/officeDocument/2006/relationships/hyperlink" Target="https://www.ncbi.nlm.nih.gov/pmc/articles/PMC8784692/" TargetMode="External"/><Relationship Id="rId27" Type="http://schemas.openxmlformats.org/officeDocument/2006/relationships/hyperlink" Target="https://www.dlsu.edu.ph/wp-content/uploads/pdf/conferences/research-congress-proceedings/2022/FNH-12.pdf" TargetMode="External"/><Relationship Id="rId30" Type="http://schemas.openxmlformats.org/officeDocument/2006/relationships/hyperlink" Target="https://doi.org/10.1016/j.sjb.2022.04.005" TargetMode="External"/><Relationship Id="rId35" Type="http://schemas.openxmlformats.org/officeDocument/2006/relationships/hyperlink" Target="https://www.phytojournal.com/archives/2024/vol13issue2/PartA/13-2-3-" TargetMode="External"/><Relationship Id="rId43" Type="http://schemas.openxmlformats.org/officeDocument/2006/relationships/hyperlink" Target="https://dx.doi.org/10.20959/wjpps20203-15582" TargetMode="External"/><Relationship Id="rId48" Type="http://schemas.openxmlformats.org/officeDocument/2006/relationships/hyperlink" Target="https://innovareacademics.in/journals/index.php/ijpps/article/view/2190" TargetMode="External"/><Relationship Id="rId56" Type="http://schemas.openxmlformats.org/officeDocument/2006/relationships/hyperlink" Target="https://doi.org/10.1016/j.jnutbio.2022.108930" TargetMode="External"/><Relationship Id="rId64" Type="http://schemas.openxmlformats.org/officeDocument/2006/relationships/hyperlink" Target="https://asianjpr.com/HTML_Papers/Asian%20Journal%20of%20Pharmaceutical%20Research__PID__2022-12-1-11.html" TargetMode="External"/><Relationship Id="rId69" Type="http://schemas.openxmlformats.org/officeDocument/2006/relationships/hyperlink" Target="https://www.ncbi.nlm.nih.gov/pmc/articles/PMC9118937/"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3057/biodiv/d220726" TargetMode="External"/><Relationship Id="rId72" Type="http://schemas.openxmlformats.org/officeDocument/2006/relationships/hyperlink" Target="https://doi.org/10.1016/j.jep.2020.113593" TargetMode="External"/><Relationship Id="rId3" Type="http://schemas.openxmlformats.org/officeDocument/2006/relationships/styles" Target="styles.xml"/><Relationship Id="rId12" Type="http://schemas.openxmlformats.org/officeDocument/2006/relationships/hyperlink" Target="https://news.mongabay.com/2020/10/a-philippine-tribes-plant-based-medical-tradition-gets-its-moment/" TargetMode="External"/><Relationship Id="rId17" Type="http://schemas.openxmlformats.org/officeDocument/2006/relationships/hyperlink" Target="https://doi.org/10.1016/j.micpath.2020.104363" TargetMode="External"/><Relationship Id="rId25" Type="http://schemas.openxmlformats.org/officeDocument/2006/relationships/hyperlink" Target="https://doi.org/10.2147/JEP.S379805" TargetMode="External"/><Relationship Id="rId33" Type="http://schemas.openxmlformats.org/officeDocument/2006/relationships/hyperlink" Target="https://doi.org/10.22271/phyto.2022.v11.i5b.14489" TargetMode="External"/><Relationship Id="rId38" Type="http://schemas.openxmlformats.org/officeDocument/2006/relationships/hyperlink" Target="https://www.phytojournal.com/archives/2019/vol8issue3/PartA/8-3-34-759.pdf" TargetMode="External"/><Relationship Id="rId46" Type="http://schemas.openxmlformats.org/officeDocument/2006/relationships/hyperlink" Target="https://doi.org/10.1016/j.pld.2024.05.001" TargetMode="External"/><Relationship Id="rId59" Type="http://schemas.openxmlformats.org/officeDocument/2006/relationships/hyperlink" Target="https://www.ncbi.nlm.nih.gov/pmc/articles/PMC4827075/" TargetMode="External"/><Relationship Id="rId67" Type="http://schemas.openxmlformats.org/officeDocument/2006/relationships/hyperlink" Target="https://doi.org/10.22271/phyto.2024.v13.i2a.14873" TargetMode="External"/><Relationship Id="rId20" Type="http://schemas.openxmlformats.org/officeDocument/2006/relationships/hyperlink" Target="https://www.frontiersin.org/articles/10.3389/fphar.2021.790567/full" TargetMode="External"/><Relationship Id="rId41" Type="http://schemas.openxmlformats.org/officeDocument/2006/relationships/hyperlink" Target="https://doi.org/10.1016/j.jfca.2017.11.010" TargetMode="External"/><Relationship Id="rId54" Type="http://schemas.openxmlformats.org/officeDocument/2006/relationships/hyperlink" Target="https://www.ncbi.nlm.nih.gov/pmc/articles/PMC6142889/" TargetMode="External"/><Relationship Id="rId62" Type="http://schemas.openxmlformats.org/officeDocument/2006/relationships/hyperlink" Target="https://www.hilarispublisher.com/open-access/recent-discovries-on-acmella-oleracea-a-review.pdf" TargetMode="External"/><Relationship Id="rId70" Type="http://schemas.openxmlformats.org/officeDocument/2006/relationships/hyperlink" Target="https://doi.org/10.3390/molecules28062554" TargetMode="External"/><Relationship Id="rId75" Type="http://schemas.openxmlformats.org/officeDocument/2006/relationships/hyperlink" Target="https://www.ncbi.nlm.nih.gov/pmc/articles/PMC98660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cbi.nlm.nih.gov/pmc/articles/PMC11633201/" TargetMode="External"/><Relationship Id="rId23" Type="http://schemas.openxmlformats.org/officeDocument/2006/relationships/hyperlink" Target="https://www.ncbi.nlm.nih.gov/pmc/articles/PMC9316193/" TargetMode="External"/><Relationship Id="rId28" Type="http://schemas.openxmlformats.org/officeDocument/2006/relationships/hyperlink" Target="https://www.ncbi.nlm.nih.gov/pmc/articles/PMC9866040/" TargetMode="External"/><Relationship Id="rId36" Type="http://schemas.openxmlformats.org/officeDocument/2006/relationships/hyperlink" Target="https://www.phcogj.com/sites/default/files/PharmacognJ-16-2-342.pdf" TargetMode="External"/><Relationship Id="rId49" Type="http://schemas.openxmlformats.org/officeDocument/2006/relationships/hyperlink" Target="https://doi.org/10.3390/molecules27020349" TargetMode="External"/><Relationship Id="rId57" Type="http://schemas.openxmlformats.org/officeDocument/2006/relationships/hyperlink" Target="https://doi.org/10.1016/j.jconrel.2023.05.071" TargetMode="External"/><Relationship Id="rId10" Type="http://schemas.openxmlformats.org/officeDocument/2006/relationships/hyperlink" Target="https://animorepository.dlsu.edu.ph/etdb_bio/10" TargetMode="External"/><Relationship Id="rId31" Type="http://schemas.openxmlformats.org/officeDocument/2006/relationships/hyperlink" Target="https://www.frontiersin.org/articles/10.3389/fphar.2021.790567/full" TargetMode="External"/><Relationship Id="rId44" Type="http://schemas.openxmlformats.org/officeDocument/2006/relationships/hyperlink" Target="http://www.thepharmajournal.com/archives/2022/vol11issue2/PartC/11-1-229-783.pdf" TargetMode="External"/><Relationship Id="rId52" Type="http://schemas.openxmlformats.org/officeDocument/2006/relationships/hyperlink" Target="http://www.ijcrar.com/vol-2-12/Offor,%20C.E.2.pdf" TargetMode="External"/><Relationship Id="rId60" Type="http://schemas.openxmlformats.org/officeDocument/2006/relationships/hyperlink" Target="https://www.pharmacophorejournal.com/storage/models/article/fwsG7HKua0MzCWdnnVIMnrudQZSfQTWeodZ7mxDsOEjtL4jgLPAsnqlEinZQ/ethnobotanical-plants-used-by-selected-indigenous-peoples-of-mindanao-the-philippines-as-cancer-th.pdf" TargetMode="External"/><Relationship Id="rId65" Type="http://schemas.openxmlformats.org/officeDocument/2006/relationships/hyperlink" Target="https://doi.org/10.7324/JAPS.2018.80420" TargetMode="External"/><Relationship Id="rId73" Type="http://schemas.openxmlformats.org/officeDocument/2006/relationships/hyperlink" Target="https://www.ncbi.nlm.nih.gov/pmc/articles/PMC6142889/"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scrip.org/journal/paperinformation?paperid=122873" TargetMode="External"/><Relationship Id="rId18" Type="http://schemas.openxmlformats.org/officeDocument/2006/relationships/hyperlink" Target="https://ejournals.ph/article.php?id=2745" TargetMode="External"/><Relationship Id="rId39" Type="http://schemas.openxmlformats.org/officeDocument/2006/relationships/hyperlink" Target="https://doi.org/10.1186/s13002-021-00486-5" TargetMode="External"/><Relationship Id="rId34" Type="http://schemas.openxmlformats.org/officeDocument/2006/relationships/hyperlink" Target="https://hellodoctor.com.ph/herbals-and-alternatives/herbal-medicines/balbas-pusa/" TargetMode="External"/><Relationship Id="rId50" Type="http://schemas.openxmlformats.org/officeDocument/2006/relationships/hyperlink" Target="https://journals.sagepub.com/doi/10.1177/1934578X20953308" TargetMode="External"/><Relationship Id="rId55" Type="http://schemas.openxmlformats.org/officeDocument/2006/relationships/hyperlink" Target="https://doi.org/10.3389/fphar.2021.790567"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ncbi.nih.gov/pmc/articles/PMC9609092/" TargetMode="External"/><Relationship Id="rId2" Type="http://schemas.openxmlformats.org/officeDocument/2006/relationships/numbering" Target="numbering.xml"/><Relationship Id="rId29" Type="http://schemas.openxmlformats.org/officeDocument/2006/relationships/hyperlink" Target="https://doi.org/10.20944/preprints202501.1135.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15347</Words>
  <Characters>87481</Characters>
  <Application>Microsoft Office Word</Application>
  <DocSecurity>0</DocSecurity>
  <Lines>729</Lines>
  <Paragraphs>205</Paragraphs>
  <ScaleCrop>false</ScaleCrop>
  <Company/>
  <LinksUpToDate>false</LinksUpToDate>
  <CharactersWithSpaces>102623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arcillaemee@outlook.com</dc:creator>
  <cp:lastModifiedBy>qwert</cp:lastModifiedBy>
  <cp:revision>3</cp:revision>
  <dcterms:created xsi:type="dcterms:W3CDTF">2026-04-09T10:53:00Z</dcterms:created>
  <dcterms:modified xsi:type="dcterms:W3CDTF">2026-04-25T15:12:00Z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66866b22-eb30-4343-86bb-91df52514d00</vt:lpwstr>
  </property>
  <property fmtid="{D5CDD505-2E9C-101B-9397-08002B2CF9AE}" pid="3" name="KSOTemplateDocerSaveRecord">
    <vt:lpwstr>eyJoZGlkIjoiZDBkOTI2MDNlMTY5Y2RlNjU0YTRlZTc0MDkxNTdlYWYiLCJ1c2VySWQiOiI4ODEzNjQwMDI1NjU4In0=</vt:lpwstr>
  </property>
  <property fmtid="{D5CDD505-2E9C-101B-9397-08002B2CF9AE}" pid="4" name="KSOProductBuildVer">
    <vt:lpwstr>1033-12.1.0.25830</vt:lpwstr>
  </property>
  <property fmtid="{D5CDD505-2E9C-101B-9397-08002B2CF9AE}" pid="5" name="ICV">
    <vt:lpwstr>BDB5D924A0E34C6496D0284AFD1B8A60_12</vt:lpwstr>
  </property>
</Properties>
</file>