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2A9A" w14:textId="4002458D" w:rsidR="008906DD" w:rsidRDefault="008906DD" w:rsidP="008906DD">
      <w:pPr>
        <w:shd w:val="clear" w:color="auto" w:fill="FFFFFF"/>
        <w:spacing w:beforeAutospacing="1" w:after="0" w:afterAutospacing="1" w:line="240" w:lineRule="auto"/>
        <w:jc w:val="center"/>
        <w:rPr>
          <w:rFonts w:ascii="Times New Roman" w:eastAsia="Times New Roman" w:hAnsi="Times New Roman" w:cs="Times New Roman"/>
          <w:b/>
          <w:bCs/>
          <w:i/>
          <w:color w:val="0D0D0D"/>
          <w:kern w:val="36"/>
          <w:sz w:val="24"/>
          <w:szCs w:val="24"/>
          <w:lang w:eastAsia="en-IN"/>
        </w:rPr>
      </w:pPr>
      <w:r>
        <w:rPr>
          <w:rFonts w:ascii="Times New Roman" w:eastAsia="Times New Roman" w:hAnsi="Times New Roman" w:cs="Times New Roman"/>
          <w:b/>
          <w:bCs/>
          <w:i/>
          <w:color w:val="0D0D0D"/>
          <w:kern w:val="36"/>
          <w:sz w:val="24"/>
          <w:szCs w:val="24"/>
          <w:lang w:eastAsia="en-IN"/>
        </w:rPr>
        <w:t>“</w:t>
      </w:r>
      <w:r w:rsidRPr="008906DD">
        <w:rPr>
          <w:rFonts w:ascii="Times New Roman" w:eastAsia="Times New Roman" w:hAnsi="Times New Roman" w:cs="Times New Roman"/>
          <w:b/>
          <w:bCs/>
          <w:i/>
          <w:color w:val="0D0D0D"/>
          <w:kern w:val="36"/>
          <w:sz w:val="24"/>
          <w:szCs w:val="24"/>
          <w:lang w:eastAsia="en-IN"/>
        </w:rPr>
        <w:t>IoT Adoption in Manufacturing MSMEs of India: A Review of Barriers, Opportunities, and Policy Landscape</w:t>
      </w:r>
      <w:r>
        <w:rPr>
          <w:rFonts w:ascii="Times New Roman" w:eastAsia="Times New Roman" w:hAnsi="Times New Roman" w:cs="Times New Roman"/>
          <w:b/>
          <w:bCs/>
          <w:i/>
          <w:color w:val="0D0D0D"/>
          <w:kern w:val="36"/>
          <w:sz w:val="24"/>
          <w:szCs w:val="24"/>
          <w:lang w:eastAsia="en-IN"/>
        </w:rPr>
        <w:t>”</w:t>
      </w:r>
    </w:p>
    <w:p w14:paraId="590A8448"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en-IN"/>
        </w:rPr>
      </w:pPr>
    </w:p>
    <w:p w14:paraId="48B8FF4E" w14:textId="77777777" w:rsidR="001F6E05" w:rsidRDefault="001F6E05" w:rsidP="008906DD">
      <w:pPr>
        <w:shd w:val="clear" w:color="auto" w:fill="FFFFFF"/>
        <w:spacing w:before="100" w:beforeAutospacing="1" w:after="100" w:afterAutospacing="1" w:line="240" w:lineRule="auto"/>
        <w:jc w:val="both"/>
        <w:rPr>
          <w:rFonts w:ascii="Times New Roman" w:eastAsia="Times New Roman" w:hAnsi="Times New Roman" w:cs="Times New Roman"/>
          <w:b/>
          <w:color w:val="0D0D0D"/>
          <w:sz w:val="24"/>
          <w:szCs w:val="24"/>
          <w:lang w:eastAsia="en-IN"/>
        </w:rPr>
      </w:pPr>
    </w:p>
    <w:p w14:paraId="2F5582CF" w14:textId="45D35FAF"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b/>
          <w:color w:val="0D0D0D"/>
          <w:sz w:val="24"/>
          <w:szCs w:val="24"/>
          <w:lang w:eastAsia="en-IN"/>
        </w:rPr>
      </w:pPr>
      <w:r w:rsidRPr="008906DD">
        <w:rPr>
          <w:rFonts w:ascii="Times New Roman" w:eastAsia="Times New Roman" w:hAnsi="Times New Roman" w:cs="Times New Roman"/>
          <w:b/>
          <w:color w:val="0D0D0D"/>
          <w:sz w:val="24"/>
          <w:szCs w:val="24"/>
          <w:lang w:eastAsia="en-IN"/>
        </w:rPr>
        <w:t>Abstract</w:t>
      </w:r>
    </w:p>
    <w:p w14:paraId="6450E204" w14:textId="06817441"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adoption of Industrial Internet of Things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among manufacturing Micro, Small and Medium Enterprises (MSMEs) in India remains limited despite sustained policy emphasis over the past decade. This study presents a systematic review of academic literature, government reports, and industry publications from 2018 to 2025 to examine barriers, opportunities, and the policy landscape influencing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The findings identify four interrelated categories of barriers: technological (legacy systems, connectivity limitations), organizational (skill gaps, low awareness), financial (credit constraints, high initial investment), and environmental (weak vendor ecosystems, policy implementation gaps). Despite these constraints, empirical evidence indicates that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can deliver significant operational improvements, including enhanced efficiency, reduced defects, and lower downtime, often with relatively modest investments. The study concludes that low adoption is not due to technological infeasibility but to the cumulative and reinforcing nature of multiple barriers. Addressing this challenge requires coordinated interventions across financial, institutional, and capability-building dimensions.</w:t>
      </w:r>
    </w:p>
    <w:p w14:paraId="3230E088" w14:textId="7E880494" w:rsid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Keywords:</w:t>
      </w:r>
      <w:r w:rsidRPr="008906DD">
        <w:rPr>
          <w:rFonts w:ascii="Times New Roman" w:eastAsia="Times New Roman" w:hAnsi="Times New Roman" w:cs="Times New Roman"/>
          <w:color w:val="0D0D0D"/>
          <w:sz w:val="24"/>
          <w:szCs w:val="24"/>
          <w:lang w:eastAsia="en-IN"/>
        </w:rPr>
        <w:t xml:space="preserve"> Industrial Internet of Things,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MSME, manufacturing, India, technology adoption, barriers</w:t>
      </w:r>
    </w:p>
    <w:p w14:paraId="7C5C483F"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4374A64B"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761C8620"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5983127C"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1E795C17"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0221AE82"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193237F4"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33FF8691"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09F1EDC1"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58A13DBF" w14:textId="6CDA3360" w:rsid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 Introduction</w:t>
      </w:r>
    </w:p>
    <w:p w14:paraId="2E1DCE0C" w14:textId="142488D0"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1.1 Background</w:t>
      </w:r>
    </w:p>
    <w:p w14:paraId="48767DEC"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lastRenderedPageBreak/>
        <w:t>Over the past decade, India has actively promoted digital transformation in manufacturing through initiatives such as </w:t>
      </w:r>
      <w:r w:rsidRPr="008906DD">
        <w:rPr>
          <w:rFonts w:ascii="Times New Roman" w:eastAsia="Times New Roman" w:hAnsi="Times New Roman" w:cs="Times New Roman"/>
          <w:i/>
          <w:iCs/>
          <w:color w:val="0D0D0D"/>
          <w:sz w:val="24"/>
          <w:szCs w:val="24"/>
          <w:lang w:eastAsia="en-IN"/>
        </w:rPr>
        <w:t>Make in India</w:t>
      </w:r>
      <w:r w:rsidRPr="008906DD">
        <w:rPr>
          <w:rFonts w:ascii="Times New Roman" w:eastAsia="Times New Roman" w:hAnsi="Times New Roman" w:cs="Times New Roman"/>
          <w:color w:val="0D0D0D"/>
          <w:sz w:val="24"/>
          <w:szCs w:val="24"/>
          <w:lang w:eastAsia="en-IN"/>
        </w:rPr>
        <w:t> and </w:t>
      </w:r>
      <w:r w:rsidRPr="008906DD">
        <w:rPr>
          <w:rFonts w:ascii="Times New Roman" w:eastAsia="Times New Roman" w:hAnsi="Times New Roman" w:cs="Times New Roman"/>
          <w:i/>
          <w:iCs/>
          <w:color w:val="0D0D0D"/>
          <w:sz w:val="24"/>
          <w:szCs w:val="24"/>
          <w:lang w:eastAsia="en-IN"/>
        </w:rPr>
        <w:t>Digital India</w:t>
      </w:r>
      <w:r w:rsidRPr="008906DD">
        <w:rPr>
          <w:rFonts w:ascii="Times New Roman" w:eastAsia="Times New Roman" w:hAnsi="Times New Roman" w:cs="Times New Roman"/>
          <w:color w:val="0D0D0D"/>
          <w:sz w:val="24"/>
          <w:szCs w:val="24"/>
          <w:lang w:eastAsia="en-IN"/>
        </w:rPr>
        <w:t xml:space="preserve">. Despite these efforts, the adoption of advanced technologies, including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remains limited among MSMEs. Recent evidence suggests that a substantial proportion of medium enterprises continue to rely on outdated machinery, resulting in reduced productivity and compromised product quality.</w:t>
      </w:r>
    </w:p>
    <w:p w14:paraId="7D1A95A6"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At the same time, the Indian IoT market in manufacturing is experiencing steady growth, indicating significant untapped potential. This contrast between opportunity and adoption raises a critical question: why are MSMEs not embracing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despite evident benefits?</w:t>
      </w:r>
    </w:p>
    <w:p w14:paraId="5F69B542" w14:textId="46426B48"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1.2 Scope of the Study</w:t>
      </w:r>
    </w:p>
    <w:p w14:paraId="054BAE1C" w14:textId="77777777" w:rsidR="000B0B40" w:rsidRDefault="008906DD" w:rsidP="000B0B40">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This study focuses on manufacturing MSMEs in India, with particular attention to medium enterprises due to their disproportionate contribution to exports and industrial output. The objective is to synthesize existing research to understand the barriers preventing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and to evaluate the effectiveness of current policy interventions.</w:t>
      </w:r>
    </w:p>
    <w:p w14:paraId="3DAADCDB" w14:textId="06DDC7EE" w:rsidR="008906DD" w:rsidRPr="008906DD" w:rsidRDefault="008906DD" w:rsidP="000B0B40">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1.3 Rationale for the Study</w:t>
      </w:r>
    </w:p>
    <w:p w14:paraId="14748393" w14:textId="750D2AFC"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study is motivated by several factors. First, MSMEs face a substantial financing gap, limiting their ability to invest in digital technologies. Second, existing research increasingly highlights the importance of human and organizational factors</w:t>
      </w:r>
      <w:r>
        <w:rPr>
          <w:rFonts w:ascii="Times New Roman" w:eastAsia="Times New Roman" w:hAnsi="Times New Roman" w:cs="Times New Roman"/>
          <w:color w:val="0D0D0D"/>
          <w:sz w:val="24"/>
          <w:szCs w:val="24"/>
          <w:lang w:eastAsia="en-IN"/>
        </w:rPr>
        <w:t xml:space="preserve"> </w:t>
      </w:r>
      <w:r w:rsidRPr="008906DD">
        <w:rPr>
          <w:rFonts w:ascii="Times New Roman" w:eastAsia="Times New Roman" w:hAnsi="Times New Roman" w:cs="Times New Roman"/>
          <w:color w:val="0D0D0D"/>
          <w:sz w:val="24"/>
          <w:szCs w:val="24"/>
          <w:lang w:eastAsia="en-IN"/>
        </w:rPr>
        <w:t>such as skills, awareness, and managerial commitment</w:t>
      </w:r>
      <w:r>
        <w:rPr>
          <w:rFonts w:ascii="Times New Roman" w:eastAsia="Times New Roman" w:hAnsi="Times New Roman" w:cs="Times New Roman"/>
          <w:color w:val="0D0D0D"/>
          <w:sz w:val="24"/>
          <w:szCs w:val="24"/>
          <w:lang w:eastAsia="en-IN"/>
        </w:rPr>
        <w:t xml:space="preserve"> </w:t>
      </w:r>
      <w:r w:rsidRPr="008906DD">
        <w:rPr>
          <w:rFonts w:ascii="Times New Roman" w:eastAsia="Times New Roman" w:hAnsi="Times New Roman" w:cs="Times New Roman"/>
          <w:color w:val="0D0D0D"/>
          <w:sz w:val="24"/>
          <w:szCs w:val="24"/>
          <w:lang w:eastAsia="en-IN"/>
        </w:rPr>
        <w:t xml:space="preserve">in shaping adoption decisions. Third, there is a notable disconnect between policy design and utilization, as evidenced by the low uptake of government schemes. Finally, documented case studies demonstrate that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can yield measurable performance improvements, suggesting that broader adoption is both feasible and beneficial.</w:t>
      </w:r>
    </w:p>
    <w:p w14:paraId="7D33F0B6" w14:textId="59EA8170"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1.4 Research Questions</w:t>
      </w:r>
    </w:p>
    <w:p w14:paraId="4CA67B6A"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This study addresses the following questions:</w:t>
      </w:r>
    </w:p>
    <w:p w14:paraId="29D970BE"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What barriers do manufacturing MSMEs face in adopting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w:t>
      </w:r>
    </w:p>
    <w:p w14:paraId="15C6FDB2"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How do these barriers interact and reinforce each other?</w:t>
      </w:r>
    </w:p>
    <w:p w14:paraId="0DFF52E2"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What outcomes are observed in successful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implementations?</w:t>
      </w:r>
    </w:p>
    <w:p w14:paraId="171B6AF1"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What policies exist, and how effective are they?</w:t>
      </w:r>
    </w:p>
    <w:p w14:paraId="6A956847" w14:textId="77777777" w:rsid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What gaps remain in the existing literature?</w:t>
      </w:r>
    </w:p>
    <w:p w14:paraId="07ADA2DC"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5742DFE4" w14:textId="77777777" w:rsidR="008906DD" w:rsidRDefault="008906DD" w:rsidP="008906DD">
      <w:pPr>
        <w:shd w:val="clear" w:color="auto" w:fill="FFFFFF"/>
        <w:spacing w:after="0" w:line="240" w:lineRule="auto"/>
        <w:jc w:val="both"/>
        <w:rPr>
          <w:rFonts w:ascii="Times New Roman" w:eastAsia="Times New Roman" w:hAnsi="Times New Roman" w:cs="Times New Roman"/>
          <w:b/>
          <w:bCs/>
          <w:color w:val="0D0D0D"/>
          <w:sz w:val="24"/>
          <w:szCs w:val="24"/>
          <w:lang w:eastAsia="en-IN"/>
        </w:rPr>
      </w:pPr>
    </w:p>
    <w:p w14:paraId="3859DF0F" w14:textId="2B4D8061"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1.5 Objectives</w:t>
      </w:r>
    </w:p>
    <w:p w14:paraId="6ACF152B"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study aims to:</w:t>
      </w:r>
    </w:p>
    <w:p w14:paraId="256C00D8"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Identify and categorize key barriers to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w:t>
      </w:r>
    </w:p>
    <w:p w14:paraId="3B691970"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Examine interactions among different types of barriers</w:t>
      </w:r>
    </w:p>
    <w:p w14:paraId="4A01B5A7"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Document evidence of successful adoption outcomes</w:t>
      </w:r>
    </w:p>
    <w:p w14:paraId="3EA2AAF3"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Review the policy landscape</w:t>
      </w:r>
    </w:p>
    <w:p w14:paraId="53B1ED85" w14:textId="77777777" w:rsid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Identify areas requiring further research</w:t>
      </w:r>
    </w:p>
    <w:p w14:paraId="3802EC91"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4E1BB60A"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468B83F9" w14:textId="77777777" w:rsid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lastRenderedPageBreak/>
        <w:t>2. Literature Review</w:t>
      </w:r>
    </w:p>
    <w:p w14:paraId="0C6CEDB4"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167F83CA" w14:textId="7152B169"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 xml:space="preserve">2.1 Concept of </w:t>
      </w:r>
      <w:proofErr w:type="spellStart"/>
      <w:r w:rsidRPr="008906DD">
        <w:rPr>
          <w:rFonts w:ascii="Times New Roman" w:eastAsia="Times New Roman" w:hAnsi="Times New Roman" w:cs="Times New Roman"/>
          <w:b/>
          <w:bCs/>
          <w:color w:val="0D0D0D"/>
          <w:sz w:val="24"/>
          <w:szCs w:val="24"/>
          <w:lang w:eastAsia="en-IN"/>
        </w:rPr>
        <w:t>IIoT</w:t>
      </w:r>
      <w:proofErr w:type="spellEnd"/>
    </w:p>
    <w:p w14:paraId="3F842B4D"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Industrial Internet of Things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refers to interconnected devices and systems that enable real-time data collection, monitoring, and analysis within industrial environments. In manufacturing,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applications include predictive maintenance, process optimization, quality control, and supply chain integration.</w:t>
      </w:r>
    </w:p>
    <w:p w14:paraId="06FE6A30" w14:textId="5A45B6D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2.2 Theoretical Framework</w:t>
      </w:r>
    </w:p>
    <w:p w14:paraId="693C7991"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Technology–Organization–Environment (TOE) framework is widely used to explain technology adoption in organizations. It posits that adoption decisions are influenced by technological capabilities, organizational readiness, and environmental conditions.</w:t>
      </w:r>
    </w:p>
    <w:p w14:paraId="6931CEC1"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Recent extensions of the framework incorporate individual-level factors, such as employee skills and managerial attitudes, recognizing their critical role in MSME contexts. Empirical studies in developing economies further support the relevance of these dimensions, highlighting the need for a multi-level understanding of adoption behavior.</w:t>
      </w:r>
    </w:p>
    <w:p w14:paraId="7B437427"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3. Methodology</w:t>
      </w:r>
    </w:p>
    <w:p w14:paraId="0CBDF49F" w14:textId="67C7E906"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3.1 Research Design</w:t>
      </w:r>
    </w:p>
    <w:p w14:paraId="7EC065A7"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This study adopts a systematic literature review approach to synthesize findings from multiple sources.</w:t>
      </w:r>
    </w:p>
    <w:p w14:paraId="10E6069B" w14:textId="5A9E1CB6"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3.2 Data Sources</w:t>
      </w:r>
    </w:p>
    <w:p w14:paraId="639830FD"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analysis draws on:</w:t>
      </w:r>
    </w:p>
    <w:p w14:paraId="609C3B17" w14:textId="77777777" w:rsidR="008906DD" w:rsidRPr="008906DD" w:rsidRDefault="008906DD" w:rsidP="008906DD">
      <w:pPr>
        <w:numPr>
          <w:ilvl w:val="0"/>
          <w:numId w:val="3"/>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Peer-reviewed journal articles</w:t>
      </w:r>
    </w:p>
    <w:p w14:paraId="6493D1BF" w14:textId="77777777" w:rsidR="008906DD" w:rsidRPr="008906DD" w:rsidRDefault="008906DD" w:rsidP="008906DD">
      <w:pPr>
        <w:numPr>
          <w:ilvl w:val="0"/>
          <w:numId w:val="3"/>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Government reports and policy documents</w:t>
      </w:r>
    </w:p>
    <w:p w14:paraId="15E277E9" w14:textId="77777777" w:rsidR="008906DD" w:rsidRPr="008906DD" w:rsidRDefault="008906DD" w:rsidP="008906DD">
      <w:pPr>
        <w:numPr>
          <w:ilvl w:val="0"/>
          <w:numId w:val="3"/>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Industry publications and credible news sources</w:t>
      </w:r>
    </w:p>
    <w:p w14:paraId="0D7774CF"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Publications from 2018 to 2025 were selected using keywords related to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MSMEs, adoption, and India.</w:t>
      </w:r>
    </w:p>
    <w:p w14:paraId="17CAE652"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 Findings</w:t>
      </w:r>
    </w:p>
    <w:p w14:paraId="05D1A523" w14:textId="290DF709"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4.1 Overview</w:t>
      </w:r>
    </w:p>
    <w:p w14:paraId="113D2D10"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The literature consistently indicates that MSMEs face multiple, interconnected barriers to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These barriers can be broadly categorized into technological, organizational, financial, and environmental dimensions.</w:t>
      </w:r>
    </w:p>
    <w:p w14:paraId="1C81E005" w14:textId="3C3D283B"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4.2 Technological Barriers</w:t>
      </w:r>
    </w:p>
    <w:p w14:paraId="40207CB6"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lastRenderedPageBreak/>
        <w:t>Technological constraints include outdated machinery, lack of interoperability, and concerns regarding data security and system reliability. Legacy systems often require retrofitting, which, although feasible, is not widely understood or implemented.</w:t>
      </w:r>
    </w:p>
    <w:p w14:paraId="094E5414" w14:textId="78B7D983"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4.3 Organizational Barriers</w:t>
      </w:r>
    </w:p>
    <w:p w14:paraId="4208B95D"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Organizational challenges include limited digital skills, low awareness of available technologies and government schemes, and lack of top management support. Studies highlight that managerial commitment and employee readiness are critical determinants of successful adoption.</w:t>
      </w:r>
    </w:p>
    <w:p w14:paraId="14E93C93" w14:textId="473B1E5D"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4.4 Financial Barriers</w:t>
      </w:r>
    </w:p>
    <w:p w14:paraId="230E05F8" w14:textId="40EC6EAB" w:rsidR="008906DD" w:rsidRPr="008075A3"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Financial constraints remain a significant obstacle. High initial investment requirements and limited access to credit restrict the ability of MSMEs to adopt new technologies. Uncertainty regarding return on investment further discourages adoption.</w:t>
      </w:r>
    </w:p>
    <w:p w14:paraId="10239C15" w14:textId="29C26E4B"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4.5 Environmental Barriers</w:t>
      </w:r>
    </w:p>
    <w:p w14:paraId="177CE9EB"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External factors include an underdeveloped vendor ecosystem, inadequate infrastructure, and gaps in policy implementation. While multiple schemes exist, their accessibility and effectiveness are limited by low awareness and administrative complexity.</w:t>
      </w:r>
    </w:p>
    <w:p w14:paraId="02743AFD" w14:textId="00CEC58A"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4.6 Interrelationship of Barriers</w:t>
      </w:r>
    </w:p>
    <w:p w14:paraId="32E0BD47"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A key finding of this study is that these barriers are interdependent. For instance, financial constraints limit technological upgrades, while organizational limitations reduce the ability to access available financial support. This interconnectedness amplifies the overall challenge and complicates policy responses.</w:t>
      </w:r>
    </w:p>
    <w:p w14:paraId="7271EE68" w14:textId="1C88458C"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4.7 Evidence of Successful Adoption</w:t>
      </w:r>
    </w:p>
    <w:p w14:paraId="17D40505"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Despite these challenges, several case studies demonstrate the potential benefits of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Reported outcomes include:</w:t>
      </w:r>
    </w:p>
    <w:p w14:paraId="3BD14065"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Improved operational efficiency</w:t>
      </w:r>
    </w:p>
    <w:p w14:paraId="65A049A4"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Reduced machine downtime</w:t>
      </w:r>
    </w:p>
    <w:p w14:paraId="51360872"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Enhanced product quality</w:t>
      </w:r>
    </w:p>
    <w:p w14:paraId="20EEDE86"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Lower defect rates</w:t>
      </w:r>
    </w:p>
    <w:p w14:paraId="0B3B8ABF"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Importantly, many successful implementations involve targeted, small-scale interventions rather than large-scale transformations, with relatively short payback periods.</w:t>
      </w:r>
    </w:p>
    <w:p w14:paraId="497F9B8A" w14:textId="4C26E56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4.8 Policy Landscape</w:t>
      </w:r>
    </w:p>
    <w:p w14:paraId="37D51B80"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India has introduced several initiatives to promote MSME digitalization. However, the effectiveness of these policies is limited by low awareness, procedural complexity, and implementation gaps. Proposed measures such as improved financing mechanisms and technology support systems remain underutilized or unimplemented.</w:t>
      </w:r>
    </w:p>
    <w:p w14:paraId="35ACAC94" w14:textId="568B44A4"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lastRenderedPageBreak/>
        <w:t>5. Discussion</w:t>
      </w:r>
    </w:p>
    <w:p w14:paraId="3C656A6E"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findings highlight five key insights:</w:t>
      </w:r>
    </w:p>
    <w:p w14:paraId="19B0CE70"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Multiplicity and Interdependence of Barriers</w:t>
      </w:r>
      <w:r w:rsidRPr="008906DD">
        <w:rPr>
          <w:rFonts w:ascii="Times New Roman" w:eastAsia="Times New Roman" w:hAnsi="Times New Roman" w:cs="Times New Roman"/>
          <w:color w:val="0D0D0D"/>
          <w:sz w:val="24"/>
          <w:szCs w:val="24"/>
          <w:lang w:eastAsia="en-IN"/>
        </w:rPr>
        <w:br/>
        <w:t>Adoption challenges arise from a combination of factors rather than a single constraint.</w:t>
      </w:r>
    </w:p>
    <w:p w14:paraId="2EEC5550"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Policy–Practice Gap</w:t>
      </w:r>
      <w:r w:rsidRPr="008906DD">
        <w:rPr>
          <w:rFonts w:ascii="Times New Roman" w:eastAsia="Times New Roman" w:hAnsi="Times New Roman" w:cs="Times New Roman"/>
          <w:color w:val="0D0D0D"/>
          <w:sz w:val="24"/>
          <w:szCs w:val="24"/>
          <w:lang w:eastAsia="en-IN"/>
        </w:rPr>
        <w:br/>
        <w:t>Existing schemes have limited impact due to low utilization and implementation issues.</w:t>
      </w:r>
    </w:p>
    <w:p w14:paraId="3B91A180"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Importance of Organizational Factors</w:t>
      </w:r>
      <w:r w:rsidRPr="008906DD">
        <w:rPr>
          <w:rFonts w:ascii="Times New Roman" w:eastAsia="Times New Roman" w:hAnsi="Times New Roman" w:cs="Times New Roman"/>
          <w:color w:val="0D0D0D"/>
          <w:sz w:val="24"/>
          <w:szCs w:val="24"/>
          <w:lang w:eastAsia="en-IN"/>
        </w:rPr>
        <w:br/>
        <w:t>Skills, awareness, and managerial commitment are as critical as financial resources.</w:t>
      </w:r>
    </w:p>
    <w:p w14:paraId="5CED7142"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Feasibility of Adoption</w:t>
      </w:r>
      <w:r w:rsidRPr="008906DD">
        <w:rPr>
          <w:rFonts w:ascii="Times New Roman" w:eastAsia="Times New Roman" w:hAnsi="Times New Roman" w:cs="Times New Roman"/>
          <w:color w:val="0D0D0D"/>
          <w:sz w:val="24"/>
          <w:szCs w:val="24"/>
          <w:lang w:eastAsia="en-IN"/>
        </w:rPr>
        <w:br/>
        <w:t xml:space="preserve">Evidence suggests that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is both practical and cost-effective when approached incrementally.</w:t>
      </w:r>
    </w:p>
    <w:p w14:paraId="6DCF26C3" w14:textId="77777777" w:rsid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Need for Coordinated Action</w:t>
      </w:r>
      <w:r w:rsidRPr="008906DD">
        <w:rPr>
          <w:rFonts w:ascii="Times New Roman" w:eastAsia="Times New Roman" w:hAnsi="Times New Roman" w:cs="Times New Roman"/>
          <w:color w:val="0D0D0D"/>
          <w:sz w:val="24"/>
          <w:szCs w:val="24"/>
          <w:lang w:eastAsia="en-IN"/>
        </w:rPr>
        <w:br/>
        <w:t>Effective adoption requires collaboration among policymakers, industry stakeholders, and technology providers.</w:t>
      </w:r>
    </w:p>
    <w:p w14:paraId="3BBC8321" w14:textId="77777777" w:rsidR="008906DD" w:rsidRPr="008906DD" w:rsidRDefault="008906DD" w:rsidP="008906DD">
      <w:pPr>
        <w:shd w:val="clear" w:color="auto" w:fill="FFFFFF"/>
        <w:spacing w:after="0" w:line="240" w:lineRule="auto"/>
        <w:rPr>
          <w:rFonts w:ascii="Times New Roman" w:eastAsia="Times New Roman" w:hAnsi="Times New Roman" w:cs="Times New Roman"/>
          <w:color w:val="0D0D0D"/>
          <w:sz w:val="24"/>
          <w:szCs w:val="24"/>
          <w:lang w:eastAsia="en-IN"/>
        </w:rPr>
      </w:pPr>
    </w:p>
    <w:p w14:paraId="3DCDD7F5" w14:textId="3F0EF43C" w:rsidR="008906DD" w:rsidRPr="008906DD" w:rsidRDefault="008906DD" w:rsidP="008906DD">
      <w:pPr>
        <w:shd w:val="clear" w:color="auto" w:fill="FFFFFF"/>
        <w:spacing w:after="0" w:line="240" w:lineRule="auto"/>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5.1 Research Gaps</w:t>
      </w:r>
    </w:p>
    <w:p w14:paraId="1CE2B4D6"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review identifies several gaps:</w:t>
      </w:r>
    </w:p>
    <w:p w14:paraId="40403F9F" w14:textId="77777777" w:rsidR="008906DD" w:rsidRP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Limited sector-specific studies</w:t>
      </w:r>
    </w:p>
    <w:p w14:paraId="7BD59458" w14:textId="77777777" w:rsidR="008906DD" w:rsidRP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Lack of policy effectiveness evaluations</w:t>
      </w:r>
    </w:p>
    <w:p w14:paraId="4BA8EF27" w14:textId="77777777" w:rsidR="008906DD" w:rsidRP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Absence of longitudinal research</w:t>
      </w:r>
    </w:p>
    <w:p w14:paraId="44DAD1B8" w14:textId="77777777" w:rsid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Insufficient regional diversity in data</w:t>
      </w:r>
    </w:p>
    <w:p w14:paraId="04247E4F"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428762E0" w14:textId="19AC5ACF"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5.2 Implications</w:t>
      </w:r>
    </w:p>
    <w:p w14:paraId="46EB8E1B"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For MSMEs, a phased adoption strategy focusing on specific operational challenges is recommended. Policymakers should prioritize improving awareness and simplifying existing schemes. Industry associations and technology providers must play a proactive role in capacity building and solution development.</w:t>
      </w:r>
    </w:p>
    <w:p w14:paraId="78A83CA6"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b/>
          <w:bCs/>
          <w:color w:val="0D0D0D"/>
          <w:sz w:val="24"/>
          <w:szCs w:val="24"/>
          <w:lang w:eastAsia="en-IN"/>
        </w:rPr>
      </w:pPr>
    </w:p>
    <w:p w14:paraId="0A245633" w14:textId="55B76B9D"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6. Conclusion</w:t>
      </w:r>
    </w:p>
    <w:p w14:paraId="2F0B872B"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This study demonstrates that while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offer significant benefits for manufacturing MSMEs in India, adoption remains constrained by multiple, interconnected barriers. The issue is not the viability of the technology but the complexity of the adoption environment.</w:t>
      </w:r>
    </w:p>
    <w:p w14:paraId="3B2EE221"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Addressing this challenge requires a holistic approach that integrates financial support, skill development, infrastructure improvement, and effective policy implementation. With coordinated efforts, MSMEs can leverage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to enhance competitiveness and contribute to India’s manufacturing growth.</w:t>
      </w:r>
    </w:p>
    <w:p w14:paraId="7064E978" w14:textId="4B634A86"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7. Limitations</w:t>
      </w:r>
    </w:p>
    <w:p w14:paraId="7E1A1725"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lastRenderedPageBreak/>
        <w:t xml:space="preserve">This study is subject to certain limitations, including regional concentration of data, sectoral bias in existing literature, and reliance on publicly available sources. Additionally, the rapidly evolving nature of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may affect the long-term relevance of some findings.</w:t>
      </w:r>
    </w:p>
    <w:p w14:paraId="12DD936A" w14:textId="49F6D988"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 xml:space="preserve">References </w:t>
      </w:r>
    </w:p>
    <w:p w14:paraId="596D1602"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Administrative Staff College of India. (2025). </w:t>
      </w:r>
      <w:r w:rsidRPr="008906DD">
        <w:rPr>
          <w:rFonts w:ascii="Times New Roman" w:eastAsia="Times New Roman" w:hAnsi="Times New Roman" w:cs="Times New Roman"/>
          <w:i/>
          <w:iCs/>
          <w:color w:val="0D0D0D"/>
          <w:sz w:val="24"/>
          <w:szCs w:val="24"/>
          <w:lang w:eastAsia="en-IN"/>
        </w:rPr>
        <w:t>Designing a policy for medium enterprises</w:t>
      </w:r>
      <w:r w:rsidRPr="008906DD">
        <w:rPr>
          <w:rFonts w:ascii="Times New Roman" w:eastAsia="Times New Roman" w:hAnsi="Times New Roman" w:cs="Times New Roman"/>
          <w:color w:val="0D0D0D"/>
          <w:sz w:val="24"/>
          <w:szCs w:val="24"/>
          <w:lang w:eastAsia="en-IN"/>
        </w:rPr>
        <w:t>.</w:t>
      </w:r>
    </w:p>
    <w:p w14:paraId="48F23606"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CNBC TV18. (2025, May 28). MSMEs need better tech infrastructure to compete.</w:t>
      </w:r>
    </w:p>
    <w:p w14:paraId="0F0F6238"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Deccan Herald. (2025, May 27). Most medium enterprises use outdated technology.</w:t>
      </w:r>
    </w:p>
    <w:p w14:paraId="5C37B03F"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Economic Times. (2025, May 26). NITI Aayog pitches financial and technology tools.</w:t>
      </w:r>
    </w:p>
    <w:p w14:paraId="5F7139AD"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Institute for Competitiveness. (2025). </w:t>
      </w:r>
      <w:r w:rsidRPr="008906DD">
        <w:rPr>
          <w:rFonts w:ascii="Times New Roman" w:eastAsia="Times New Roman" w:hAnsi="Times New Roman" w:cs="Times New Roman"/>
          <w:i/>
          <w:iCs/>
          <w:color w:val="0D0D0D"/>
          <w:sz w:val="24"/>
          <w:szCs w:val="24"/>
          <w:lang w:eastAsia="en-IN"/>
        </w:rPr>
        <w:t>Credit gap analysis for Indian MSMEs</w:t>
      </w:r>
      <w:r w:rsidRPr="008906DD">
        <w:rPr>
          <w:rFonts w:ascii="Times New Roman" w:eastAsia="Times New Roman" w:hAnsi="Times New Roman" w:cs="Times New Roman"/>
          <w:color w:val="0D0D0D"/>
          <w:sz w:val="24"/>
          <w:szCs w:val="24"/>
          <w:lang w:eastAsia="en-IN"/>
        </w:rPr>
        <w:t>.</w:t>
      </w:r>
    </w:p>
    <w:p w14:paraId="15BE850E"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Kumar, R., Sindhwani, R., &amp; Singh, P. L. (2022).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implementation challenges. </w:t>
      </w:r>
      <w:r w:rsidRPr="008906DD">
        <w:rPr>
          <w:rFonts w:ascii="Times New Roman" w:eastAsia="Times New Roman" w:hAnsi="Times New Roman" w:cs="Times New Roman"/>
          <w:i/>
          <w:iCs/>
          <w:color w:val="0D0D0D"/>
          <w:sz w:val="24"/>
          <w:szCs w:val="24"/>
          <w:lang w:eastAsia="en-IN"/>
        </w:rPr>
        <w:t>Journal of Global Operations and Strategic Sourcing, 15</w:t>
      </w:r>
      <w:r w:rsidRPr="008906DD">
        <w:rPr>
          <w:rFonts w:ascii="Times New Roman" w:eastAsia="Times New Roman" w:hAnsi="Times New Roman" w:cs="Times New Roman"/>
          <w:color w:val="0D0D0D"/>
          <w:sz w:val="24"/>
          <w:szCs w:val="24"/>
          <w:lang w:eastAsia="en-IN"/>
        </w:rPr>
        <w:t>(3), 363–379.</w:t>
      </w:r>
    </w:p>
    <w:p w14:paraId="49033072"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Mukherjee, S., et al. (2024).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and organizational performance. </w:t>
      </w:r>
      <w:r w:rsidRPr="008906DD">
        <w:rPr>
          <w:rFonts w:ascii="Times New Roman" w:eastAsia="Times New Roman" w:hAnsi="Times New Roman" w:cs="Times New Roman"/>
          <w:i/>
          <w:iCs/>
          <w:color w:val="0D0D0D"/>
          <w:sz w:val="24"/>
          <w:szCs w:val="24"/>
          <w:lang w:eastAsia="en-IN"/>
        </w:rPr>
        <w:t>The TQM Journal, 36</w:t>
      </w:r>
      <w:r w:rsidRPr="008906DD">
        <w:rPr>
          <w:rFonts w:ascii="Times New Roman" w:eastAsia="Times New Roman" w:hAnsi="Times New Roman" w:cs="Times New Roman"/>
          <w:color w:val="0D0D0D"/>
          <w:sz w:val="24"/>
          <w:szCs w:val="24"/>
          <w:lang w:eastAsia="en-IN"/>
        </w:rPr>
        <w:t>(1), 265–287.</w:t>
      </w:r>
    </w:p>
    <w:p w14:paraId="1A664E66"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NASSCOM. (2024). </w:t>
      </w:r>
      <w:r w:rsidRPr="008906DD">
        <w:rPr>
          <w:rFonts w:ascii="Times New Roman" w:eastAsia="Times New Roman" w:hAnsi="Times New Roman" w:cs="Times New Roman"/>
          <w:i/>
          <w:iCs/>
          <w:color w:val="0D0D0D"/>
          <w:sz w:val="24"/>
          <w:szCs w:val="24"/>
          <w:lang w:eastAsia="en-IN"/>
        </w:rPr>
        <w:t>Driving innovation in Indian manufacturing SMEs</w:t>
      </w:r>
      <w:r w:rsidRPr="008906DD">
        <w:rPr>
          <w:rFonts w:ascii="Times New Roman" w:eastAsia="Times New Roman" w:hAnsi="Times New Roman" w:cs="Times New Roman"/>
          <w:color w:val="0D0D0D"/>
          <w:sz w:val="24"/>
          <w:szCs w:val="24"/>
          <w:lang w:eastAsia="en-IN"/>
        </w:rPr>
        <w:t>.</w:t>
      </w:r>
    </w:p>
    <w:p w14:paraId="61DA4F62"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NITI Aayog. (2025). </w:t>
      </w:r>
      <w:r w:rsidRPr="008906DD">
        <w:rPr>
          <w:rFonts w:ascii="Times New Roman" w:eastAsia="Times New Roman" w:hAnsi="Times New Roman" w:cs="Times New Roman"/>
          <w:i/>
          <w:iCs/>
          <w:color w:val="0D0D0D"/>
          <w:sz w:val="24"/>
          <w:szCs w:val="24"/>
          <w:lang w:eastAsia="en-IN"/>
        </w:rPr>
        <w:t>Designing a policy for medium enterprises</w:t>
      </w:r>
      <w:r w:rsidRPr="008906DD">
        <w:rPr>
          <w:rFonts w:ascii="Times New Roman" w:eastAsia="Times New Roman" w:hAnsi="Times New Roman" w:cs="Times New Roman"/>
          <w:color w:val="0D0D0D"/>
          <w:sz w:val="24"/>
          <w:szCs w:val="24"/>
          <w:lang w:eastAsia="en-IN"/>
        </w:rPr>
        <w:t>.</w:t>
      </w:r>
    </w:p>
    <w:p w14:paraId="0F244283"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Patil, S. R., et al. (2025). Smart assembly cell development. </w:t>
      </w:r>
      <w:r w:rsidRPr="008906DD">
        <w:rPr>
          <w:rFonts w:ascii="Times New Roman" w:eastAsia="Times New Roman" w:hAnsi="Times New Roman" w:cs="Times New Roman"/>
          <w:i/>
          <w:iCs/>
          <w:color w:val="0D0D0D"/>
          <w:sz w:val="24"/>
          <w:szCs w:val="24"/>
          <w:lang w:eastAsia="en-IN"/>
        </w:rPr>
        <w:t>Science Essence Journal, 5</w:t>
      </w:r>
      <w:r w:rsidRPr="008906DD">
        <w:rPr>
          <w:rFonts w:ascii="Times New Roman" w:eastAsia="Times New Roman" w:hAnsi="Times New Roman" w:cs="Times New Roman"/>
          <w:color w:val="0D0D0D"/>
          <w:sz w:val="24"/>
          <w:szCs w:val="24"/>
          <w:lang w:eastAsia="en-IN"/>
        </w:rPr>
        <w:t>(2), 12–28.</w:t>
      </w:r>
    </w:p>
    <w:p w14:paraId="7D18623E"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Sivathanu, B. (2021).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in auto-component SMEs.</w:t>
      </w:r>
    </w:p>
    <w:p w14:paraId="5C3176F5" w14:textId="77777777" w:rsidR="00AC4814" w:rsidRPr="008906DD" w:rsidRDefault="00AC4814" w:rsidP="008906DD">
      <w:pPr>
        <w:jc w:val="both"/>
        <w:rPr>
          <w:rFonts w:ascii="Times New Roman" w:hAnsi="Times New Roman" w:cs="Times New Roman"/>
          <w:sz w:val="24"/>
          <w:szCs w:val="24"/>
        </w:rPr>
      </w:pPr>
    </w:p>
    <w:sectPr w:rsidR="00AC4814" w:rsidRPr="00890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D0A"/>
    <w:multiLevelType w:val="multilevel"/>
    <w:tmpl w:val="67E8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F0D52"/>
    <w:multiLevelType w:val="multilevel"/>
    <w:tmpl w:val="602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6183C"/>
    <w:multiLevelType w:val="multilevel"/>
    <w:tmpl w:val="F55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34B60"/>
    <w:multiLevelType w:val="multilevel"/>
    <w:tmpl w:val="C2FE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813461"/>
    <w:multiLevelType w:val="multilevel"/>
    <w:tmpl w:val="6BF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2A3431"/>
    <w:multiLevelType w:val="multilevel"/>
    <w:tmpl w:val="14F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296309">
    <w:abstractNumId w:val="0"/>
  </w:num>
  <w:num w:numId="2" w16cid:durableId="1500733885">
    <w:abstractNumId w:val="1"/>
  </w:num>
  <w:num w:numId="3" w16cid:durableId="50622771">
    <w:abstractNumId w:val="4"/>
  </w:num>
  <w:num w:numId="4" w16cid:durableId="1973753280">
    <w:abstractNumId w:val="2"/>
  </w:num>
  <w:num w:numId="5" w16cid:durableId="62143497">
    <w:abstractNumId w:val="3"/>
  </w:num>
  <w:num w:numId="6" w16cid:durableId="103438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14"/>
    <w:rsid w:val="000A0241"/>
    <w:rsid w:val="000B0B40"/>
    <w:rsid w:val="001F6E05"/>
    <w:rsid w:val="00762C69"/>
    <w:rsid w:val="008075A3"/>
    <w:rsid w:val="008906DD"/>
    <w:rsid w:val="00AC4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A57B"/>
  <w15:chartTrackingRefBased/>
  <w15:docId w15:val="{DDE67BD1-8194-45C0-99D3-2F68FEBB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0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906D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906D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D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906D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906D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906DD"/>
    <w:rPr>
      <w:b/>
      <w:bCs/>
    </w:rPr>
  </w:style>
  <w:style w:type="paragraph" w:styleId="NormalWeb">
    <w:name w:val="Normal (Web)"/>
    <w:basedOn w:val="Normal"/>
    <w:uiPriority w:val="99"/>
    <w:semiHidden/>
    <w:unhideWhenUsed/>
    <w:rsid w:val="008906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906DD"/>
    <w:rPr>
      <w:i/>
      <w:iCs/>
    </w:rPr>
  </w:style>
  <w:style w:type="character" w:styleId="Hyperlink">
    <w:name w:val="Hyperlink"/>
    <w:basedOn w:val="DefaultParagraphFont"/>
    <w:uiPriority w:val="99"/>
    <w:unhideWhenUsed/>
    <w:rsid w:val="008906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c:creator>
  <cp:keywords/>
  <dc:description/>
  <cp:lastModifiedBy>theaisha1707@gmail.com</cp:lastModifiedBy>
  <cp:revision>9</cp:revision>
  <dcterms:created xsi:type="dcterms:W3CDTF">2026-04-23T09:07:00Z</dcterms:created>
  <dcterms:modified xsi:type="dcterms:W3CDTF">2026-04-25T06:10:00Z</dcterms:modified>
</cp:coreProperties>
</file>