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824A5" w14:textId="16AB77F3" w:rsidR="00C71C18" w:rsidRPr="005B05AD" w:rsidRDefault="009A4047" w:rsidP="00E5431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B05AD">
        <w:rPr>
          <w:rFonts w:ascii="Times New Roman" w:hAnsi="Times New Roman" w:cs="Times New Roman"/>
          <w:b/>
          <w:bCs/>
          <w:color w:val="000000" w:themeColor="text1"/>
          <w:sz w:val="24"/>
          <w:szCs w:val="24"/>
        </w:rPr>
        <w:t>GEOSPATIAL DISTRIBUTION OF TAROK SACRED GROVE OF LANGTANG</w:t>
      </w:r>
    </w:p>
    <w:p w14:paraId="6EE3A2FE" w14:textId="4B25505C" w:rsidR="00E5431B" w:rsidRPr="005B05AD" w:rsidRDefault="00C71C18" w:rsidP="00E5431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B05AD">
        <w:rPr>
          <w:rFonts w:ascii="Times New Roman" w:hAnsi="Times New Roman" w:cs="Times New Roman"/>
          <w:b/>
          <w:bCs/>
          <w:color w:val="000000" w:themeColor="text1"/>
          <w:sz w:val="24"/>
          <w:szCs w:val="24"/>
        </w:rPr>
        <w:t>NORTH AND LANGTANG SOUTH LOCAL GOVERNMENT AREAS</w:t>
      </w:r>
    </w:p>
    <w:p w14:paraId="4432B70E" w14:textId="77777777" w:rsidR="00E5431B" w:rsidRPr="005B05AD" w:rsidRDefault="00E5431B" w:rsidP="00E5431B">
      <w:pPr>
        <w:autoSpaceDE w:val="0"/>
        <w:autoSpaceDN w:val="0"/>
        <w:adjustRightInd w:val="0"/>
        <w:spacing w:after="0" w:line="240" w:lineRule="auto"/>
        <w:jc w:val="both"/>
        <w:rPr>
          <w:rFonts w:ascii="Rockwell" w:hAnsi="Rockwell" w:cs="AdvTTb8864ccf.B"/>
          <w:b/>
          <w:bCs/>
          <w:color w:val="000000" w:themeColor="text1"/>
          <w:sz w:val="24"/>
          <w:szCs w:val="24"/>
        </w:rPr>
      </w:pPr>
    </w:p>
    <w:p w14:paraId="534046C6" w14:textId="77777777" w:rsidR="000C2FB0" w:rsidRDefault="000C2FB0" w:rsidP="000C2FB0">
      <w:pPr>
        <w:spacing w:after="0" w:line="240" w:lineRule="auto"/>
        <w:jc w:val="both"/>
        <w:rPr>
          <w:rFonts w:ascii="Times New Roman" w:hAnsi="Times New Roman" w:cs="Times New Roman"/>
          <w:color w:val="000000" w:themeColor="text1"/>
          <w:lang w:val="en-US"/>
        </w:rPr>
      </w:pPr>
    </w:p>
    <w:p w14:paraId="67ED0BE5" w14:textId="77777777" w:rsidR="003C4B82" w:rsidRDefault="003C4B82" w:rsidP="000C2FB0">
      <w:pPr>
        <w:spacing w:after="0" w:line="240" w:lineRule="auto"/>
        <w:jc w:val="both"/>
        <w:rPr>
          <w:rFonts w:ascii="Times New Roman" w:hAnsi="Times New Roman" w:cs="Times New Roman"/>
          <w:color w:val="000000" w:themeColor="text1"/>
          <w:lang w:val="en-US"/>
        </w:rPr>
      </w:pPr>
    </w:p>
    <w:p w14:paraId="4EC3190E" w14:textId="77777777" w:rsidR="003C4B82" w:rsidRPr="003C4B82" w:rsidRDefault="003C4B82" w:rsidP="000C2FB0">
      <w:pPr>
        <w:spacing w:after="0" w:line="240" w:lineRule="auto"/>
        <w:jc w:val="both"/>
        <w:rPr>
          <w:rFonts w:ascii="Times New Roman" w:hAnsi="Times New Roman" w:cs="Times New Roman"/>
          <w:color w:val="000000" w:themeColor="text1"/>
          <w:sz w:val="24"/>
          <w:szCs w:val="24"/>
          <w:lang w:val="en-US"/>
        </w:rPr>
      </w:pPr>
    </w:p>
    <w:p w14:paraId="52D6DBFB" w14:textId="1AD55880" w:rsidR="00E5431B" w:rsidRPr="005B05AD" w:rsidRDefault="00E5431B" w:rsidP="00E5431B">
      <w:pPr>
        <w:jc w:val="both"/>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ABSTRACT</w:t>
      </w:r>
    </w:p>
    <w:p w14:paraId="04FE6883" w14:textId="142E3F0C" w:rsidR="00F72CF3" w:rsidRPr="005B05AD" w:rsidRDefault="00096DB4" w:rsidP="00096DB4">
      <w:pPr>
        <w:autoSpaceDE w:val="0"/>
        <w:autoSpaceDN w:val="0"/>
        <w:adjustRightInd w:val="0"/>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This study examines the spatial distribution of Tarok sacred groves in Langtang North and South Local Government Areas of Plateau State, Nigeria, with a view to understanding their distribution patterns, ownership, and conservation significance. Sacred Groves are culturally protected forest patches that serve as important reservoirs of biodiversity and traditional heritage. However, increasing anthropogenic pressures are undermining the ecological and cultural sustainability of these Groves. </w:t>
      </w:r>
    </w:p>
    <w:p w14:paraId="1910A58F" w14:textId="77777777" w:rsidR="00F72CF3" w:rsidRPr="005B05AD" w:rsidRDefault="00F72CF3" w:rsidP="00096DB4">
      <w:pPr>
        <w:autoSpaceDE w:val="0"/>
        <w:autoSpaceDN w:val="0"/>
        <w:adjustRightInd w:val="0"/>
        <w:spacing w:after="0" w:line="240" w:lineRule="auto"/>
        <w:jc w:val="both"/>
        <w:rPr>
          <w:rFonts w:ascii="Times New Roman" w:hAnsi="Times New Roman" w:cs="Times New Roman"/>
          <w:color w:val="000000" w:themeColor="text1"/>
          <w:lang/>
        </w:rPr>
      </w:pPr>
    </w:p>
    <w:p w14:paraId="19CD36F6" w14:textId="64C2F5B0" w:rsidR="00F72CF3" w:rsidRPr="005B05AD" w:rsidRDefault="00096DB4" w:rsidP="00096DB4">
      <w:pPr>
        <w:autoSpaceDE w:val="0"/>
        <w:autoSpaceDN w:val="0"/>
        <w:adjustRightInd w:val="0"/>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The study utilized geospatial data comprising 531 Sacred Grove locations collected as point data, with associated attributes such as coordinates and individual grove areas in hectares. Descriptive statistical analysis was employed to examine the size characteristics of the groves, while Geographic Information System (GIS) techniques were used to map their spatial distribution and develop a geodatabase. Findings revealed that the Tarok Sacred Groves are generally small in size, with a mean area of 0.856 hectares, indicating fragmentation. The spatial distribution pattern is clustered rather than random, reflecting the influence of cultural practices, settlement patterns, and environmental factors. </w:t>
      </w:r>
    </w:p>
    <w:p w14:paraId="68A7F6CE" w14:textId="77777777" w:rsidR="00F72CF3" w:rsidRPr="005B05AD" w:rsidRDefault="00F72CF3" w:rsidP="00096DB4">
      <w:pPr>
        <w:autoSpaceDE w:val="0"/>
        <w:autoSpaceDN w:val="0"/>
        <w:adjustRightInd w:val="0"/>
        <w:spacing w:after="0" w:line="240" w:lineRule="auto"/>
        <w:jc w:val="both"/>
        <w:rPr>
          <w:rFonts w:ascii="Times New Roman" w:hAnsi="Times New Roman" w:cs="Times New Roman"/>
          <w:color w:val="000000" w:themeColor="text1"/>
          <w:lang/>
        </w:rPr>
      </w:pPr>
    </w:p>
    <w:p w14:paraId="31B39008" w14:textId="24BF1458" w:rsidR="00F72CF3" w:rsidRPr="005B05AD" w:rsidRDefault="00096DB4" w:rsidP="00096DB4">
      <w:pPr>
        <w:autoSpaceDE w:val="0"/>
        <w:autoSpaceDN w:val="0"/>
        <w:adjustRightInd w:val="0"/>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Although ownership data were not explicitly available in the dataset, existing literature suggests that Sacred Groves are commonly owned by communities, families, or traditional religious institutions. The study highlights the ecological and cultural importance of sacred groves as biodiversity refuges and indigenous conservation systems. However, they are increasingly threatened by land-use changes, agricultural expansion, climate change, and the weakening of traditional beliefs. </w:t>
      </w:r>
    </w:p>
    <w:p w14:paraId="0C8B9ABC" w14:textId="77777777" w:rsidR="00F72CF3" w:rsidRPr="005B05AD" w:rsidRDefault="00F72CF3" w:rsidP="00096DB4">
      <w:pPr>
        <w:autoSpaceDE w:val="0"/>
        <w:autoSpaceDN w:val="0"/>
        <w:adjustRightInd w:val="0"/>
        <w:spacing w:after="0" w:line="240" w:lineRule="auto"/>
        <w:jc w:val="both"/>
        <w:rPr>
          <w:rFonts w:ascii="Times New Roman" w:hAnsi="Times New Roman" w:cs="Times New Roman"/>
          <w:color w:val="000000" w:themeColor="text1"/>
          <w:lang/>
        </w:rPr>
      </w:pPr>
    </w:p>
    <w:p w14:paraId="24AA3116" w14:textId="50A95E18" w:rsidR="00096DB4" w:rsidRPr="005B05AD" w:rsidRDefault="00096DB4" w:rsidP="00096DB4">
      <w:pPr>
        <w:autoSpaceDE w:val="0"/>
        <w:autoSpaceDN w:val="0"/>
        <w:adjustRightInd w:val="0"/>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The study recommends proper documentation, integration into formal conservation policies, community participation, and the establishment of a comprehensive geodatabase for effective management. This research contributes to knowledge by demonstrating the application of GIS in analyzing cultural landscapes and by providing baseline data for conservation planning.</w:t>
      </w:r>
    </w:p>
    <w:p w14:paraId="1D1FA741" w14:textId="77777777" w:rsidR="008E7C71" w:rsidRPr="005B05AD" w:rsidRDefault="008E7C71" w:rsidP="00096DB4">
      <w:pPr>
        <w:autoSpaceDE w:val="0"/>
        <w:autoSpaceDN w:val="0"/>
        <w:adjustRightInd w:val="0"/>
        <w:spacing w:after="0" w:line="240" w:lineRule="auto"/>
        <w:jc w:val="both"/>
        <w:rPr>
          <w:rFonts w:ascii="Times New Roman" w:hAnsi="Times New Roman" w:cs="Times New Roman"/>
          <w:color w:val="000000" w:themeColor="text1"/>
          <w:lang/>
        </w:rPr>
      </w:pPr>
    </w:p>
    <w:p w14:paraId="33B64E4B" w14:textId="31350C67" w:rsidR="006807AC" w:rsidRPr="005B05AD" w:rsidRDefault="006807AC" w:rsidP="004617B7">
      <w:pPr>
        <w:autoSpaceDE w:val="0"/>
        <w:autoSpaceDN w:val="0"/>
        <w:adjustRightInd w:val="0"/>
        <w:spacing w:before="120" w:after="0" w:line="240" w:lineRule="auto"/>
        <w:rPr>
          <w:rFonts w:ascii="Times New Roman" w:hAnsi="Times New Roman" w:cs="Times New Roman"/>
          <w:b/>
          <w:bCs/>
          <w:i/>
          <w:iCs/>
          <w:color w:val="000000" w:themeColor="text1"/>
          <w:lang/>
        </w:rPr>
      </w:pPr>
      <w:r w:rsidRPr="005B05AD">
        <w:rPr>
          <w:rFonts w:ascii="Times New Roman" w:hAnsi="Times New Roman" w:cs="Times New Roman"/>
          <w:b/>
          <w:bCs/>
          <w:color w:val="000000" w:themeColor="text1"/>
          <w:lang/>
        </w:rPr>
        <w:t xml:space="preserve"> Keywords:</w:t>
      </w:r>
      <w:r w:rsidRPr="005B05AD">
        <w:rPr>
          <w:rFonts w:ascii="Times New Roman" w:hAnsi="Times New Roman" w:cs="Times New Roman"/>
          <w:i/>
          <w:iCs/>
          <w:color w:val="000000" w:themeColor="text1"/>
          <w:lang/>
          <w14:ligatures w14:val="standardContextual"/>
        </w:rPr>
        <w:t xml:space="preserve"> </w:t>
      </w:r>
      <w:r w:rsidRPr="005B05AD">
        <w:rPr>
          <w:rFonts w:ascii="Times New Roman" w:hAnsi="Times New Roman" w:cs="Times New Roman"/>
          <w:i/>
          <w:iCs/>
          <w:color w:val="000000" w:themeColor="text1"/>
          <w:lang/>
        </w:rPr>
        <w:t>Sacred Groves, Ancestral cult</w:t>
      </w:r>
      <w:r w:rsidRPr="005B05AD">
        <w:rPr>
          <w:rFonts w:ascii="Times New Roman" w:hAnsi="Times New Roman" w:cs="Times New Roman"/>
          <w:color w:val="000000" w:themeColor="text1"/>
          <w:lang/>
        </w:rPr>
        <w:t xml:space="preserve">, </w:t>
      </w:r>
      <w:r w:rsidRPr="005B05AD">
        <w:rPr>
          <w:rFonts w:ascii="Times New Roman" w:hAnsi="Times New Roman" w:cs="Times New Roman"/>
          <w:i/>
          <w:iCs/>
          <w:color w:val="000000" w:themeColor="text1"/>
          <w:lang/>
        </w:rPr>
        <w:t>Biodiversity, Conservation, GIS,</w:t>
      </w:r>
      <w:r w:rsidRPr="005B05AD">
        <w:rPr>
          <w:rFonts w:ascii="Times New Roman" w:hAnsi="Times New Roman" w:cs="Times New Roman"/>
          <w:color w:val="000000" w:themeColor="text1"/>
          <w:lang/>
        </w:rPr>
        <w:t xml:space="preserve"> </w:t>
      </w:r>
      <w:r w:rsidRPr="005B05AD">
        <w:rPr>
          <w:rFonts w:ascii="Times New Roman" w:hAnsi="Times New Roman" w:cs="Times New Roman"/>
          <w:i/>
          <w:iCs/>
          <w:color w:val="000000" w:themeColor="text1"/>
          <w:lang/>
        </w:rPr>
        <w:t>Geodatabase</w:t>
      </w:r>
    </w:p>
    <w:p w14:paraId="7AD01806" w14:textId="77777777" w:rsidR="00D23ABE" w:rsidRPr="005B05AD" w:rsidRDefault="00D23ABE" w:rsidP="007015C9">
      <w:pPr>
        <w:autoSpaceDE w:val="0"/>
        <w:autoSpaceDN w:val="0"/>
        <w:adjustRightInd w:val="0"/>
        <w:spacing w:after="0" w:line="360" w:lineRule="auto"/>
        <w:rPr>
          <w:rFonts w:ascii="Times New Roman" w:hAnsi="Times New Roman" w:cs="Times New Roman"/>
          <w:b/>
          <w:bCs/>
          <w:color w:val="000000" w:themeColor="text1"/>
          <w:lang/>
        </w:rPr>
      </w:pPr>
    </w:p>
    <w:p w14:paraId="1B70AE30" w14:textId="44AB4DAF" w:rsidR="006807AC" w:rsidRPr="005B05AD" w:rsidRDefault="006807AC" w:rsidP="007015C9">
      <w:pPr>
        <w:autoSpaceDE w:val="0"/>
        <w:autoSpaceDN w:val="0"/>
        <w:adjustRightInd w:val="0"/>
        <w:spacing w:after="0" w:line="360" w:lineRule="auto"/>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INTRODUCTION</w:t>
      </w:r>
    </w:p>
    <w:p w14:paraId="18E64997" w14:textId="129540FC" w:rsidR="00736D4D" w:rsidRPr="005B05AD" w:rsidRDefault="00736D4D" w:rsidP="007015C9">
      <w:pPr>
        <w:autoSpaceDE w:val="0"/>
        <w:autoSpaceDN w:val="0"/>
        <w:adjustRightInd w:val="0"/>
        <w:spacing w:after="0" w:line="360" w:lineRule="auto"/>
        <w:jc w:val="both"/>
        <w:rPr>
          <w:rFonts w:ascii="Times New Roman" w:hAnsi="Times New Roman" w:cs="Times New Roman"/>
          <w:color w:val="000000" w:themeColor="text1"/>
        </w:rPr>
      </w:pPr>
      <w:r w:rsidRPr="005B05AD">
        <w:rPr>
          <w:rFonts w:ascii="Times New Roman" w:hAnsi="Times New Roman" w:cs="Times New Roman"/>
          <w:color w:val="000000" w:themeColor="text1"/>
        </w:rPr>
        <w:t>The Tarok people, who refer to themselves as oTárók, speak the language iTárók and inhabit the land known as ìTàrók. They constitute a relatively homogeneous ethno-national group predominantly located in Langtang North, Langtang South, and Wase Local Government Areas of Plateau State in central Nigeria. Significant Tarok populations are also found in Shendam, Mikang, Kanke, and Kanam LGAs, while smaller farming communities are dispersed across Nasarawa and Taraba States (Lar, 2015;</w:t>
      </w:r>
      <w:r w:rsidRPr="005B05AD">
        <w:rPr>
          <w:rFonts w:ascii="Times New Roman" w:hAnsi="Times New Roman" w:cs="Times New Roman"/>
          <w:color w:val="000000" w:themeColor="text1"/>
          <w:lang/>
        </w:rPr>
        <w:t xml:space="preserve"> Longtau, Selbut R. 1991</w:t>
      </w:r>
      <w:r w:rsidRPr="005B05AD">
        <w:rPr>
          <w:rFonts w:ascii="Times New Roman" w:hAnsi="Times New Roman" w:cs="Times New Roman"/>
          <w:color w:val="000000" w:themeColor="text1"/>
        </w:rPr>
        <w:t>). Their principal towns—Langtang in Langtang North and Mabudi in Langtang South—are situated approximately 186 kilometres southeast and 210 kilometres south of Jos, the Plateau State capital, respectively.</w:t>
      </w:r>
    </w:p>
    <w:p w14:paraId="55A1E28C" w14:textId="77777777" w:rsidR="00736D4D" w:rsidRPr="005B05AD" w:rsidRDefault="00736D4D" w:rsidP="007015C9">
      <w:pPr>
        <w:autoSpaceDE w:val="0"/>
        <w:autoSpaceDN w:val="0"/>
        <w:adjustRightInd w:val="0"/>
        <w:spacing w:after="0" w:line="360" w:lineRule="auto"/>
        <w:jc w:val="both"/>
        <w:rPr>
          <w:rFonts w:ascii="Times New Roman" w:hAnsi="Times New Roman" w:cs="Times New Roman"/>
          <w:color w:val="000000" w:themeColor="text1"/>
        </w:rPr>
      </w:pPr>
    </w:p>
    <w:p w14:paraId="3E7CF3A5" w14:textId="757AEB99" w:rsidR="00736D4D" w:rsidRPr="005B05AD" w:rsidRDefault="00736D4D" w:rsidP="007015C9">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Although the majority of Tarok population now identifies as Christian, others still maintain a strong traditional ancestral cult known as Orìm (Blench, Roger, 2021), which continues to command significant prestige and cultural relevance despite the widespread influence of Christianity in the region. </w:t>
      </w:r>
      <w:r w:rsidRPr="005B05AD">
        <w:rPr>
          <w:rFonts w:ascii="Times New Roman" w:hAnsi="Times New Roman" w:cs="Times New Roman"/>
          <w:color w:val="000000" w:themeColor="text1"/>
          <w:lang/>
        </w:rPr>
        <w:lastRenderedPageBreak/>
        <w:t>Ritual activities associated with Orìm are typically conducted in Sacred Groves known as Ebgong Orìm</w:t>
      </w:r>
      <w:r w:rsidRPr="005B05AD">
        <w:rPr>
          <w:rFonts w:ascii="Times New Roman" w:hAnsi="Times New Roman" w:cs="Times New Roman"/>
          <w:i/>
          <w:iCs/>
          <w:color w:val="000000" w:themeColor="text1"/>
          <w:lang/>
        </w:rPr>
        <w:t>,</w:t>
      </w:r>
      <w:r w:rsidRPr="005B05AD">
        <w:rPr>
          <w:rFonts w:ascii="Times New Roman" w:hAnsi="Times New Roman" w:cs="Times New Roman"/>
          <w:color w:val="000000" w:themeColor="text1"/>
          <w:lang/>
        </w:rPr>
        <w:t xml:space="preserve"> which is preserve and protected as the dwelling place of the ancestors (Lar, Isaac B., 2015). The</w:t>
      </w:r>
      <w:r w:rsidRPr="005B05AD">
        <w:rPr>
          <w:rFonts w:ascii="Times New Roman" w:hAnsi="Times New Roman" w:cs="Times New Roman"/>
          <w:i/>
          <w:iCs/>
          <w:color w:val="000000" w:themeColor="text1"/>
          <w:lang/>
        </w:rPr>
        <w:t xml:space="preserve"> </w:t>
      </w:r>
      <w:r w:rsidRPr="005B05AD">
        <w:rPr>
          <w:rFonts w:ascii="Times New Roman" w:hAnsi="Times New Roman" w:cs="Times New Roman"/>
          <w:color w:val="000000" w:themeColor="text1"/>
          <w:lang/>
        </w:rPr>
        <w:t>Ebgong Orìm</w:t>
      </w:r>
      <w:r w:rsidRPr="005B05AD">
        <w:rPr>
          <w:rFonts w:ascii="Times New Roman" w:hAnsi="Times New Roman" w:cs="Times New Roman"/>
          <w:i/>
          <w:iCs/>
          <w:color w:val="000000" w:themeColor="text1"/>
          <w:lang/>
        </w:rPr>
        <w:t xml:space="preserve"> </w:t>
      </w:r>
      <w:r w:rsidRPr="005B05AD">
        <w:rPr>
          <w:rFonts w:ascii="Times New Roman" w:hAnsi="Times New Roman" w:cs="Times New Roman"/>
          <w:color w:val="000000" w:themeColor="text1"/>
          <w:lang/>
        </w:rPr>
        <w:t>are</w:t>
      </w:r>
      <w:r w:rsidRPr="005B05AD">
        <w:rPr>
          <w:rFonts w:ascii="Times New Roman" w:hAnsi="Times New Roman" w:cs="Times New Roman"/>
          <w:i/>
          <w:iCs/>
          <w:color w:val="000000" w:themeColor="text1"/>
          <w:lang/>
        </w:rPr>
        <w:t xml:space="preserve"> </w:t>
      </w:r>
      <w:r w:rsidRPr="005B05AD">
        <w:rPr>
          <w:rFonts w:ascii="Times New Roman" w:hAnsi="Times New Roman" w:cs="Times New Roman"/>
          <w:color w:val="000000" w:themeColor="text1"/>
          <w:lang/>
        </w:rPr>
        <w:t>located on the outskirts of nearly all Tarok settlements.</w:t>
      </w:r>
    </w:p>
    <w:p w14:paraId="5A9BD22A" w14:textId="77777777" w:rsidR="00736D4D" w:rsidRPr="005B05AD" w:rsidRDefault="00736D4D" w:rsidP="007015C9">
      <w:pPr>
        <w:spacing w:after="0" w:line="360" w:lineRule="auto"/>
        <w:jc w:val="both"/>
        <w:rPr>
          <w:rFonts w:ascii="Times New Roman" w:hAnsi="Times New Roman" w:cs="Times New Roman"/>
          <w:color w:val="000000" w:themeColor="text1"/>
          <w:lang/>
        </w:rPr>
      </w:pPr>
    </w:p>
    <w:p w14:paraId="26DA6B34" w14:textId="1F0BE7B4" w:rsidR="00736D4D" w:rsidRPr="005B05AD" w:rsidRDefault="00736D4D" w:rsidP="007015C9">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Sacred Groves are patches of natural vegetation that are protected and conserved by local communities due to their cultural, spiritual, and religious significance (Ramakrishnan, 1996; Sheridan Nyamweru, 2007). These Groves are often associated with traditional beliefs, rituals, and taboos that regulate human activities within them (Colding and Folke, 2001). Across Africa, Sacred Groves have historically served as important sites for worship, initiation rites, and cultural ceremonies (Anderson and Grove, 1987).</w:t>
      </w:r>
    </w:p>
    <w:p w14:paraId="244F6A7B" w14:textId="77777777" w:rsidR="00736D4D" w:rsidRPr="005B05AD" w:rsidRDefault="00736D4D" w:rsidP="007015C9">
      <w:pPr>
        <w:spacing w:after="0" w:line="360" w:lineRule="auto"/>
        <w:jc w:val="both"/>
        <w:rPr>
          <w:rFonts w:ascii="Times New Roman" w:hAnsi="Times New Roman" w:cs="Times New Roman"/>
          <w:color w:val="000000" w:themeColor="text1"/>
          <w:lang/>
        </w:rPr>
      </w:pPr>
    </w:p>
    <w:p w14:paraId="15B4BA31" w14:textId="6321E1DB" w:rsidR="00736D4D" w:rsidRPr="005B05AD" w:rsidRDefault="00736D4D" w:rsidP="00D54DE1">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In Nigeria, Sacred Groves are widely distributed across different ethnic groups and ecological zones. For example, the Osun-Osogbo Sacred Grove, containing dense forests, is located just outside the city of Osogbo. It is dedicated to the fertility god in Yoruba mythology, and is dotted with shrines and sculptures (Adekunle, V. A. J. (2010). Among the Tarok people of Langtang North, Langtang South LGAs and </w:t>
      </w:r>
      <w:r w:rsidRPr="005B05AD">
        <w:rPr>
          <w:rFonts w:ascii="Times New Roman" w:hAnsi="Times New Roman" w:cs="Times New Roman"/>
          <w:color w:val="000000" w:themeColor="text1"/>
        </w:rPr>
        <w:t>other Tarok farming communities found elsewhere, S</w:t>
      </w:r>
      <w:r w:rsidRPr="005B05AD">
        <w:rPr>
          <w:rFonts w:ascii="Times New Roman" w:hAnsi="Times New Roman" w:cs="Times New Roman"/>
          <w:color w:val="000000" w:themeColor="text1"/>
          <w:lang/>
        </w:rPr>
        <w:t>acred Groves represent an integral part of cultural identity and environmental stewardship. These Groves are preserved through indigenous knowledge systems and customary laws that restrict exploitation (Osemeobo, 1994; Oyelowo &amp; Aduradola, 2017).</w:t>
      </w:r>
    </w:p>
    <w:p w14:paraId="5157A48B" w14:textId="77777777" w:rsidR="00736D4D" w:rsidRPr="005B05AD" w:rsidRDefault="00736D4D" w:rsidP="007015C9">
      <w:pPr>
        <w:spacing w:after="0" w:line="360" w:lineRule="auto"/>
        <w:jc w:val="both"/>
        <w:rPr>
          <w:rFonts w:ascii="Times New Roman" w:hAnsi="Times New Roman" w:cs="Times New Roman"/>
          <w:color w:val="000000" w:themeColor="text1"/>
          <w:lang/>
        </w:rPr>
      </w:pPr>
    </w:p>
    <w:p w14:paraId="2A5051EC" w14:textId="7D0A9D59" w:rsidR="00736D4D" w:rsidRPr="005B05AD" w:rsidRDefault="00736D4D" w:rsidP="00201BC4">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Beyond their cultural significance, sacred groves play an important ecological role. They act as biodiversity hotspots, conserving rare plant and animal species that may have disappeared from surrounding landscapes due to deforestation and land use changes (Bhagwat &amp; Rutte, 2006; Aerts et al., 2016). They also contribute to climate regulation, soil conservation, and water resource protection (Millennium Ecosystem Assessment, 2005). However, rapid population growth, urbanization, agricultural expansion, climate change, and the erosion of traditional belief systems have led to the degradation and loss of many Sacred Groves (Faleyimu et al., 2013; Alohou E. C., et al., 2016). This has raised concerns about the sustainability of these important cultural landscapes.</w:t>
      </w:r>
    </w:p>
    <w:p w14:paraId="66639403" w14:textId="77777777" w:rsidR="00736D4D" w:rsidRPr="005B05AD" w:rsidRDefault="00736D4D" w:rsidP="007015C9">
      <w:pPr>
        <w:spacing w:after="0" w:line="360" w:lineRule="auto"/>
        <w:jc w:val="both"/>
        <w:rPr>
          <w:rFonts w:ascii="Times New Roman" w:hAnsi="Times New Roman" w:cs="Times New Roman"/>
          <w:color w:val="000000" w:themeColor="text1"/>
          <w:lang/>
        </w:rPr>
      </w:pPr>
    </w:p>
    <w:p w14:paraId="4A9DA10A" w14:textId="02618059" w:rsidR="00DA6FFA" w:rsidRPr="005B05AD" w:rsidRDefault="00736D4D" w:rsidP="007015C9">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Geospatial technologies such as Geographic Information Systems (GIS) and Remote Sensing provide powerful tools for mapping, analyzing, and managing spatial data (Malczewski, 1999). These technologies can be used to assess the distribution, size, and conservation status of Sacred Groves, thereby supporting effective planning and decision-making (Sutton et al., 2009; Shashi S. B. et al., 2015). This study therefore focuses on the spatial distribution of Tarok Sacred Groves in Langtang North and Langtang South Local Government Areas, with the aim of providing baseline data for conservation and sustainable management. </w:t>
      </w:r>
    </w:p>
    <w:p w14:paraId="24513B76" w14:textId="77777777" w:rsidR="00DA6FFA" w:rsidRPr="005B05AD" w:rsidRDefault="00DA6FFA" w:rsidP="007015C9">
      <w:pPr>
        <w:spacing w:after="0" w:line="360" w:lineRule="auto"/>
        <w:jc w:val="both"/>
        <w:rPr>
          <w:rFonts w:ascii="Times New Roman" w:hAnsi="Times New Roman" w:cs="Times New Roman"/>
          <w:color w:val="000000" w:themeColor="text1"/>
          <w:lang/>
        </w:rPr>
      </w:pPr>
    </w:p>
    <w:p w14:paraId="48ED95D5" w14:textId="7A816C40" w:rsidR="00DA6FFA" w:rsidRPr="005B05AD" w:rsidRDefault="00DA6FFA" w:rsidP="00DA6FFA">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lastRenderedPageBreak/>
        <w:t>The specific objectives are to: 1) identify the ownership of the Sacred Groves for conservation purposes, 2) Produce a map of Langtang North and South showing the spatial distribution of Sacred groves, 3) Create a geodatabase for the Sacred Groves within the study area, while the objective of study was to: i. Examine the custodianship structure of Sacred Groves, ii. Identify conservation methods in use, iii. Assess the presence of wildlife, iv. Evaluate the age distribution of Sacred Groves.</w:t>
      </w:r>
    </w:p>
    <w:p w14:paraId="7F708235" w14:textId="77777777" w:rsidR="00DA6FFA" w:rsidRPr="005B05AD" w:rsidRDefault="00DA6FFA" w:rsidP="007015C9">
      <w:pPr>
        <w:spacing w:after="0" w:line="360" w:lineRule="auto"/>
        <w:jc w:val="both"/>
        <w:rPr>
          <w:rFonts w:ascii="Times New Roman" w:hAnsi="Times New Roman" w:cs="Times New Roman"/>
          <w:color w:val="000000" w:themeColor="text1"/>
          <w:lang/>
        </w:rPr>
      </w:pPr>
    </w:p>
    <w:p w14:paraId="7F5586CC" w14:textId="1C4FF57A" w:rsidR="00C160FD" w:rsidRPr="005B05AD" w:rsidRDefault="00C160FD" w:rsidP="007015C9">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Most studies on Sacred Groves focus on biodiversity and cultural aspects, with limited emphasis on spatial analysis using GIS. This study fills the gap by: Providing spatial analysis of Sacred Groves; Creating a geodatabase; Supporting conservation planning.</w:t>
      </w:r>
    </w:p>
    <w:p w14:paraId="4074E175" w14:textId="0F214ACE" w:rsidR="00736D4D" w:rsidRPr="005B05AD" w:rsidRDefault="00736D4D" w:rsidP="00736D4D">
      <w:pPr>
        <w:spacing w:after="0" w:line="240" w:lineRule="auto"/>
        <w:jc w:val="both"/>
        <w:rPr>
          <w:rFonts w:ascii="Times New Roman" w:hAnsi="Times New Roman" w:cs="Times New Roman"/>
          <w:color w:val="000000" w:themeColor="text1"/>
          <w:lang/>
        </w:rPr>
      </w:pPr>
    </w:p>
    <w:p w14:paraId="3CE6FD5B" w14:textId="77777777" w:rsidR="00F914B3" w:rsidRPr="005B05AD" w:rsidRDefault="00F914B3" w:rsidP="0055320E">
      <w:pPr>
        <w:autoSpaceDE w:val="0"/>
        <w:autoSpaceDN w:val="0"/>
        <w:adjustRightInd w:val="0"/>
        <w:spacing w:after="0" w:line="360" w:lineRule="auto"/>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STUDY AREA </w:t>
      </w:r>
    </w:p>
    <w:p w14:paraId="7BE4878B" w14:textId="3A16B155" w:rsidR="00886D15" w:rsidRPr="005B05AD" w:rsidRDefault="00886D15" w:rsidP="0055320E">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The study was conducted in Langtang North and Langtang South Local Government Areas, of Plateau State, Nigeria, situated between latitudes 8</w:t>
      </w:r>
      <w:r w:rsidRPr="005B05AD">
        <w:rPr>
          <w:rFonts w:ascii="Times New Roman" w:hAnsi="Times New Roman" w:cs="Times New Roman"/>
          <w:color w:val="000000" w:themeColor="text1"/>
          <w:vertAlign w:val="superscript"/>
          <w:lang/>
        </w:rPr>
        <w:t>0</w:t>
      </w:r>
      <w:r w:rsidRPr="005B05AD">
        <w:rPr>
          <w:rFonts w:ascii="Times New Roman" w:hAnsi="Times New Roman" w:cs="Times New Roman"/>
          <w:color w:val="000000" w:themeColor="text1"/>
          <w:lang/>
        </w:rPr>
        <w:t>25’0” N and 9</w:t>
      </w:r>
      <w:r w:rsidRPr="005B05AD">
        <w:rPr>
          <w:rFonts w:ascii="Times New Roman" w:hAnsi="Times New Roman" w:cs="Times New Roman"/>
          <w:color w:val="000000" w:themeColor="text1"/>
          <w:vertAlign w:val="superscript"/>
          <w:lang/>
        </w:rPr>
        <w:t>0</w:t>
      </w:r>
      <w:r w:rsidRPr="005B05AD">
        <w:rPr>
          <w:rFonts w:ascii="Times New Roman" w:hAnsi="Times New Roman" w:cs="Times New Roman"/>
          <w:color w:val="000000" w:themeColor="text1"/>
          <w:lang/>
        </w:rPr>
        <w:t>15’0” N and longitudes 9°25'0" E and 10°15'0" E. These Local Government Areas share borders with five other LGAs within States and a border with Taraba at the southern part. The area is characterized by: undulating terrain; Guinea savannah vegetation and agricultural activities. The inhabitants are predominantly Tarok people, known for their rich cultural heritage.</w:t>
      </w:r>
    </w:p>
    <w:p w14:paraId="7096B503" w14:textId="77777777" w:rsidR="00886D15" w:rsidRPr="005B05AD" w:rsidRDefault="00886D15" w:rsidP="00350BC0">
      <w:pPr>
        <w:spacing w:after="0" w:line="240" w:lineRule="auto"/>
        <w:jc w:val="both"/>
        <w:rPr>
          <w:rFonts w:ascii="Times New Roman" w:hAnsi="Times New Roman" w:cs="Times New Roman"/>
          <w:color w:val="000000" w:themeColor="text1"/>
          <w:lang/>
        </w:rPr>
      </w:pPr>
    </w:p>
    <w:p w14:paraId="29794880" w14:textId="2CDF15BE" w:rsidR="003C4762" w:rsidRPr="005B05AD" w:rsidRDefault="003C4762" w:rsidP="00F914B3">
      <w:pPr>
        <w:spacing w:after="0" w:line="240" w:lineRule="auto"/>
        <w:rPr>
          <w:rFonts w:ascii="Times New Roman" w:hAnsi="Times New Roman" w:cs="Times New Roman"/>
          <w:color w:val="000000" w:themeColor="text1"/>
          <w:lang/>
        </w:rPr>
      </w:pPr>
      <w:r w:rsidRPr="005B05AD">
        <w:rPr>
          <w:rFonts w:ascii="Times New Roman" w:hAnsi="Times New Roman" w:cs="Times New Roman"/>
          <w:noProof/>
          <w:color w:val="000000" w:themeColor="text1"/>
        </w:rPr>
        <w:drawing>
          <wp:inline distT="0" distB="0" distL="0" distR="0" wp14:anchorId="0551D931" wp14:editId="2DA50EAC">
            <wp:extent cx="5731510" cy="4427855"/>
            <wp:effectExtent l="0" t="0" r="2540" b="0"/>
            <wp:docPr id="152409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427855"/>
                    </a:xfrm>
                    <a:prstGeom prst="rect">
                      <a:avLst/>
                    </a:prstGeom>
                    <a:noFill/>
                    <a:ln>
                      <a:noFill/>
                    </a:ln>
                  </pic:spPr>
                </pic:pic>
              </a:graphicData>
            </a:graphic>
          </wp:inline>
        </w:drawing>
      </w:r>
    </w:p>
    <w:p w14:paraId="6667D7F1" w14:textId="49D2EF95" w:rsidR="00A62138" w:rsidRPr="005B05AD" w:rsidRDefault="00F914B3" w:rsidP="006C3076">
      <w:pPr>
        <w:spacing w:before="120" w:after="0" w:line="240" w:lineRule="auto"/>
        <w:rPr>
          <w:rFonts w:ascii="Times New Roman" w:hAnsi="Times New Roman" w:cs="Times New Roman"/>
          <w:color w:val="000000" w:themeColor="text1"/>
          <w:lang/>
        </w:rPr>
      </w:pPr>
      <w:r w:rsidRPr="005B05AD">
        <w:rPr>
          <w:rFonts w:ascii="Times New Roman" w:hAnsi="Times New Roman" w:cs="Times New Roman"/>
          <w:color w:val="000000" w:themeColor="text1"/>
          <w:lang/>
        </w:rPr>
        <w:t>Figure 1:  The Study Area (Langtang North and Langtang South LGAs)</w:t>
      </w:r>
    </w:p>
    <w:p w14:paraId="2AA834E8" w14:textId="77777777" w:rsidR="006807AC" w:rsidRPr="005B05AD" w:rsidRDefault="006807AC" w:rsidP="006807AC">
      <w:pPr>
        <w:spacing w:after="0" w:line="240" w:lineRule="auto"/>
        <w:rPr>
          <w:rFonts w:ascii="Times New Roman" w:hAnsi="Times New Roman" w:cs="Times New Roman"/>
          <w:b/>
          <w:bCs/>
          <w:color w:val="000000" w:themeColor="text1"/>
          <w:lang/>
        </w:rPr>
      </w:pPr>
    </w:p>
    <w:p w14:paraId="1C02E713" w14:textId="77777777" w:rsidR="00B7154C" w:rsidRPr="005B05AD" w:rsidRDefault="00B7154C" w:rsidP="006807AC">
      <w:pPr>
        <w:spacing w:after="0" w:line="240" w:lineRule="auto"/>
        <w:rPr>
          <w:rFonts w:ascii="Times New Roman" w:hAnsi="Times New Roman" w:cs="Times New Roman"/>
          <w:b/>
          <w:bCs/>
          <w:color w:val="000000" w:themeColor="text1"/>
          <w:lang/>
        </w:rPr>
      </w:pPr>
    </w:p>
    <w:p w14:paraId="12028066" w14:textId="313E83E5" w:rsidR="006807AC" w:rsidRPr="005B05AD" w:rsidRDefault="006807AC" w:rsidP="006807AC">
      <w:pPr>
        <w:spacing w:after="0" w:line="240" w:lineRule="auto"/>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MATERIALS AND METHODS </w:t>
      </w:r>
    </w:p>
    <w:p w14:paraId="7B004CA0" w14:textId="77777777" w:rsidR="00071590" w:rsidRPr="005B05AD" w:rsidRDefault="00071590" w:rsidP="00C71C18">
      <w:pPr>
        <w:spacing w:after="0" w:line="240" w:lineRule="auto"/>
        <w:rPr>
          <w:rFonts w:ascii="Times New Roman" w:hAnsi="Times New Roman" w:cs="Times New Roman"/>
          <w:b/>
          <w:bCs/>
          <w:color w:val="000000" w:themeColor="text1"/>
          <w:lang/>
        </w:rPr>
      </w:pPr>
    </w:p>
    <w:p w14:paraId="55EF43C4" w14:textId="05156A6C" w:rsidR="00214FD5" w:rsidRPr="005B05AD" w:rsidRDefault="00C160FD" w:rsidP="008542DD">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Materials used for the study are GPS, administrative boundaries, Satellite imagery, laptop, ArcGIS 10.8. Field work was conducted for a period of 6 weeks. Geographic coordinates of 531 sacred groves were recorded </w:t>
      </w:r>
      <w:r w:rsidRPr="005B05AD">
        <w:rPr>
          <w:rFonts w:ascii="Times New Roman" w:hAnsi="Times New Roman" w:cs="Times New Roman"/>
          <w:i/>
          <w:iCs/>
          <w:color w:val="000000" w:themeColor="text1"/>
          <w:lang/>
        </w:rPr>
        <w:t>in situ</w:t>
      </w:r>
      <w:r w:rsidRPr="005B05AD">
        <w:rPr>
          <w:rFonts w:ascii="Times New Roman" w:hAnsi="Times New Roman" w:cs="Times New Roman"/>
          <w:color w:val="000000" w:themeColor="text1"/>
          <w:lang/>
        </w:rPr>
        <w:t xml:space="preserve"> using a handheld GPSmap 78CSx receiver across various settlements and communities within the two LGAs. Data were also collected using structured questionnaires administered to respondents in both LGAs. A total of 150 questionnaires were administered, 115 were retrieved, resulting in a response rate of 76.7%. </w:t>
      </w:r>
    </w:p>
    <w:p w14:paraId="37290892" w14:textId="77777777" w:rsidR="00F81946" w:rsidRPr="005B05AD" w:rsidRDefault="00F81946" w:rsidP="00AF610A">
      <w:pPr>
        <w:spacing w:after="0" w:line="360" w:lineRule="auto"/>
        <w:jc w:val="both"/>
        <w:rPr>
          <w:rFonts w:ascii="Times New Roman" w:hAnsi="Times New Roman" w:cs="Times New Roman"/>
          <w:color w:val="000000" w:themeColor="text1"/>
          <w:lang/>
        </w:rPr>
      </w:pPr>
    </w:p>
    <w:p w14:paraId="576F075C" w14:textId="4444479E" w:rsidR="009071C1" w:rsidRPr="005B05AD" w:rsidRDefault="001F7DAD" w:rsidP="009071C1">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The mapping process involved, importing the CSV data into GIS software, defining coordinate system, converting point data into shapefile and symbolizing data. Spatial analysis was conducted using GIS techniques to determine; distribution pattern, size variation, clustering, proximity to settlement, geodatabase creation (enables efficient storage, retrieval, and analysis of spatial information), and implications for conservation. A descriptive statistic, including frequencies and percentages was also used in line with the study objectives.</w:t>
      </w:r>
    </w:p>
    <w:p w14:paraId="7A100001" w14:textId="7A100001" w:rsidR="00E63C8A" w:rsidRPr="005B05AD" w:rsidRDefault="00000000" w:rsidP="00AF610A">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Land Use Land Cover (LULC) mapping was carried out using Landsat 8 satellite imagery acquired for the study period. The imagery was classified using supervised classification techniques in ArcGIS 10.8, with training samples collected from ground-truthing surveys and high-resolution imagery. Eight (8) land cover classes were identified, namely: Settlement, Agricultural Land, Alluvial Deposit, Rock Outcrop, Savannah, Vegetation, Waterbody, and Wetland. Post-classification accuracy assessment was performed using a confusion matrix to validate the classification results. The resulting LULC map (Figure 2) provides a spatial context for understanding the relationship between land use dynamics and the distribution of Sacred Groves across the study area. The settlement map (Figure 4) was generated by digitizing settlement boundaries and locations from topographic maps and satellite imagery, and was used to assess the proximity of Sacred Groves to human settlements. Sacred Grove locations (Figure 3) were mapped using GPS coordinates recorded in the field, while the spatial distribution map (Figure 5) and the combined settlement and Sacred Grove map (Figure 6) were produced to visualize the co-occurrence patterns of Groves and settlements across Langtang North and Langtang South LGAs.</w:t>
      </w:r>
    </w:p>
    <w:p w14:paraId="4A326694" w14:textId="597A36BA" w:rsidR="005D68C1" w:rsidRPr="005B05AD" w:rsidRDefault="005D68C1" w:rsidP="00AF610A">
      <w:pPr>
        <w:spacing w:after="0" w:line="360" w:lineRule="auto"/>
        <w:jc w:val="both"/>
        <w:rPr>
          <w:rFonts w:ascii="Times New Roman" w:hAnsi="Times New Roman" w:cs="Times New Roman"/>
          <w:color w:val="000000" w:themeColor="text1"/>
          <w:lang/>
        </w:rPr>
      </w:pPr>
    </w:p>
    <w:p w14:paraId="2ECBEA9B" w14:textId="753AEA14" w:rsidR="00C72E0A" w:rsidRPr="005B05AD" w:rsidRDefault="00C72E0A" w:rsidP="00C72E0A">
      <w:pPr>
        <w:jc w:val="both"/>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RESULTS AND DISCUSSION             </w:t>
      </w:r>
    </w:p>
    <w:p w14:paraId="7B200001" w14:textId="400D24E1" w:rsidR="00E63C8A" w:rsidRPr="005B05AD" w:rsidRDefault="0069197A" w:rsidP="00295313">
      <w:pPr>
        <w:spacing w:after="0" w:line="360" w:lineRule="auto"/>
        <w:jc w:val="both"/>
        <w:rPr>
          <w:rFonts w:ascii="Times New Roman" w:hAnsi="Times New Roman" w:cs="Times New Roman"/>
          <w:color w:val="000000" w:themeColor="text1"/>
          <w:lang w:val="en-US"/>
        </w:rPr>
      </w:pPr>
      <w:r w:rsidRPr="005B05AD">
        <w:rPr>
          <w:rFonts w:ascii="Times New Roman" w:hAnsi="Times New Roman" w:cs="Times New Roman"/>
          <w:color w:val="000000" w:themeColor="text1"/>
        </w:rPr>
        <w:t>T</w:t>
      </w:r>
      <w:r w:rsidRPr="005B05AD">
        <w:rPr>
          <w:rFonts w:ascii="Times New Roman" w:hAnsi="Times New Roman" w:cs="Times New Roman"/>
          <w:color w:val="000000" w:themeColor="text1"/>
          <w:lang/>
        </w:rPr>
        <w:t>he Geospatial analysis</w:t>
      </w:r>
      <w:r w:rsidRPr="005B05AD">
        <w:rPr>
          <w:rFonts w:ascii="Times New Roman" w:hAnsi="Times New Roman" w:cs="Times New Roman"/>
          <w:color w:val="000000" w:themeColor="text1"/>
          <w:lang w:val="en-US"/>
        </w:rPr>
        <w:t xml:space="preserve"> with </w:t>
      </w:r>
      <w:r w:rsidRPr="005B05AD">
        <w:rPr>
          <w:rFonts w:ascii="Times New Roman" w:hAnsi="Times New Roman" w:cs="Times New Roman"/>
          <w:color w:val="000000" w:themeColor="text1"/>
          <w:lang/>
        </w:rPr>
        <w:t>Questionnaire-</w:t>
      </w:r>
      <w:r w:rsidRPr="005B05AD">
        <w:rPr>
          <w:rFonts w:ascii="Times New Roman" w:hAnsi="Times New Roman" w:cs="Times New Roman"/>
          <w:color w:val="000000" w:themeColor="text1"/>
          <w:lang w:val="en-US"/>
        </w:rPr>
        <w:t>b</w:t>
      </w:r>
      <w:r w:rsidRPr="005B05AD">
        <w:rPr>
          <w:rFonts w:ascii="Times New Roman" w:hAnsi="Times New Roman" w:cs="Times New Roman"/>
          <w:color w:val="000000" w:themeColor="text1"/>
          <w:lang/>
        </w:rPr>
        <w:t>ased</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rPr>
        <w:t>findings</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rPr>
        <w:t>provides a</w:t>
      </w:r>
      <w:r w:rsidRPr="005B05AD">
        <w:rPr>
          <w:rFonts w:ascii="Times New Roman" w:hAnsi="Times New Roman" w:cs="Times New Roman"/>
          <w:color w:val="000000" w:themeColor="text1"/>
          <w:lang w:val="en-US"/>
        </w:rPr>
        <w:t>n</w:t>
      </w:r>
      <w:r w:rsidRPr="005B05AD">
        <w:rPr>
          <w:rFonts w:ascii="Times New Roman" w:hAnsi="Times New Roman" w:cs="Times New Roman"/>
          <w:color w:val="000000" w:themeColor="text1"/>
          <w:lang/>
        </w:rPr>
        <w:t xml:space="preserve"> understanding of the distribution, characteristics, and conservation status of Sacred Groves in Langtang North and </w:t>
      </w:r>
      <w:r w:rsidRPr="005B05AD">
        <w:rPr>
          <w:rFonts w:ascii="Times New Roman" w:hAnsi="Times New Roman" w:cs="Times New Roman"/>
          <w:color w:val="000000" w:themeColor="text1"/>
          <w:lang w:val="en-US"/>
        </w:rPr>
        <w:t xml:space="preserve">Langtang </w:t>
      </w:r>
      <w:r w:rsidRPr="005B05AD">
        <w:rPr>
          <w:rFonts w:ascii="Times New Roman" w:hAnsi="Times New Roman" w:cs="Times New Roman"/>
          <w:color w:val="000000" w:themeColor="text1"/>
          <w:lang/>
        </w:rPr>
        <w:t>South</w:t>
      </w:r>
      <w:r w:rsidRPr="005B05AD">
        <w:rPr>
          <w:rFonts w:ascii="Times New Roman" w:hAnsi="Times New Roman" w:cs="Times New Roman"/>
          <w:color w:val="000000" w:themeColor="text1"/>
        </w:rPr>
        <w:t xml:space="preserve"> LGAs</w:t>
      </w:r>
      <w:r w:rsidRPr="005B05AD">
        <w:rPr>
          <w:rFonts w:ascii="Times New Roman" w:hAnsi="Times New Roman" w:cs="Times New Roman"/>
          <w:color w:val="000000" w:themeColor="text1"/>
          <w:lang/>
        </w:rPr>
        <w:t>. While the geospatial techniques offer insights into spatial patterns, distribution, and environmental relationships</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rPr>
        <w:t>questionnaire data reveal socio-cultural and ecological dynamics</w:t>
      </w:r>
      <w:r w:rsidRPr="005B05AD">
        <w:rPr>
          <w:rFonts w:ascii="Times New Roman" w:hAnsi="Times New Roman" w:cs="Times New Roman"/>
          <w:color w:val="000000" w:themeColor="text1"/>
          <w:lang w:val="en-US"/>
        </w:rPr>
        <w:t xml:space="preserve">. </w:t>
      </w:r>
      <w:r w:rsidR="00627D44" w:rsidRPr="005B05AD">
        <w:rPr>
          <w:rFonts w:ascii="Times New Roman" w:hAnsi="Times New Roman" w:cs="Times New Roman"/>
          <w:color w:val="000000" w:themeColor="text1"/>
        </w:rPr>
        <w:t>Additionally, Land Use Land Cover (LULC) analysis, settlement distribution, and sacred grove spatial mapping further enhance the interpretation of human–environment interactions within the study area.</w:t>
      </w:r>
    </w:p>
    <w:p w14:paraId="7B200002" w14:textId="7B200002" w:rsidR="00E63C8A" w:rsidRPr="005B05AD" w:rsidRDefault="00000000" w:rsidP="00295313">
      <w:pPr>
        <w:jc w:val="both"/>
        <w:rPr>
          <w:rFonts w:ascii="Times New Roman" w:hAnsi="Times New Roman" w:cs="Times New Roman"/>
          <w:color w:val="000000" w:themeColor="text1"/>
          <w:lang/>
        </w:rPr>
      </w:pPr>
      <w:r w:rsidRPr="005B05AD">
        <w:rPr>
          <w:rFonts w:ascii="Times New Roman" w:hAnsi="Times New Roman" w:cs="Times New Roman"/>
          <w:noProof/>
          <w:color w:val="000000" w:themeColor="text1"/>
        </w:rPr>
        <w:lastRenderedPageBreak/>
        <w:drawing>
          <wp:inline distT="0" distB="0" distL="0" distR="0" wp14:anchorId="7B200010" wp14:editId="7B200010">
            <wp:extent cx="5731510" cy="74172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3" w14:textId="7B200003" w:rsidR="00E63C8A" w:rsidRPr="005B05AD" w:rsidRDefault="00000000" w:rsidP="00295313">
      <w:pPr>
        <w:spacing w:before="120"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Figure 2: Land use land cover (LULC) map of the study area</w:t>
      </w:r>
    </w:p>
    <w:p w14:paraId="7B200030" w14:textId="7B200030" w:rsidR="00E63C8A" w:rsidRPr="005B05AD" w:rsidRDefault="00000000" w:rsidP="00295313">
      <w:pPr>
        <w:jc w:val="both"/>
        <w:rPr>
          <w:rFonts w:ascii="Times New Roman" w:hAnsi="Times New Roman" w:cs="Times New Roman"/>
          <w:color w:val="000000" w:themeColor="text1"/>
          <w:lang/>
        </w:rPr>
      </w:pPr>
      <w:r w:rsidRPr="005B05AD">
        <w:rPr>
          <w:rFonts w:ascii="Times New Roman" w:hAnsi="Times New Roman" w:cs="Times New Roman"/>
          <w:noProof/>
          <w:color w:val="000000" w:themeColor="text1"/>
        </w:rPr>
        <w:lastRenderedPageBreak/>
        <w:drawing>
          <wp:inline distT="0" distB="0" distL="0" distR="0" wp14:anchorId="7B200031" wp14:editId="7B200031">
            <wp:extent cx="5731510" cy="741728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32" w14:textId="7B200032" w:rsidR="00E63C8A" w:rsidRPr="005B05AD" w:rsidRDefault="00000000" w:rsidP="00295313">
      <w:pPr>
        <w:spacing w:before="120"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Figure 3: Sacred Grove Points Map</w:t>
      </w:r>
    </w:p>
    <w:p w14:paraId="7B200004" w14:textId="7B200004" w:rsidR="00E63C8A" w:rsidRPr="005B05AD" w:rsidRDefault="00000000" w:rsidP="00295313">
      <w:pPr>
        <w:jc w:val="both"/>
        <w:rPr>
          <w:rFonts w:ascii="Times New Roman" w:hAnsi="Times New Roman" w:cs="Times New Roman"/>
          <w:color w:val="000000" w:themeColor="text1"/>
          <w:lang/>
        </w:rPr>
      </w:pPr>
      <w:r w:rsidRPr="005B05AD">
        <w:rPr>
          <w:rFonts w:ascii="Times New Roman" w:hAnsi="Times New Roman" w:cs="Times New Roman"/>
          <w:noProof/>
          <w:color w:val="000000" w:themeColor="text1"/>
        </w:rPr>
        <w:lastRenderedPageBreak/>
        <w:drawing>
          <wp:inline distT="0" distB="0" distL="0" distR="0" wp14:anchorId="7B200011" wp14:editId="7B200011">
            <wp:extent cx="5731510" cy="741728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5" w14:textId="7B200005" w:rsidR="00E63C8A" w:rsidRPr="005B05AD" w:rsidRDefault="00000000" w:rsidP="00295313">
      <w:pPr>
        <w:spacing w:before="120"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Figure 4: Settlement Map of the Study Area</w:t>
      </w:r>
    </w:p>
    <w:p w14:paraId="7B200006" w14:textId="7B200006" w:rsidR="00E63C8A" w:rsidRPr="005B05AD" w:rsidRDefault="00000000" w:rsidP="00295313">
      <w:pPr>
        <w:jc w:val="both"/>
        <w:rPr>
          <w:rFonts w:ascii="Times New Roman" w:hAnsi="Times New Roman" w:cs="Times New Roman"/>
          <w:color w:val="000000" w:themeColor="text1"/>
          <w:lang/>
        </w:rPr>
      </w:pPr>
      <w:r w:rsidRPr="005B05AD">
        <w:rPr>
          <w:rFonts w:ascii="Times New Roman" w:hAnsi="Times New Roman" w:cs="Times New Roman"/>
          <w:noProof/>
          <w:color w:val="000000" w:themeColor="text1"/>
        </w:rPr>
        <w:lastRenderedPageBreak/>
        <w:drawing>
          <wp:inline distT="0" distB="0" distL="0" distR="0" wp14:anchorId="7B200012" wp14:editId="7B200012">
            <wp:extent cx="5731510" cy="741728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7" w14:textId="7B200007" w:rsidR="00E63C8A" w:rsidRPr="005B05AD" w:rsidRDefault="00000000" w:rsidP="00295313">
      <w:pPr>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Figure 5: Spatial Distribution of Sacred Grove (Areas in Hectare)</w:t>
      </w:r>
    </w:p>
    <w:p w14:paraId="7B200008" w14:textId="7B200008" w:rsidR="00E63C8A" w:rsidRPr="005B05AD" w:rsidRDefault="00000000" w:rsidP="00295313">
      <w:pPr>
        <w:jc w:val="both"/>
        <w:rPr>
          <w:rFonts w:ascii="Times New Roman" w:hAnsi="Times New Roman" w:cs="Times New Roman"/>
          <w:color w:val="000000" w:themeColor="text1"/>
          <w:lang/>
        </w:rPr>
      </w:pPr>
      <w:r w:rsidRPr="005B05AD">
        <w:rPr>
          <w:rFonts w:ascii="Times New Roman" w:hAnsi="Times New Roman" w:cs="Times New Roman"/>
          <w:noProof/>
          <w:color w:val="000000" w:themeColor="text1"/>
        </w:rPr>
        <w:lastRenderedPageBreak/>
        <w:drawing>
          <wp:inline distT="0" distB="0" distL="0" distR="0" wp14:anchorId="7B200013" wp14:editId="7B200013">
            <wp:extent cx="5731510" cy="741728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9" w14:textId="7B200009" w:rsidR="00E63C8A" w:rsidRPr="005B05AD" w:rsidRDefault="00000000" w:rsidP="00295313">
      <w:pPr>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Figure 6: Settlement and Sacred Grove Map </w:t>
      </w:r>
    </w:p>
    <w:p w14:paraId="2BA57E0E" w14:textId="77777777" w:rsidR="007A5749" w:rsidRPr="005B05AD" w:rsidRDefault="007A5749" w:rsidP="007A5749">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b/>
          <w:bCs/>
          <w:color w:val="000000" w:themeColor="text1"/>
          <w:lang/>
        </w:rPr>
        <w:t>Spatial Distribution of Sacred Groves</w:t>
      </w:r>
    </w:p>
    <w:p w14:paraId="06E19FC1" w14:textId="76F22697" w:rsidR="007A5749" w:rsidRPr="005B05AD" w:rsidRDefault="007A5749" w:rsidP="007A5749">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The spatial distribution map (</w:t>
      </w:r>
      <w:r w:rsidR="00724C8C" w:rsidRPr="005B05AD">
        <w:rPr>
          <w:rFonts w:ascii="Times New Roman" w:hAnsi="Times New Roman" w:cs="Times New Roman"/>
          <w:color w:val="000000" w:themeColor="text1"/>
          <w:lang/>
        </w:rPr>
        <w:t>Figure</w:t>
      </w:r>
      <w:r w:rsidRPr="005B05AD">
        <w:rPr>
          <w:rFonts w:ascii="Times New Roman" w:hAnsi="Times New Roman" w:cs="Times New Roman"/>
          <w:color w:val="000000" w:themeColor="text1"/>
          <w:lang/>
        </w:rPr>
        <w:t xml:space="preserve"> 5) reveals that Sacred Groves are widely dispersed across both LGAs. The geographic coordinates of all 531 Sacred Grove locations, presented as point data in the Sacred Grove Points Map (</w:t>
      </w:r>
      <w:r w:rsidR="00724C8C" w:rsidRPr="005B05AD">
        <w:rPr>
          <w:rFonts w:ascii="Times New Roman" w:hAnsi="Times New Roman" w:cs="Times New Roman"/>
          <w:color w:val="000000" w:themeColor="text1"/>
          <w:lang/>
        </w:rPr>
        <w:t>Figure</w:t>
      </w:r>
      <w:r w:rsidRPr="005B05AD">
        <w:rPr>
          <w:rFonts w:ascii="Times New Roman" w:hAnsi="Times New Roman" w:cs="Times New Roman"/>
          <w:color w:val="000000" w:themeColor="text1"/>
          <w:lang/>
        </w:rPr>
        <w:t xml:space="preserve"> 3), confirm their broad spatial extent across the study area. The </w:t>
      </w:r>
      <w:r w:rsidRPr="005B05AD">
        <w:rPr>
          <w:rFonts w:ascii="Times New Roman" w:hAnsi="Times New Roman" w:cs="Times New Roman"/>
          <w:color w:val="000000" w:themeColor="text1"/>
          <w:lang/>
        </w:rPr>
        <w:lastRenderedPageBreak/>
        <w:t>northern part of the map which is Langtang North LGA had high concentration and density of Groves, while south of the map is Langtang South LGA, shows a more evenly spaced but fewer in number of Sacred Groves. This suggests that Sacred Groves are not randomly distributed, but rather are influenced by a combination of socio-cultural and environmental factors. The Land Use Land Cover (LULC) map (</w:t>
      </w:r>
      <w:r w:rsidR="00724C8C" w:rsidRPr="005B05AD">
        <w:rPr>
          <w:rFonts w:ascii="Times New Roman" w:hAnsi="Times New Roman" w:cs="Times New Roman"/>
          <w:color w:val="000000" w:themeColor="text1"/>
          <w:lang/>
        </w:rPr>
        <w:t>Figure</w:t>
      </w:r>
      <w:r w:rsidRPr="005B05AD">
        <w:rPr>
          <w:rFonts w:ascii="Times New Roman" w:hAnsi="Times New Roman" w:cs="Times New Roman"/>
          <w:color w:val="000000" w:themeColor="text1"/>
          <w:lang/>
        </w:rPr>
        <w:t xml:space="preserve"> 2) further reveals the relationship between dominant land cover types and grove distribution. Eight land cover classes were mapped — Settlement, Agricultural Land, Alluvial Deposit, Rock Outcrop, Savannah, Vegetation, Waterbody, and Wetland — and the analysis shows that Sacred Groves tend to occur predominantly within or adjacent to Vegetation and Savannah land cover classes, while areas dominated by Agricultural Land and Settlement exhibit comparatively lower grove densities, particularly in the southern part of the study area. Spatial assessment further indicates that Sacred Groves exhibit a clustered distribution pattern, with noticeable clustering in settlement-dense areas especially in the Northern part of the study area. This clustering is likely influenced by their proximity to settlements (</w:t>
      </w:r>
      <w:r w:rsidR="00724C8C" w:rsidRPr="005B05AD">
        <w:rPr>
          <w:rFonts w:ascii="Times New Roman" w:hAnsi="Times New Roman" w:cs="Times New Roman"/>
          <w:color w:val="000000" w:themeColor="text1"/>
          <w:lang/>
        </w:rPr>
        <w:t>Figure</w:t>
      </w:r>
      <w:r w:rsidRPr="005B05AD">
        <w:rPr>
          <w:rFonts w:ascii="Times New Roman" w:hAnsi="Times New Roman" w:cs="Times New Roman"/>
          <w:color w:val="000000" w:themeColor="text1"/>
          <w:lang/>
        </w:rPr>
        <w:t xml:space="preserve"> 6), as clearly depicted in the settlement map (</w:t>
      </w:r>
      <w:r w:rsidR="00724C8C" w:rsidRPr="005B05AD">
        <w:rPr>
          <w:rFonts w:ascii="Times New Roman" w:hAnsi="Times New Roman" w:cs="Times New Roman"/>
          <w:color w:val="000000" w:themeColor="text1"/>
          <w:lang/>
        </w:rPr>
        <w:t>Figure</w:t>
      </w:r>
      <w:r w:rsidRPr="005B05AD">
        <w:rPr>
          <w:rFonts w:ascii="Times New Roman" w:hAnsi="Times New Roman" w:cs="Times New Roman"/>
          <w:color w:val="000000" w:themeColor="text1"/>
          <w:lang/>
        </w:rPr>
        <w:t xml:space="preserve"> 4), which shows that most Sacred Groves are located within or at the periphery of established settlements, reinforcing the cultural and communal link between Tarok communities and their sacred landscapes. This clustering is also influenced by the nature of cultural and religious practices, historical land use patterns, and the availability of forested land (Agbo and Sokpon, 1997). Such a pattern implies that certain areas function as cultural hotspots where Sacred Groves are more densely concentrated. The implications of this spatial distribution are significant. The clustered pattern highlights areas of high cultural importance, identifies regions that may require priority conservation efforts, and suggests opportunities for spatial planning and zoning. Additionally, spatial clustering indicates that Sacred Groves may function as interconnected ecological networks, thereby contributing to biodiversity conservation.</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rPr>
        <w:t>The clustering pattern aligns with the questionnaire’s finding that 86.6% of groves are clan-owned, suggesting that</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Groves are established and maintained within ancestral territories</w:t>
      </w:r>
      <w:r w:rsidRPr="005B05AD">
        <w:rPr>
          <w:rFonts w:ascii="Times New Roman" w:hAnsi="Times New Roman" w:cs="Times New Roman"/>
          <w:color w:val="000000" w:themeColor="text1"/>
        </w:rPr>
        <w:t>, and t</w:t>
      </w:r>
      <w:r w:rsidRPr="005B05AD">
        <w:rPr>
          <w:rFonts w:ascii="Times New Roman" w:hAnsi="Times New Roman" w:cs="Times New Roman"/>
          <w:color w:val="000000" w:themeColor="text1"/>
          <w:lang/>
        </w:rPr>
        <w:t>heir locations are influenced by traditional land tenure systems</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This spatial clustering reinforces the idea that Sacred Groves are culturally embedded landscapes, rather than purely ecological entities.</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rPr>
        <w:t>Buffer analysis (50 -100 radius) shows that many Groves are located close to human settlements but remain relatively undisturbed (Agbo and Sokpon, 1997). Taken together, fig</w:t>
      </w:r>
      <w:r w:rsidR="00724C8C" w:rsidRPr="005B05AD">
        <w:rPr>
          <w:rFonts w:ascii="Times New Roman" w:hAnsi="Times New Roman" w:cs="Times New Roman"/>
          <w:color w:val="000000" w:themeColor="text1"/>
          <w:lang/>
        </w:rPr>
        <w:t>ures</w:t>
      </w:r>
      <w:r w:rsidRPr="005B05AD">
        <w:rPr>
          <w:rFonts w:ascii="Times New Roman" w:hAnsi="Times New Roman" w:cs="Times New Roman"/>
          <w:color w:val="000000" w:themeColor="text1"/>
          <w:lang/>
        </w:rPr>
        <w:t xml:space="preserve"> 2, 4, 5 and 6 provide a comprehensive cartographic account of the spatial relationships among land use patterns, settlement distribution, and Sacred Grove locations across the study area, demonstrating that the Groves are not isolated features but are deeply integrated within both the physical and cultural landscape of Langtang North and South LGAs.</w:t>
      </w:r>
    </w:p>
    <w:p w14:paraId="241DCC74" w14:textId="77777777" w:rsidR="008E1524" w:rsidRPr="005B05AD" w:rsidRDefault="008E1524" w:rsidP="008E1524">
      <w:pPr>
        <w:jc w:val="both"/>
        <w:rPr>
          <w:rFonts w:ascii="Times New Roman" w:hAnsi="Times New Roman" w:cs="Times New Roman"/>
          <w:b/>
          <w:bCs/>
          <w:color w:val="000000" w:themeColor="text1"/>
          <w:lang/>
        </w:rPr>
      </w:pPr>
    </w:p>
    <w:p w14:paraId="7A80A275" w14:textId="12320606" w:rsidR="008E1524" w:rsidRPr="005B05AD" w:rsidRDefault="008E1524" w:rsidP="008E1524">
      <w:pPr>
        <w:jc w:val="both"/>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Analysis of Sacred Grove Areas (531 Groves)</w:t>
      </w:r>
    </w:p>
    <w:p w14:paraId="77980A4B" w14:textId="76307EEA" w:rsidR="00295313" w:rsidRPr="005B05AD" w:rsidRDefault="00295313" w:rsidP="00295313">
      <w:pPr>
        <w:spacing w:after="0" w:line="360" w:lineRule="auto"/>
        <w:jc w:val="both"/>
        <w:rPr>
          <w:rFonts w:ascii="Times New Roman" w:eastAsia="Times New Roman" w:hAnsi="Times New Roman" w:cs="Times New Roman"/>
          <w:color w:val="000000" w:themeColor="text1"/>
          <w:lang/>
        </w:rPr>
      </w:pPr>
      <w:r w:rsidRPr="005B05AD">
        <w:rPr>
          <w:rFonts w:ascii="Times New Roman" w:hAnsi="Times New Roman" w:cs="Times New Roman"/>
          <w:color w:val="000000" w:themeColor="text1"/>
          <w:lang w:val="en-US"/>
        </w:rPr>
        <w:t>Analysis of</w:t>
      </w:r>
      <w:r w:rsidRPr="005B05AD">
        <w:rPr>
          <w:rFonts w:ascii="Times New Roman" w:hAnsi="Times New Roman" w:cs="Times New Roman"/>
          <w:color w:val="000000" w:themeColor="text1"/>
          <w:lang/>
        </w:rPr>
        <w:t xml:space="preserve"> Sacred Groves</w:t>
      </w:r>
      <w:r w:rsidRPr="005B05AD">
        <w:rPr>
          <w:rFonts w:ascii="Times New Roman" w:hAnsi="Times New Roman" w:cs="Times New Roman"/>
          <w:color w:val="000000" w:themeColor="text1"/>
          <w:lang w:val="en-US"/>
        </w:rPr>
        <w:t xml:space="preserve"> areas (hectare data) </w:t>
      </w:r>
      <w:r w:rsidRPr="005B05AD">
        <w:rPr>
          <w:rFonts w:ascii="Times New Roman" w:hAnsi="Times New Roman" w:cs="Times New Roman"/>
          <w:color w:val="000000" w:themeColor="text1"/>
          <w:lang/>
        </w:rPr>
        <w:t xml:space="preserve">reveals that the Groves are generally small in size, with an average of 0.856 hectares. The median value (0.709 ha) being lower than the mean indicates a positively skewed distribution, suggesting that a few larger Groves increase the average size (Oliver </w:t>
      </w:r>
      <w:r w:rsidRPr="005B05AD">
        <w:rPr>
          <w:rFonts w:ascii="Times New Roman" w:hAnsi="Times New Roman" w:cs="Times New Roman"/>
          <w:color w:val="000000" w:themeColor="text1"/>
          <w:lang/>
        </w:rPr>
        <w:lastRenderedPageBreak/>
        <w:t xml:space="preserve">and Norberg, 2010). The implications of positively skewed distribution might be that smaller groves dominate, easier to protect but ecologically limited, while larger groves are higher biodiversity potential (Shashi S. B. et al., 2015). The minimum size of 0.041 hectares indicates the presence of highly fragmented groves, while the maximum size of 4.960 hectares represents relatively large and potentially well-preserved sacred sites. The exhibition of wide variation in size of Sacred Grove might be an indication of small household/clan groves and a larger community-controlled Groves.  The variation also suggests that Sacred Groves exist at different levels of preservation, influenced by human activities, land use pressure, and cultural practices. Spatial analysis also reveals that the total land area occupied by Sacred Groves </w:t>
      </w:r>
      <w:r w:rsidRPr="005B05AD">
        <w:rPr>
          <w:rFonts w:ascii="Times New Roman" w:hAnsi="Times New Roman" w:cs="Times New Roman"/>
          <w:color w:val="000000" w:themeColor="text1"/>
          <w:lang w:val="en-US"/>
        </w:rPr>
        <w:t xml:space="preserve">in </w:t>
      </w:r>
      <w:r w:rsidRPr="005B05AD">
        <w:rPr>
          <w:rFonts w:ascii="Times New Roman" w:hAnsi="Times New Roman" w:cs="Times New Roman"/>
          <w:color w:val="000000" w:themeColor="text1"/>
          <w:lang/>
        </w:rPr>
        <w:t xml:space="preserve">the study area </w:t>
      </w:r>
      <w:r w:rsidRPr="005B05AD">
        <w:rPr>
          <w:rFonts w:ascii="Times New Roman" w:hAnsi="Times New Roman" w:cs="Times New Roman"/>
          <w:color w:val="000000" w:themeColor="text1"/>
          <w:lang w:val="en-US"/>
        </w:rPr>
        <w:t>was</w:t>
      </w:r>
      <w:r w:rsidRPr="005B05AD">
        <w:rPr>
          <w:rFonts w:ascii="Times New Roman" w:hAnsi="Times New Roman" w:cs="Times New Roman"/>
          <w:color w:val="000000" w:themeColor="text1"/>
          <w:lang/>
        </w:rPr>
        <w:t xml:space="preserve"> </w:t>
      </w:r>
      <w:r w:rsidRPr="005B05AD">
        <w:rPr>
          <w:rFonts w:ascii="Times New Roman" w:eastAsia="Times New Roman" w:hAnsi="Times New Roman" w:cs="Times New Roman"/>
          <w:color w:val="000000" w:themeColor="text1"/>
          <w:lang/>
        </w:rPr>
        <w:t>502.452 hectare.</w:t>
      </w:r>
    </w:p>
    <w:p w14:paraId="2B28F687" w14:textId="77777777" w:rsidR="008E1524" w:rsidRPr="005B05AD" w:rsidRDefault="008E1524" w:rsidP="00781CF0">
      <w:pPr>
        <w:spacing w:after="0" w:line="360" w:lineRule="auto"/>
        <w:jc w:val="both"/>
        <w:rPr>
          <w:rFonts w:ascii="Times New Roman" w:hAnsi="Times New Roman" w:cs="Times New Roman"/>
          <w:b/>
          <w:bCs/>
          <w:color w:val="000000" w:themeColor="text1"/>
          <w:lang/>
        </w:rPr>
      </w:pPr>
    </w:p>
    <w:p w14:paraId="22A4778E" w14:textId="77777777" w:rsidR="006834DB" w:rsidRPr="005B05AD" w:rsidRDefault="006834DB" w:rsidP="006834DB">
      <w:pPr>
        <w:jc w:val="both"/>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Geodatabase Development</w:t>
      </w:r>
    </w:p>
    <w:p w14:paraId="1A8B3697" w14:textId="7EE27867" w:rsidR="006834DB" w:rsidRPr="005B05AD" w:rsidRDefault="006834DB" w:rsidP="006834DB">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A geodatabase was developed to systematically integrate and manage critical spatial and attribute information relating to the Sacred Groves. This database includes precise geographic coordinates, measured area in hectares, Local Government Area (LGA) classifications, and detailed descriptive attributes such as custodianship, conservation status, and associated cultural practices. By organizing these diverse datasets into a unified geospatial framework, the geodatabase provides a reliable platform for continuous monitoring, advanced spatial analysis, and evidence-based decision-making.</w:t>
      </w:r>
    </w:p>
    <w:p w14:paraId="69B9F494" w14:textId="77777777" w:rsidR="006834DB" w:rsidRPr="005B05AD" w:rsidRDefault="006834DB" w:rsidP="006834DB">
      <w:pPr>
        <w:spacing w:after="0" w:line="360" w:lineRule="auto"/>
        <w:jc w:val="both"/>
        <w:rPr>
          <w:rFonts w:ascii="Times New Roman" w:hAnsi="Times New Roman" w:cs="Times New Roman"/>
          <w:color w:val="000000" w:themeColor="text1"/>
          <w:lang/>
        </w:rPr>
      </w:pPr>
    </w:p>
    <w:p w14:paraId="1DE8B4AC" w14:textId="77777777" w:rsidR="006834DB" w:rsidRPr="005B05AD" w:rsidRDefault="006834DB" w:rsidP="006834DB">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Beyond its technical value, the geodatabase serves as an essential tool for long-term environmental management and cultural preservation. It enables researchers and planners to identify spatial patterns, assess conservation priorities, and track changes over time. Furthermore, it supports informed policy formulation and the development of targeted conservation strategies through accurate mapping and data visualization. Such timely and informed interventions are crucial for safeguarding these sacred landscapes, which represent an enduring “age-old tradition” and a vital component of both cultural heritage and biodiversity conservation (Shashi S. B. et al., 2015).</w:t>
      </w:r>
    </w:p>
    <w:p w14:paraId="628060BF" w14:textId="77777777" w:rsidR="00F97E02" w:rsidRPr="005B05AD" w:rsidRDefault="00F97E02" w:rsidP="00411155">
      <w:pPr>
        <w:spacing w:after="0" w:line="360" w:lineRule="auto"/>
        <w:jc w:val="both"/>
        <w:rPr>
          <w:rFonts w:ascii="Times New Roman" w:hAnsi="Times New Roman" w:cs="Times New Roman"/>
          <w:color w:val="000000" w:themeColor="text1"/>
          <w:lang w:val="en-US"/>
        </w:rPr>
      </w:pPr>
    </w:p>
    <w:p w14:paraId="73B768F9" w14:textId="76F629FE" w:rsidR="000747D0" w:rsidRPr="005B05AD" w:rsidRDefault="00BD3FEA" w:rsidP="00411155">
      <w:pPr>
        <w:spacing w:after="0" w:line="360" w:lineRule="auto"/>
        <w:jc w:val="both"/>
        <w:rPr>
          <w:rFonts w:ascii="Times New Roman" w:hAnsi="Times New Roman" w:cs="Times New Roman"/>
          <w:color w:val="000000" w:themeColor="text1"/>
          <w:lang w:val="en-US"/>
        </w:rPr>
      </w:pPr>
      <w:r w:rsidRPr="005B05AD">
        <w:rPr>
          <w:rFonts w:ascii="Times New Roman" w:hAnsi="Times New Roman" w:cs="Times New Roman"/>
          <w:color w:val="000000" w:themeColor="text1"/>
          <w:lang w:val="en-US"/>
        </w:rPr>
        <w:t>Data</w:t>
      </w:r>
      <w:r w:rsidRPr="005B05AD">
        <w:rPr>
          <w:rFonts w:ascii="Times New Roman" w:hAnsi="Times New Roman" w:cs="Times New Roman"/>
          <w:color w:val="000000" w:themeColor="text1"/>
          <w:lang/>
        </w:rPr>
        <w:t xml:space="preserve"> analyzed using descriptive statistics, including frequencies and percentages</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rPr>
        <w:t xml:space="preserve">are presented in table </w:t>
      </w:r>
      <w:r w:rsidRPr="005B05AD">
        <w:rPr>
          <w:rFonts w:ascii="Times New Roman" w:hAnsi="Times New Roman" w:cs="Times New Roman"/>
          <w:color w:val="000000" w:themeColor="text1"/>
          <w:lang w:val="en-US"/>
        </w:rPr>
        <w:t>1 to 8</w:t>
      </w:r>
      <w:r w:rsidRPr="005B05AD">
        <w:rPr>
          <w:rFonts w:ascii="Times New Roman" w:hAnsi="Times New Roman" w:cs="Times New Roman"/>
          <w:color w:val="000000" w:themeColor="text1"/>
          <w:lang/>
        </w:rPr>
        <w:t>. The results are interpreted in line with the study objectives.</w:t>
      </w:r>
      <w:r w:rsidRPr="005B05AD">
        <w:rPr>
          <w:rFonts w:ascii="Times New Roman" w:hAnsi="Times New Roman" w:cs="Times New Roman"/>
          <w:color w:val="000000" w:themeColor="text1"/>
          <w:lang w:val="en-US"/>
        </w:rPr>
        <w:t xml:space="preserve"> </w:t>
      </w:r>
    </w:p>
    <w:p w14:paraId="4EAC8FDE" w14:textId="77777777" w:rsidR="00A852B4" w:rsidRPr="005B05AD" w:rsidRDefault="00A852B4" w:rsidP="00870514">
      <w:pPr>
        <w:spacing w:after="0" w:line="240" w:lineRule="auto"/>
        <w:rPr>
          <w:rFonts w:ascii="Times New Roman" w:hAnsi="Times New Roman" w:cs="Times New Roman"/>
          <w:color w:val="000000" w:themeColor="text1"/>
        </w:rPr>
      </w:pPr>
    </w:p>
    <w:p w14:paraId="37304A65" w14:textId="7AC41027" w:rsidR="00473534" w:rsidRPr="005B05AD" w:rsidRDefault="00473534" w:rsidP="00473534">
      <w:pPr>
        <w:spacing w:after="120" w:line="240" w:lineRule="auto"/>
        <w:rPr>
          <w:rFonts w:ascii="Times New Roman" w:hAnsi="Times New Roman" w:cs="Times New Roman"/>
          <w:b/>
          <w:bCs/>
          <w:color w:val="000000" w:themeColor="text1"/>
          <w:lang/>
        </w:rPr>
      </w:pPr>
      <w:r w:rsidRPr="005B05AD">
        <w:rPr>
          <w:rFonts w:ascii="Times New Roman" w:hAnsi="Times New Roman" w:cs="Times New Roman"/>
          <w:color w:val="000000" w:themeColor="text1"/>
        </w:rPr>
        <w:t xml:space="preserve">Table 1: </w:t>
      </w:r>
      <w:r w:rsidRPr="005B05AD">
        <w:rPr>
          <w:rFonts w:ascii="Times New Roman" w:hAnsi="Times New Roman" w:cs="Times New Roman"/>
          <w:color w:val="000000" w:themeColor="text1"/>
          <w:lang/>
        </w:rPr>
        <w:t>Custodianship of the Sacred Grove</w:t>
      </w:r>
    </w:p>
    <w:tbl>
      <w:tblPr>
        <w:tblStyle w:val="TableGrid"/>
        <w:tblW w:w="0" w:type="auto"/>
        <w:tblInd w:w="5" w:type="dxa"/>
        <w:tblLook w:val="04A0" w:firstRow="1" w:lastRow="0" w:firstColumn="1" w:lastColumn="0" w:noHBand="0" w:noVBand="1"/>
      </w:tblPr>
      <w:tblGrid>
        <w:gridCol w:w="9021"/>
      </w:tblGrid>
      <w:tr w:rsidR="00473534" w:rsidRPr="005B05AD" w14:paraId="04EA2DD8" w14:textId="77777777" w:rsidTr="00FA5432">
        <w:tc>
          <w:tcPr>
            <w:tcW w:w="9350" w:type="dxa"/>
            <w:tcBorders>
              <w:left w:val="nil"/>
              <w:right w:val="nil"/>
            </w:tcBorders>
            <w:vAlign w:val="center"/>
          </w:tcPr>
          <w:p w14:paraId="52A2CE92" w14:textId="160759C2" w:rsidR="00473534" w:rsidRPr="005B05AD" w:rsidRDefault="00473534" w:rsidP="00FA5432">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Percentage (%)</w:t>
            </w:r>
          </w:p>
          <w:p w14:paraId="4ADB94A0" w14:textId="46D5A3B2"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Individual</w:t>
            </w:r>
            <w:r w:rsidRPr="005B05AD">
              <w:rPr>
                <w:rFonts w:ascii="Times New Roman" w:hAnsi="Times New Roman" w:cs="Times New Roman"/>
                <w:color w:val="000000" w:themeColor="text1"/>
              </w:rPr>
              <w:t xml:space="preserve">                                                                      0                                           </w:t>
            </w:r>
            <w:r w:rsidRPr="005B05AD">
              <w:rPr>
                <w:rFonts w:ascii="Times New Roman" w:hAnsi="Times New Roman" w:cs="Times New Roman"/>
                <w:color w:val="000000" w:themeColor="text1"/>
                <w:lang/>
              </w:rPr>
              <w:t>0.0</w:t>
            </w:r>
            <w:r w:rsidRPr="005B05AD">
              <w:rPr>
                <w:rFonts w:ascii="Times New Roman" w:hAnsi="Times New Roman" w:cs="Times New Roman"/>
                <w:color w:val="000000" w:themeColor="text1"/>
              </w:rPr>
              <w:t xml:space="preserve">   </w:t>
            </w:r>
          </w:p>
          <w:p w14:paraId="64E192F1" w14:textId="6D55D549"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Inheritance</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30</w:t>
            </w:r>
            <w:r w:rsidRPr="005B05AD">
              <w:rPr>
                <w:rFonts w:ascii="Times New Roman" w:hAnsi="Times New Roman" w:cs="Times New Roman"/>
                <w:color w:val="000000" w:themeColor="text1"/>
              </w:rPr>
              <w:t xml:space="preserve">                                         13.4</w:t>
            </w:r>
          </w:p>
          <w:p w14:paraId="3CCF1911" w14:textId="5908ACB5"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Clan</w:t>
            </w:r>
            <w:r w:rsidRPr="005B05AD">
              <w:rPr>
                <w:rFonts w:ascii="Times New Roman" w:hAnsi="Times New Roman" w:cs="Times New Roman"/>
                <w:color w:val="000000" w:themeColor="text1"/>
              </w:rPr>
              <w:t xml:space="preserve">                                                                              194                                        86.6</w:t>
            </w:r>
          </w:p>
          <w:p w14:paraId="70018221" w14:textId="5EAEDF0E"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Total</w:t>
            </w:r>
            <w:r w:rsidRPr="005B05AD">
              <w:rPr>
                <w:rFonts w:ascii="Times New Roman" w:hAnsi="Times New Roman" w:cs="Times New Roman"/>
                <w:color w:val="000000" w:themeColor="text1"/>
              </w:rPr>
              <w:t xml:space="preserve">                                                                             224                                        100                 </w:t>
            </w:r>
          </w:p>
        </w:tc>
      </w:tr>
    </w:tbl>
    <w:p w14:paraId="26ED62B4" w14:textId="77777777" w:rsidR="00473534" w:rsidRPr="005B05AD" w:rsidRDefault="00473534" w:rsidP="00473534">
      <w:pPr>
        <w:spacing w:after="0" w:line="240" w:lineRule="auto"/>
        <w:rPr>
          <w:rFonts w:ascii="Times New Roman" w:hAnsi="Times New Roman" w:cs="Times New Roman"/>
          <w:b/>
          <w:bCs/>
          <w:color w:val="000000" w:themeColor="text1"/>
          <w:lang/>
        </w:rPr>
      </w:pPr>
    </w:p>
    <w:p w14:paraId="507EAEE8" w14:textId="244621DB" w:rsidR="00473534" w:rsidRPr="005B05AD" w:rsidRDefault="00473534" w:rsidP="00473534">
      <w:pPr>
        <w:spacing w:after="0" w:line="240" w:lineRule="auto"/>
        <w:rPr>
          <w:rFonts w:ascii="Times New Roman" w:hAnsi="Times New Roman" w:cs="Times New Roman"/>
          <w:color w:val="000000" w:themeColor="text1"/>
          <w:lang/>
        </w:rPr>
      </w:pPr>
      <w:r w:rsidRPr="005B05AD">
        <w:rPr>
          <w:rFonts w:ascii="Times New Roman" w:hAnsi="Times New Roman" w:cs="Times New Roman"/>
          <w:color w:val="000000" w:themeColor="text1"/>
          <w:lang/>
        </w:rPr>
        <w:t>Table 2:</w:t>
      </w:r>
      <w:r w:rsidRPr="005B05AD">
        <w:rPr>
          <w:rFonts w:ascii="Times New Roman" w:hAnsi="Times New Roman" w:cs="Times New Roman"/>
          <w:b/>
          <w:bCs/>
          <w:color w:val="000000" w:themeColor="text1"/>
          <w:lang/>
        </w:rPr>
        <w:t xml:space="preserve"> </w:t>
      </w:r>
      <w:r w:rsidRPr="005B05AD">
        <w:rPr>
          <w:rFonts w:ascii="Times New Roman" w:hAnsi="Times New Roman" w:cs="Times New Roman"/>
          <w:color w:val="000000" w:themeColor="text1"/>
          <w:lang/>
        </w:rPr>
        <w:t>Protection Method</w:t>
      </w:r>
    </w:p>
    <w:tbl>
      <w:tblPr>
        <w:tblStyle w:val="TableGrid"/>
        <w:tblW w:w="0" w:type="auto"/>
        <w:tblInd w:w="5" w:type="dxa"/>
        <w:tblLook w:val="04A0" w:firstRow="1" w:lastRow="0" w:firstColumn="1" w:lastColumn="0" w:noHBand="0" w:noVBand="1"/>
      </w:tblPr>
      <w:tblGrid>
        <w:gridCol w:w="9021"/>
      </w:tblGrid>
      <w:tr w:rsidR="00473534" w:rsidRPr="005B05AD" w14:paraId="6A1420B2" w14:textId="77777777" w:rsidTr="00FA5432">
        <w:tc>
          <w:tcPr>
            <w:tcW w:w="9350" w:type="dxa"/>
            <w:tcBorders>
              <w:left w:val="nil"/>
              <w:right w:val="nil"/>
            </w:tcBorders>
            <w:vAlign w:val="center"/>
          </w:tcPr>
          <w:p w14:paraId="2708EC19" w14:textId="763B2BF2" w:rsidR="00473534" w:rsidRPr="005B05AD" w:rsidRDefault="00473534" w:rsidP="00FA5432">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Percentage (%)</w:t>
            </w:r>
          </w:p>
          <w:p w14:paraId="1C56518D" w14:textId="22CD39BB"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Natural Fencing</w:t>
            </w:r>
            <w:r w:rsidRPr="005B05AD">
              <w:rPr>
                <w:rFonts w:ascii="Times New Roman" w:hAnsi="Times New Roman" w:cs="Times New Roman"/>
                <w:color w:val="000000" w:themeColor="text1"/>
              </w:rPr>
              <w:t xml:space="preserve">                                                             173                                       77.2</w:t>
            </w:r>
          </w:p>
          <w:p w14:paraId="3683593A" w14:textId="4C7A4942"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Use of Block</w:t>
            </w:r>
            <w:r w:rsidRPr="005B05AD">
              <w:rPr>
                <w:rFonts w:ascii="Times New Roman" w:hAnsi="Times New Roman" w:cs="Times New Roman"/>
                <w:color w:val="000000" w:themeColor="text1"/>
              </w:rPr>
              <w:t xml:space="preserve">                                                                  0                                           0.0</w:t>
            </w:r>
          </w:p>
          <w:p w14:paraId="6802D917" w14:textId="78420D9D"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lastRenderedPageBreak/>
              <w:t>Use of Barbed Wire</w:t>
            </w:r>
            <w:r w:rsidRPr="005B05AD">
              <w:rPr>
                <w:rFonts w:ascii="Times New Roman" w:hAnsi="Times New Roman" w:cs="Times New Roman"/>
                <w:color w:val="000000" w:themeColor="text1"/>
              </w:rPr>
              <w:t xml:space="preserve">                                                       0                                           0.0</w:t>
            </w:r>
          </w:p>
          <w:p w14:paraId="504F2B16" w14:textId="6F44B4CA"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Use of Stone</w:t>
            </w:r>
            <w:r w:rsidRPr="005B05AD">
              <w:rPr>
                <w:rFonts w:ascii="Times New Roman" w:hAnsi="Times New Roman" w:cs="Times New Roman"/>
                <w:color w:val="000000" w:themeColor="text1"/>
              </w:rPr>
              <w:t xml:space="preserve">                                                                  51                                         22.8</w:t>
            </w:r>
          </w:p>
          <w:p w14:paraId="0834BBC5" w14:textId="11DC4843"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Total</w:t>
            </w:r>
            <w:r w:rsidRPr="005B05AD">
              <w:rPr>
                <w:rFonts w:ascii="Times New Roman" w:hAnsi="Times New Roman" w:cs="Times New Roman"/>
                <w:color w:val="000000" w:themeColor="text1"/>
              </w:rPr>
              <w:t xml:space="preserve">                                                                              224                                       100                 </w:t>
            </w:r>
          </w:p>
        </w:tc>
      </w:tr>
    </w:tbl>
    <w:p w14:paraId="4DB50BCC" w14:textId="77777777" w:rsidR="001F5294" w:rsidRPr="005B05AD" w:rsidRDefault="001F5294" w:rsidP="00473534">
      <w:pPr>
        <w:spacing w:after="0" w:line="240" w:lineRule="auto"/>
        <w:rPr>
          <w:rFonts w:ascii="Times New Roman" w:hAnsi="Times New Roman" w:cs="Times New Roman"/>
          <w:color w:val="000000" w:themeColor="text1"/>
          <w:lang/>
        </w:rPr>
      </w:pPr>
    </w:p>
    <w:p w14:paraId="61789339" w14:textId="1D0481F8" w:rsidR="00473534" w:rsidRPr="005B05AD" w:rsidRDefault="00473534" w:rsidP="00473534">
      <w:pPr>
        <w:spacing w:after="0" w:line="240" w:lineRule="auto"/>
        <w:rPr>
          <w:rFonts w:ascii="Times New Roman" w:hAnsi="Times New Roman" w:cs="Times New Roman"/>
          <w:color w:val="000000" w:themeColor="text1"/>
          <w:lang/>
        </w:rPr>
      </w:pPr>
      <w:r w:rsidRPr="005B05AD">
        <w:rPr>
          <w:rFonts w:ascii="Times New Roman" w:hAnsi="Times New Roman" w:cs="Times New Roman"/>
          <w:color w:val="000000" w:themeColor="text1"/>
          <w:lang/>
        </w:rPr>
        <w:t>Table 3: Predominant Tree Type</w:t>
      </w:r>
    </w:p>
    <w:tbl>
      <w:tblPr>
        <w:tblStyle w:val="TableGrid"/>
        <w:tblW w:w="0" w:type="auto"/>
        <w:tblInd w:w="5" w:type="dxa"/>
        <w:tblLook w:val="04A0" w:firstRow="1" w:lastRow="0" w:firstColumn="1" w:lastColumn="0" w:noHBand="0" w:noVBand="1"/>
      </w:tblPr>
      <w:tblGrid>
        <w:gridCol w:w="9021"/>
      </w:tblGrid>
      <w:tr w:rsidR="00473534" w:rsidRPr="005B05AD" w14:paraId="3DB11CEC" w14:textId="77777777" w:rsidTr="00FA5432">
        <w:tc>
          <w:tcPr>
            <w:tcW w:w="9350" w:type="dxa"/>
            <w:tcBorders>
              <w:left w:val="nil"/>
              <w:right w:val="nil"/>
            </w:tcBorders>
            <w:vAlign w:val="center"/>
          </w:tcPr>
          <w:p w14:paraId="69B4E7F1" w14:textId="049D34E1" w:rsidR="00473534" w:rsidRPr="005B05AD" w:rsidRDefault="00473534" w:rsidP="00FA5432">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Percentage (%)</w:t>
            </w:r>
          </w:p>
          <w:p w14:paraId="5C32FA84" w14:textId="3334EA20"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Mango</w:t>
            </w:r>
            <w:r w:rsidRPr="005B05AD">
              <w:rPr>
                <w:rFonts w:ascii="Times New Roman" w:hAnsi="Times New Roman" w:cs="Times New Roman"/>
                <w:color w:val="000000" w:themeColor="text1"/>
              </w:rPr>
              <w:t xml:space="preserve">                                                                           14                                         6.3</w:t>
            </w:r>
          </w:p>
          <w:p w14:paraId="2AC17E5C" w14:textId="05D890B5"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 xml:space="preserve">Neem                                                                             66                                         29.5                                                                              </w:t>
            </w:r>
          </w:p>
          <w:p w14:paraId="5C19522E" w14:textId="34C1F15D"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Locust Beans                                                                 10                                         4.5</w:t>
            </w:r>
          </w:p>
          <w:p w14:paraId="5272A8D8" w14:textId="4BAEE03B"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Shear Butter                                                                   39                                        17.4</w:t>
            </w:r>
          </w:p>
          <w:p w14:paraId="13C44328" w14:textId="102D6476"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Local Name                                                                   57                                         25.4</w:t>
            </w:r>
          </w:p>
          <w:p w14:paraId="6B512374" w14:textId="19215B0C"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 xml:space="preserve">Others                                                                            38                                        17.0                                                        </w:t>
            </w:r>
          </w:p>
          <w:p w14:paraId="22CA15C0" w14:textId="690CB33D"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Total</w:t>
            </w:r>
            <w:r w:rsidRPr="005B05AD">
              <w:rPr>
                <w:rFonts w:ascii="Times New Roman" w:hAnsi="Times New Roman" w:cs="Times New Roman"/>
                <w:color w:val="000000" w:themeColor="text1"/>
              </w:rPr>
              <w:t xml:space="preserve">                                                                              224                                      100</w:t>
            </w:r>
          </w:p>
        </w:tc>
      </w:tr>
    </w:tbl>
    <w:p w14:paraId="79E62EAB" w14:textId="77777777" w:rsidR="007C5718" w:rsidRPr="005B05AD" w:rsidRDefault="007C5718" w:rsidP="00473534">
      <w:pPr>
        <w:spacing w:after="0" w:line="240" w:lineRule="auto"/>
        <w:rPr>
          <w:rFonts w:ascii="Times New Roman" w:hAnsi="Times New Roman" w:cs="Times New Roman"/>
          <w:color w:val="000000" w:themeColor="text1"/>
          <w:lang/>
        </w:rPr>
      </w:pPr>
    </w:p>
    <w:p w14:paraId="3B6BDA7A" w14:textId="40CE0271" w:rsidR="00473534" w:rsidRPr="005B05AD" w:rsidRDefault="00473534" w:rsidP="00473534">
      <w:pPr>
        <w:spacing w:after="0" w:line="240" w:lineRule="auto"/>
        <w:rPr>
          <w:rFonts w:ascii="Times New Roman" w:hAnsi="Times New Roman" w:cs="Times New Roman"/>
          <w:color w:val="000000" w:themeColor="text1"/>
          <w:lang/>
        </w:rPr>
      </w:pPr>
      <w:r w:rsidRPr="005B05AD">
        <w:rPr>
          <w:rFonts w:ascii="Times New Roman" w:hAnsi="Times New Roman" w:cs="Times New Roman"/>
          <w:color w:val="000000" w:themeColor="text1"/>
          <w:lang/>
        </w:rPr>
        <w:t>Table 4: Conservation Methods in Use</w:t>
      </w:r>
    </w:p>
    <w:tbl>
      <w:tblPr>
        <w:tblStyle w:val="TableGrid"/>
        <w:tblW w:w="0" w:type="auto"/>
        <w:tblInd w:w="5" w:type="dxa"/>
        <w:tblLook w:val="04A0" w:firstRow="1" w:lastRow="0" w:firstColumn="1" w:lastColumn="0" w:noHBand="0" w:noVBand="1"/>
      </w:tblPr>
      <w:tblGrid>
        <w:gridCol w:w="9021"/>
      </w:tblGrid>
      <w:tr w:rsidR="00473534" w:rsidRPr="005B05AD" w14:paraId="7482508B" w14:textId="77777777" w:rsidTr="00FA5432">
        <w:tc>
          <w:tcPr>
            <w:tcW w:w="9350" w:type="dxa"/>
            <w:tcBorders>
              <w:left w:val="nil"/>
              <w:right w:val="nil"/>
            </w:tcBorders>
            <w:vAlign w:val="center"/>
          </w:tcPr>
          <w:p w14:paraId="33A95609" w14:textId="77777777" w:rsidR="00473534" w:rsidRPr="005B05AD" w:rsidRDefault="00473534" w:rsidP="00FA5432">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Percentage (%)</w:t>
            </w:r>
          </w:p>
          <w:p w14:paraId="02565756" w14:textId="48FC96EF"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Tree Planting</w:t>
            </w:r>
            <w:r w:rsidRPr="005B05AD">
              <w:rPr>
                <w:rFonts w:ascii="Times New Roman" w:hAnsi="Times New Roman" w:cs="Times New Roman"/>
                <w:color w:val="000000" w:themeColor="text1"/>
              </w:rPr>
              <w:t xml:space="preserve">                                                                16                                        7.1</w:t>
            </w:r>
          </w:p>
          <w:p w14:paraId="45613D55" w14:textId="2DF1E2C2"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Restriction on Tree Cutting / Thorny Plants</w:t>
            </w:r>
            <w:r w:rsidRPr="005B05AD">
              <w:rPr>
                <w:rFonts w:ascii="Times New Roman" w:hAnsi="Times New Roman" w:cs="Times New Roman"/>
                <w:color w:val="000000" w:themeColor="text1"/>
              </w:rPr>
              <w:t xml:space="preserve">                224                                      100</w:t>
            </w:r>
          </w:p>
          <w:p w14:paraId="3E7ABD79" w14:textId="000BB273"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Prevention of Bush Burning</w:t>
            </w:r>
            <w:r w:rsidRPr="005B05AD">
              <w:rPr>
                <w:rFonts w:ascii="Times New Roman" w:hAnsi="Times New Roman" w:cs="Times New Roman"/>
                <w:color w:val="000000" w:themeColor="text1"/>
              </w:rPr>
              <w:t xml:space="preserve">                                        224                                      100</w:t>
            </w:r>
          </w:p>
          <w:p w14:paraId="05C3A267" w14:textId="6671F8AD"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Ban on Farming Activities</w:t>
            </w:r>
            <w:r w:rsidRPr="005B05AD">
              <w:rPr>
                <w:rFonts w:ascii="Times New Roman" w:hAnsi="Times New Roman" w:cs="Times New Roman"/>
                <w:color w:val="000000" w:themeColor="text1"/>
              </w:rPr>
              <w:t xml:space="preserve">                                           224                                      100</w:t>
            </w:r>
          </w:p>
          <w:p w14:paraId="3D39FBEC" w14:textId="77777777" w:rsidR="00473534" w:rsidRPr="005B05AD" w:rsidRDefault="00473534" w:rsidP="00FA5432">
            <w:pPr>
              <w:rPr>
                <w:rFonts w:ascii="Times New Roman" w:hAnsi="Times New Roman" w:cs="Times New Roman"/>
                <w:color w:val="000000" w:themeColor="text1"/>
              </w:rPr>
            </w:pPr>
          </w:p>
        </w:tc>
      </w:tr>
    </w:tbl>
    <w:p w14:paraId="2AF646E2" w14:textId="77777777" w:rsidR="007C5718" w:rsidRPr="005B05AD" w:rsidRDefault="007C5718" w:rsidP="00473534">
      <w:pPr>
        <w:spacing w:after="0" w:line="240" w:lineRule="auto"/>
        <w:rPr>
          <w:rFonts w:ascii="Times New Roman" w:hAnsi="Times New Roman" w:cs="Times New Roman"/>
          <w:color w:val="000000" w:themeColor="text1"/>
          <w:lang/>
        </w:rPr>
      </w:pPr>
    </w:p>
    <w:p w14:paraId="57C10170" w14:textId="5529F62F" w:rsidR="00473534" w:rsidRPr="005B05AD" w:rsidRDefault="00473534" w:rsidP="00473534">
      <w:pPr>
        <w:spacing w:after="0" w:line="240" w:lineRule="auto"/>
        <w:rPr>
          <w:rFonts w:ascii="Times New Roman" w:hAnsi="Times New Roman" w:cs="Times New Roman"/>
          <w:color w:val="000000" w:themeColor="text1"/>
          <w:lang/>
        </w:rPr>
      </w:pPr>
      <w:r w:rsidRPr="005B05AD">
        <w:rPr>
          <w:rFonts w:ascii="Times New Roman" w:hAnsi="Times New Roman" w:cs="Times New Roman"/>
          <w:color w:val="000000" w:themeColor="text1"/>
          <w:lang/>
        </w:rPr>
        <w:t>Table 5: Assistance Received for Preservation</w:t>
      </w:r>
    </w:p>
    <w:tbl>
      <w:tblPr>
        <w:tblStyle w:val="TableGrid"/>
        <w:tblW w:w="0" w:type="auto"/>
        <w:tblInd w:w="5" w:type="dxa"/>
        <w:tblLook w:val="04A0" w:firstRow="1" w:lastRow="0" w:firstColumn="1" w:lastColumn="0" w:noHBand="0" w:noVBand="1"/>
      </w:tblPr>
      <w:tblGrid>
        <w:gridCol w:w="9021"/>
      </w:tblGrid>
      <w:tr w:rsidR="00473534" w:rsidRPr="005B05AD" w14:paraId="61D5DEAE" w14:textId="77777777" w:rsidTr="00FA5432">
        <w:tc>
          <w:tcPr>
            <w:tcW w:w="9350" w:type="dxa"/>
            <w:tcBorders>
              <w:left w:val="nil"/>
              <w:right w:val="nil"/>
            </w:tcBorders>
            <w:vAlign w:val="center"/>
          </w:tcPr>
          <w:p w14:paraId="2260F8DC" w14:textId="77777777" w:rsidR="00473534" w:rsidRPr="005B05AD" w:rsidRDefault="00473534" w:rsidP="00FA5432">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Percentage (%)</w:t>
            </w:r>
          </w:p>
          <w:p w14:paraId="7D37DB39" w14:textId="5874948C"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Individual</w:t>
            </w:r>
            <w:r w:rsidRPr="005B05AD">
              <w:rPr>
                <w:rFonts w:ascii="Times New Roman" w:hAnsi="Times New Roman" w:cs="Times New Roman"/>
                <w:color w:val="000000" w:themeColor="text1"/>
              </w:rPr>
              <w:t xml:space="preserve">                                                                     0                                          1.3</w:t>
            </w:r>
          </w:p>
          <w:p w14:paraId="62E20899" w14:textId="492421E2"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Community</w:t>
            </w:r>
            <w:r w:rsidRPr="005B05AD">
              <w:rPr>
                <w:rFonts w:ascii="Times New Roman" w:hAnsi="Times New Roman" w:cs="Times New Roman"/>
                <w:color w:val="000000" w:themeColor="text1"/>
              </w:rPr>
              <w:t xml:space="preserve">                                                                  0                                          0.0</w:t>
            </w:r>
          </w:p>
          <w:p w14:paraId="1470CF32" w14:textId="02B58EF5"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Government</w:t>
            </w:r>
            <w:r w:rsidRPr="005B05AD">
              <w:rPr>
                <w:rFonts w:ascii="Times New Roman" w:hAnsi="Times New Roman" w:cs="Times New Roman"/>
                <w:color w:val="000000" w:themeColor="text1"/>
              </w:rPr>
              <w:t xml:space="preserve">                                                                 0                                          0.0</w:t>
            </w:r>
          </w:p>
          <w:p w14:paraId="46C95D12" w14:textId="6A481E12"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NGOs</w:t>
            </w:r>
            <w:r w:rsidRPr="005B05AD">
              <w:rPr>
                <w:rFonts w:ascii="Times New Roman" w:hAnsi="Times New Roman" w:cs="Times New Roman"/>
                <w:color w:val="000000" w:themeColor="text1"/>
              </w:rPr>
              <w:t xml:space="preserve">                                                                           0                                          0.0</w:t>
            </w:r>
          </w:p>
          <w:p w14:paraId="36046650" w14:textId="169C0371"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 xml:space="preserve">Total                                           </w:t>
            </w:r>
            <w:r w:rsidR="00724C8C"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rPr>
              <w:t>224                                       100</w:t>
            </w:r>
          </w:p>
        </w:tc>
      </w:tr>
    </w:tbl>
    <w:p w14:paraId="7100290F" w14:textId="77777777" w:rsidR="008F686A" w:rsidRPr="005B05AD" w:rsidRDefault="008F686A" w:rsidP="00473534">
      <w:pPr>
        <w:spacing w:after="0" w:line="240" w:lineRule="auto"/>
        <w:rPr>
          <w:rFonts w:ascii="Times New Roman" w:hAnsi="Times New Roman" w:cs="Times New Roman"/>
          <w:color w:val="000000" w:themeColor="text1"/>
          <w:lang/>
        </w:rPr>
      </w:pPr>
    </w:p>
    <w:p w14:paraId="1E8F0D86" w14:textId="77777777" w:rsidR="008F686A" w:rsidRPr="005B05AD" w:rsidRDefault="008F686A" w:rsidP="00473534">
      <w:pPr>
        <w:spacing w:after="0" w:line="240" w:lineRule="auto"/>
        <w:rPr>
          <w:rFonts w:ascii="Times New Roman" w:hAnsi="Times New Roman" w:cs="Times New Roman"/>
          <w:color w:val="000000" w:themeColor="text1"/>
          <w:lang/>
        </w:rPr>
      </w:pPr>
    </w:p>
    <w:p w14:paraId="256FA0D9" w14:textId="77777777" w:rsidR="008F686A" w:rsidRPr="005B05AD" w:rsidRDefault="008F686A" w:rsidP="00473534">
      <w:pPr>
        <w:spacing w:after="0" w:line="240" w:lineRule="auto"/>
        <w:rPr>
          <w:rFonts w:ascii="Times New Roman" w:hAnsi="Times New Roman" w:cs="Times New Roman"/>
          <w:color w:val="000000" w:themeColor="text1"/>
          <w:lang/>
        </w:rPr>
      </w:pPr>
    </w:p>
    <w:p w14:paraId="5F6F56CD" w14:textId="77777777" w:rsidR="008F686A" w:rsidRPr="005B05AD" w:rsidRDefault="008F686A" w:rsidP="00473534">
      <w:pPr>
        <w:spacing w:after="0" w:line="240" w:lineRule="auto"/>
        <w:rPr>
          <w:rFonts w:ascii="Times New Roman" w:hAnsi="Times New Roman" w:cs="Times New Roman"/>
          <w:color w:val="000000" w:themeColor="text1"/>
          <w:lang/>
        </w:rPr>
      </w:pPr>
    </w:p>
    <w:p w14:paraId="3CBADC26" w14:textId="77777777" w:rsidR="008F686A" w:rsidRPr="005B05AD" w:rsidRDefault="008F686A" w:rsidP="00473534">
      <w:pPr>
        <w:spacing w:after="0" w:line="240" w:lineRule="auto"/>
        <w:rPr>
          <w:rFonts w:ascii="Times New Roman" w:hAnsi="Times New Roman" w:cs="Times New Roman"/>
          <w:color w:val="000000" w:themeColor="text1"/>
          <w:lang/>
        </w:rPr>
      </w:pPr>
    </w:p>
    <w:p w14:paraId="21474CAA" w14:textId="4D61D1CF" w:rsidR="00473534" w:rsidRPr="005B05AD" w:rsidRDefault="00473534" w:rsidP="00473534">
      <w:pPr>
        <w:spacing w:after="0" w:line="240" w:lineRule="auto"/>
        <w:rPr>
          <w:rFonts w:ascii="Times New Roman" w:hAnsi="Times New Roman" w:cs="Times New Roman"/>
          <w:color w:val="000000" w:themeColor="text1"/>
          <w:lang/>
        </w:rPr>
      </w:pPr>
      <w:r w:rsidRPr="005B05AD">
        <w:rPr>
          <w:rFonts w:ascii="Times New Roman" w:hAnsi="Times New Roman" w:cs="Times New Roman"/>
          <w:color w:val="000000" w:themeColor="text1"/>
          <w:lang/>
        </w:rPr>
        <w:t>Table 6: Functionality of the Grove</w:t>
      </w:r>
    </w:p>
    <w:tbl>
      <w:tblPr>
        <w:tblStyle w:val="TableGrid"/>
        <w:tblW w:w="0" w:type="auto"/>
        <w:tblInd w:w="5" w:type="dxa"/>
        <w:tblLook w:val="04A0" w:firstRow="1" w:lastRow="0" w:firstColumn="1" w:lastColumn="0" w:noHBand="0" w:noVBand="1"/>
      </w:tblPr>
      <w:tblGrid>
        <w:gridCol w:w="9021"/>
      </w:tblGrid>
      <w:tr w:rsidR="00473534" w:rsidRPr="005B05AD" w14:paraId="4561F602" w14:textId="77777777" w:rsidTr="00FA5432">
        <w:tc>
          <w:tcPr>
            <w:tcW w:w="9350" w:type="dxa"/>
            <w:tcBorders>
              <w:left w:val="nil"/>
              <w:right w:val="nil"/>
            </w:tcBorders>
            <w:vAlign w:val="center"/>
          </w:tcPr>
          <w:p w14:paraId="4754D1A0" w14:textId="77777777" w:rsidR="00473534" w:rsidRPr="005B05AD" w:rsidRDefault="00473534" w:rsidP="00FA5432">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Percentage (%)</w:t>
            </w:r>
          </w:p>
          <w:p w14:paraId="1BFAC5FD" w14:textId="4D43E044"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In Use</w:t>
            </w:r>
            <w:r w:rsidRPr="005B05AD">
              <w:rPr>
                <w:rFonts w:ascii="Times New Roman" w:hAnsi="Times New Roman" w:cs="Times New Roman"/>
                <w:color w:val="000000" w:themeColor="text1"/>
              </w:rPr>
              <w:t xml:space="preserve">                                                                          217                                       96.9</w:t>
            </w:r>
          </w:p>
          <w:p w14:paraId="7E8A2CBC" w14:textId="1ADF9275"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rPr>
              <w:t>Not in Use</w:t>
            </w:r>
            <w:r w:rsidRPr="005B05AD">
              <w:rPr>
                <w:rFonts w:ascii="Times New Roman" w:hAnsi="Times New Roman" w:cs="Times New Roman"/>
                <w:color w:val="000000" w:themeColor="text1"/>
              </w:rPr>
              <w:t xml:space="preserve">                                                                    7                                           3.1</w:t>
            </w:r>
          </w:p>
          <w:p w14:paraId="15E3207C" w14:textId="0882BD04"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Total                                                                            224                                       100</w:t>
            </w:r>
          </w:p>
        </w:tc>
      </w:tr>
    </w:tbl>
    <w:p w14:paraId="4D70F3BF" w14:textId="77777777" w:rsidR="00166EAE" w:rsidRPr="005B05AD" w:rsidRDefault="00166EAE" w:rsidP="00473534">
      <w:pPr>
        <w:spacing w:after="0" w:line="240" w:lineRule="auto"/>
        <w:rPr>
          <w:rFonts w:ascii="Times New Roman" w:hAnsi="Times New Roman" w:cs="Times New Roman"/>
          <w:color w:val="000000" w:themeColor="text1"/>
          <w:lang/>
        </w:rPr>
      </w:pPr>
    </w:p>
    <w:p w14:paraId="3BDB8068" w14:textId="3C4E8A01" w:rsidR="00473534" w:rsidRPr="005B05AD" w:rsidRDefault="00473534" w:rsidP="00473534">
      <w:pPr>
        <w:spacing w:after="0" w:line="240" w:lineRule="auto"/>
        <w:rPr>
          <w:rFonts w:ascii="Times New Roman" w:hAnsi="Times New Roman" w:cs="Times New Roman"/>
          <w:color w:val="000000" w:themeColor="text1"/>
          <w:lang/>
        </w:rPr>
      </w:pPr>
      <w:r w:rsidRPr="005B05AD">
        <w:rPr>
          <w:rFonts w:ascii="Times New Roman" w:hAnsi="Times New Roman" w:cs="Times New Roman"/>
          <w:color w:val="000000" w:themeColor="text1"/>
          <w:lang/>
        </w:rPr>
        <w:t>Table 7: Presence of Wildlife</w:t>
      </w:r>
    </w:p>
    <w:tbl>
      <w:tblPr>
        <w:tblStyle w:val="TableGrid"/>
        <w:tblW w:w="0" w:type="auto"/>
        <w:tblInd w:w="5" w:type="dxa"/>
        <w:tblLook w:val="04A0" w:firstRow="1" w:lastRow="0" w:firstColumn="1" w:lastColumn="0" w:noHBand="0" w:noVBand="1"/>
      </w:tblPr>
      <w:tblGrid>
        <w:gridCol w:w="9021"/>
      </w:tblGrid>
      <w:tr w:rsidR="00473534" w:rsidRPr="005B05AD" w14:paraId="30059A99" w14:textId="77777777" w:rsidTr="00FA5432">
        <w:tc>
          <w:tcPr>
            <w:tcW w:w="9350" w:type="dxa"/>
            <w:tcBorders>
              <w:left w:val="nil"/>
              <w:right w:val="nil"/>
            </w:tcBorders>
            <w:vAlign w:val="center"/>
          </w:tcPr>
          <w:p w14:paraId="6ED9DAB6" w14:textId="77777777" w:rsidR="00473534" w:rsidRPr="005B05AD" w:rsidRDefault="00473534" w:rsidP="00FA5432">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Percentage (%)</w:t>
            </w:r>
          </w:p>
          <w:p w14:paraId="36A87C84" w14:textId="1B809BB7"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 xml:space="preserve">Yes                                                                               </w:t>
            </w:r>
            <w:r w:rsidRPr="005B05AD">
              <w:rPr>
                <w:rFonts w:ascii="Times New Roman" w:hAnsi="Times New Roman" w:cs="Times New Roman"/>
                <w:color w:val="000000" w:themeColor="text1"/>
                <w:lang/>
              </w:rPr>
              <w:t>212</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94.6</w:t>
            </w:r>
          </w:p>
          <w:p w14:paraId="78BDAC4A" w14:textId="2FE27C25"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rPr>
              <w:t>No</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lang/>
              </w:rPr>
              <w:t>12</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5.4</w:t>
            </w:r>
          </w:p>
          <w:p w14:paraId="1F879902" w14:textId="1EC167EB"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rPr>
              <w:t>Total                                                                            224</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rPr>
              <w:t>100</w:t>
            </w:r>
          </w:p>
        </w:tc>
      </w:tr>
    </w:tbl>
    <w:p w14:paraId="20A51210" w14:textId="77777777" w:rsidR="00166EAE" w:rsidRPr="005B05AD" w:rsidRDefault="00166EAE" w:rsidP="00473534">
      <w:pPr>
        <w:spacing w:after="0" w:line="240" w:lineRule="auto"/>
        <w:rPr>
          <w:rFonts w:ascii="Times New Roman" w:hAnsi="Times New Roman" w:cs="Times New Roman"/>
          <w:color w:val="000000" w:themeColor="text1"/>
          <w:lang/>
        </w:rPr>
      </w:pPr>
    </w:p>
    <w:p w14:paraId="02F7DED5" w14:textId="29A1A7D2" w:rsidR="00473534" w:rsidRPr="005B05AD" w:rsidRDefault="00473534" w:rsidP="00473534">
      <w:pPr>
        <w:spacing w:after="0" w:line="240" w:lineRule="auto"/>
        <w:rPr>
          <w:rFonts w:ascii="Times New Roman" w:hAnsi="Times New Roman" w:cs="Times New Roman"/>
          <w:color w:val="000000" w:themeColor="text1"/>
          <w:lang/>
        </w:rPr>
      </w:pPr>
      <w:r w:rsidRPr="005B05AD">
        <w:rPr>
          <w:rFonts w:ascii="Times New Roman" w:hAnsi="Times New Roman" w:cs="Times New Roman"/>
          <w:color w:val="000000" w:themeColor="text1"/>
          <w:lang/>
        </w:rPr>
        <w:t>Table 8: Age of the Grove</w:t>
      </w:r>
    </w:p>
    <w:tbl>
      <w:tblPr>
        <w:tblStyle w:val="TableGrid"/>
        <w:tblW w:w="0" w:type="auto"/>
        <w:tblInd w:w="5" w:type="dxa"/>
        <w:tblLook w:val="04A0" w:firstRow="1" w:lastRow="0" w:firstColumn="1" w:lastColumn="0" w:noHBand="0" w:noVBand="1"/>
      </w:tblPr>
      <w:tblGrid>
        <w:gridCol w:w="9021"/>
      </w:tblGrid>
      <w:tr w:rsidR="00473534" w:rsidRPr="005B05AD" w14:paraId="5E61B772" w14:textId="77777777" w:rsidTr="00FA5432">
        <w:tc>
          <w:tcPr>
            <w:tcW w:w="9350" w:type="dxa"/>
            <w:tcBorders>
              <w:left w:val="nil"/>
              <w:right w:val="nil"/>
            </w:tcBorders>
            <w:vAlign w:val="center"/>
          </w:tcPr>
          <w:p w14:paraId="7A2C5436" w14:textId="77777777" w:rsidR="00473534" w:rsidRPr="005B05AD" w:rsidRDefault="00473534" w:rsidP="00FA5432">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rPr>
              <w:t>Percentage (%)</w:t>
            </w:r>
          </w:p>
          <w:p w14:paraId="11A79CB9" w14:textId="7CBC58FE"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1–30</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lang/>
              </w:rPr>
              <w:t>9</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4.0</w:t>
            </w:r>
          </w:p>
          <w:p w14:paraId="66342E69" w14:textId="60AEF212"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31–60</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lang/>
              </w:rPr>
              <w:t>23</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lang/>
              </w:rPr>
              <w:t>10.3</w:t>
            </w:r>
            <w:r w:rsidRPr="005B05AD">
              <w:rPr>
                <w:rFonts w:ascii="Times New Roman" w:hAnsi="Times New Roman" w:cs="Times New Roman"/>
                <w:b/>
                <w:bCs/>
                <w:color w:val="000000" w:themeColor="text1"/>
              </w:rPr>
              <w:t xml:space="preserve">                            </w:t>
            </w:r>
          </w:p>
          <w:p w14:paraId="7AE55DBD" w14:textId="328988A9"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61–90</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82</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36.6</w:t>
            </w:r>
          </w:p>
          <w:p w14:paraId="4C4A1591" w14:textId="614C995A"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rPr>
              <w:t>91 and above</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110</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49.1</w:t>
            </w:r>
          </w:p>
          <w:p w14:paraId="512A49E5" w14:textId="7A07C4F7"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Total                                                                            224                                       100</w:t>
            </w:r>
          </w:p>
        </w:tc>
      </w:tr>
    </w:tbl>
    <w:p w14:paraId="00485615" w14:textId="77777777" w:rsidR="00473534" w:rsidRPr="005B05AD" w:rsidRDefault="00473534" w:rsidP="00411155">
      <w:pPr>
        <w:spacing w:after="0" w:line="360" w:lineRule="auto"/>
        <w:jc w:val="both"/>
        <w:rPr>
          <w:rFonts w:ascii="Times New Roman" w:hAnsi="Times New Roman" w:cs="Times New Roman"/>
          <w:color w:val="000000" w:themeColor="text1"/>
          <w:lang w:val="en-US"/>
        </w:rPr>
      </w:pPr>
    </w:p>
    <w:p w14:paraId="6DEEE551" w14:textId="77777777" w:rsidR="00044C74" w:rsidRPr="005B05AD" w:rsidRDefault="00044C74" w:rsidP="00411155">
      <w:pPr>
        <w:spacing w:after="0" w:line="360" w:lineRule="auto"/>
        <w:jc w:val="both"/>
        <w:rPr>
          <w:rFonts w:ascii="Times New Roman" w:hAnsi="Times New Roman" w:cs="Times New Roman"/>
          <w:b/>
          <w:bCs/>
          <w:color w:val="000000" w:themeColor="text1"/>
          <w:lang/>
        </w:rPr>
      </w:pPr>
      <w:bookmarkStart w:id="0" w:name="_Hlk227341637"/>
      <w:r w:rsidRPr="005B05AD">
        <w:rPr>
          <w:rFonts w:ascii="Times New Roman" w:hAnsi="Times New Roman" w:cs="Times New Roman"/>
          <w:b/>
          <w:bCs/>
          <w:color w:val="000000" w:themeColor="text1"/>
          <w:lang/>
        </w:rPr>
        <w:lastRenderedPageBreak/>
        <w:t xml:space="preserve">Custodianship of the Sacred Grove </w:t>
      </w:r>
    </w:p>
    <w:p w14:paraId="67E63E07" w14:textId="0B206FF7" w:rsidR="000747D0" w:rsidRPr="005B05AD" w:rsidRDefault="000747D0"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The findings reveal that custodianship of Sacred Groves is predominantly clan-based (86.6%), while inheritance accounts for a smaller proportion (13.4%). Notably, there is no record of individual ownership</w:t>
      </w:r>
      <w:r w:rsidRPr="005B05AD">
        <w:rPr>
          <w:rFonts w:ascii="Times New Roman" w:hAnsi="Times New Roman" w:cs="Times New Roman"/>
          <w:color w:val="000000" w:themeColor="text1"/>
        </w:rPr>
        <w:t xml:space="preserve"> (table 1)</w:t>
      </w:r>
      <w:r w:rsidRPr="005B05AD">
        <w:rPr>
          <w:rFonts w:ascii="Times New Roman" w:hAnsi="Times New Roman" w:cs="Times New Roman"/>
          <w:color w:val="000000" w:themeColor="text1"/>
          <w:lang/>
        </w:rPr>
        <w:t>. This indicates that Sacred Groves are largely managed under communal traditional systems, which reinforces collective responsibility and cultural continuity.</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This result aligns with existing literature that emphasizes the role of indigenous institutions and kinship systems in environmental conservation (Adekunle, V. A. J. (2010); Byers, B. A., Cunliffe, R. N., &amp; Hudak, A. T. (2001) Chandran, M. D. S., &amp; Hughes, J. D. (2000). Dudley, N., Higgins-Zogib, L., &amp; Mansourian, S. (2009).  Clan-based custodianship enhances compliance with traditional rules and strengthens protection mechanisms through shared beliefs and values.</w:t>
      </w:r>
    </w:p>
    <w:p w14:paraId="3DE6E963" w14:textId="77777777" w:rsidR="005E7E4E" w:rsidRPr="005B05AD" w:rsidRDefault="005E7E4E" w:rsidP="00411155">
      <w:pPr>
        <w:spacing w:after="0" w:line="360" w:lineRule="auto"/>
        <w:jc w:val="both"/>
        <w:rPr>
          <w:rFonts w:ascii="Times New Roman" w:hAnsi="Times New Roman" w:cs="Times New Roman"/>
          <w:color w:val="000000" w:themeColor="text1"/>
          <w:lang/>
        </w:rPr>
      </w:pPr>
    </w:p>
    <w:bookmarkEnd w:id="0"/>
    <w:p w14:paraId="54E0914D" w14:textId="0EABEAD2" w:rsidR="00CF45E1" w:rsidRPr="005B05AD" w:rsidRDefault="005E7E4E"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b/>
          <w:bCs/>
          <w:color w:val="000000" w:themeColor="text1"/>
          <w:lang/>
        </w:rPr>
        <w:t>Protection Methods</w:t>
      </w:r>
    </w:p>
    <w:p w14:paraId="06E6712E" w14:textId="2140506A" w:rsidR="000747D0" w:rsidRPr="005B05AD" w:rsidRDefault="000747D0" w:rsidP="00411155">
      <w:pPr>
        <w:spacing w:after="0" w:line="360" w:lineRule="auto"/>
        <w:jc w:val="both"/>
        <w:rPr>
          <w:rFonts w:ascii="Times New Roman" w:hAnsi="Times New Roman" w:cs="Times New Roman"/>
          <w:color w:val="000000" w:themeColor="text1"/>
        </w:rPr>
      </w:pPr>
      <w:r w:rsidRPr="005B05AD">
        <w:rPr>
          <w:rFonts w:ascii="Times New Roman" w:hAnsi="Times New Roman" w:cs="Times New Roman"/>
          <w:color w:val="000000" w:themeColor="text1"/>
          <w:lang/>
        </w:rPr>
        <w:t>The results for protection method indicates that, natural fencing (77.2%) is the dominant method of protection, followed by the use of stones (22.8%). Modern protection methods such as blocks, and barbed wire are completely absent</w:t>
      </w:r>
      <w:r w:rsidRPr="005B05AD">
        <w:rPr>
          <w:rFonts w:ascii="Times New Roman" w:hAnsi="Times New Roman" w:cs="Times New Roman"/>
          <w:color w:val="000000" w:themeColor="text1"/>
        </w:rPr>
        <w:t xml:space="preserve"> (table 2)</w:t>
      </w:r>
      <w:r w:rsidRPr="005B05AD">
        <w:rPr>
          <w:rFonts w:ascii="Times New Roman" w:hAnsi="Times New Roman" w:cs="Times New Roman"/>
          <w:color w:val="000000" w:themeColor="text1"/>
          <w:lang/>
        </w:rPr>
        <w:t>.</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 xml:space="preserve">This suggests a strong reliance on indigenous knowledge systems and environmentally sustainable practices (Ormsby, A. A., and Bhagwat, S. A. 2010) Natural fencing may include the use of vegetation or landscape features, which integrates conservation with the natural ecosystem. The absence of modern infrastructure may reflect both cultural preferences and limited external intervention.   </w:t>
      </w:r>
    </w:p>
    <w:p w14:paraId="453E8098" w14:textId="77777777" w:rsidR="009F434B" w:rsidRPr="005B05AD" w:rsidRDefault="009F434B" w:rsidP="00411155">
      <w:pPr>
        <w:spacing w:after="0" w:line="360" w:lineRule="auto"/>
        <w:jc w:val="both"/>
        <w:rPr>
          <w:rFonts w:ascii="Times New Roman" w:hAnsi="Times New Roman" w:cs="Times New Roman"/>
          <w:b/>
          <w:bCs/>
          <w:color w:val="000000" w:themeColor="text1"/>
          <w:lang/>
        </w:rPr>
      </w:pPr>
    </w:p>
    <w:p w14:paraId="32F8AC21" w14:textId="2078616E" w:rsidR="00CF45E1" w:rsidRPr="005B05AD" w:rsidRDefault="009F434B" w:rsidP="00411155">
      <w:pPr>
        <w:spacing w:after="0" w:line="360" w:lineRule="auto"/>
        <w:jc w:val="both"/>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Predominant Tree Type</w:t>
      </w:r>
    </w:p>
    <w:p w14:paraId="5190B4FF" w14:textId="17EE91FC" w:rsidR="000747D0" w:rsidRPr="005B05AD" w:rsidRDefault="000747D0"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The findings for the predominant tree type shows, that Neem (29.5%) and locally identified species (25.4%) are the most dominant tree types. Shea butter (17.4%) and other species also contribute significantly to the vegetation composition</w:t>
      </w:r>
      <w:r w:rsidRPr="005B05AD">
        <w:rPr>
          <w:rFonts w:ascii="Times New Roman" w:hAnsi="Times New Roman" w:cs="Times New Roman"/>
          <w:color w:val="000000" w:themeColor="text1"/>
        </w:rPr>
        <w:t xml:space="preserve"> (table 3)</w:t>
      </w:r>
      <w:r w:rsidRPr="005B05AD">
        <w:rPr>
          <w:rFonts w:ascii="Times New Roman" w:hAnsi="Times New Roman" w:cs="Times New Roman"/>
          <w:color w:val="000000" w:themeColor="text1"/>
          <w:lang/>
        </w:rPr>
        <w:t>.</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This diversity indicates that Sacred Groves function as biodiversity reservoirs, preserving both indigenous and economically valuable plant species (Shashi S. B. et al., 2015). The prominence of local species underscores the importance of traditional ecological knowledge in species identification and conservation.</w:t>
      </w:r>
    </w:p>
    <w:p w14:paraId="24858CEF" w14:textId="77777777" w:rsidR="009F434B" w:rsidRPr="005B05AD" w:rsidRDefault="009F434B" w:rsidP="00411155">
      <w:pPr>
        <w:spacing w:after="0" w:line="360" w:lineRule="auto"/>
        <w:jc w:val="both"/>
        <w:rPr>
          <w:rFonts w:ascii="Times New Roman" w:hAnsi="Times New Roman" w:cs="Times New Roman"/>
          <w:color w:val="000000" w:themeColor="text1"/>
          <w:lang/>
        </w:rPr>
      </w:pPr>
    </w:p>
    <w:p w14:paraId="020F4393" w14:textId="25D25EE1" w:rsidR="00CF45E1" w:rsidRPr="005B05AD" w:rsidRDefault="00AC533F"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b/>
          <w:bCs/>
          <w:color w:val="000000" w:themeColor="text1"/>
          <w:lang/>
        </w:rPr>
        <w:t>Conservation Methods in Use</w:t>
      </w:r>
    </w:p>
    <w:p w14:paraId="377C78D3" w14:textId="522A6AA0" w:rsidR="000747D0" w:rsidRPr="005B05AD" w:rsidRDefault="000747D0"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All respondents (100%) indicated the enforcement of strict conservation measures, including restrictions on tree cutting, prevention of bush burning, and prohibition of farming activities. However, only 7.1% reported tree planting as a conservation strategy</w:t>
      </w:r>
      <w:r w:rsidRPr="005B05AD">
        <w:rPr>
          <w:rFonts w:ascii="Times New Roman" w:hAnsi="Times New Roman" w:cs="Times New Roman"/>
          <w:color w:val="000000" w:themeColor="text1"/>
        </w:rPr>
        <w:t xml:space="preserve"> (table 4)</w:t>
      </w:r>
      <w:r w:rsidRPr="005B05AD">
        <w:rPr>
          <w:rFonts w:ascii="Times New Roman" w:hAnsi="Times New Roman" w:cs="Times New Roman"/>
          <w:color w:val="000000" w:themeColor="text1"/>
          <w:lang/>
        </w:rPr>
        <w:t>.</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rPr>
        <w:t>This implies that conservation efforts are largely protective rather than regenerative. While strict rules effectively preserve existing vegetation (Shashi S. B. et al., 2015), the low rate of tree planting may limit long-term ecological sustainability, especially in the face of environmental changes.</w:t>
      </w:r>
    </w:p>
    <w:p w14:paraId="3E9BEABF" w14:textId="77777777" w:rsidR="009B5CBF" w:rsidRPr="005B05AD" w:rsidRDefault="009B5CBF" w:rsidP="00411155">
      <w:pPr>
        <w:spacing w:after="0" w:line="360" w:lineRule="auto"/>
        <w:jc w:val="both"/>
        <w:rPr>
          <w:rFonts w:ascii="Times New Roman" w:hAnsi="Times New Roman" w:cs="Times New Roman"/>
          <w:b/>
          <w:bCs/>
          <w:color w:val="000000" w:themeColor="text1"/>
          <w:lang/>
        </w:rPr>
      </w:pPr>
    </w:p>
    <w:p w14:paraId="7E9E2D9D" w14:textId="327B4893" w:rsidR="00CF45E1" w:rsidRPr="005B05AD" w:rsidRDefault="009B5CBF" w:rsidP="00411155">
      <w:pPr>
        <w:spacing w:after="0" w:line="360" w:lineRule="auto"/>
        <w:jc w:val="both"/>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Assistance Received for Preservation</w:t>
      </w:r>
    </w:p>
    <w:p w14:paraId="3D33F67E" w14:textId="58FE66CB" w:rsidR="000747D0" w:rsidRPr="005B05AD" w:rsidRDefault="000747D0"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lastRenderedPageBreak/>
        <w:t>The results reveal an almost complete absence of external support, with only 1.3% of respondents indicating any form of individual assistance. There is no reported support from government agencies or NGOs</w:t>
      </w:r>
      <w:r w:rsidRPr="005B05AD">
        <w:rPr>
          <w:rFonts w:ascii="Times New Roman" w:hAnsi="Times New Roman" w:cs="Times New Roman"/>
          <w:color w:val="000000" w:themeColor="text1"/>
        </w:rPr>
        <w:t xml:space="preserve"> (table 5). </w:t>
      </w:r>
      <w:r w:rsidRPr="005B05AD">
        <w:rPr>
          <w:rFonts w:ascii="Times New Roman" w:hAnsi="Times New Roman" w:cs="Times New Roman"/>
          <w:color w:val="000000" w:themeColor="text1"/>
          <w:lang/>
        </w:rPr>
        <w:t>This highlights a significant gap in institutional involvement and suggests that Sacred Grove conservation is entirely community driven. The lack of external support may hinder access to modern conservation techniques, funding, and policy integration.</w:t>
      </w:r>
    </w:p>
    <w:p w14:paraId="11A455E7" w14:textId="77777777" w:rsidR="00AC533F" w:rsidRPr="005B05AD" w:rsidRDefault="00AC533F" w:rsidP="00411155">
      <w:pPr>
        <w:spacing w:after="0" w:line="360" w:lineRule="auto"/>
        <w:jc w:val="both"/>
        <w:rPr>
          <w:rFonts w:ascii="Times New Roman" w:hAnsi="Times New Roman" w:cs="Times New Roman"/>
          <w:color w:val="000000" w:themeColor="text1"/>
        </w:rPr>
      </w:pPr>
    </w:p>
    <w:p w14:paraId="29702315" w14:textId="2976463E" w:rsidR="00CF45E1" w:rsidRPr="005B05AD" w:rsidRDefault="00AC533F"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b/>
          <w:bCs/>
          <w:color w:val="000000" w:themeColor="text1"/>
          <w:lang/>
        </w:rPr>
        <w:t>Functionality of Sacred Groves</w:t>
      </w:r>
    </w:p>
    <w:p w14:paraId="0D841053" w14:textId="364E43CA" w:rsidR="000747D0" w:rsidRPr="005B05AD" w:rsidRDefault="000747D0" w:rsidP="00411155">
      <w:pPr>
        <w:spacing w:after="0" w:line="360" w:lineRule="auto"/>
        <w:jc w:val="both"/>
        <w:rPr>
          <w:rFonts w:ascii="Times New Roman" w:hAnsi="Times New Roman" w:cs="Times New Roman"/>
          <w:color w:val="000000" w:themeColor="text1"/>
        </w:rPr>
      </w:pPr>
      <w:r w:rsidRPr="005B05AD">
        <w:rPr>
          <w:rFonts w:ascii="Times New Roman" w:hAnsi="Times New Roman" w:cs="Times New Roman"/>
          <w:color w:val="000000" w:themeColor="text1"/>
          <w:lang/>
        </w:rPr>
        <w:t>Most Sacred Groves (96.9%) are still in active use. This indicates that they remain relevant in the socio-cultural and ecological life of the communities</w:t>
      </w:r>
      <w:r w:rsidRPr="005B05AD">
        <w:rPr>
          <w:rFonts w:ascii="Times New Roman" w:hAnsi="Times New Roman" w:cs="Times New Roman"/>
          <w:color w:val="000000" w:themeColor="text1"/>
        </w:rPr>
        <w:t xml:space="preserve"> (table 6). </w:t>
      </w:r>
      <w:r w:rsidRPr="005B05AD">
        <w:rPr>
          <w:rFonts w:ascii="Times New Roman" w:hAnsi="Times New Roman" w:cs="Times New Roman"/>
          <w:color w:val="000000" w:themeColor="text1"/>
          <w:lang/>
        </w:rPr>
        <w:t>The continued use of these groves suggests resilience of traditional practices despite modernization pressures.</w:t>
      </w:r>
    </w:p>
    <w:p w14:paraId="511796BA" w14:textId="77777777" w:rsidR="005E7E4E" w:rsidRPr="005B05AD" w:rsidRDefault="005E7E4E" w:rsidP="00411155">
      <w:pPr>
        <w:spacing w:after="0" w:line="360" w:lineRule="auto"/>
        <w:jc w:val="both"/>
        <w:rPr>
          <w:rFonts w:ascii="Times New Roman" w:hAnsi="Times New Roman" w:cs="Times New Roman"/>
          <w:b/>
          <w:bCs/>
          <w:color w:val="000000" w:themeColor="text1"/>
          <w:lang/>
        </w:rPr>
      </w:pPr>
    </w:p>
    <w:p w14:paraId="3C49B231" w14:textId="24C9142C" w:rsidR="00CF45E1" w:rsidRPr="005B05AD" w:rsidRDefault="005E7E4E"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b/>
          <w:bCs/>
          <w:color w:val="000000" w:themeColor="text1"/>
          <w:lang/>
        </w:rPr>
        <w:t>Presence of Wildlife</w:t>
      </w:r>
    </w:p>
    <w:p w14:paraId="1E72FDBF" w14:textId="4DA33AF4" w:rsidR="000747D0" w:rsidRPr="005B05AD" w:rsidRDefault="000747D0" w:rsidP="00411155">
      <w:pPr>
        <w:spacing w:after="0" w:line="360" w:lineRule="auto"/>
        <w:jc w:val="both"/>
        <w:rPr>
          <w:rFonts w:ascii="Times New Roman" w:hAnsi="Times New Roman" w:cs="Times New Roman"/>
          <w:color w:val="000000" w:themeColor="text1"/>
        </w:rPr>
      </w:pPr>
      <w:r w:rsidRPr="005B05AD">
        <w:rPr>
          <w:rFonts w:ascii="Times New Roman" w:hAnsi="Times New Roman" w:cs="Times New Roman"/>
          <w:color w:val="000000" w:themeColor="text1"/>
          <w:lang/>
        </w:rPr>
        <w:t>A significant majority (94.6%) of respondents confirmed the presence of wildlife in the Groves. This underscores the ecological importance of Sacred Groves as habitats for biodiversity conservation</w:t>
      </w:r>
      <w:r w:rsidRPr="005B05AD">
        <w:rPr>
          <w:rFonts w:ascii="Times New Roman" w:hAnsi="Times New Roman" w:cs="Times New Roman"/>
          <w:color w:val="000000" w:themeColor="text1"/>
        </w:rPr>
        <w:t xml:space="preserve"> (table 7). </w:t>
      </w:r>
      <w:r w:rsidRPr="005B05AD">
        <w:rPr>
          <w:rFonts w:ascii="Times New Roman" w:hAnsi="Times New Roman" w:cs="Times New Roman"/>
          <w:color w:val="000000" w:themeColor="text1"/>
          <w:lang/>
        </w:rPr>
        <w:t>These findings support the view that Sacred Groves serve as mini-conservation reserves, protecting flora and fauna in otherwise human-dominated landscapes.</w:t>
      </w:r>
    </w:p>
    <w:p w14:paraId="5DBDDBAB" w14:textId="77777777" w:rsidR="00AF1532" w:rsidRPr="005B05AD" w:rsidRDefault="00AF1532" w:rsidP="00411155">
      <w:pPr>
        <w:spacing w:after="0" w:line="360" w:lineRule="auto"/>
        <w:jc w:val="both"/>
        <w:rPr>
          <w:rFonts w:ascii="Times New Roman" w:hAnsi="Times New Roman" w:cs="Times New Roman"/>
          <w:b/>
          <w:bCs/>
          <w:color w:val="000000" w:themeColor="text1"/>
          <w:lang/>
        </w:rPr>
      </w:pPr>
    </w:p>
    <w:p w14:paraId="7EE23EE8" w14:textId="32B4D0DF" w:rsidR="00CF45E1" w:rsidRPr="005B05AD" w:rsidRDefault="00AF1532"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b/>
          <w:bCs/>
          <w:color w:val="000000" w:themeColor="text1"/>
          <w:lang/>
        </w:rPr>
        <w:t>Age Distribution of Sacred Groves</w:t>
      </w:r>
    </w:p>
    <w:p w14:paraId="3C7D47B4" w14:textId="3B9A45A9" w:rsidR="000747D0" w:rsidRPr="005B05AD" w:rsidRDefault="000747D0" w:rsidP="0041115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The results show that most Sacred Groves are over 60 years old, with nearly half (49.1%) exceeding 90 years</w:t>
      </w:r>
      <w:r w:rsidRPr="005B05AD">
        <w:rPr>
          <w:rFonts w:ascii="Times New Roman" w:hAnsi="Times New Roman" w:cs="Times New Roman"/>
          <w:color w:val="000000" w:themeColor="text1"/>
        </w:rPr>
        <w:t xml:space="preserve"> (table 8). </w:t>
      </w:r>
      <w:r w:rsidRPr="005B05AD">
        <w:rPr>
          <w:rFonts w:ascii="Times New Roman" w:hAnsi="Times New Roman" w:cs="Times New Roman"/>
          <w:color w:val="000000" w:themeColor="text1"/>
          <w:lang/>
        </w:rPr>
        <w:t>This indicates that Sacred Groves are long-standing traditional institutions, deeply embedded in the cultural heritage of the people. Their longevity reflects the effectiveness of indigenous conservation practices over generations.</w:t>
      </w:r>
    </w:p>
    <w:p w14:paraId="0AB8B401" w14:textId="77777777" w:rsidR="00B34522" w:rsidRPr="005B05AD" w:rsidRDefault="00B34522" w:rsidP="00B34522">
      <w:pPr>
        <w:jc w:val="both"/>
        <w:rPr>
          <w:rFonts w:ascii="Times New Roman" w:hAnsi="Times New Roman" w:cs="Times New Roman"/>
          <w:b/>
          <w:bCs/>
          <w:color w:val="000000" w:themeColor="text1"/>
          <w:lang/>
        </w:rPr>
      </w:pPr>
    </w:p>
    <w:p w14:paraId="1FEA2A43" w14:textId="572D8AFD" w:rsidR="009B2A02" w:rsidRPr="005B05AD" w:rsidRDefault="00A81E08" w:rsidP="001C3F2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b/>
          <w:bCs/>
          <w:color w:val="000000" w:themeColor="text1"/>
        </w:rPr>
        <w:t>Conclusion</w:t>
      </w:r>
      <w:r w:rsidRPr="005B05AD">
        <w:rPr>
          <w:rFonts w:ascii="Times New Roman" w:hAnsi="Times New Roman" w:cs="Times New Roman"/>
          <w:b/>
          <w:bCs/>
          <w:color w:val="000000" w:themeColor="text1"/>
        </w:rPr>
        <w:br/>
      </w:r>
      <w:r w:rsidRPr="005B05AD">
        <w:rPr>
          <w:rFonts w:ascii="Times New Roman" w:hAnsi="Times New Roman" w:cs="Times New Roman"/>
          <w:color w:val="000000" w:themeColor="text1"/>
          <w:lang/>
        </w:rPr>
        <w:t xml:space="preserve">This study analyzed the spatial distribution and conservation of Tarok sacred Groves using GIS and descriptive statistics. </w:t>
      </w:r>
      <w:r w:rsidRPr="005B05AD">
        <w:rPr>
          <w:rFonts w:ascii="Times New Roman" w:hAnsi="Times New Roman" w:cs="Times New Roman"/>
          <w:color w:val="000000" w:themeColor="text1"/>
        </w:rPr>
        <w:t>The study demonstrated that Sacred Groves in Langtang North and Langtang South Local Government Areas are generally small in size and unevenly distributed, often exhibiting a clustered spatial pattern. The predominance of small-sized groves suggests a high level of fragmentation, which increases their vulnerability to external pressures such as agricultural expansion, urbanization, and deforestation.</w:t>
      </w:r>
      <w:r w:rsidRPr="005B05AD">
        <w:rPr>
          <w:rFonts w:ascii="Times New Roman" w:hAnsi="Times New Roman" w:cs="Times New Roman"/>
          <w:color w:val="000000" w:themeColor="text1"/>
          <w:lang/>
        </w:rPr>
        <w:t xml:space="preserve"> </w:t>
      </w:r>
    </w:p>
    <w:p w14:paraId="1B286645" w14:textId="77777777" w:rsidR="009B2A02" w:rsidRPr="005B05AD" w:rsidRDefault="009B2A02" w:rsidP="001C3F25">
      <w:pPr>
        <w:spacing w:after="0" w:line="360" w:lineRule="auto"/>
        <w:jc w:val="both"/>
        <w:rPr>
          <w:rFonts w:ascii="Times New Roman" w:hAnsi="Times New Roman" w:cs="Times New Roman"/>
          <w:color w:val="000000" w:themeColor="text1"/>
          <w:lang/>
        </w:rPr>
      </w:pPr>
    </w:p>
    <w:p w14:paraId="70BDC014" w14:textId="6E65CEDF" w:rsidR="00A81E08" w:rsidRPr="005B05AD" w:rsidRDefault="001C3F25" w:rsidP="001C3F25">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Most of the Groves are clan-owned and conservation relies on traditional restrictions. Wildlife presence is significantly high with most groves are over 60 – 100 years old, it is a sign of stronger conservation outcomes.</w:t>
      </w:r>
    </w:p>
    <w:p w14:paraId="3A1FB062" w14:textId="77777777" w:rsidR="00462382" w:rsidRPr="005B05AD" w:rsidRDefault="00462382" w:rsidP="001C3F25">
      <w:pPr>
        <w:spacing w:after="0" w:line="360" w:lineRule="auto"/>
        <w:jc w:val="both"/>
        <w:rPr>
          <w:rFonts w:ascii="Times New Roman" w:hAnsi="Times New Roman" w:cs="Times New Roman"/>
          <w:color w:val="000000" w:themeColor="text1"/>
        </w:rPr>
      </w:pPr>
    </w:p>
    <w:p w14:paraId="147ED570" w14:textId="0584BC00" w:rsidR="001C3F25" w:rsidRPr="005B05AD" w:rsidRDefault="001C3F25" w:rsidP="00BC2787">
      <w:pPr>
        <w:spacing w:after="0" w:line="36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lastRenderedPageBreak/>
        <w:t>The study concludes that Tarok Sacred Groves represent a highly effective indigenous conservation system, despite the absence of Government support and Non-Governmental Organizations (NGOs) intervention. These Groves continue to thrive due to cultural beliefs, spiritual significance and community enforcement. They are therefore an important model for integrating traditional knowledge into modern conservation strategies.</w:t>
      </w:r>
    </w:p>
    <w:p w14:paraId="1DE395BA" w14:textId="156B420B" w:rsidR="0023719F" w:rsidRPr="005B05AD" w:rsidRDefault="0023719F" w:rsidP="00A91711">
      <w:pPr>
        <w:spacing w:after="0" w:line="360" w:lineRule="auto"/>
        <w:jc w:val="both"/>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Recommendations</w:t>
      </w:r>
    </w:p>
    <w:p w14:paraId="3EF3BAF1" w14:textId="66B9BADD"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All Sacred Groves should be mapped and documented</w:t>
      </w:r>
    </w:p>
    <w:p w14:paraId="27577623" w14:textId="77777777" w:rsidR="0023719F" w:rsidRPr="005B05AD" w:rsidRDefault="0023719F" w:rsidP="0023719F">
      <w:pPr>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A centralized geodatabase should be developed and maintained</w:t>
      </w:r>
    </w:p>
    <w:p w14:paraId="615BD43C" w14:textId="09A15F33"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Sacred Groves should be incorporated into formal conservation frameworks</w:t>
      </w:r>
    </w:p>
    <w:p w14:paraId="1AE9F27E" w14:textId="77777777"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Government agencies should recognize them as protected areas</w:t>
      </w:r>
    </w:p>
    <w:p w14:paraId="1C088672" w14:textId="77777777"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Local communities should be involved in conservation efforts</w:t>
      </w:r>
    </w:p>
    <w:p w14:paraId="0E1A7F83" w14:textId="77777777" w:rsidR="0023719F" w:rsidRPr="005B05AD" w:rsidRDefault="0023719F" w:rsidP="0023719F">
      <w:pPr>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Traditional institutions should be strengthened</w:t>
      </w:r>
    </w:p>
    <w:p w14:paraId="299A6BA1" w14:textId="01BDC12D"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Policies should be enacted to protect Sacred Groves from encroachment</w:t>
      </w:r>
    </w:p>
    <w:p w14:paraId="241FCB51" w14:textId="77777777" w:rsidR="0023719F" w:rsidRPr="005B05AD" w:rsidRDefault="0023719F" w:rsidP="0023719F">
      <w:pPr>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Land use regulations should include sacred sites</w:t>
      </w:r>
    </w:p>
    <w:p w14:paraId="72C7B55E" w14:textId="77777777"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Public awareness campaigns should be conducted</w:t>
      </w:r>
    </w:p>
    <w:p w14:paraId="7285DA45" w14:textId="5C9E1FF6" w:rsidR="0023719F" w:rsidRPr="005B05AD" w:rsidRDefault="0023719F" w:rsidP="0023719F">
      <w:pPr>
        <w:numPr>
          <w:ilvl w:val="0"/>
          <w:numId w:val="38"/>
        </w:numPr>
        <w:spacing w:after="0" w:line="360" w:lineRule="auto"/>
        <w:ind w:left="714" w:hanging="357"/>
        <w:rPr>
          <w:rFonts w:ascii="Times New Roman" w:hAnsi="Times New Roman" w:cs="Times New Roman"/>
          <w:color w:val="000000" w:themeColor="text1"/>
          <w:lang/>
        </w:rPr>
      </w:pPr>
      <w:r w:rsidRPr="005B05AD">
        <w:rPr>
          <w:rFonts w:ascii="Times New Roman" w:hAnsi="Times New Roman" w:cs="Times New Roman"/>
          <w:color w:val="000000" w:themeColor="text1"/>
          <w:lang/>
        </w:rPr>
        <w:t>Cultural values associated with Sacred Groves should be preserved</w:t>
      </w:r>
    </w:p>
    <w:p w14:paraId="1413847A" w14:textId="77777777" w:rsidR="0023719F" w:rsidRPr="005B05AD" w:rsidRDefault="0023719F" w:rsidP="0023719F">
      <w:pPr>
        <w:spacing w:after="0" w:line="360" w:lineRule="auto"/>
        <w:rPr>
          <w:rFonts w:ascii="Times New Roman" w:hAnsi="Times New Roman" w:cs="Times New Roman"/>
          <w:color w:val="000000" w:themeColor="text1"/>
          <w:lang/>
        </w:rPr>
      </w:pPr>
    </w:p>
    <w:p w14:paraId="4BCDF617" w14:textId="77777777" w:rsidR="0023719F" w:rsidRPr="005B05AD" w:rsidRDefault="0023719F" w:rsidP="0023719F">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Further Research</w:t>
      </w:r>
    </w:p>
    <w:p w14:paraId="3766ABEB" w14:textId="77777777" w:rsidR="0023719F" w:rsidRPr="005B05AD" w:rsidRDefault="0023719F" w:rsidP="0023719F">
      <w:pPr>
        <w:rPr>
          <w:rFonts w:ascii="Times New Roman" w:hAnsi="Times New Roman" w:cs="Times New Roman"/>
          <w:color w:val="000000" w:themeColor="text1"/>
          <w:lang/>
        </w:rPr>
      </w:pPr>
      <w:r w:rsidRPr="005B05AD">
        <w:rPr>
          <w:rFonts w:ascii="Times New Roman" w:hAnsi="Times New Roman" w:cs="Times New Roman"/>
          <w:color w:val="000000" w:themeColor="text1"/>
          <w:lang/>
        </w:rPr>
        <w:t>Future studies should focus on:</w:t>
      </w:r>
    </w:p>
    <w:p w14:paraId="78DE2EDC" w14:textId="77777777" w:rsidR="0023719F" w:rsidRPr="005B05AD" w:rsidRDefault="0023719F" w:rsidP="0023719F">
      <w:pPr>
        <w:pStyle w:val="ListParagraph"/>
        <w:numPr>
          <w:ilvl w:val="0"/>
          <w:numId w:val="43"/>
        </w:numPr>
        <w:rPr>
          <w:rFonts w:ascii="Times New Roman" w:hAnsi="Times New Roman" w:cs="Times New Roman"/>
          <w:color w:val="000000" w:themeColor="text1"/>
          <w:lang/>
        </w:rPr>
      </w:pPr>
      <w:r w:rsidRPr="005B05AD">
        <w:rPr>
          <w:rFonts w:ascii="Times New Roman" w:hAnsi="Times New Roman" w:cs="Times New Roman"/>
          <w:color w:val="000000" w:themeColor="text1"/>
          <w:lang/>
        </w:rPr>
        <w:t>Biodiversity assessment of sacred groves</w:t>
      </w:r>
    </w:p>
    <w:p w14:paraId="7EB89B9D" w14:textId="77777777" w:rsidR="0023719F" w:rsidRPr="005B05AD" w:rsidRDefault="0023719F" w:rsidP="0023719F">
      <w:pPr>
        <w:numPr>
          <w:ilvl w:val="0"/>
          <w:numId w:val="43"/>
        </w:numPr>
        <w:rPr>
          <w:rFonts w:ascii="Times New Roman" w:hAnsi="Times New Roman" w:cs="Times New Roman"/>
          <w:color w:val="000000" w:themeColor="text1"/>
          <w:lang/>
        </w:rPr>
      </w:pPr>
      <w:r w:rsidRPr="005B05AD">
        <w:rPr>
          <w:rFonts w:ascii="Times New Roman" w:hAnsi="Times New Roman" w:cs="Times New Roman"/>
          <w:color w:val="000000" w:themeColor="text1"/>
          <w:lang/>
        </w:rPr>
        <w:t>Socio-cultural dynamics of conservation</w:t>
      </w:r>
    </w:p>
    <w:p w14:paraId="0B36D33E" w14:textId="77777777" w:rsidR="0023719F" w:rsidRPr="005B05AD" w:rsidRDefault="0023719F" w:rsidP="0023719F">
      <w:pPr>
        <w:numPr>
          <w:ilvl w:val="0"/>
          <w:numId w:val="43"/>
        </w:numPr>
        <w:rPr>
          <w:rFonts w:ascii="Times New Roman" w:hAnsi="Times New Roman" w:cs="Times New Roman"/>
          <w:color w:val="000000" w:themeColor="text1"/>
          <w:lang/>
        </w:rPr>
      </w:pPr>
      <w:r w:rsidRPr="005B05AD">
        <w:rPr>
          <w:rFonts w:ascii="Times New Roman" w:hAnsi="Times New Roman" w:cs="Times New Roman"/>
          <w:color w:val="000000" w:themeColor="text1"/>
          <w:lang/>
        </w:rPr>
        <w:t>Long-term monitoring using GIS and remote sensing</w:t>
      </w:r>
    </w:p>
    <w:p w14:paraId="5152B914" w14:textId="77777777" w:rsidR="0023719F" w:rsidRPr="005B05AD" w:rsidRDefault="0023719F" w:rsidP="0023719F">
      <w:pPr>
        <w:numPr>
          <w:ilvl w:val="0"/>
          <w:numId w:val="43"/>
        </w:numPr>
        <w:rPr>
          <w:rFonts w:ascii="Times New Roman" w:hAnsi="Times New Roman" w:cs="Times New Roman"/>
          <w:color w:val="000000" w:themeColor="text1"/>
          <w:lang/>
        </w:rPr>
      </w:pPr>
      <w:r w:rsidRPr="005B05AD">
        <w:rPr>
          <w:rFonts w:ascii="Times New Roman" w:hAnsi="Times New Roman" w:cs="Times New Roman"/>
          <w:color w:val="000000" w:themeColor="text1"/>
          <w:lang/>
        </w:rPr>
        <w:t>Investigate the impact of climate change on sacred groves</w:t>
      </w:r>
    </w:p>
    <w:p w14:paraId="55FF7C54" w14:textId="45517FBA" w:rsidR="00B7546A" w:rsidRPr="005B05AD" w:rsidRDefault="00B7546A" w:rsidP="00411155">
      <w:pPr>
        <w:spacing w:after="0" w:line="360" w:lineRule="auto"/>
        <w:jc w:val="both"/>
        <w:rPr>
          <w:rFonts w:ascii="Times New Roman" w:hAnsi="Times New Roman" w:cs="Times New Roman"/>
          <w:color w:val="000000" w:themeColor="text1"/>
          <w:lang/>
        </w:rPr>
      </w:pPr>
    </w:p>
    <w:p w14:paraId="37301EF0" w14:textId="77777777" w:rsidR="00DA75A8" w:rsidRPr="005B05AD" w:rsidRDefault="00DA75A8" w:rsidP="00DA75A8">
      <w:pPr>
        <w:rPr>
          <w:rFonts w:ascii="Times New Roman" w:hAnsi="Times New Roman" w:cs="Times New Roman"/>
          <w:b/>
          <w:bCs/>
          <w:color w:val="000000" w:themeColor="text1"/>
          <w:lang/>
        </w:rPr>
      </w:pPr>
      <w:r w:rsidRPr="005B05AD">
        <w:rPr>
          <w:rFonts w:ascii="Times New Roman" w:hAnsi="Times New Roman" w:cs="Times New Roman"/>
          <w:b/>
          <w:bCs/>
          <w:color w:val="000000" w:themeColor="text1"/>
          <w:lang/>
        </w:rPr>
        <w:t>REFERENCES</w:t>
      </w:r>
    </w:p>
    <w:p w14:paraId="362907AF" w14:textId="4389457B" w:rsidR="00126C25" w:rsidRPr="005B05AD" w:rsidRDefault="00126C25"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Agbo V, Sokpon N (1997). Forêts sacrées et patrimoine vital au Bénin, Abomey-Calavi, UNB/FSA, Projet CRDI  95-8170, 200 p.</w:t>
      </w:r>
    </w:p>
    <w:p w14:paraId="5CEEE969"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4C1FA3C5" w14:textId="02678B76"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Adekunle, V. A. J. (2010). Conservation of traditional sacred groves in Nigeria: A case study of Osun-Osogbo sacred grove. </w:t>
      </w:r>
      <w:r w:rsidRPr="005B05AD">
        <w:rPr>
          <w:rFonts w:ascii="Times New Roman" w:hAnsi="Times New Roman" w:cs="Times New Roman"/>
          <w:i/>
          <w:iCs/>
          <w:color w:val="000000" w:themeColor="text1"/>
          <w:lang/>
        </w:rPr>
        <w:t xml:space="preserve">Journal of Environmental Extension, 9 </w:t>
      </w:r>
      <w:r w:rsidRPr="005B05AD">
        <w:rPr>
          <w:rFonts w:ascii="Times New Roman" w:hAnsi="Times New Roman" w:cs="Times New Roman"/>
          <w:color w:val="000000" w:themeColor="text1"/>
          <w:lang/>
        </w:rPr>
        <w:t>(1), 45–52.</w:t>
      </w:r>
    </w:p>
    <w:p w14:paraId="65970CD6"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74DA9A73" w14:textId="5715ADF6"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Aerts, R., Van Overtveld, K., November, E., Wassie, A., Abiyu, A., Demissew, S., Daye, D. D., Giday, K., Haile, M., Tewoldeberhan, S., &amp; others. (2016). Conservation of biodiversity in sacred natural sites of Ethiopia. </w:t>
      </w:r>
      <w:r w:rsidRPr="005B05AD">
        <w:rPr>
          <w:rFonts w:ascii="Times New Roman" w:hAnsi="Times New Roman" w:cs="Times New Roman"/>
          <w:i/>
          <w:iCs/>
          <w:color w:val="000000" w:themeColor="text1"/>
          <w:lang/>
        </w:rPr>
        <w:t>Biological Conservation, 201</w:t>
      </w:r>
      <w:r w:rsidRPr="005B05AD">
        <w:rPr>
          <w:rFonts w:ascii="Times New Roman" w:hAnsi="Times New Roman" w:cs="Times New Roman"/>
          <w:color w:val="000000" w:themeColor="text1"/>
          <w:lang/>
        </w:rPr>
        <w:t xml:space="preserve">, 285–293. </w:t>
      </w:r>
    </w:p>
    <w:p w14:paraId="61382BE2"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5BF44031" w14:textId="77777777" w:rsidR="00FD5139" w:rsidRPr="005B05AD" w:rsidRDefault="00FD5139" w:rsidP="00A634D0">
      <w:pPr>
        <w:spacing w:after="0" w:line="240" w:lineRule="auto"/>
        <w:jc w:val="both"/>
        <w:rPr>
          <w:rFonts w:ascii="Times New Roman" w:hAnsi="Times New Roman" w:cs="Times New Roman"/>
          <w:i/>
          <w:iCs/>
          <w:color w:val="000000" w:themeColor="text1"/>
          <w:lang/>
        </w:rPr>
      </w:pPr>
      <w:r w:rsidRPr="005B05AD">
        <w:rPr>
          <w:rFonts w:ascii="Times New Roman" w:hAnsi="Times New Roman" w:cs="Times New Roman"/>
          <w:color w:val="000000" w:themeColor="text1"/>
          <w:lang/>
        </w:rPr>
        <w:t>Alohou E. C., Gbemavo D. S. J. C., Ouinsavi C. and Sokpon N. (2016). Local perceptions and importance of endogenous beliefs on sacred groves conservation in South Benin.</w:t>
      </w:r>
      <w:r w:rsidRPr="005B05AD">
        <w:rPr>
          <w:rFonts w:ascii="Times New Roman" w:hAnsi="Times New Roman" w:cs="Times New Roman"/>
          <w:b/>
          <w:bCs/>
          <w:color w:val="000000" w:themeColor="text1"/>
          <w:lang/>
          <w14:ligatures w14:val="standardContextual"/>
        </w:rPr>
        <w:t xml:space="preserve"> </w:t>
      </w:r>
      <w:r w:rsidRPr="005B05AD">
        <w:rPr>
          <w:rFonts w:ascii="Times New Roman" w:hAnsi="Times New Roman" w:cs="Times New Roman"/>
          <w:i/>
          <w:iCs/>
          <w:color w:val="000000" w:themeColor="text1"/>
          <w:lang/>
        </w:rPr>
        <w:t>International Journal of Biodiversity and Conservation.</w:t>
      </w:r>
      <w:r w:rsidRPr="005B05AD">
        <w:rPr>
          <w:rFonts w:ascii="Times New Roman" w:hAnsi="Times New Roman" w:cs="Times New Roman"/>
          <w:color w:val="000000" w:themeColor="text1"/>
          <w:lang/>
          <w14:ligatures w14:val="standardContextual"/>
        </w:rPr>
        <w:t xml:space="preserve"> </w:t>
      </w:r>
      <w:r w:rsidRPr="005B05AD">
        <w:rPr>
          <w:rFonts w:ascii="Times New Roman" w:hAnsi="Times New Roman" w:cs="Times New Roman"/>
          <w:i/>
          <w:iCs/>
          <w:color w:val="000000" w:themeColor="text1"/>
          <w:lang/>
        </w:rPr>
        <w:t>Vol. 8(5), pp. 105-112</w:t>
      </w:r>
    </w:p>
    <w:p w14:paraId="5161F137" w14:textId="77777777" w:rsidR="00541082" w:rsidRPr="005B05AD" w:rsidRDefault="00541082" w:rsidP="00A634D0">
      <w:pPr>
        <w:spacing w:after="0" w:line="240" w:lineRule="auto"/>
        <w:jc w:val="both"/>
        <w:rPr>
          <w:rFonts w:ascii="Times New Roman" w:hAnsi="Times New Roman" w:cs="Times New Roman"/>
          <w:i/>
          <w:iCs/>
          <w:color w:val="000000" w:themeColor="text1"/>
          <w:lang/>
        </w:rPr>
      </w:pPr>
    </w:p>
    <w:p w14:paraId="01641E79" w14:textId="77777777"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lastRenderedPageBreak/>
        <w:t xml:space="preserve">Anderson, D. G., &amp; Grove, R. H. (1987). The scramble for Eden: Past, present and future in African conservation. In D. Anderson &amp; R. Grove (Eds.), </w:t>
      </w:r>
      <w:r w:rsidRPr="005B05AD">
        <w:rPr>
          <w:rFonts w:ascii="Times New Roman" w:hAnsi="Times New Roman" w:cs="Times New Roman"/>
          <w:i/>
          <w:iCs/>
          <w:color w:val="000000" w:themeColor="text1"/>
          <w:lang/>
        </w:rPr>
        <w:t>Conservation in Africa: People, policies and practice</w:t>
      </w:r>
      <w:r w:rsidRPr="005B05AD">
        <w:rPr>
          <w:rFonts w:ascii="Times New Roman" w:hAnsi="Times New Roman" w:cs="Times New Roman"/>
          <w:color w:val="000000" w:themeColor="text1"/>
          <w:lang/>
        </w:rPr>
        <w:t xml:space="preserve"> (pp. 1–12). Cambridge University Press.</w:t>
      </w:r>
    </w:p>
    <w:p w14:paraId="17E79465"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78F1C29F" w14:textId="043B6AAF"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Bhagwat, S. A., &amp; Rutte, C. (2006). Sacred groves: Potential for biodiversity management. </w:t>
      </w:r>
      <w:r w:rsidRPr="005B05AD">
        <w:rPr>
          <w:rFonts w:ascii="Times New Roman" w:hAnsi="Times New Roman" w:cs="Times New Roman"/>
          <w:i/>
          <w:iCs/>
          <w:color w:val="000000" w:themeColor="text1"/>
          <w:lang/>
        </w:rPr>
        <w:t>Frontiers in Ecology and the Environment, 4</w:t>
      </w:r>
      <w:r w:rsidRPr="005B05AD">
        <w:rPr>
          <w:rFonts w:ascii="Times New Roman" w:hAnsi="Times New Roman" w:cs="Times New Roman"/>
          <w:color w:val="000000" w:themeColor="text1"/>
          <w:lang/>
        </w:rPr>
        <w:t xml:space="preserve">(10), 519–524. </w:t>
      </w:r>
    </w:p>
    <w:p w14:paraId="3F44B2B5"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61FEEFE9" w14:textId="77777777" w:rsidR="003D20D4" w:rsidRPr="005B05AD" w:rsidRDefault="003D20D4"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Blench, Roger. 2021. The language of the orim, the ancestral spirits of the Tarok of Central Nigeria. Cambridge: Kay</w:t>
      </w:r>
    </w:p>
    <w:p w14:paraId="190D1A7F"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6D7D7CF1" w14:textId="77777777" w:rsidR="00541082"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Byers, B. A., Cunliffe, R. N., &amp; Hudak, A. T. (2001). Linking the conservation of culture and nature: A case study of sacred forests in Zimbabwe. </w:t>
      </w:r>
      <w:r w:rsidRPr="005B05AD">
        <w:rPr>
          <w:rFonts w:ascii="Times New Roman" w:hAnsi="Times New Roman" w:cs="Times New Roman"/>
          <w:i/>
          <w:iCs/>
          <w:color w:val="000000" w:themeColor="text1"/>
          <w:lang/>
        </w:rPr>
        <w:t>Human Ecology, 29</w:t>
      </w:r>
      <w:r w:rsidRPr="005B05AD">
        <w:rPr>
          <w:rFonts w:ascii="Times New Roman" w:hAnsi="Times New Roman" w:cs="Times New Roman"/>
          <w:color w:val="000000" w:themeColor="text1"/>
          <w:lang/>
        </w:rPr>
        <w:t>(2), 187–218.</w:t>
      </w:r>
    </w:p>
    <w:p w14:paraId="6DC45694" w14:textId="26BE4C2F"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 </w:t>
      </w:r>
    </w:p>
    <w:p w14:paraId="203A6B12" w14:textId="077C7E0D"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Chandran, M. D. S., &amp; Hughes, J. D. (2000). Sacred groves and conservation: The comparative history of traditional reserves in the Mediterranean area and in South India. </w:t>
      </w:r>
      <w:r w:rsidRPr="005B05AD">
        <w:rPr>
          <w:rFonts w:ascii="Times New Roman" w:hAnsi="Times New Roman" w:cs="Times New Roman"/>
          <w:i/>
          <w:iCs/>
          <w:color w:val="000000" w:themeColor="text1"/>
          <w:lang/>
        </w:rPr>
        <w:t xml:space="preserve">Environment and History, 6 </w:t>
      </w:r>
      <w:r w:rsidRPr="005B05AD">
        <w:rPr>
          <w:rFonts w:ascii="Times New Roman" w:hAnsi="Times New Roman" w:cs="Times New Roman"/>
          <w:color w:val="000000" w:themeColor="text1"/>
          <w:lang/>
        </w:rPr>
        <w:t>(2), 169–186.</w:t>
      </w:r>
    </w:p>
    <w:p w14:paraId="618D9A78"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7C2A5C64" w14:textId="4DFC69CD"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Colding, J., &amp; Folke, C. (2001). Social taboos: “Invisible” systems of local resource management and biological conservation. </w:t>
      </w:r>
      <w:r w:rsidRPr="005B05AD">
        <w:rPr>
          <w:rFonts w:ascii="Times New Roman" w:hAnsi="Times New Roman" w:cs="Times New Roman"/>
          <w:i/>
          <w:iCs/>
          <w:color w:val="000000" w:themeColor="text1"/>
          <w:lang/>
        </w:rPr>
        <w:t>Ecological Applications, 11</w:t>
      </w:r>
      <w:r w:rsidRPr="005B05AD">
        <w:rPr>
          <w:rFonts w:ascii="Times New Roman" w:hAnsi="Times New Roman" w:cs="Times New Roman"/>
          <w:color w:val="000000" w:themeColor="text1"/>
          <w:lang/>
        </w:rPr>
        <w:t xml:space="preserve">(2), 584–600. </w:t>
      </w:r>
    </w:p>
    <w:p w14:paraId="13E29E14"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002753C8" w14:textId="6773B656"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Dudley, N., Higgins-Zogib, L., &amp; Mansourian, S. (2009). The links between protected areas, faiths, and sacred natural sites. </w:t>
      </w:r>
      <w:r w:rsidRPr="005B05AD">
        <w:rPr>
          <w:rFonts w:ascii="Times New Roman" w:hAnsi="Times New Roman" w:cs="Times New Roman"/>
          <w:i/>
          <w:iCs/>
          <w:color w:val="000000" w:themeColor="text1"/>
          <w:lang/>
        </w:rPr>
        <w:t>Conservation Biology, 23</w:t>
      </w:r>
      <w:r w:rsidRPr="005B05AD">
        <w:rPr>
          <w:rFonts w:ascii="Times New Roman" w:hAnsi="Times New Roman" w:cs="Times New Roman"/>
          <w:color w:val="000000" w:themeColor="text1"/>
          <w:lang/>
        </w:rPr>
        <w:t xml:space="preserve">(3), 568–577. </w:t>
      </w:r>
    </w:p>
    <w:p w14:paraId="112ACAB7"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7FC5BF0C" w14:textId="77777777"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Faleyimu, O. I., Agbeja, B. O., &amp; Akinyemi, O. (2013). Sacred groves in Nigeria: A case study of their conservation values. </w:t>
      </w:r>
      <w:r w:rsidRPr="005B05AD">
        <w:rPr>
          <w:rFonts w:ascii="Times New Roman" w:hAnsi="Times New Roman" w:cs="Times New Roman"/>
          <w:i/>
          <w:iCs/>
          <w:color w:val="000000" w:themeColor="text1"/>
          <w:lang/>
        </w:rPr>
        <w:t>International Journal of Biodiversity and Conservation, 5</w:t>
      </w:r>
      <w:r w:rsidRPr="005B05AD">
        <w:rPr>
          <w:rFonts w:ascii="Times New Roman" w:hAnsi="Times New Roman" w:cs="Times New Roman"/>
          <w:color w:val="000000" w:themeColor="text1"/>
          <w:lang/>
        </w:rPr>
        <w:t>(5), 306–313.</w:t>
      </w:r>
    </w:p>
    <w:p w14:paraId="38D3BABE"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0D46DC18" w14:textId="4DFEA34C"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Joppa, L. N., Loarie, S. R., &amp; Pimm, S. L. (2008). On the protection of “protected areas”. </w:t>
      </w:r>
      <w:r w:rsidRPr="005B05AD">
        <w:rPr>
          <w:rFonts w:ascii="Times New Roman" w:hAnsi="Times New Roman" w:cs="Times New Roman"/>
          <w:i/>
          <w:iCs/>
          <w:color w:val="000000" w:themeColor="text1"/>
          <w:lang/>
        </w:rPr>
        <w:t>Proceedings of the National Academy of Sciences, 105</w:t>
      </w:r>
      <w:r w:rsidRPr="005B05AD">
        <w:rPr>
          <w:rFonts w:ascii="Times New Roman" w:hAnsi="Times New Roman" w:cs="Times New Roman"/>
          <w:color w:val="000000" w:themeColor="text1"/>
          <w:lang/>
        </w:rPr>
        <w:t xml:space="preserve">(18), 6673–6678. </w:t>
      </w:r>
    </w:p>
    <w:p w14:paraId="4C0930B4"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6CC020AA" w14:textId="503F3C0E" w:rsidR="00B770EA" w:rsidRPr="005B05AD" w:rsidRDefault="00B27136" w:rsidP="00A634D0">
      <w:pPr>
        <w:spacing w:after="0" w:line="240" w:lineRule="auto"/>
        <w:jc w:val="both"/>
        <w:rPr>
          <w:rFonts w:ascii="Times New Roman" w:hAnsi="Times New Roman" w:cs="Times New Roman"/>
          <w:color w:val="000000" w:themeColor="text1"/>
          <w:lang w:val="en-US"/>
        </w:rPr>
      </w:pPr>
      <w:r w:rsidRPr="005B05AD">
        <w:rPr>
          <w:rFonts w:ascii="Times New Roman" w:hAnsi="Times New Roman" w:cs="Times New Roman"/>
          <w:color w:val="000000" w:themeColor="text1"/>
          <w:lang/>
        </w:rPr>
        <w:t>Lar, Isaac B. 2015 Autochthonous Tarok Orature and Heroic Character Formation: A Neglected Link to Modernism.</w:t>
      </w:r>
      <w:r w:rsidRPr="005B05AD">
        <w:rPr>
          <w:rFonts w:ascii="Times New Roman" w:hAnsi="Times New Roman" w:cs="Times New Roman"/>
          <w:b/>
          <w:bCs/>
          <w:color w:val="000000" w:themeColor="text1"/>
          <w:lang/>
        </w:rPr>
        <w:t xml:space="preserve"> </w:t>
      </w:r>
      <w:r w:rsidRPr="005B05AD">
        <w:rPr>
          <w:rFonts w:ascii="Times New Roman" w:hAnsi="Times New Roman" w:cs="Times New Roman"/>
          <w:color w:val="000000" w:themeColor="text1"/>
          <w:lang/>
        </w:rPr>
        <w:t>Inaugural Lecture 68: Autochthonous Tarok orature and Heroism.</w:t>
      </w:r>
      <w:r w:rsidRPr="005B05AD">
        <w:rPr>
          <w:rFonts w:ascii="Times New Roman" w:hAnsi="Times New Roman" w:cs="Times New Roman"/>
          <w:color w:val="000000" w:themeColor="text1"/>
          <w:lang w:val="en-US"/>
        </w:rPr>
        <w:t xml:space="preserve">                    </w:t>
      </w:r>
    </w:p>
    <w:p w14:paraId="1F05FE8B" w14:textId="77777777" w:rsidR="004F0EC0" w:rsidRPr="005B05AD" w:rsidRDefault="004F0EC0" w:rsidP="00A634D0">
      <w:pPr>
        <w:spacing w:after="0" w:line="240" w:lineRule="auto"/>
        <w:jc w:val="both"/>
        <w:rPr>
          <w:rFonts w:ascii="Times New Roman" w:hAnsi="Times New Roman" w:cs="Times New Roman"/>
          <w:color w:val="000000" w:themeColor="text1"/>
          <w:lang/>
        </w:rPr>
      </w:pPr>
    </w:p>
    <w:p w14:paraId="70593C1B" w14:textId="1749293F" w:rsidR="00A13E3D" w:rsidRPr="005B05AD" w:rsidRDefault="00A13E3D"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Longtau, Selbut R. 1991. Linguistic Evidence on the Origins of Peoples: The case of the Tarok people of Plateau State (Nigeria). </w:t>
      </w:r>
      <w:r w:rsidRPr="005B05AD">
        <w:rPr>
          <w:rFonts w:ascii="Times New Roman" w:hAnsi="Times New Roman" w:cs="Times New Roman"/>
          <w:i/>
          <w:iCs/>
          <w:color w:val="000000" w:themeColor="text1"/>
          <w:lang/>
        </w:rPr>
        <w:t>Afrika und Übersee</w:t>
      </w:r>
      <w:r w:rsidRPr="005B05AD">
        <w:rPr>
          <w:rFonts w:ascii="Times New Roman" w:hAnsi="Times New Roman" w:cs="Times New Roman"/>
          <w:color w:val="000000" w:themeColor="text1"/>
          <w:lang/>
        </w:rPr>
        <w:t>, 74:191-204.</w:t>
      </w:r>
    </w:p>
    <w:p w14:paraId="2E6BF5C3"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3FD77F7D" w14:textId="77777777"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Malczewski, J. (1999). </w:t>
      </w:r>
      <w:r w:rsidRPr="005B05AD">
        <w:rPr>
          <w:rFonts w:ascii="Times New Roman" w:hAnsi="Times New Roman" w:cs="Times New Roman"/>
          <w:i/>
          <w:iCs/>
          <w:color w:val="000000" w:themeColor="text1"/>
          <w:lang/>
        </w:rPr>
        <w:t>GIS and multicriteria decision analysis</w:t>
      </w:r>
      <w:r w:rsidRPr="005B05AD">
        <w:rPr>
          <w:rFonts w:ascii="Times New Roman" w:hAnsi="Times New Roman" w:cs="Times New Roman"/>
          <w:color w:val="000000" w:themeColor="text1"/>
          <w:lang/>
        </w:rPr>
        <w:t>. John Wiley &amp; Sons.</w:t>
      </w:r>
    </w:p>
    <w:p w14:paraId="2644B3FA"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4942A42B" w14:textId="77777777"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Millennium Ecosystem Assessment. (2005). </w:t>
      </w:r>
      <w:r w:rsidRPr="005B05AD">
        <w:rPr>
          <w:rFonts w:ascii="Times New Roman" w:hAnsi="Times New Roman" w:cs="Times New Roman"/>
          <w:i/>
          <w:iCs/>
          <w:color w:val="000000" w:themeColor="text1"/>
          <w:lang/>
        </w:rPr>
        <w:t>Ecosystems and human well-being: Biodiversity synthesis</w:t>
      </w:r>
      <w:r w:rsidRPr="005B05AD">
        <w:rPr>
          <w:rFonts w:ascii="Times New Roman" w:hAnsi="Times New Roman" w:cs="Times New Roman"/>
          <w:color w:val="000000" w:themeColor="text1"/>
          <w:lang/>
        </w:rPr>
        <w:t>. World Resources Institute.</w:t>
      </w:r>
    </w:p>
    <w:p w14:paraId="414E6F24"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45FCD2FF" w14:textId="48D77150" w:rsidR="002B4995" w:rsidRPr="005B05AD" w:rsidRDefault="002B4995"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Oliver, J., and Norberg, M.M. (2010). Positively Skewed Data: Revisiting the Box-Cox Power Transformation. </w:t>
      </w:r>
      <w:r w:rsidRPr="005B05AD">
        <w:rPr>
          <w:rFonts w:ascii="Times New Roman" w:hAnsi="Times New Roman" w:cs="Times New Roman"/>
          <w:i/>
          <w:iCs/>
          <w:color w:val="000000" w:themeColor="text1"/>
          <w:lang/>
        </w:rPr>
        <w:t>International Journal of Psychological Research</w:t>
      </w:r>
      <w:r w:rsidRPr="005B05AD">
        <w:rPr>
          <w:rFonts w:ascii="Times New Roman" w:hAnsi="Times New Roman" w:cs="Times New Roman"/>
          <w:color w:val="000000" w:themeColor="text1"/>
          <w:lang/>
        </w:rPr>
        <w:t>, vol. 3, 1. pp. 68-95</w:t>
      </w:r>
    </w:p>
    <w:p w14:paraId="2610F019"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63479C6D" w14:textId="3CCB6B62"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Osemeobo, G. J. (1994). The role of taboo in the management of Edo forest reserves in Benin City, Nigeria. </w:t>
      </w:r>
      <w:r w:rsidRPr="005B05AD">
        <w:rPr>
          <w:rFonts w:ascii="Times New Roman" w:hAnsi="Times New Roman" w:cs="Times New Roman"/>
          <w:i/>
          <w:iCs/>
          <w:color w:val="000000" w:themeColor="text1"/>
          <w:lang/>
        </w:rPr>
        <w:t>Forest Ecology and Management, 68</w:t>
      </w:r>
      <w:r w:rsidRPr="005B05AD">
        <w:rPr>
          <w:rFonts w:ascii="Times New Roman" w:hAnsi="Times New Roman" w:cs="Times New Roman"/>
          <w:color w:val="000000" w:themeColor="text1"/>
          <w:lang/>
        </w:rPr>
        <w:t xml:space="preserve">(2–3), 237–246. </w:t>
      </w:r>
    </w:p>
    <w:p w14:paraId="55C91684"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4D48DE82" w14:textId="77777777"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Oyelowo, O. J., &amp; Aduradola, A. M. (2017). Sacred groves and biodiversity conservation in Nigeria. </w:t>
      </w:r>
      <w:r w:rsidRPr="005B05AD">
        <w:rPr>
          <w:rFonts w:ascii="Times New Roman" w:hAnsi="Times New Roman" w:cs="Times New Roman"/>
          <w:i/>
          <w:iCs/>
          <w:color w:val="000000" w:themeColor="text1"/>
          <w:lang/>
        </w:rPr>
        <w:t>Journal of Environmental Management and Safety, 8</w:t>
      </w:r>
      <w:r w:rsidRPr="005B05AD">
        <w:rPr>
          <w:rFonts w:ascii="Times New Roman" w:hAnsi="Times New Roman" w:cs="Times New Roman"/>
          <w:color w:val="000000" w:themeColor="text1"/>
          <w:lang/>
        </w:rPr>
        <w:t>(1), 55–66.</w:t>
      </w:r>
    </w:p>
    <w:p w14:paraId="0A6D6501"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7F8D040E" w14:textId="77777777"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Ramakrishnan, P. S. (1996). Conserving the sacred: From species to landscapes. </w:t>
      </w:r>
      <w:r w:rsidRPr="005B05AD">
        <w:rPr>
          <w:rFonts w:ascii="Times New Roman" w:hAnsi="Times New Roman" w:cs="Times New Roman"/>
          <w:i/>
          <w:iCs/>
          <w:color w:val="000000" w:themeColor="text1"/>
          <w:lang/>
        </w:rPr>
        <w:t>Nature &amp; Resources, 32</w:t>
      </w:r>
      <w:r w:rsidRPr="005B05AD">
        <w:rPr>
          <w:rFonts w:ascii="Times New Roman" w:hAnsi="Times New Roman" w:cs="Times New Roman"/>
          <w:color w:val="000000" w:themeColor="text1"/>
          <w:lang/>
        </w:rPr>
        <w:t>(1), 11–19.</w:t>
      </w:r>
    </w:p>
    <w:p w14:paraId="26BF5D8E"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6C6DDC77" w14:textId="3D09386A" w:rsidR="00423805" w:rsidRPr="005B05AD" w:rsidRDefault="00423805"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Shashi, S. B. Dwarakish G S. and Kiran K B (2015). GIS for Conservation of Sacred Groves of Kodagu District – A Traditional Culture. International Journal of Earth Sciences and Engineering.  Vol. 08, No. 02. Pp 377-385.</w:t>
      </w:r>
    </w:p>
    <w:p w14:paraId="2BB9689C" w14:textId="77777777" w:rsidR="00423805" w:rsidRPr="005B05AD" w:rsidRDefault="00423805" w:rsidP="00A634D0">
      <w:pPr>
        <w:spacing w:after="0" w:line="240" w:lineRule="auto"/>
        <w:jc w:val="both"/>
        <w:rPr>
          <w:rFonts w:ascii="Times New Roman" w:hAnsi="Times New Roman" w:cs="Times New Roman"/>
          <w:color w:val="000000" w:themeColor="text1"/>
          <w:lang/>
        </w:rPr>
      </w:pPr>
    </w:p>
    <w:p w14:paraId="5FE17D54" w14:textId="5CF485AF" w:rsidR="00DA75A8"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Sheridan, M. J., &amp; Nyamweru, C. (Eds.). (2007). </w:t>
      </w:r>
      <w:r w:rsidRPr="005B05AD">
        <w:rPr>
          <w:rFonts w:ascii="Times New Roman" w:hAnsi="Times New Roman" w:cs="Times New Roman"/>
          <w:i/>
          <w:iCs/>
          <w:color w:val="000000" w:themeColor="text1"/>
          <w:lang/>
        </w:rPr>
        <w:t>African sacred groves: Ecological dynamics and social change</w:t>
      </w:r>
      <w:r w:rsidRPr="005B05AD">
        <w:rPr>
          <w:rFonts w:ascii="Times New Roman" w:hAnsi="Times New Roman" w:cs="Times New Roman"/>
          <w:color w:val="000000" w:themeColor="text1"/>
          <w:lang/>
        </w:rPr>
        <w:t>. James Currey.</w:t>
      </w:r>
    </w:p>
    <w:p w14:paraId="198F601B" w14:textId="77777777" w:rsidR="00541082" w:rsidRPr="005B05AD" w:rsidRDefault="00541082" w:rsidP="00A634D0">
      <w:pPr>
        <w:spacing w:after="0" w:line="240" w:lineRule="auto"/>
        <w:jc w:val="both"/>
        <w:rPr>
          <w:rFonts w:ascii="Times New Roman" w:hAnsi="Times New Roman" w:cs="Times New Roman"/>
          <w:color w:val="000000" w:themeColor="text1"/>
          <w:lang/>
        </w:rPr>
      </w:pPr>
    </w:p>
    <w:p w14:paraId="6358F431" w14:textId="18945F7F" w:rsidR="00CA3550" w:rsidRPr="005B05AD" w:rsidRDefault="00DA75A8" w:rsidP="00A634D0">
      <w:pPr>
        <w:spacing w:after="0" w:line="240" w:lineRule="auto"/>
        <w:jc w:val="both"/>
        <w:rPr>
          <w:rFonts w:ascii="Times New Roman" w:hAnsi="Times New Roman" w:cs="Times New Roman"/>
          <w:color w:val="000000" w:themeColor="text1"/>
          <w:lang/>
        </w:rPr>
      </w:pPr>
      <w:r w:rsidRPr="005B05AD">
        <w:rPr>
          <w:rFonts w:ascii="Times New Roman" w:hAnsi="Times New Roman" w:cs="Times New Roman"/>
          <w:color w:val="000000" w:themeColor="text1"/>
          <w:lang/>
        </w:rPr>
        <w:t xml:space="preserve">Sutton, T., Dassau, O., &amp; Sutton, M. (2009). </w:t>
      </w:r>
      <w:r w:rsidRPr="005B05AD">
        <w:rPr>
          <w:rFonts w:ascii="Times New Roman" w:hAnsi="Times New Roman" w:cs="Times New Roman"/>
          <w:i/>
          <w:iCs/>
          <w:color w:val="000000" w:themeColor="text1"/>
          <w:lang/>
        </w:rPr>
        <w:t>A gentle introduction to GIS</w:t>
      </w:r>
      <w:r w:rsidRPr="005B05AD">
        <w:rPr>
          <w:rFonts w:ascii="Times New Roman" w:hAnsi="Times New Roman" w:cs="Times New Roman"/>
          <w:color w:val="000000" w:themeColor="text1"/>
          <w:lang/>
        </w:rPr>
        <w:t>. Chief Directorate: Spatial Planning &amp; Information, Eastern Cape.</w:t>
      </w:r>
    </w:p>
    <w:sectPr w:rsidR="00CA3550" w:rsidRPr="005B05A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60C18" w14:textId="77777777" w:rsidR="00090981" w:rsidRDefault="00090981" w:rsidP="00EB7DB6">
      <w:pPr>
        <w:spacing w:after="0" w:line="240" w:lineRule="auto"/>
      </w:pPr>
      <w:r>
        <w:separator/>
      </w:r>
    </w:p>
  </w:endnote>
  <w:endnote w:type="continuationSeparator" w:id="0">
    <w:p w14:paraId="2263E2DF" w14:textId="77777777" w:rsidR="00090981" w:rsidRDefault="00090981" w:rsidP="00EB7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AdvTTb8864ccf.B">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306077"/>
      <w:docPartObj>
        <w:docPartGallery w:val="Page Numbers (Bottom of Page)"/>
        <w:docPartUnique/>
      </w:docPartObj>
    </w:sdtPr>
    <w:sdtEndPr>
      <w:rPr>
        <w:noProof/>
      </w:rPr>
    </w:sdtEndPr>
    <w:sdtContent>
      <w:p w14:paraId="19056B8A" w14:textId="42464FAE" w:rsidR="00EB7DB6" w:rsidRDefault="00EB7D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093BEC" w14:textId="77777777" w:rsidR="00EB7DB6" w:rsidRDefault="00EB7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6AA51" w14:textId="77777777" w:rsidR="00090981" w:rsidRDefault="00090981" w:rsidP="00EB7DB6">
      <w:pPr>
        <w:spacing w:after="0" w:line="240" w:lineRule="auto"/>
      </w:pPr>
      <w:r>
        <w:separator/>
      </w:r>
    </w:p>
  </w:footnote>
  <w:footnote w:type="continuationSeparator" w:id="0">
    <w:p w14:paraId="6DFC9717" w14:textId="77777777" w:rsidR="00090981" w:rsidRDefault="00090981" w:rsidP="00EB7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06125"/>
    <w:multiLevelType w:val="multilevel"/>
    <w:tmpl w:val="3368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A77FD"/>
    <w:multiLevelType w:val="multilevel"/>
    <w:tmpl w:val="0BD8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0503A"/>
    <w:multiLevelType w:val="multilevel"/>
    <w:tmpl w:val="1696C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41EC8"/>
    <w:multiLevelType w:val="multilevel"/>
    <w:tmpl w:val="4E60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2130E"/>
    <w:multiLevelType w:val="multilevel"/>
    <w:tmpl w:val="EDDA4288"/>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718DB"/>
    <w:multiLevelType w:val="multilevel"/>
    <w:tmpl w:val="49967CE2"/>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E29DB"/>
    <w:multiLevelType w:val="multilevel"/>
    <w:tmpl w:val="BDF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653E6"/>
    <w:multiLevelType w:val="multilevel"/>
    <w:tmpl w:val="EE3C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3243D"/>
    <w:multiLevelType w:val="multilevel"/>
    <w:tmpl w:val="D8A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74168"/>
    <w:multiLevelType w:val="multilevel"/>
    <w:tmpl w:val="EAF0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A44A5"/>
    <w:multiLevelType w:val="multilevel"/>
    <w:tmpl w:val="4530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04B75"/>
    <w:multiLevelType w:val="multilevel"/>
    <w:tmpl w:val="0956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705C0"/>
    <w:multiLevelType w:val="multilevel"/>
    <w:tmpl w:val="A0AA2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FA1772"/>
    <w:multiLevelType w:val="multilevel"/>
    <w:tmpl w:val="2762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F22BA"/>
    <w:multiLevelType w:val="multilevel"/>
    <w:tmpl w:val="01CC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DE07A9"/>
    <w:multiLevelType w:val="multilevel"/>
    <w:tmpl w:val="41BC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C5611"/>
    <w:multiLevelType w:val="multilevel"/>
    <w:tmpl w:val="027E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46390"/>
    <w:multiLevelType w:val="multilevel"/>
    <w:tmpl w:val="8F1CB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3086B"/>
    <w:multiLevelType w:val="multilevel"/>
    <w:tmpl w:val="44E0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4605F"/>
    <w:multiLevelType w:val="multilevel"/>
    <w:tmpl w:val="B416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D3D65"/>
    <w:multiLevelType w:val="multilevel"/>
    <w:tmpl w:val="3C16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DF0B4D"/>
    <w:multiLevelType w:val="multilevel"/>
    <w:tmpl w:val="8C2C1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2E26BD"/>
    <w:multiLevelType w:val="multilevel"/>
    <w:tmpl w:val="B08A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8635D1"/>
    <w:multiLevelType w:val="multilevel"/>
    <w:tmpl w:val="B14E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47D7A"/>
    <w:multiLevelType w:val="multilevel"/>
    <w:tmpl w:val="F7AC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484681"/>
    <w:multiLevelType w:val="multilevel"/>
    <w:tmpl w:val="F94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B95252"/>
    <w:multiLevelType w:val="multilevel"/>
    <w:tmpl w:val="999A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D471AA"/>
    <w:multiLevelType w:val="multilevel"/>
    <w:tmpl w:val="BFD2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BA67BE"/>
    <w:multiLevelType w:val="multilevel"/>
    <w:tmpl w:val="4EC0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553C1"/>
    <w:multiLevelType w:val="multilevel"/>
    <w:tmpl w:val="9EFE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B332EC"/>
    <w:multiLevelType w:val="multilevel"/>
    <w:tmpl w:val="9A08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BF3670"/>
    <w:multiLevelType w:val="multilevel"/>
    <w:tmpl w:val="34B6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DA7ED4"/>
    <w:multiLevelType w:val="multilevel"/>
    <w:tmpl w:val="A7CE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652547"/>
    <w:multiLevelType w:val="multilevel"/>
    <w:tmpl w:val="7692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927A4A"/>
    <w:multiLevelType w:val="multilevel"/>
    <w:tmpl w:val="7BDA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886A3F"/>
    <w:multiLevelType w:val="multilevel"/>
    <w:tmpl w:val="61FA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EF51F7"/>
    <w:multiLevelType w:val="multilevel"/>
    <w:tmpl w:val="56D8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8D7E92"/>
    <w:multiLevelType w:val="multilevel"/>
    <w:tmpl w:val="F6360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6D1F50"/>
    <w:multiLevelType w:val="multilevel"/>
    <w:tmpl w:val="E10C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641477"/>
    <w:multiLevelType w:val="multilevel"/>
    <w:tmpl w:val="56986BF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84566D"/>
    <w:multiLevelType w:val="multilevel"/>
    <w:tmpl w:val="D9A8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8734D1"/>
    <w:multiLevelType w:val="multilevel"/>
    <w:tmpl w:val="C1F8D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49453E8"/>
    <w:multiLevelType w:val="multilevel"/>
    <w:tmpl w:val="65B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FC68FA"/>
    <w:multiLevelType w:val="multilevel"/>
    <w:tmpl w:val="3ABA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6216A7"/>
    <w:multiLevelType w:val="multilevel"/>
    <w:tmpl w:val="5136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823780"/>
    <w:multiLevelType w:val="multilevel"/>
    <w:tmpl w:val="91E6C74A"/>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BC245F"/>
    <w:multiLevelType w:val="multilevel"/>
    <w:tmpl w:val="20EC6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6D3A54"/>
    <w:multiLevelType w:val="multilevel"/>
    <w:tmpl w:val="EA40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11642">
    <w:abstractNumId w:val="41"/>
  </w:num>
  <w:num w:numId="2" w16cid:durableId="556628808">
    <w:abstractNumId w:val="37"/>
  </w:num>
  <w:num w:numId="3" w16cid:durableId="2049448822">
    <w:abstractNumId w:val="35"/>
  </w:num>
  <w:num w:numId="4" w16cid:durableId="1766262054">
    <w:abstractNumId w:val="13"/>
  </w:num>
  <w:num w:numId="5" w16cid:durableId="1934972924">
    <w:abstractNumId w:val="19"/>
  </w:num>
  <w:num w:numId="6" w16cid:durableId="1082605382">
    <w:abstractNumId w:val="16"/>
  </w:num>
  <w:num w:numId="7" w16cid:durableId="1944796302">
    <w:abstractNumId w:val="10"/>
  </w:num>
  <w:num w:numId="8" w16cid:durableId="628048603">
    <w:abstractNumId w:val="28"/>
  </w:num>
  <w:num w:numId="9" w16cid:durableId="322585208">
    <w:abstractNumId w:val="8"/>
  </w:num>
  <w:num w:numId="10" w16cid:durableId="579144804">
    <w:abstractNumId w:val="18"/>
  </w:num>
  <w:num w:numId="11" w16cid:durableId="1947929669">
    <w:abstractNumId w:val="6"/>
  </w:num>
  <w:num w:numId="12" w16cid:durableId="1917209244">
    <w:abstractNumId w:val="42"/>
  </w:num>
  <w:num w:numId="13" w16cid:durableId="1145584815">
    <w:abstractNumId w:val="7"/>
  </w:num>
  <w:num w:numId="14" w16cid:durableId="1609921782">
    <w:abstractNumId w:val="24"/>
  </w:num>
  <w:num w:numId="15" w16cid:durableId="1939436155">
    <w:abstractNumId w:val="27"/>
  </w:num>
  <w:num w:numId="16" w16cid:durableId="863521589">
    <w:abstractNumId w:val="20"/>
  </w:num>
  <w:num w:numId="17" w16cid:durableId="164320290">
    <w:abstractNumId w:val="47"/>
  </w:num>
  <w:num w:numId="18" w16cid:durableId="1457138510">
    <w:abstractNumId w:val="36"/>
  </w:num>
  <w:num w:numId="19" w16cid:durableId="415321627">
    <w:abstractNumId w:val="11"/>
  </w:num>
  <w:num w:numId="20" w16cid:durableId="1141271360">
    <w:abstractNumId w:val="22"/>
  </w:num>
  <w:num w:numId="21" w16cid:durableId="871722445">
    <w:abstractNumId w:val="33"/>
  </w:num>
  <w:num w:numId="22" w16cid:durableId="1651591491">
    <w:abstractNumId w:val="14"/>
  </w:num>
  <w:num w:numId="23" w16cid:durableId="361636979">
    <w:abstractNumId w:val="29"/>
  </w:num>
  <w:num w:numId="24" w16cid:durableId="1240945854">
    <w:abstractNumId w:val="9"/>
  </w:num>
  <w:num w:numId="25" w16cid:durableId="1386837633">
    <w:abstractNumId w:val="32"/>
  </w:num>
  <w:num w:numId="26" w16cid:durableId="655450804">
    <w:abstractNumId w:val="2"/>
  </w:num>
  <w:num w:numId="27" w16cid:durableId="428939273">
    <w:abstractNumId w:val="43"/>
  </w:num>
  <w:num w:numId="28" w16cid:durableId="99954932">
    <w:abstractNumId w:val="26"/>
  </w:num>
  <w:num w:numId="29" w16cid:durableId="1227180358">
    <w:abstractNumId w:val="25"/>
  </w:num>
  <w:num w:numId="30" w16cid:durableId="2103143321">
    <w:abstractNumId w:val="34"/>
  </w:num>
  <w:num w:numId="31" w16cid:durableId="1245916194">
    <w:abstractNumId w:val="3"/>
  </w:num>
  <w:num w:numId="32" w16cid:durableId="1391270663">
    <w:abstractNumId w:val="31"/>
  </w:num>
  <w:num w:numId="33" w16cid:durableId="1819299315">
    <w:abstractNumId w:val="0"/>
  </w:num>
  <w:num w:numId="34" w16cid:durableId="526017803">
    <w:abstractNumId w:val="12"/>
  </w:num>
  <w:num w:numId="35" w16cid:durableId="1949196997">
    <w:abstractNumId w:val="17"/>
  </w:num>
  <w:num w:numId="36" w16cid:durableId="21174644">
    <w:abstractNumId w:val="40"/>
  </w:num>
  <w:num w:numId="37" w16cid:durableId="178547889">
    <w:abstractNumId w:val="23"/>
  </w:num>
  <w:num w:numId="38" w16cid:durableId="298070032">
    <w:abstractNumId w:val="4"/>
  </w:num>
  <w:num w:numId="39" w16cid:durableId="90318868">
    <w:abstractNumId w:val="1"/>
  </w:num>
  <w:num w:numId="40" w16cid:durableId="964962999">
    <w:abstractNumId w:val="30"/>
  </w:num>
  <w:num w:numId="41" w16cid:durableId="2041396937">
    <w:abstractNumId w:val="38"/>
  </w:num>
  <w:num w:numId="42" w16cid:durableId="1685743689">
    <w:abstractNumId w:val="44"/>
  </w:num>
  <w:num w:numId="43" w16cid:durableId="1461340438">
    <w:abstractNumId w:val="45"/>
  </w:num>
  <w:num w:numId="44" w16cid:durableId="74132691">
    <w:abstractNumId w:val="5"/>
  </w:num>
  <w:num w:numId="45" w16cid:durableId="1386367300">
    <w:abstractNumId w:val="46"/>
  </w:num>
  <w:num w:numId="46" w16cid:durableId="865943273">
    <w:abstractNumId w:val="21"/>
  </w:num>
  <w:num w:numId="47" w16cid:durableId="1068267221">
    <w:abstractNumId w:val="39"/>
  </w:num>
  <w:num w:numId="48" w16cid:durableId="2375236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31B"/>
    <w:rsid w:val="00000996"/>
    <w:rsid w:val="00002671"/>
    <w:rsid w:val="00004682"/>
    <w:rsid w:val="00015EA6"/>
    <w:rsid w:val="00037C98"/>
    <w:rsid w:val="00044C74"/>
    <w:rsid w:val="00050CF7"/>
    <w:rsid w:val="000530F9"/>
    <w:rsid w:val="000572E2"/>
    <w:rsid w:val="00061554"/>
    <w:rsid w:val="00063D09"/>
    <w:rsid w:val="00067FE3"/>
    <w:rsid w:val="00070591"/>
    <w:rsid w:val="00071590"/>
    <w:rsid w:val="000747D0"/>
    <w:rsid w:val="000829CC"/>
    <w:rsid w:val="00090981"/>
    <w:rsid w:val="00092BDF"/>
    <w:rsid w:val="00094188"/>
    <w:rsid w:val="000962D5"/>
    <w:rsid w:val="00096DB4"/>
    <w:rsid w:val="000A5EDF"/>
    <w:rsid w:val="000B4AE9"/>
    <w:rsid w:val="000C2FB0"/>
    <w:rsid w:val="000C60FA"/>
    <w:rsid w:val="000E7D5D"/>
    <w:rsid w:val="000F4321"/>
    <w:rsid w:val="000F6BDA"/>
    <w:rsid w:val="00102148"/>
    <w:rsid w:val="00102CEA"/>
    <w:rsid w:val="0011129D"/>
    <w:rsid w:val="0012480E"/>
    <w:rsid w:val="00126C25"/>
    <w:rsid w:val="00133205"/>
    <w:rsid w:val="00133ACF"/>
    <w:rsid w:val="00134C55"/>
    <w:rsid w:val="00152839"/>
    <w:rsid w:val="001566C6"/>
    <w:rsid w:val="00164766"/>
    <w:rsid w:val="00166EAE"/>
    <w:rsid w:val="00170700"/>
    <w:rsid w:val="00177C39"/>
    <w:rsid w:val="00177FFD"/>
    <w:rsid w:val="001873C6"/>
    <w:rsid w:val="001939B5"/>
    <w:rsid w:val="001B3EF7"/>
    <w:rsid w:val="001B4945"/>
    <w:rsid w:val="001B6E6D"/>
    <w:rsid w:val="001C214E"/>
    <w:rsid w:val="001C3F25"/>
    <w:rsid w:val="001D0B59"/>
    <w:rsid w:val="001E06F1"/>
    <w:rsid w:val="001F14C1"/>
    <w:rsid w:val="001F3F37"/>
    <w:rsid w:val="001F5294"/>
    <w:rsid w:val="001F58FF"/>
    <w:rsid w:val="001F7DAD"/>
    <w:rsid w:val="00201BC4"/>
    <w:rsid w:val="00214FD5"/>
    <w:rsid w:val="00220CDA"/>
    <w:rsid w:val="00220D82"/>
    <w:rsid w:val="0023244D"/>
    <w:rsid w:val="00234C08"/>
    <w:rsid w:val="0023719F"/>
    <w:rsid w:val="002427E5"/>
    <w:rsid w:val="0025337C"/>
    <w:rsid w:val="00253ED5"/>
    <w:rsid w:val="00255B74"/>
    <w:rsid w:val="00260DA6"/>
    <w:rsid w:val="002613FF"/>
    <w:rsid w:val="0027104B"/>
    <w:rsid w:val="00272620"/>
    <w:rsid w:val="002811C0"/>
    <w:rsid w:val="00282F4D"/>
    <w:rsid w:val="00283CD5"/>
    <w:rsid w:val="002872E1"/>
    <w:rsid w:val="00295313"/>
    <w:rsid w:val="00295E21"/>
    <w:rsid w:val="002A41EB"/>
    <w:rsid w:val="002A6659"/>
    <w:rsid w:val="002B3B60"/>
    <w:rsid w:val="002B4995"/>
    <w:rsid w:val="002C1494"/>
    <w:rsid w:val="002C1715"/>
    <w:rsid w:val="002E30E8"/>
    <w:rsid w:val="002E50A9"/>
    <w:rsid w:val="002E7E47"/>
    <w:rsid w:val="002F289D"/>
    <w:rsid w:val="00311289"/>
    <w:rsid w:val="003168FC"/>
    <w:rsid w:val="00327561"/>
    <w:rsid w:val="00347386"/>
    <w:rsid w:val="00350BC0"/>
    <w:rsid w:val="00351344"/>
    <w:rsid w:val="0035134A"/>
    <w:rsid w:val="00360EA7"/>
    <w:rsid w:val="00363963"/>
    <w:rsid w:val="003720B3"/>
    <w:rsid w:val="003732E1"/>
    <w:rsid w:val="00376271"/>
    <w:rsid w:val="00387DC9"/>
    <w:rsid w:val="0039062E"/>
    <w:rsid w:val="0039101F"/>
    <w:rsid w:val="00395B2A"/>
    <w:rsid w:val="003A6763"/>
    <w:rsid w:val="003A7F6A"/>
    <w:rsid w:val="003B70D5"/>
    <w:rsid w:val="003C228D"/>
    <w:rsid w:val="003C32DA"/>
    <w:rsid w:val="003C4762"/>
    <w:rsid w:val="003C4B82"/>
    <w:rsid w:val="003D0BD8"/>
    <w:rsid w:val="003D20D4"/>
    <w:rsid w:val="003D559B"/>
    <w:rsid w:val="003D68CC"/>
    <w:rsid w:val="003D7AA8"/>
    <w:rsid w:val="003E384A"/>
    <w:rsid w:val="003E4D23"/>
    <w:rsid w:val="003E6272"/>
    <w:rsid w:val="003E7406"/>
    <w:rsid w:val="003F7DBF"/>
    <w:rsid w:val="00403B78"/>
    <w:rsid w:val="00404F1F"/>
    <w:rsid w:val="00411155"/>
    <w:rsid w:val="0041352F"/>
    <w:rsid w:val="004144DD"/>
    <w:rsid w:val="00423805"/>
    <w:rsid w:val="0043081D"/>
    <w:rsid w:val="00437E3E"/>
    <w:rsid w:val="004513CA"/>
    <w:rsid w:val="00455EFA"/>
    <w:rsid w:val="004568D4"/>
    <w:rsid w:val="004617B7"/>
    <w:rsid w:val="00461918"/>
    <w:rsid w:val="00462382"/>
    <w:rsid w:val="0046252B"/>
    <w:rsid w:val="00463015"/>
    <w:rsid w:val="004642D9"/>
    <w:rsid w:val="004647FC"/>
    <w:rsid w:val="004704A4"/>
    <w:rsid w:val="00473534"/>
    <w:rsid w:val="004844C8"/>
    <w:rsid w:val="004846AB"/>
    <w:rsid w:val="004855C4"/>
    <w:rsid w:val="0048704C"/>
    <w:rsid w:val="00495AC7"/>
    <w:rsid w:val="004A3761"/>
    <w:rsid w:val="004A5A45"/>
    <w:rsid w:val="004B15E2"/>
    <w:rsid w:val="004B2D43"/>
    <w:rsid w:val="004C0057"/>
    <w:rsid w:val="004C1B30"/>
    <w:rsid w:val="004C44AF"/>
    <w:rsid w:val="004D120C"/>
    <w:rsid w:val="004D5E6D"/>
    <w:rsid w:val="004D7DCF"/>
    <w:rsid w:val="004E2AFE"/>
    <w:rsid w:val="004E446E"/>
    <w:rsid w:val="004E7A81"/>
    <w:rsid w:val="004F0EC0"/>
    <w:rsid w:val="00514585"/>
    <w:rsid w:val="0052136B"/>
    <w:rsid w:val="00524F68"/>
    <w:rsid w:val="00526DEF"/>
    <w:rsid w:val="00540AE8"/>
    <w:rsid w:val="00541082"/>
    <w:rsid w:val="005526FE"/>
    <w:rsid w:val="0055320E"/>
    <w:rsid w:val="00560D73"/>
    <w:rsid w:val="005651C1"/>
    <w:rsid w:val="005663E0"/>
    <w:rsid w:val="00567B06"/>
    <w:rsid w:val="00572A36"/>
    <w:rsid w:val="00576F28"/>
    <w:rsid w:val="005866F7"/>
    <w:rsid w:val="005A0F46"/>
    <w:rsid w:val="005A6924"/>
    <w:rsid w:val="005A6FAC"/>
    <w:rsid w:val="005B05AD"/>
    <w:rsid w:val="005B1217"/>
    <w:rsid w:val="005C3C7B"/>
    <w:rsid w:val="005D622E"/>
    <w:rsid w:val="005D68C1"/>
    <w:rsid w:val="005D6E68"/>
    <w:rsid w:val="005E27BA"/>
    <w:rsid w:val="005E2CAE"/>
    <w:rsid w:val="005E7E4E"/>
    <w:rsid w:val="005F3DDC"/>
    <w:rsid w:val="005F5A82"/>
    <w:rsid w:val="00601C0A"/>
    <w:rsid w:val="00605514"/>
    <w:rsid w:val="006072B7"/>
    <w:rsid w:val="00610237"/>
    <w:rsid w:val="006118DE"/>
    <w:rsid w:val="00620D43"/>
    <w:rsid w:val="0062360E"/>
    <w:rsid w:val="00624721"/>
    <w:rsid w:val="00625E46"/>
    <w:rsid w:val="006273C5"/>
    <w:rsid w:val="00627D44"/>
    <w:rsid w:val="006333A3"/>
    <w:rsid w:val="0063736D"/>
    <w:rsid w:val="00640C37"/>
    <w:rsid w:val="00644337"/>
    <w:rsid w:val="006456D5"/>
    <w:rsid w:val="00645A2C"/>
    <w:rsid w:val="00651BF2"/>
    <w:rsid w:val="0065218B"/>
    <w:rsid w:val="00656D28"/>
    <w:rsid w:val="006640C6"/>
    <w:rsid w:val="00673113"/>
    <w:rsid w:val="006807AC"/>
    <w:rsid w:val="006834DB"/>
    <w:rsid w:val="00687D23"/>
    <w:rsid w:val="00690649"/>
    <w:rsid w:val="0069197A"/>
    <w:rsid w:val="006B425D"/>
    <w:rsid w:val="006C07DF"/>
    <w:rsid w:val="006C1724"/>
    <w:rsid w:val="006C3076"/>
    <w:rsid w:val="006E0372"/>
    <w:rsid w:val="006E1D5B"/>
    <w:rsid w:val="006E335E"/>
    <w:rsid w:val="006E60D9"/>
    <w:rsid w:val="006F0C16"/>
    <w:rsid w:val="006F1590"/>
    <w:rsid w:val="006F1ABB"/>
    <w:rsid w:val="006F5D74"/>
    <w:rsid w:val="007015C9"/>
    <w:rsid w:val="00705672"/>
    <w:rsid w:val="0070672C"/>
    <w:rsid w:val="00720284"/>
    <w:rsid w:val="00720B63"/>
    <w:rsid w:val="0072255B"/>
    <w:rsid w:val="00724C8C"/>
    <w:rsid w:val="00727C35"/>
    <w:rsid w:val="00736D4D"/>
    <w:rsid w:val="00740392"/>
    <w:rsid w:val="00742D25"/>
    <w:rsid w:val="0074622C"/>
    <w:rsid w:val="00750A36"/>
    <w:rsid w:val="007656B6"/>
    <w:rsid w:val="007807DD"/>
    <w:rsid w:val="00781773"/>
    <w:rsid w:val="00781CF0"/>
    <w:rsid w:val="0078204B"/>
    <w:rsid w:val="0078513F"/>
    <w:rsid w:val="007A2366"/>
    <w:rsid w:val="007A5749"/>
    <w:rsid w:val="007A5B38"/>
    <w:rsid w:val="007A7067"/>
    <w:rsid w:val="007B2F70"/>
    <w:rsid w:val="007B4B59"/>
    <w:rsid w:val="007B5A51"/>
    <w:rsid w:val="007B7F1D"/>
    <w:rsid w:val="007C3E61"/>
    <w:rsid w:val="007C5718"/>
    <w:rsid w:val="007D6664"/>
    <w:rsid w:val="007E1284"/>
    <w:rsid w:val="007F1095"/>
    <w:rsid w:val="007F3E8E"/>
    <w:rsid w:val="007F708C"/>
    <w:rsid w:val="00805F8E"/>
    <w:rsid w:val="00816980"/>
    <w:rsid w:val="00823B15"/>
    <w:rsid w:val="0082514B"/>
    <w:rsid w:val="00831BCB"/>
    <w:rsid w:val="00832B42"/>
    <w:rsid w:val="00833541"/>
    <w:rsid w:val="008542DD"/>
    <w:rsid w:val="00864FC2"/>
    <w:rsid w:val="00865BD4"/>
    <w:rsid w:val="00870514"/>
    <w:rsid w:val="00876C01"/>
    <w:rsid w:val="00886D15"/>
    <w:rsid w:val="00893A28"/>
    <w:rsid w:val="008D55FF"/>
    <w:rsid w:val="008D5E8E"/>
    <w:rsid w:val="008D77E9"/>
    <w:rsid w:val="008E1524"/>
    <w:rsid w:val="008E7C71"/>
    <w:rsid w:val="008F4757"/>
    <w:rsid w:val="008F686A"/>
    <w:rsid w:val="008F7E94"/>
    <w:rsid w:val="00901ADD"/>
    <w:rsid w:val="00903026"/>
    <w:rsid w:val="009071C1"/>
    <w:rsid w:val="009151B8"/>
    <w:rsid w:val="0093370A"/>
    <w:rsid w:val="00934CB9"/>
    <w:rsid w:val="0093718E"/>
    <w:rsid w:val="0094286C"/>
    <w:rsid w:val="00947480"/>
    <w:rsid w:val="00957DF7"/>
    <w:rsid w:val="00962CC1"/>
    <w:rsid w:val="00963AE8"/>
    <w:rsid w:val="00971F21"/>
    <w:rsid w:val="00981E48"/>
    <w:rsid w:val="0099008A"/>
    <w:rsid w:val="00993C9E"/>
    <w:rsid w:val="009A1202"/>
    <w:rsid w:val="009A4047"/>
    <w:rsid w:val="009B2A02"/>
    <w:rsid w:val="009B5CBF"/>
    <w:rsid w:val="009B7E33"/>
    <w:rsid w:val="009C1B03"/>
    <w:rsid w:val="009C2C28"/>
    <w:rsid w:val="009C3468"/>
    <w:rsid w:val="009C479B"/>
    <w:rsid w:val="009D2D00"/>
    <w:rsid w:val="009D326A"/>
    <w:rsid w:val="009D3E66"/>
    <w:rsid w:val="009D55C9"/>
    <w:rsid w:val="009D6374"/>
    <w:rsid w:val="009F0526"/>
    <w:rsid w:val="009F434B"/>
    <w:rsid w:val="009F56ED"/>
    <w:rsid w:val="00A00A47"/>
    <w:rsid w:val="00A07723"/>
    <w:rsid w:val="00A104A9"/>
    <w:rsid w:val="00A13E3D"/>
    <w:rsid w:val="00A20E05"/>
    <w:rsid w:val="00A31DFF"/>
    <w:rsid w:val="00A44BB3"/>
    <w:rsid w:val="00A46DBA"/>
    <w:rsid w:val="00A51048"/>
    <w:rsid w:val="00A560C0"/>
    <w:rsid w:val="00A61429"/>
    <w:rsid w:val="00A62138"/>
    <w:rsid w:val="00A634D0"/>
    <w:rsid w:val="00A701BE"/>
    <w:rsid w:val="00A76A33"/>
    <w:rsid w:val="00A76B0E"/>
    <w:rsid w:val="00A80351"/>
    <w:rsid w:val="00A81E08"/>
    <w:rsid w:val="00A82C6D"/>
    <w:rsid w:val="00A852B4"/>
    <w:rsid w:val="00A873A2"/>
    <w:rsid w:val="00A874B5"/>
    <w:rsid w:val="00A91711"/>
    <w:rsid w:val="00A951CF"/>
    <w:rsid w:val="00AB2BE0"/>
    <w:rsid w:val="00AB438A"/>
    <w:rsid w:val="00AB55C4"/>
    <w:rsid w:val="00AC25B6"/>
    <w:rsid w:val="00AC276A"/>
    <w:rsid w:val="00AC533F"/>
    <w:rsid w:val="00AC6E81"/>
    <w:rsid w:val="00AD4DEB"/>
    <w:rsid w:val="00AD7D02"/>
    <w:rsid w:val="00AD7E42"/>
    <w:rsid w:val="00AE1535"/>
    <w:rsid w:val="00AE3E99"/>
    <w:rsid w:val="00AE714E"/>
    <w:rsid w:val="00AF1532"/>
    <w:rsid w:val="00AF610A"/>
    <w:rsid w:val="00AF6C12"/>
    <w:rsid w:val="00B072CE"/>
    <w:rsid w:val="00B27136"/>
    <w:rsid w:val="00B31D35"/>
    <w:rsid w:val="00B34522"/>
    <w:rsid w:val="00B3782C"/>
    <w:rsid w:val="00B61200"/>
    <w:rsid w:val="00B7154C"/>
    <w:rsid w:val="00B7546A"/>
    <w:rsid w:val="00B770EA"/>
    <w:rsid w:val="00B7795A"/>
    <w:rsid w:val="00B80426"/>
    <w:rsid w:val="00B87C5D"/>
    <w:rsid w:val="00BA6423"/>
    <w:rsid w:val="00BA7466"/>
    <w:rsid w:val="00BB1EC7"/>
    <w:rsid w:val="00BB3F29"/>
    <w:rsid w:val="00BB578E"/>
    <w:rsid w:val="00BC2787"/>
    <w:rsid w:val="00BC7F5B"/>
    <w:rsid w:val="00BD3FEA"/>
    <w:rsid w:val="00BF47C4"/>
    <w:rsid w:val="00C0639B"/>
    <w:rsid w:val="00C14586"/>
    <w:rsid w:val="00C160FD"/>
    <w:rsid w:val="00C1644B"/>
    <w:rsid w:val="00C1688D"/>
    <w:rsid w:val="00C17D16"/>
    <w:rsid w:val="00C20F6D"/>
    <w:rsid w:val="00C21CEE"/>
    <w:rsid w:val="00C26FAE"/>
    <w:rsid w:val="00C3783B"/>
    <w:rsid w:val="00C37D12"/>
    <w:rsid w:val="00C45874"/>
    <w:rsid w:val="00C565D3"/>
    <w:rsid w:val="00C610D6"/>
    <w:rsid w:val="00C71C18"/>
    <w:rsid w:val="00C72E0A"/>
    <w:rsid w:val="00C73495"/>
    <w:rsid w:val="00C83556"/>
    <w:rsid w:val="00C84491"/>
    <w:rsid w:val="00C96109"/>
    <w:rsid w:val="00CA3550"/>
    <w:rsid w:val="00CA453A"/>
    <w:rsid w:val="00CA642F"/>
    <w:rsid w:val="00CB1792"/>
    <w:rsid w:val="00CB3921"/>
    <w:rsid w:val="00CB4BC3"/>
    <w:rsid w:val="00CC2EE3"/>
    <w:rsid w:val="00CD0478"/>
    <w:rsid w:val="00CD2DBE"/>
    <w:rsid w:val="00CD6F28"/>
    <w:rsid w:val="00CE32DC"/>
    <w:rsid w:val="00CE3769"/>
    <w:rsid w:val="00CF45E1"/>
    <w:rsid w:val="00CF4E6E"/>
    <w:rsid w:val="00CF639E"/>
    <w:rsid w:val="00CF6F6A"/>
    <w:rsid w:val="00CF6F81"/>
    <w:rsid w:val="00D00BBF"/>
    <w:rsid w:val="00D00D5B"/>
    <w:rsid w:val="00D049C7"/>
    <w:rsid w:val="00D06C2A"/>
    <w:rsid w:val="00D1050A"/>
    <w:rsid w:val="00D115CB"/>
    <w:rsid w:val="00D132E0"/>
    <w:rsid w:val="00D1667B"/>
    <w:rsid w:val="00D23ABE"/>
    <w:rsid w:val="00D23DAC"/>
    <w:rsid w:val="00D32034"/>
    <w:rsid w:val="00D32792"/>
    <w:rsid w:val="00D4552E"/>
    <w:rsid w:val="00D52AAF"/>
    <w:rsid w:val="00D54DE1"/>
    <w:rsid w:val="00D624D3"/>
    <w:rsid w:val="00D735B4"/>
    <w:rsid w:val="00D8517A"/>
    <w:rsid w:val="00D93CD6"/>
    <w:rsid w:val="00D94274"/>
    <w:rsid w:val="00D94ACC"/>
    <w:rsid w:val="00DA1C7E"/>
    <w:rsid w:val="00DA3550"/>
    <w:rsid w:val="00DA5B6C"/>
    <w:rsid w:val="00DA6FFA"/>
    <w:rsid w:val="00DA75A8"/>
    <w:rsid w:val="00DB5B37"/>
    <w:rsid w:val="00DC0388"/>
    <w:rsid w:val="00DC0C13"/>
    <w:rsid w:val="00DC2782"/>
    <w:rsid w:val="00DD104B"/>
    <w:rsid w:val="00DD1C33"/>
    <w:rsid w:val="00DD75F2"/>
    <w:rsid w:val="00DF2D0E"/>
    <w:rsid w:val="00E114FD"/>
    <w:rsid w:val="00E14065"/>
    <w:rsid w:val="00E14230"/>
    <w:rsid w:val="00E16F95"/>
    <w:rsid w:val="00E2058D"/>
    <w:rsid w:val="00E20B88"/>
    <w:rsid w:val="00E309EB"/>
    <w:rsid w:val="00E319B9"/>
    <w:rsid w:val="00E42C19"/>
    <w:rsid w:val="00E45839"/>
    <w:rsid w:val="00E50046"/>
    <w:rsid w:val="00E51E0F"/>
    <w:rsid w:val="00E5431B"/>
    <w:rsid w:val="00E60A69"/>
    <w:rsid w:val="00E63C8A"/>
    <w:rsid w:val="00E7158D"/>
    <w:rsid w:val="00E75B4D"/>
    <w:rsid w:val="00E83FFE"/>
    <w:rsid w:val="00E84486"/>
    <w:rsid w:val="00E863A0"/>
    <w:rsid w:val="00E8764C"/>
    <w:rsid w:val="00E87B58"/>
    <w:rsid w:val="00EA79B3"/>
    <w:rsid w:val="00EB079C"/>
    <w:rsid w:val="00EB4371"/>
    <w:rsid w:val="00EB7DB6"/>
    <w:rsid w:val="00EC0343"/>
    <w:rsid w:val="00ED063A"/>
    <w:rsid w:val="00ED41F4"/>
    <w:rsid w:val="00EE3C08"/>
    <w:rsid w:val="00EE50F8"/>
    <w:rsid w:val="00EE5CFF"/>
    <w:rsid w:val="00EE7D87"/>
    <w:rsid w:val="00EF08A8"/>
    <w:rsid w:val="00EF5C97"/>
    <w:rsid w:val="00F1576A"/>
    <w:rsid w:val="00F36FA6"/>
    <w:rsid w:val="00F37516"/>
    <w:rsid w:val="00F37637"/>
    <w:rsid w:val="00F4101B"/>
    <w:rsid w:val="00F4731C"/>
    <w:rsid w:val="00F50849"/>
    <w:rsid w:val="00F53FB3"/>
    <w:rsid w:val="00F56A34"/>
    <w:rsid w:val="00F5731F"/>
    <w:rsid w:val="00F72B66"/>
    <w:rsid w:val="00F72CF3"/>
    <w:rsid w:val="00F73170"/>
    <w:rsid w:val="00F736C8"/>
    <w:rsid w:val="00F81946"/>
    <w:rsid w:val="00F82B31"/>
    <w:rsid w:val="00F914B3"/>
    <w:rsid w:val="00F92E80"/>
    <w:rsid w:val="00F97E02"/>
    <w:rsid w:val="00FA317E"/>
    <w:rsid w:val="00FA41C2"/>
    <w:rsid w:val="00FA4EA0"/>
    <w:rsid w:val="00FB7838"/>
    <w:rsid w:val="00FD5139"/>
    <w:rsid w:val="00FD6F23"/>
    <w:rsid w:val="00FD7815"/>
    <w:rsid w:val="00FE07E9"/>
    <w:rsid w:val="00FE4B25"/>
    <w:rsid w:val="00FF1BF7"/>
    <w:rsid w:val="00FF4E92"/>
    <w:rsid w:val="00FF5295"/>
    <w:rsid w:val="00FF6E9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9E93"/>
  <w15:chartTrackingRefBased/>
  <w15:docId w15:val="{214F295C-EFA6-4AD8-A8A3-656D8743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31B"/>
    <w:rPr>
      <w:kern w:val="0"/>
      <w:lang w:val="en-GB"/>
      <w14:ligatures w14:val="none"/>
    </w:rPr>
  </w:style>
  <w:style w:type="paragraph" w:styleId="Heading1">
    <w:name w:val="heading 1"/>
    <w:basedOn w:val="Normal"/>
    <w:next w:val="Normal"/>
    <w:link w:val="Heading1Char"/>
    <w:uiPriority w:val="9"/>
    <w:qFormat/>
    <w:rsid w:val="00E543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43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43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43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43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43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43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43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43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3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43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43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43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43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43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43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43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431B"/>
    <w:rPr>
      <w:rFonts w:eastAsiaTheme="majorEastAsia" w:cstheme="majorBidi"/>
      <w:color w:val="272727" w:themeColor="text1" w:themeTint="D8"/>
    </w:rPr>
  </w:style>
  <w:style w:type="paragraph" w:styleId="Title">
    <w:name w:val="Title"/>
    <w:basedOn w:val="Normal"/>
    <w:next w:val="Normal"/>
    <w:link w:val="TitleChar"/>
    <w:uiPriority w:val="10"/>
    <w:qFormat/>
    <w:rsid w:val="00E543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3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43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43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431B"/>
    <w:pPr>
      <w:spacing w:before="160"/>
      <w:jc w:val="center"/>
    </w:pPr>
    <w:rPr>
      <w:i/>
      <w:iCs/>
      <w:color w:val="404040" w:themeColor="text1" w:themeTint="BF"/>
    </w:rPr>
  </w:style>
  <w:style w:type="character" w:customStyle="1" w:styleId="QuoteChar">
    <w:name w:val="Quote Char"/>
    <w:basedOn w:val="DefaultParagraphFont"/>
    <w:link w:val="Quote"/>
    <w:uiPriority w:val="29"/>
    <w:rsid w:val="00E5431B"/>
    <w:rPr>
      <w:i/>
      <w:iCs/>
      <w:color w:val="404040" w:themeColor="text1" w:themeTint="BF"/>
    </w:rPr>
  </w:style>
  <w:style w:type="paragraph" w:styleId="ListParagraph">
    <w:name w:val="List Paragraph"/>
    <w:basedOn w:val="Normal"/>
    <w:uiPriority w:val="34"/>
    <w:qFormat/>
    <w:rsid w:val="00E5431B"/>
    <w:pPr>
      <w:ind w:left="720"/>
      <w:contextualSpacing/>
    </w:pPr>
  </w:style>
  <w:style w:type="character" w:styleId="IntenseEmphasis">
    <w:name w:val="Intense Emphasis"/>
    <w:basedOn w:val="DefaultParagraphFont"/>
    <w:uiPriority w:val="21"/>
    <w:qFormat/>
    <w:rsid w:val="00E5431B"/>
    <w:rPr>
      <w:i/>
      <w:iCs/>
      <w:color w:val="2F5496" w:themeColor="accent1" w:themeShade="BF"/>
    </w:rPr>
  </w:style>
  <w:style w:type="paragraph" w:styleId="IntenseQuote">
    <w:name w:val="Intense Quote"/>
    <w:basedOn w:val="Normal"/>
    <w:next w:val="Normal"/>
    <w:link w:val="IntenseQuoteChar"/>
    <w:uiPriority w:val="30"/>
    <w:qFormat/>
    <w:rsid w:val="00E543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431B"/>
    <w:rPr>
      <w:i/>
      <w:iCs/>
      <w:color w:val="2F5496" w:themeColor="accent1" w:themeShade="BF"/>
    </w:rPr>
  </w:style>
  <w:style w:type="character" w:styleId="IntenseReference">
    <w:name w:val="Intense Reference"/>
    <w:basedOn w:val="DefaultParagraphFont"/>
    <w:uiPriority w:val="32"/>
    <w:qFormat/>
    <w:rsid w:val="00E5431B"/>
    <w:rPr>
      <w:b/>
      <w:bCs/>
      <w:smallCaps/>
      <w:color w:val="2F5496" w:themeColor="accent1" w:themeShade="BF"/>
      <w:spacing w:val="5"/>
    </w:rPr>
  </w:style>
  <w:style w:type="character" w:styleId="Hyperlink">
    <w:name w:val="Hyperlink"/>
    <w:basedOn w:val="DefaultParagraphFont"/>
    <w:uiPriority w:val="99"/>
    <w:unhideWhenUsed/>
    <w:rsid w:val="00E5431B"/>
    <w:rPr>
      <w:color w:val="0000FF"/>
      <w:u w:val="single"/>
    </w:rPr>
  </w:style>
  <w:style w:type="paragraph" w:styleId="NormalWeb">
    <w:name w:val="Normal (Web)"/>
    <w:basedOn w:val="Normal"/>
    <w:uiPriority w:val="99"/>
    <w:unhideWhenUsed/>
    <w:rsid w:val="00E543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64766"/>
    <w:rPr>
      <w:color w:val="605E5C"/>
      <w:shd w:val="clear" w:color="auto" w:fill="E1DFDD"/>
    </w:rPr>
  </w:style>
  <w:style w:type="paragraph" w:styleId="Header">
    <w:name w:val="header"/>
    <w:basedOn w:val="Normal"/>
    <w:link w:val="HeaderChar"/>
    <w:uiPriority w:val="99"/>
    <w:unhideWhenUsed/>
    <w:rsid w:val="00EB7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DB6"/>
    <w:rPr>
      <w:kern w:val="0"/>
      <w:lang w:val="en-GB"/>
      <w14:ligatures w14:val="none"/>
    </w:rPr>
  </w:style>
  <w:style w:type="paragraph" w:styleId="Footer">
    <w:name w:val="footer"/>
    <w:basedOn w:val="Normal"/>
    <w:link w:val="FooterChar"/>
    <w:uiPriority w:val="99"/>
    <w:unhideWhenUsed/>
    <w:rsid w:val="00EB7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DB6"/>
    <w:rPr>
      <w:kern w:val="0"/>
      <w:lang w:val="en-GB"/>
      <w14:ligatures w14:val="none"/>
    </w:rPr>
  </w:style>
  <w:style w:type="table" w:styleId="TableGrid">
    <w:name w:val="Table Grid"/>
    <w:basedOn w:val="TableNormal"/>
    <w:uiPriority w:val="39"/>
    <w:rsid w:val="005F5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12737</TotalTime>
  <Pages>17</Pages>
  <Words>4977</Words>
  <Characters>28371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Nannim</dc:creator>
  <cp:keywords/>
  <dc:description/>
  <cp:lastModifiedBy>theaisha1707@gmail.com</cp:lastModifiedBy>
  <cp:revision>450</cp:revision>
  <cp:lastPrinted>2026-03-24T11:15:00Z</cp:lastPrinted>
  <dcterms:created xsi:type="dcterms:W3CDTF">2026-02-24T16:23:00Z</dcterms:created>
  <dcterms:modified xsi:type="dcterms:W3CDTF">2026-04-27T05:52:00Z</dcterms:modified>
</cp:coreProperties>
</file>