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41299" w14:textId="53B2004E" w:rsidR="00AC1FA9" w:rsidRDefault="00000000" w:rsidP="00AC1FA9">
      <w:pPr>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Transforming Consulting Operations: A Modular Ensemble Machine Learning Framework for Hierarchical Decision Support</w:t>
      </w:r>
    </w:p>
    <w:p w14:paraId="4B23D6D6" w14:textId="2A787114" w:rsidR="00020D61" w:rsidRPr="00AC1FA9" w:rsidRDefault="007E17CA" w:rsidP="00AC1FA9">
      <w:pPr>
        <w:jc w:val="center"/>
        <w:rPr>
          <w:rFonts w:ascii="Times New Roman" w:eastAsia="Times New Roman" w:hAnsi="Times New Roman" w:cs="Times New Roman"/>
          <w:b/>
          <w:bCs/>
          <w:sz w:val="32"/>
          <w:szCs w:val="32"/>
          <w:highlight w:val="white"/>
        </w:rPr>
      </w:pPr>
      <w:r w:rsidRPr="0029574B">
        <w:rPr>
          <w:rFonts w:ascii="Times New Roman" w:eastAsia="Times New Roman" w:hAnsi="Times New Roman" w:cs="Times New Roman"/>
          <w:noProof/>
          <w:sz w:val="24"/>
          <w:szCs w:val="24"/>
        </w:rPr>
        <mc:AlternateContent>
          <mc:Choice Requires="wps">
            <w:drawing>
              <wp:anchor distT="45720" distB="45720" distL="114300" distR="114300" simplePos="0" relativeHeight="251662336" behindDoc="1" locked="0" layoutInCell="1" allowOverlap="1" wp14:anchorId="1120D8A6" wp14:editId="136A9283">
                <wp:simplePos x="0" y="0"/>
                <wp:positionH relativeFrom="margin">
                  <wp:posOffset>3108960</wp:posOffset>
                </wp:positionH>
                <wp:positionV relativeFrom="paragraph">
                  <wp:posOffset>171450</wp:posOffset>
                </wp:positionV>
                <wp:extent cx="3154680" cy="1760220"/>
                <wp:effectExtent l="0" t="0" r="26670" b="11430"/>
                <wp:wrapTight wrapText="bothSides">
                  <wp:wrapPolygon edited="0">
                    <wp:start x="0" y="0"/>
                    <wp:lineTo x="0" y="21506"/>
                    <wp:lineTo x="21652" y="21506"/>
                    <wp:lineTo x="2165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760220"/>
                        </a:xfrm>
                        <a:prstGeom prst="rect">
                          <a:avLst/>
                        </a:prstGeom>
                        <a:solidFill>
                          <a:srgbClr val="FFFFFF"/>
                        </a:solidFill>
                        <a:ln w="9525">
                          <a:solidFill>
                            <a:schemeClr val="bg1"/>
                          </a:solidFill>
                          <a:miter lim="800000"/>
                          <a:headEnd/>
                          <a:tailEnd/>
                        </a:ln>
                      </wps:spPr>
                      <wps:txbx>
                        <w:txbxContent>
                          <w:p w14:paraId="242BE1ED" w14:textId="6D3A60EC" w:rsidR="0029574B" w:rsidRPr="00020D61" w:rsidRDefault="0029574B" w:rsidP="007E17CA">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20D8A6" id="_x0000_t202" coordsize="21600,21600" o:spt="202" path="m,l,21600r21600,l21600,xe">
                <v:stroke joinstyle="miter"/>
                <v:path gradientshapeok="t" o:connecttype="rect"/>
              </v:shapetype>
              <v:shape id="Text Box 2" o:spid="_x0000_s1026" type="#_x0000_t202" style="position:absolute;left:0;text-align:left;margin-left:244.8pt;margin-top:13.5pt;width:248.4pt;height:138.6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" strokecolor="white [3212]">
                <v:textbox>
                  <w:txbxContent>
                    <w:p w14:paraId="242BE1ED" w14:textId="6D3A60EC" w:rsidR="0029574B" w:rsidRPr="00020D61" w:rsidRDefault="0029574B" w:rsidP="007E17CA">
                      <w:pPr>
                        <w:jc w:val="center"/>
                        <w:rPr>
                          <w:rFonts w:ascii="Times New Roman" w:hAnsi="Times New Roman" w:cs="Times New Roman"/>
                          <w:sz w:val="24"/>
                          <w:szCs w:val="24"/>
                        </w:rPr>
                      </w:pPr>
                    </w:p>
                  </w:txbxContent>
                </v:textbox>
                <w10:wrap type="tight" anchorx="margin"/>
              </v:shape>
            </w:pict>
          </mc:Fallback>
        </mc:AlternateContent>
      </w:r>
    </w:p>
    <w:p w14:paraId="564AA08F" w14:textId="38F59C2B" w:rsidR="00C07E08" w:rsidRDefault="00000000">
      <w:pPr>
        <w:spacing w:before="240" w:after="240"/>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Abstract</w:t>
      </w:r>
    </w:p>
    <w:p w14:paraId="07FE7594" w14:textId="77777777" w:rsidR="00C07E08" w:rsidRPr="007E17CA" w:rsidRDefault="00000000">
      <w:pPr>
        <w:spacing w:after="240"/>
        <w:jc w:val="both"/>
        <w:rPr>
          <w:rFonts w:ascii="Times New Roman" w:eastAsia="Times New Roman" w:hAnsi="Times New Roman" w:cs="Times New Roman"/>
          <w:sz w:val="24"/>
          <w:szCs w:val="24"/>
          <w:highlight w:val="white"/>
        </w:rPr>
      </w:pPr>
      <w:r w:rsidRPr="007E17CA">
        <w:rPr>
          <w:rFonts w:ascii="Times New Roman" w:eastAsia="Times New Roman" w:hAnsi="Times New Roman" w:cs="Times New Roman"/>
          <w:sz w:val="24"/>
          <w:szCs w:val="24"/>
          <w:highlight w:val="white"/>
        </w:rPr>
        <w:t>Despite the leading management consulting agencies designing digital transformations to clients worldwide, they often face challenges in their own operational efficiency levels, with retrospective reporting and monolithic analytics services.</w:t>
      </w:r>
    </w:p>
    <w:p w14:paraId="47F16A42" w14:textId="77777777" w:rsidR="00C07E08" w:rsidRPr="007E17CA" w:rsidRDefault="00000000">
      <w:pPr>
        <w:spacing w:after="240"/>
        <w:jc w:val="both"/>
        <w:rPr>
          <w:rFonts w:ascii="Times New Roman" w:eastAsia="Times New Roman" w:hAnsi="Times New Roman" w:cs="Times New Roman"/>
          <w:sz w:val="24"/>
          <w:szCs w:val="24"/>
          <w:highlight w:val="white"/>
        </w:rPr>
      </w:pPr>
      <w:r w:rsidRPr="007E17CA">
        <w:rPr>
          <w:rFonts w:ascii="Times New Roman" w:eastAsia="Times New Roman" w:hAnsi="Times New Roman" w:cs="Times New Roman"/>
          <w:sz w:val="24"/>
          <w:szCs w:val="24"/>
          <w:highlight w:val="white"/>
        </w:rPr>
        <w:t>The operational needs of such firms are very stratified; Engagement Managers are in need of tactical, deterministic forecasts (e.g., consultant utilization, burn-rates), and Partners are in need of strategic, probabilistic forecasts (e.g. revenue forecasting, market sentiment). In a bid to preserve this "Hierarchy-Information Gap" this study suggests a Hierarchical-Modular Microservices Architecture to combine role-conscious Business Intelligence (BI) with a decoupled Machine Learning (ML) backend.</w:t>
      </w:r>
    </w:p>
    <w:p w14:paraId="1386485C" w14:textId="77777777" w:rsidR="00C07E08" w:rsidRPr="007E17CA" w:rsidRDefault="00000000">
      <w:pPr>
        <w:spacing w:after="240"/>
        <w:jc w:val="both"/>
        <w:rPr>
          <w:rFonts w:ascii="Times New Roman" w:eastAsia="Times New Roman" w:hAnsi="Times New Roman" w:cs="Times New Roman"/>
          <w:sz w:val="24"/>
          <w:szCs w:val="24"/>
          <w:highlight w:val="white"/>
        </w:rPr>
      </w:pPr>
      <w:r w:rsidRPr="007E17CA">
        <w:rPr>
          <w:rFonts w:ascii="Times New Roman" w:eastAsia="Times New Roman" w:hAnsi="Times New Roman" w:cs="Times New Roman"/>
          <w:sz w:val="24"/>
          <w:szCs w:val="24"/>
          <w:highlight w:val="white"/>
        </w:rPr>
        <w:t>The framework uses a mapping of specific predictive algorithms to organizational levels and uses discrete model groupings to deploy Analysts, Manager and Partner clusters. In order to reduce the stochasticity of consulting data, to protect against which a shared Dynamic Ensemble Learning Module is a meta-learner, a shared Dynamic Ensemble Learning Module combines outputs on each role to achieve statistical robustness.</w:t>
      </w:r>
    </w:p>
    <w:p w14:paraId="2192B7DB" w14:textId="77777777" w:rsidR="00C07E08" w:rsidRPr="007E17CA" w:rsidRDefault="00000000">
      <w:pPr>
        <w:spacing w:after="240"/>
        <w:jc w:val="both"/>
        <w:rPr>
          <w:rFonts w:ascii="Times New Roman" w:eastAsia="Times New Roman" w:hAnsi="Times New Roman" w:cs="Times New Roman"/>
          <w:sz w:val="24"/>
          <w:szCs w:val="24"/>
          <w:highlight w:val="white"/>
        </w:rPr>
      </w:pPr>
      <w:r w:rsidRPr="007E17CA">
        <w:rPr>
          <w:rFonts w:ascii="Times New Roman" w:eastAsia="Times New Roman" w:hAnsi="Times New Roman" w:cs="Times New Roman"/>
          <w:sz w:val="24"/>
          <w:szCs w:val="24"/>
          <w:highlight w:val="white"/>
        </w:rPr>
        <w:t>The framework also improves the efficiency of the operations by providing automated data preparation, real-time monitoring and governance using role-based access and auditability.</w:t>
      </w:r>
    </w:p>
    <w:p w14:paraId="14A41C83" w14:textId="4CD2F345" w:rsidR="00C07E08" w:rsidRPr="007E17CA" w:rsidRDefault="00000000">
      <w:pPr>
        <w:spacing w:after="240"/>
        <w:jc w:val="both"/>
        <w:rPr>
          <w:rFonts w:ascii="Times New Roman" w:eastAsia="Times New Roman" w:hAnsi="Times New Roman" w:cs="Times New Roman"/>
          <w:b/>
          <w:bCs/>
          <w:sz w:val="24"/>
          <w:szCs w:val="24"/>
          <w:highlight w:val="white"/>
        </w:rPr>
      </w:pPr>
      <w:r w:rsidRPr="007E17CA">
        <w:rPr>
          <w:rFonts w:ascii="Times New Roman" w:eastAsia="Times New Roman" w:hAnsi="Times New Roman" w:cs="Times New Roman"/>
          <w:sz w:val="24"/>
          <w:szCs w:val="24"/>
          <w:highlight w:val="white"/>
        </w:rPr>
        <w:t xml:space="preserve">The study adds conceptual value by formalizing a </w:t>
      </w:r>
      <w:r w:rsidR="004F466D" w:rsidRPr="007E17CA">
        <w:rPr>
          <w:rFonts w:ascii="Times New Roman" w:eastAsia="Times New Roman" w:hAnsi="Times New Roman" w:cs="Times New Roman"/>
          <w:sz w:val="24"/>
          <w:szCs w:val="24"/>
          <w:highlight w:val="white"/>
        </w:rPr>
        <w:t>hierarchy-based</w:t>
      </w:r>
      <w:r w:rsidRPr="007E17CA">
        <w:rPr>
          <w:rFonts w:ascii="Times New Roman" w:eastAsia="Times New Roman" w:hAnsi="Times New Roman" w:cs="Times New Roman"/>
          <w:sz w:val="24"/>
          <w:szCs w:val="24"/>
          <w:highlight w:val="white"/>
        </w:rPr>
        <w:t xml:space="preserve"> analytics design, architecturally through a scalable modular microservice design and practically through the improvement of the quality of decisions across multiple levels within the organization. The suggested system represents a platform on which internal consulting operations can be transformed into an active, AI-based control tower, which balances tactical implementation with a strategic plan.</w:t>
      </w:r>
    </w:p>
    <w:p w14:paraId="76E679CB" w14:textId="77777777" w:rsidR="00C07E08" w:rsidRDefault="00000000">
      <w:pPr>
        <w:spacing w:before="240" w:after="240"/>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4"/>
          <w:szCs w:val="24"/>
          <w:highlight w:val="white"/>
        </w:rPr>
        <w:t>Keywords:</w:t>
      </w:r>
      <w:r>
        <w:rPr>
          <w:rFonts w:ascii="Times New Roman" w:eastAsia="Times New Roman" w:hAnsi="Times New Roman" w:cs="Times New Roman"/>
          <w:b/>
          <w:bCs/>
          <w:sz w:val="20"/>
          <w:szCs w:val="20"/>
          <w:highlight w:val="white"/>
        </w:rPr>
        <w:br/>
      </w:r>
      <w:r>
        <w:rPr>
          <w:rFonts w:ascii="Times New Roman" w:eastAsia="Times New Roman" w:hAnsi="Times New Roman" w:cs="Times New Roman"/>
          <w:sz w:val="24"/>
          <w:szCs w:val="24"/>
          <w:highlight w:val="white"/>
        </w:rPr>
        <w:t xml:space="preserve">Hierarchy-Aware Analytics; Business Intelligence (BI); Machine Learning in Consulting; Predictive Analytics; Microservices Architecture; Ensemble Learning; Role-Based Decision Support; AI in Professional Services; Operational Efficiency; Management Consulting Analytics; Feature Store; </w:t>
      </w:r>
      <w:proofErr w:type="spellStart"/>
      <w:r>
        <w:rPr>
          <w:rFonts w:ascii="Times New Roman" w:eastAsia="Times New Roman" w:hAnsi="Times New Roman" w:cs="Times New Roman"/>
          <w:sz w:val="24"/>
          <w:szCs w:val="24"/>
          <w:highlight w:val="white"/>
        </w:rPr>
        <w:t>MLOps</w:t>
      </w:r>
      <w:proofErr w:type="spellEnd"/>
    </w:p>
    <w:p w14:paraId="02DB6765" w14:textId="77777777" w:rsidR="00C07E08" w:rsidRDefault="0000000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Introduction</w:t>
      </w:r>
    </w:p>
    <w:p w14:paraId="361A50E7" w14:textId="77777777"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consulting management market in the whole world is valued at more than 700 billion dollars and contributes significantly to contemporary business. Some of the top companies such as McKinsey &amp; Company, Boston Consulting Group (BCG) and Bain and Company are the strategic partners of Fortune 500 organizations and governments across the globe.  [27][28]</w:t>
      </w:r>
    </w:p>
    <w:p w14:paraId="2A9E8523" w14:textId="77777777" w:rsidR="00C07E08"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D82BB79" wp14:editId="2B5EF044">
            <wp:extent cx="2562225" cy="305752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r="49840"/>
                    <a:stretch>
                      <a:fillRect/>
                    </a:stretch>
                  </pic:blipFill>
                  <pic:spPr>
                    <a:xfrm>
                      <a:off x="0" y="0"/>
                      <a:ext cx="2562225" cy="3057525"/>
                    </a:xfrm>
                    <a:prstGeom prst="rect">
                      <a:avLst/>
                    </a:prstGeom>
                    <a:ln/>
                  </pic:spPr>
                </pic:pic>
              </a:graphicData>
            </a:graphic>
          </wp:inline>
        </w:drawing>
      </w:r>
    </w:p>
    <w:p w14:paraId="1E666AAE" w14:textId="77777777" w:rsidR="00C07E08" w:rsidRDefault="00000000">
      <w:pPr>
        <w:jc w:val="center"/>
        <w:rPr>
          <w:rFonts w:ascii="Times New Roman" w:eastAsia="Times New Roman" w:hAnsi="Times New Roman" w:cs="Times New Roman"/>
          <w:sz w:val="24"/>
          <w:szCs w:val="24"/>
        </w:rPr>
      </w:pPr>
      <w:r w:rsidRPr="0000011E">
        <w:rPr>
          <w:rFonts w:ascii="Times New Roman" w:eastAsia="Times New Roman" w:hAnsi="Times New Roman" w:cs="Times New Roman"/>
          <w:b/>
          <w:bCs/>
          <w:sz w:val="24"/>
          <w:szCs w:val="24"/>
        </w:rPr>
        <w:t>Figure 1: Corporate structure</w:t>
      </w:r>
      <w:r>
        <w:rPr>
          <w:rFonts w:ascii="Times New Roman" w:eastAsia="Times New Roman" w:hAnsi="Times New Roman" w:cs="Times New Roman"/>
          <w:sz w:val="24"/>
          <w:szCs w:val="24"/>
        </w:rPr>
        <w:t xml:space="preserve"> [25]</w:t>
      </w:r>
    </w:p>
    <w:p w14:paraId="5A175C51" w14:textId="77777777" w:rsidR="00C07E08" w:rsidRDefault="00C07E08">
      <w:pPr>
        <w:jc w:val="both"/>
        <w:rPr>
          <w:rFonts w:ascii="Times New Roman" w:eastAsia="Times New Roman" w:hAnsi="Times New Roman" w:cs="Times New Roman"/>
          <w:sz w:val="24"/>
          <w:szCs w:val="24"/>
        </w:rPr>
      </w:pPr>
    </w:p>
    <w:p w14:paraId="4D3D77BA" w14:textId="77777777"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structure of these consulting companies is complicated and includes Junior Consultants, Directors and Partners as indicated in </w:t>
      </w:r>
      <w:r w:rsidRPr="00A358ED">
        <w:rPr>
          <w:rFonts w:ascii="Times New Roman" w:eastAsia="Times New Roman" w:hAnsi="Times New Roman" w:cs="Times New Roman"/>
          <w:sz w:val="24"/>
          <w:szCs w:val="24"/>
        </w:rPr>
        <w:t>Figure 1</w:t>
      </w:r>
      <w:r>
        <w:rPr>
          <w:rFonts w:ascii="Times New Roman" w:eastAsia="Times New Roman" w:hAnsi="Times New Roman" w:cs="Times New Roman"/>
          <w:sz w:val="24"/>
          <w:szCs w:val="24"/>
        </w:rPr>
        <w:t xml:space="preserve">. The responsibility of each level, the power to make decisions and the performance measure is specific. Although they can be quite effective in enhancing the operation of the clients, the consulting firms are not efficient in their operations. Their issues include resource allocation, project profitability analysis, talent management, and strategic decision-making on different levels. Such difficulties are also marked with problems of scalability and adaptability, hierarchy complexity, barriers to integration, as well as the necessity of context specific decision support as in </w:t>
      </w:r>
      <w:r w:rsidRPr="00A358ED">
        <w:rPr>
          <w:rFonts w:ascii="Times New Roman" w:eastAsia="Times New Roman" w:hAnsi="Times New Roman" w:cs="Times New Roman"/>
          <w:sz w:val="24"/>
          <w:szCs w:val="24"/>
        </w:rPr>
        <w:t>Figure 2</w:t>
      </w:r>
      <w:r>
        <w:rPr>
          <w:rFonts w:ascii="Times New Roman" w:eastAsia="Times New Roman" w:hAnsi="Times New Roman" w:cs="Times New Roman"/>
          <w:sz w:val="24"/>
          <w:szCs w:val="24"/>
        </w:rPr>
        <w:t>.</w:t>
      </w:r>
    </w:p>
    <w:p w14:paraId="4A26EE6A"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0288" behindDoc="1" locked="0" layoutInCell="1" allowOverlap="1" wp14:anchorId="74343C56" wp14:editId="36EE0282">
            <wp:simplePos x="0" y="0"/>
            <wp:positionH relativeFrom="margin">
              <wp:posOffset>213360</wp:posOffset>
            </wp:positionH>
            <wp:positionV relativeFrom="paragraph">
              <wp:posOffset>0</wp:posOffset>
            </wp:positionV>
            <wp:extent cx="5608320" cy="3869055"/>
            <wp:effectExtent l="0" t="0" r="0" b="0"/>
            <wp:wrapTight wrapText="bothSides">
              <wp:wrapPolygon edited="0">
                <wp:start x="0" y="0"/>
                <wp:lineTo x="0" y="21483"/>
                <wp:lineTo x="21497" y="21483"/>
                <wp:lineTo x="21497" y="0"/>
                <wp:lineTo x="0" y="0"/>
              </wp:wrapPolygon>
            </wp:wrapTight>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9">
                      <a:extLst>
                        <a:ext uri="{28A0092B-C50C-407E-A947-70E740481C1C}">
                          <a14:useLocalDpi xmlns:a14="http://schemas.microsoft.com/office/drawing/2010/main" val="0"/>
                        </a:ext>
                      </a:extLst>
                    </a:blip>
                    <a:srcRect l="2051" t="14396" r="3570" b="6923"/>
                    <a:stretch>
                      <a:fillRect/>
                    </a:stretch>
                  </pic:blipFill>
                  <pic:spPr bwMode="auto">
                    <a:xfrm>
                      <a:off x="0" y="0"/>
                      <a:ext cx="5608320" cy="3869055"/>
                    </a:xfrm>
                    <a:prstGeom prst="rect">
                      <a:avLst/>
                    </a:prstGeom>
                    <a:ln>
                      <a:noFill/>
                    </a:ln>
                    <a:extLst>
                      <a:ext uri="{53640926-AAD7-44D8-BBD7-CCE9431645EC}">
                        <a14:shadowObscured xmlns:a14="http://schemas.microsoft.com/office/drawing/2010/main"/>
                      </a:ext>
                    </a:extLst>
                  </pic:spPr>
                </pic:pic>
              </a:graphicData>
            </a:graphic>
          </wp:anchor>
        </w:drawing>
      </w:r>
    </w:p>
    <w:p w14:paraId="52953C29" w14:textId="77777777" w:rsidR="00C07E08" w:rsidRPr="0000011E" w:rsidRDefault="00000000">
      <w:pPr>
        <w:ind w:left="2160" w:firstLine="720"/>
        <w:rPr>
          <w:rFonts w:ascii="Times New Roman" w:eastAsia="Times New Roman" w:hAnsi="Times New Roman" w:cs="Times New Roman"/>
          <w:b/>
          <w:bCs/>
          <w:sz w:val="24"/>
          <w:szCs w:val="24"/>
        </w:rPr>
      </w:pPr>
      <w:r w:rsidRPr="0000011E">
        <w:rPr>
          <w:rFonts w:ascii="Times New Roman" w:eastAsia="Times New Roman" w:hAnsi="Times New Roman" w:cs="Times New Roman"/>
          <w:b/>
          <w:bCs/>
          <w:sz w:val="24"/>
          <w:szCs w:val="24"/>
        </w:rPr>
        <w:t>Figure 2: Operational Challenges</w:t>
      </w:r>
    </w:p>
    <w:p w14:paraId="4231E110" w14:textId="77777777" w:rsidR="00C07E08" w:rsidRDefault="00C07E08">
      <w:pPr>
        <w:rPr>
          <w:rFonts w:ascii="Times New Roman" w:eastAsia="Times New Roman" w:hAnsi="Times New Roman" w:cs="Times New Roman"/>
        </w:rPr>
      </w:pPr>
    </w:p>
    <w:p w14:paraId="0E93F96F" w14:textId="77777777"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Historically, the management of operations in consulting firms has majorly depended on the examination of past performance. They were reporting manually and used experience in making decisions. The fast expansion of organizational data, however, and the development of technologies in machine learning (ML) and business intelligence (BI) offer new possibilities to transform the way consulting companies analyze, forecast and optimize their activities. These firms have a hierarchical structure, which causes a considerable number of differences in the operational issues and the key performance indicators (KPIs) at various levels. The junior consultants are oriented on accomplishing the tasks and the acquisition of skills whereas the senior managers are oriented to the effective project delivery and satisfied clients. Partners and Directors on the other hand are in charge of revenue, line of service performance as well as long term survival of business.</w:t>
      </w:r>
    </w:p>
    <w:p w14:paraId="5DD4C9E6" w14:textId="77777777" w:rsidR="00C07E08" w:rsidRDefault="00C07E08">
      <w:pPr>
        <w:jc w:val="both"/>
        <w:rPr>
          <w:rFonts w:ascii="Times New Roman" w:eastAsia="Times New Roman" w:hAnsi="Times New Roman" w:cs="Times New Roman"/>
          <w:sz w:val="24"/>
          <w:szCs w:val="24"/>
        </w:rPr>
      </w:pPr>
    </w:p>
    <w:p w14:paraId="47526DB2" w14:textId="77777777"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much as these firms can be seen as having a great strategic insight, their manner of operation management remains outdated. Growth of organizational data along with the development of ML and BI provides a highly significant chance to the consulting firms to change the way they analyze, predict as well as improve their operations.</w:t>
      </w:r>
    </w:p>
    <w:p w14:paraId="40472A25" w14:textId="77777777" w:rsidR="00C07E08" w:rsidRDefault="00C07E08">
      <w:pPr>
        <w:jc w:val="both"/>
        <w:rPr>
          <w:rFonts w:ascii="Times New Roman" w:eastAsia="Times New Roman" w:hAnsi="Times New Roman" w:cs="Times New Roman"/>
          <w:sz w:val="24"/>
          <w:szCs w:val="24"/>
        </w:rPr>
      </w:pPr>
    </w:p>
    <w:p w14:paraId="0528972D" w14:textId="77777777" w:rsidR="00C07E08" w:rsidRDefault="00000000">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lastRenderedPageBreak/>
        <w:t>In order to deal with these issues, this study presents a machine learning integration framework which works in the layered structure of consulting firms. The framework employs ML models that are based on data to assist in role-specific performance analysis and forecasting as well as strategic decisions at every level of the organization, starting with the level of Junior Consultants and moving upwards to Directors and Partners. The framework aims to enhance operational efficiency in a company, increase project profitability, better utilization of talent, and enhance strategic planning within the company by linking ML-informed insights to the current corporate hierarchies.</w:t>
      </w:r>
    </w:p>
    <w:p w14:paraId="013C42A3" w14:textId="77777777" w:rsidR="00C07E08" w:rsidRDefault="00C07E08">
      <w:pPr>
        <w:rPr>
          <w:rFonts w:ascii="Times New Roman" w:eastAsia="Times New Roman" w:hAnsi="Times New Roman" w:cs="Times New Roman"/>
          <w:color w:val="FF0000"/>
        </w:rPr>
      </w:pPr>
    </w:p>
    <w:p w14:paraId="7FD51DE9" w14:textId="77777777" w:rsidR="00C07E08" w:rsidRDefault="00000000">
      <w:pPr>
        <w:rPr>
          <w:rFonts w:ascii="Times New Roman" w:eastAsia="Times New Roman" w:hAnsi="Times New Roman" w:cs="Times New Roman"/>
        </w:rPr>
      </w:pPr>
      <w:r>
        <w:rPr>
          <w:rFonts w:ascii="Times New Roman" w:eastAsia="Times New Roman" w:hAnsi="Times New Roman" w:cs="Times New Roman"/>
          <w:b/>
          <w:bCs/>
          <w:sz w:val="28"/>
          <w:szCs w:val="28"/>
        </w:rPr>
        <w:t>Literature Review:</w:t>
      </w:r>
      <w:r>
        <w:rPr>
          <w:rFonts w:ascii="Times New Roman" w:eastAsia="Times New Roman" w:hAnsi="Times New Roman" w:cs="Times New Roman"/>
          <w:b/>
          <w:bCs/>
          <w:sz w:val="32"/>
          <w:szCs w:val="32"/>
        </w:rPr>
        <w:br/>
      </w:r>
      <w:r>
        <w:rPr>
          <w:rFonts w:ascii="Times New Roman" w:eastAsia="Times New Roman" w:hAnsi="Times New Roman" w:cs="Times New Roman"/>
          <w:b/>
          <w:bCs/>
          <w:sz w:val="28"/>
          <w:szCs w:val="28"/>
        </w:rPr>
        <w:br/>
      </w:r>
      <w:r>
        <w:rPr>
          <w:rFonts w:ascii="Times New Roman" w:eastAsia="Times New Roman" w:hAnsi="Times New Roman" w:cs="Times New Roman"/>
          <w:b/>
          <w:bCs/>
          <w:sz w:val="24"/>
          <w:szCs w:val="24"/>
        </w:rPr>
        <w:t>2.1 Machine Learning, Predictive Analytics, and Business Intelligence in Enterprise Contexts</w:t>
      </w:r>
      <w:r>
        <w:rPr>
          <w:rFonts w:ascii="Times New Roman" w:eastAsia="Times New Roman" w:hAnsi="Times New Roman" w:cs="Times New Roman"/>
          <w:b/>
          <w:bCs/>
          <w:sz w:val="28"/>
          <w:szCs w:val="28"/>
        </w:rPr>
        <w:br/>
      </w:r>
    </w:p>
    <w:p w14:paraId="2DE9646A" w14:textId="77777777"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Investigations demonstrate the tangible advantages of such a combination: it has been reported that processing speed has improved 42% and that the correctness of the analytical results has increased 31% in AIML-enhanced BI systems. In its simplest definition, Business Intelligence can be defined as the combination of data of different origins to give insights, and Predictive Analytics is the statistical models and machine learning algorithms to forecast the future trends based on the past data. </w:t>
      </w:r>
    </w:p>
    <w:p w14:paraId="37DFDF98" w14:textId="77777777" w:rsidR="0000011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Effectiveness, however, is a precondition of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preparedness. The challenge of combining AI outputs with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culture and decision-making frameworks, workforce skills disjunction, change resistance, and sustainability of progress in dynamic situations remain major challenges.</w:t>
      </w:r>
    </w:p>
    <w:p w14:paraId="6DBE03C2" w14:textId="22919620"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p w14:paraId="3EB87CFB" w14:textId="77777777" w:rsidR="004F466D"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rPr>
        <w:br/>
      </w:r>
      <w:r>
        <w:rPr>
          <w:rFonts w:ascii="Times New Roman" w:eastAsia="Times New Roman" w:hAnsi="Times New Roman" w:cs="Times New Roman"/>
          <w:b/>
          <w:bCs/>
          <w:sz w:val="24"/>
          <w:szCs w:val="24"/>
        </w:rPr>
        <w:t>2.2 Operational Efficiency and Decision-Making Impact</w:t>
      </w:r>
    </w:p>
    <w:p w14:paraId="2DA30DBB" w14:textId="7052B046"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Empirical evidence reports significant efficiency gains due to the AIML-driven BI systems on a regular basis. Increased processing speed (up to 42%), reduced reporting time (75% in ESG reporting cases), and increased decision correctness (45% in autonomous BI decisions) are all measurable benefits.</w:t>
      </w:r>
    </w:p>
    <w:p w14:paraId="63529A45" w14:textId="77777777" w:rsidR="00C07E08" w:rsidRDefault="00C07E08">
      <w:pPr>
        <w:jc w:val="both"/>
        <w:rPr>
          <w:rFonts w:ascii="Times New Roman" w:eastAsia="Times New Roman" w:hAnsi="Times New Roman" w:cs="Times New Roman"/>
          <w:sz w:val="24"/>
          <w:szCs w:val="24"/>
        </w:rPr>
      </w:pPr>
    </w:p>
    <w:p w14:paraId="775208A2" w14:textId="77777777" w:rsidR="004F46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Automation of routine tasks and real-time analytics accelerate the decision-making process, which enhances the output and strategic responsiveness. Better strategic agility, risk management, and resource allocation have been observed across a wide range of sectors, such as manufacturing, health care, and finance.</w:t>
      </w:r>
    </w:p>
    <w:p w14:paraId="72F53303" w14:textId="21222F48" w:rsidR="00C07E08" w:rsidRDefault="00000000">
      <w:pPr>
        <w:jc w:val="both"/>
        <w:rPr>
          <w:rFonts w:ascii="Times New Roman" w:eastAsia="Times New Roman" w:hAnsi="Times New Roman" w:cs="Times New Roman"/>
        </w:rPr>
      </w:pPr>
      <w:r>
        <w:rPr>
          <w:rFonts w:ascii="Times New Roman" w:eastAsia="Times New Roman" w:hAnsi="Times New Roman" w:cs="Times New Roman"/>
          <w:sz w:val="24"/>
          <w:szCs w:val="24"/>
        </w:rPr>
        <w:t>[13][1]</w:t>
      </w:r>
      <w:r>
        <w:rPr>
          <w:rFonts w:ascii="Times New Roman" w:eastAsia="Times New Roman" w:hAnsi="Times New Roman" w:cs="Times New Roman"/>
          <w:sz w:val="24"/>
          <w:szCs w:val="24"/>
        </w:rPr>
        <w:br/>
      </w:r>
    </w:p>
    <w:p w14:paraId="43B2F426" w14:textId="77777777" w:rsidR="00C07E08" w:rsidRDefault="00C07E08">
      <w:pPr>
        <w:jc w:val="both"/>
        <w:rPr>
          <w:rFonts w:ascii="Times New Roman" w:eastAsia="Times New Roman" w:hAnsi="Times New Roman" w:cs="Times New Roman"/>
          <w:sz w:val="26"/>
          <w:szCs w:val="26"/>
        </w:rPr>
      </w:pPr>
    </w:p>
    <w:p w14:paraId="42B3D248" w14:textId="77777777" w:rsidR="004F466D" w:rsidRDefault="004F466D">
      <w:pPr>
        <w:jc w:val="both"/>
        <w:rPr>
          <w:rFonts w:ascii="Times New Roman" w:eastAsia="Times New Roman" w:hAnsi="Times New Roman" w:cs="Times New Roman"/>
          <w:sz w:val="26"/>
          <w:szCs w:val="26"/>
        </w:rPr>
      </w:pPr>
    </w:p>
    <w:p w14:paraId="416681A4" w14:textId="77777777" w:rsidR="004F466D" w:rsidRDefault="004F466D">
      <w:pPr>
        <w:jc w:val="both"/>
        <w:rPr>
          <w:rFonts w:ascii="Times New Roman" w:eastAsia="Times New Roman" w:hAnsi="Times New Roman" w:cs="Times New Roman"/>
          <w:sz w:val="26"/>
          <w:szCs w:val="26"/>
        </w:rPr>
      </w:pPr>
    </w:p>
    <w:p w14:paraId="434D2B99" w14:textId="77777777" w:rsidR="00C07E08"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2.3 Role-Hierarchical Decision Support: The Consultancy Context (Research Gap)</w:t>
      </w:r>
    </w:p>
    <w:p w14:paraId="028E659A" w14:textId="77777777"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rPr>
        <w:br/>
      </w:r>
      <w:r>
        <w:rPr>
          <w:rFonts w:ascii="Times New Roman" w:eastAsia="Times New Roman" w:hAnsi="Times New Roman" w:cs="Times New Roman"/>
          <w:sz w:val="24"/>
          <w:szCs w:val="24"/>
        </w:rPr>
        <w:t>The majority of research is centered on generic data-science platforms or client-specific, engagement-specific solutions, which do not consider internal hierarchies and unique decision-making situations within consulting firms.</w:t>
      </w:r>
    </w:p>
    <w:p w14:paraId="2BDC7055" w14:textId="77777777"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Consulting firms operate on various governance levels, starting with junior analysts and project managers and going as high as senior partners and C-suite executives, and each of them requires analytical support and KPI arrangements that are tailored to the environment.</w:t>
      </w:r>
      <w:r>
        <w:rPr>
          <w:rFonts w:ascii="Times New Roman" w:eastAsia="Times New Roman" w:hAnsi="Times New Roman" w:cs="Times New Roman"/>
          <w:sz w:val="24"/>
          <w:szCs w:val="24"/>
        </w:rPr>
        <w:br/>
        <w:t>[9][15][16]</w:t>
      </w:r>
      <w:r>
        <w:rPr>
          <w:rFonts w:ascii="Times New Roman" w:eastAsia="Times New Roman" w:hAnsi="Times New Roman" w:cs="Times New Roman"/>
        </w:rPr>
        <w:br/>
      </w:r>
      <w:r>
        <w:rPr>
          <w:rFonts w:ascii="Times New Roman" w:eastAsia="Times New Roman" w:hAnsi="Times New Roman" w:cs="Times New Roman"/>
          <w:sz w:val="20"/>
          <w:szCs w:val="20"/>
        </w:rPr>
        <w:br/>
      </w:r>
      <w:r>
        <w:rPr>
          <w:rFonts w:ascii="Times New Roman" w:eastAsia="Times New Roman" w:hAnsi="Times New Roman" w:cs="Times New Roman"/>
          <w:b/>
          <w:bCs/>
          <w:sz w:val="24"/>
          <w:szCs w:val="24"/>
        </w:rPr>
        <w:t>2.4 Current Analytics and AI Systems for Enterprise Decision Support and Consulting:</w:t>
      </w:r>
      <w:r>
        <w:rPr>
          <w:rFonts w:ascii="Times New Roman" w:eastAsia="Times New Roman" w:hAnsi="Times New Roman" w:cs="Times New Roman"/>
          <w:b/>
          <w:bCs/>
          <w:sz w:val="24"/>
          <w:szCs w:val="24"/>
        </w:rPr>
        <w:br/>
      </w:r>
      <w:r>
        <w:rPr>
          <w:rFonts w:ascii="Times New Roman" w:eastAsia="Times New Roman" w:hAnsi="Times New Roman" w:cs="Times New Roman"/>
          <w:b/>
          <w:bCs/>
          <w:sz w:val="26"/>
          <w:szCs w:val="26"/>
        </w:rPr>
        <w:br/>
      </w:r>
      <w:r>
        <w:rPr>
          <w:rFonts w:ascii="Times New Roman" w:eastAsia="Times New Roman" w:hAnsi="Times New Roman" w:cs="Times New Roman"/>
          <w:sz w:val="24"/>
          <w:szCs w:val="24"/>
        </w:rPr>
        <w:t>As evidenced by a substantial body of industry practice; yet, current solutions are still focused on either:</w:t>
      </w:r>
    </w:p>
    <w:p w14:paraId="4AB5C6E4" w14:textId="3A9BE2A2" w:rsidR="004F466D" w:rsidRPr="004F466D" w:rsidRDefault="00000000" w:rsidP="004F466D">
      <w:pPr>
        <w:pStyle w:val="ListParagraph"/>
        <w:numPr>
          <w:ilvl w:val="0"/>
          <w:numId w:val="5"/>
        </w:numPr>
        <w:jc w:val="both"/>
        <w:rPr>
          <w:rFonts w:ascii="Times New Roman" w:eastAsia="Times New Roman" w:hAnsi="Times New Roman" w:cs="Times New Roman"/>
          <w:sz w:val="24"/>
          <w:szCs w:val="24"/>
        </w:rPr>
      </w:pPr>
      <w:r w:rsidRPr="004F466D">
        <w:rPr>
          <w:rFonts w:ascii="Times New Roman" w:eastAsia="Times New Roman" w:hAnsi="Times New Roman" w:cs="Times New Roman"/>
          <w:sz w:val="24"/>
          <w:szCs w:val="24"/>
        </w:rPr>
        <w:t>platforms focused on data science,</w:t>
      </w:r>
    </w:p>
    <w:p w14:paraId="42CE26E0" w14:textId="25BFF14E" w:rsidR="00C07E08" w:rsidRPr="004F466D" w:rsidRDefault="00000000" w:rsidP="004F466D">
      <w:pPr>
        <w:pStyle w:val="ListParagraph"/>
        <w:numPr>
          <w:ilvl w:val="0"/>
          <w:numId w:val="5"/>
        </w:numPr>
        <w:jc w:val="both"/>
        <w:rPr>
          <w:rFonts w:ascii="Times New Roman" w:eastAsia="Times New Roman" w:hAnsi="Times New Roman" w:cs="Times New Roman"/>
          <w:sz w:val="24"/>
          <w:szCs w:val="24"/>
        </w:rPr>
      </w:pPr>
      <w:r w:rsidRPr="004F466D">
        <w:rPr>
          <w:rFonts w:ascii="Times New Roman" w:eastAsia="Times New Roman" w:hAnsi="Times New Roman" w:cs="Times New Roman"/>
          <w:sz w:val="24"/>
          <w:szCs w:val="24"/>
        </w:rPr>
        <w:t>custom, engagement-specific solutions for clients.</w:t>
      </w:r>
    </w:p>
    <w:p w14:paraId="79B6407B" w14:textId="77777777" w:rsidR="00C07E08" w:rsidRDefault="00C07E08">
      <w:pPr>
        <w:jc w:val="both"/>
        <w:rPr>
          <w:rFonts w:ascii="Times New Roman" w:eastAsia="Times New Roman" w:hAnsi="Times New Roman" w:cs="Times New Roman"/>
          <w:sz w:val="24"/>
          <w:szCs w:val="24"/>
        </w:rPr>
      </w:pPr>
    </w:p>
    <w:p w14:paraId="5FD4981B" w14:textId="77777777" w:rsidR="00C07E08"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None of the systems provides a role-conscious, unified, plug-and-play ML+BI environment specifically tailored to the internal consulting hierarchy.</w:t>
      </w:r>
    </w:p>
    <w:p w14:paraId="79DC3386" w14:textId="77777777" w:rsidR="00C07E08" w:rsidRDefault="00000000">
      <w:pPr>
        <w:rPr>
          <w:rFonts w:ascii="Times New Roman" w:eastAsia="Times New Roman" w:hAnsi="Times New Roman" w:cs="Times New Roman"/>
        </w:rPr>
      </w:pPr>
      <w:r>
        <w:rPr>
          <w:rFonts w:ascii="Times New Roman" w:eastAsia="Times New Roman" w:hAnsi="Times New Roman" w:cs="Times New Roman"/>
        </w:rPr>
        <w:t>[26]</w:t>
      </w:r>
    </w:p>
    <w:p w14:paraId="43C92CF9" w14:textId="79A92BFE" w:rsidR="004F466D" w:rsidRDefault="00000000" w:rsidP="004F466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Existing Systems</w:t>
      </w:r>
    </w:p>
    <w:tbl>
      <w:tblPr>
        <w:tblStyle w:val="TableGrid"/>
        <w:tblW w:w="0" w:type="auto"/>
        <w:tblLook w:val="04A0" w:firstRow="1" w:lastRow="0" w:firstColumn="1" w:lastColumn="0" w:noHBand="0" w:noVBand="1"/>
      </w:tblPr>
      <w:tblGrid>
        <w:gridCol w:w="1670"/>
        <w:gridCol w:w="1824"/>
        <w:gridCol w:w="2162"/>
        <w:gridCol w:w="2771"/>
        <w:gridCol w:w="923"/>
      </w:tblGrid>
      <w:tr w:rsidR="004F466D" w14:paraId="7D7D68BC" w14:textId="77777777" w:rsidTr="00B37A93">
        <w:tc>
          <w:tcPr>
            <w:tcW w:w="1555" w:type="dxa"/>
            <w:shd w:val="clear" w:color="auto" w:fill="D9D9D9" w:themeFill="background1" w:themeFillShade="D9"/>
            <w:vAlign w:val="center"/>
          </w:tcPr>
          <w:p w14:paraId="30420165" w14:textId="7BEB0962" w:rsidR="004F466D" w:rsidRPr="00CE46A0" w:rsidRDefault="004F466D" w:rsidP="004F466D">
            <w:pPr>
              <w:jc w:val="center"/>
              <w:rPr>
                <w:rFonts w:ascii="Times New Roman" w:eastAsia="Times New Roman" w:hAnsi="Times New Roman" w:cs="Times New Roman"/>
                <w:b/>
                <w:bCs/>
                <w:sz w:val="24"/>
                <w:szCs w:val="24"/>
              </w:rPr>
            </w:pPr>
            <w:r w:rsidRPr="00CE46A0">
              <w:rPr>
                <w:rFonts w:ascii="Times New Roman" w:eastAsia="Times New Roman" w:hAnsi="Times New Roman" w:cs="Times New Roman"/>
                <w:b/>
                <w:bCs/>
                <w:sz w:val="24"/>
                <w:szCs w:val="24"/>
              </w:rPr>
              <w:t>System</w:t>
            </w:r>
          </w:p>
        </w:tc>
        <w:tc>
          <w:tcPr>
            <w:tcW w:w="1842" w:type="dxa"/>
            <w:shd w:val="clear" w:color="auto" w:fill="D9D9D9" w:themeFill="background1" w:themeFillShade="D9"/>
            <w:vAlign w:val="center"/>
          </w:tcPr>
          <w:p w14:paraId="6F3C5E40" w14:textId="270E7106" w:rsidR="004F466D" w:rsidRPr="00CE46A0" w:rsidRDefault="004F466D" w:rsidP="004F466D">
            <w:pPr>
              <w:jc w:val="center"/>
              <w:rPr>
                <w:rFonts w:ascii="Times New Roman" w:eastAsia="Times New Roman" w:hAnsi="Times New Roman" w:cs="Times New Roman"/>
                <w:b/>
                <w:bCs/>
                <w:sz w:val="24"/>
                <w:szCs w:val="24"/>
              </w:rPr>
            </w:pPr>
            <w:r w:rsidRPr="00CE46A0">
              <w:rPr>
                <w:rFonts w:ascii="Times New Roman" w:eastAsia="Times New Roman" w:hAnsi="Times New Roman" w:cs="Times New Roman"/>
                <w:b/>
                <w:bCs/>
                <w:sz w:val="24"/>
                <w:szCs w:val="24"/>
              </w:rPr>
              <w:t>Primary use &amp; typical user</w:t>
            </w:r>
          </w:p>
        </w:tc>
        <w:tc>
          <w:tcPr>
            <w:tcW w:w="2213" w:type="dxa"/>
            <w:shd w:val="clear" w:color="auto" w:fill="D9D9D9" w:themeFill="background1" w:themeFillShade="D9"/>
            <w:vAlign w:val="center"/>
          </w:tcPr>
          <w:p w14:paraId="79F89FED" w14:textId="2FD31F2E" w:rsidR="004F466D" w:rsidRPr="00CE46A0" w:rsidRDefault="00B37A93" w:rsidP="004F466D">
            <w:pPr>
              <w:jc w:val="center"/>
              <w:rPr>
                <w:rFonts w:ascii="Times New Roman" w:eastAsia="Times New Roman" w:hAnsi="Times New Roman" w:cs="Times New Roman"/>
                <w:b/>
                <w:bCs/>
                <w:sz w:val="24"/>
                <w:szCs w:val="24"/>
              </w:rPr>
            </w:pPr>
            <w:r w:rsidRPr="00CE46A0">
              <w:rPr>
                <w:rFonts w:ascii="Times New Roman" w:eastAsia="Times New Roman" w:hAnsi="Times New Roman" w:cs="Times New Roman"/>
                <w:b/>
                <w:bCs/>
                <w:sz w:val="24"/>
                <w:szCs w:val="24"/>
              </w:rPr>
              <w:t>Public key features</w:t>
            </w:r>
          </w:p>
        </w:tc>
        <w:tc>
          <w:tcPr>
            <w:tcW w:w="2890" w:type="dxa"/>
            <w:shd w:val="clear" w:color="auto" w:fill="D9D9D9" w:themeFill="background1" w:themeFillShade="D9"/>
            <w:vAlign w:val="center"/>
          </w:tcPr>
          <w:p w14:paraId="521C4FD7" w14:textId="2BF9ABD0" w:rsidR="004F466D" w:rsidRPr="00CE46A0" w:rsidRDefault="00B37A93" w:rsidP="004F466D">
            <w:pPr>
              <w:jc w:val="center"/>
              <w:rPr>
                <w:rFonts w:ascii="Times New Roman" w:eastAsia="Times New Roman" w:hAnsi="Times New Roman" w:cs="Times New Roman"/>
                <w:b/>
                <w:bCs/>
                <w:sz w:val="24"/>
                <w:szCs w:val="24"/>
              </w:rPr>
            </w:pPr>
            <w:r w:rsidRPr="00CE46A0">
              <w:rPr>
                <w:rFonts w:ascii="Times New Roman" w:eastAsia="Times New Roman" w:hAnsi="Times New Roman" w:cs="Times New Roman"/>
                <w:b/>
                <w:bCs/>
                <w:sz w:val="24"/>
                <w:szCs w:val="24"/>
              </w:rPr>
              <w:t>Gaps/limitations</w:t>
            </w:r>
          </w:p>
        </w:tc>
        <w:tc>
          <w:tcPr>
            <w:tcW w:w="850" w:type="dxa"/>
            <w:shd w:val="clear" w:color="auto" w:fill="D9D9D9" w:themeFill="background1" w:themeFillShade="D9"/>
            <w:vAlign w:val="center"/>
          </w:tcPr>
          <w:p w14:paraId="232FD7FA" w14:textId="0D72BCE2" w:rsidR="004F466D" w:rsidRPr="00CE46A0" w:rsidRDefault="00B37A93" w:rsidP="004F466D">
            <w:pPr>
              <w:jc w:val="center"/>
              <w:rPr>
                <w:rFonts w:ascii="Times New Roman" w:eastAsia="Times New Roman" w:hAnsi="Times New Roman" w:cs="Times New Roman"/>
                <w:b/>
                <w:bCs/>
                <w:sz w:val="24"/>
                <w:szCs w:val="24"/>
              </w:rPr>
            </w:pPr>
            <w:r w:rsidRPr="00CE46A0">
              <w:rPr>
                <w:rFonts w:ascii="Times New Roman" w:eastAsia="Times New Roman" w:hAnsi="Times New Roman" w:cs="Times New Roman"/>
                <w:b/>
                <w:bCs/>
                <w:sz w:val="24"/>
                <w:szCs w:val="24"/>
              </w:rPr>
              <w:t>Source</w:t>
            </w:r>
          </w:p>
        </w:tc>
      </w:tr>
      <w:tr w:rsidR="00B37A93" w14:paraId="35D34CF7" w14:textId="77777777" w:rsidTr="00B37A93">
        <w:tc>
          <w:tcPr>
            <w:tcW w:w="1555" w:type="dxa"/>
            <w:vAlign w:val="center"/>
          </w:tcPr>
          <w:p w14:paraId="4F27E91C" w14:textId="3BD9F505"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 xml:space="preserve">“AI by McKinsey” - </w:t>
            </w:r>
            <w:proofErr w:type="spellStart"/>
            <w:r w:rsidRPr="00CE46A0">
              <w:rPr>
                <w:rFonts w:ascii="Times New Roman" w:eastAsia="Times New Roman" w:hAnsi="Times New Roman" w:cs="Times New Roman"/>
                <w:sz w:val="24"/>
                <w:szCs w:val="24"/>
              </w:rPr>
              <w:t>QuantumBlack</w:t>
            </w:r>
            <w:proofErr w:type="spellEnd"/>
          </w:p>
        </w:tc>
        <w:tc>
          <w:tcPr>
            <w:tcW w:w="1842" w:type="dxa"/>
            <w:vAlign w:val="center"/>
          </w:tcPr>
          <w:p w14:paraId="4926B7E7" w14:textId="783EEEF1" w:rsidR="00B37A93" w:rsidRPr="00CE46A0" w:rsidRDefault="00B37A93" w:rsidP="00B37A93">
            <w:pPr>
              <w:jc w:val="center"/>
              <w:rPr>
                <w:rFonts w:ascii="Times New Roman" w:eastAsia="Times New Roman" w:hAnsi="Times New Roman" w:cs="Times New Roman"/>
                <w:b/>
                <w:bCs/>
                <w:sz w:val="24"/>
                <w:szCs w:val="24"/>
              </w:rPr>
            </w:pPr>
            <w:r w:rsidRPr="00CE46A0">
              <w:rPr>
                <w:rFonts w:ascii="Times New Roman" w:eastAsia="Times New Roman" w:hAnsi="Times New Roman" w:cs="Times New Roman"/>
                <w:sz w:val="24"/>
                <w:szCs w:val="24"/>
              </w:rPr>
              <w:t>McKinsey’s advanced analytics arm for client AI transformation; used by enterprise clients and McKinsey engagement teams.</w:t>
            </w:r>
          </w:p>
        </w:tc>
        <w:tc>
          <w:tcPr>
            <w:tcW w:w="2213" w:type="dxa"/>
            <w:vAlign w:val="center"/>
          </w:tcPr>
          <w:p w14:paraId="6D6A05DC" w14:textId="35E0F3C1" w:rsidR="00B37A93" w:rsidRPr="00CE46A0" w:rsidRDefault="00B37A93" w:rsidP="00B37A93">
            <w:pPr>
              <w:jc w:val="center"/>
              <w:rPr>
                <w:rFonts w:ascii="Times New Roman" w:eastAsia="Times New Roman" w:hAnsi="Times New Roman" w:cs="Times New Roman"/>
                <w:b/>
                <w:bCs/>
                <w:sz w:val="24"/>
                <w:szCs w:val="24"/>
              </w:rPr>
            </w:pPr>
            <w:r w:rsidRPr="00CE46A0">
              <w:rPr>
                <w:rFonts w:ascii="Times New Roman" w:eastAsia="Times New Roman" w:hAnsi="Times New Roman" w:cs="Times New Roman"/>
                <w:sz w:val="24"/>
                <w:szCs w:val="24"/>
              </w:rPr>
              <w:t>End-to-end AI advisory + engineering, production ML/</w:t>
            </w:r>
            <w:proofErr w:type="spellStart"/>
            <w:r w:rsidRPr="00CE46A0">
              <w:rPr>
                <w:rFonts w:ascii="Times New Roman" w:eastAsia="Times New Roman" w:hAnsi="Times New Roman" w:cs="Times New Roman"/>
                <w:sz w:val="24"/>
                <w:szCs w:val="24"/>
              </w:rPr>
              <w:t>MLOps</w:t>
            </w:r>
            <w:proofErr w:type="spellEnd"/>
            <w:r w:rsidRPr="00CE46A0">
              <w:rPr>
                <w:rFonts w:ascii="Times New Roman" w:eastAsia="Times New Roman" w:hAnsi="Times New Roman" w:cs="Times New Roman"/>
                <w:sz w:val="24"/>
                <w:szCs w:val="24"/>
              </w:rPr>
              <w:t xml:space="preserve">, model deployment, domain consulting, case studies showing retail/clinical deployments. Strong emphasis on hybrid intelligence and embedding AI into operations. </w:t>
            </w:r>
          </w:p>
        </w:tc>
        <w:tc>
          <w:tcPr>
            <w:tcW w:w="2890" w:type="dxa"/>
            <w:vAlign w:val="center"/>
          </w:tcPr>
          <w:p w14:paraId="176FCD2C" w14:textId="5010B33A" w:rsidR="00B37A93" w:rsidRPr="00CE46A0" w:rsidRDefault="00B37A93" w:rsidP="00B37A93">
            <w:pPr>
              <w:jc w:val="center"/>
              <w:rPr>
                <w:rFonts w:ascii="Times New Roman" w:eastAsia="Times New Roman" w:hAnsi="Times New Roman" w:cs="Times New Roman"/>
                <w:b/>
                <w:bCs/>
                <w:sz w:val="24"/>
                <w:szCs w:val="24"/>
              </w:rPr>
            </w:pPr>
            <w:r w:rsidRPr="00CE46A0">
              <w:rPr>
                <w:rFonts w:ascii="Times New Roman" w:eastAsia="Times New Roman" w:hAnsi="Times New Roman" w:cs="Times New Roman"/>
                <w:sz w:val="24"/>
                <w:szCs w:val="24"/>
              </w:rPr>
              <w:t xml:space="preserve">Focus is enterprise transformation and bespoke engagements; public materials emphasize bespoke projects and </w:t>
            </w:r>
            <w:proofErr w:type="spellStart"/>
            <w:r w:rsidRPr="00CE46A0">
              <w:rPr>
                <w:rFonts w:ascii="Times New Roman" w:eastAsia="Times New Roman" w:hAnsi="Times New Roman" w:cs="Times New Roman"/>
                <w:sz w:val="24"/>
                <w:szCs w:val="24"/>
              </w:rPr>
              <w:t>MLOps</w:t>
            </w:r>
            <w:proofErr w:type="spellEnd"/>
            <w:r w:rsidRPr="00CE46A0">
              <w:rPr>
                <w:rFonts w:ascii="Times New Roman" w:eastAsia="Times New Roman" w:hAnsi="Times New Roman" w:cs="Times New Roman"/>
                <w:sz w:val="24"/>
                <w:szCs w:val="24"/>
              </w:rPr>
              <w:t xml:space="preserve"> but do not describe a consulting-hierarchy UX or packaged role-based plug-and-play module catalog.</w:t>
            </w:r>
          </w:p>
        </w:tc>
        <w:tc>
          <w:tcPr>
            <w:tcW w:w="850" w:type="dxa"/>
            <w:vAlign w:val="center"/>
          </w:tcPr>
          <w:p w14:paraId="371EDB64" w14:textId="6C98D9DD"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[17]</w:t>
            </w:r>
          </w:p>
        </w:tc>
      </w:tr>
      <w:tr w:rsidR="00B37A93" w14:paraId="37D3678E" w14:textId="77777777" w:rsidTr="00B37A93">
        <w:tc>
          <w:tcPr>
            <w:tcW w:w="1555" w:type="dxa"/>
            <w:vAlign w:val="center"/>
          </w:tcPr>
          <w:p w14:paraId="063C7E12" w14:textId="48FA4F2D"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BCG GAMMA</w:t>
            </w:r>
          </w:p>
        </w:tc>
        <w:tc>
          <w:tcPr>
            <w:tcW w:w="1842" w:type="dxa"/>
            <w:vAlign w:val="center"/>
          </w:tcPr>
          <w:p w14:paraId="59BD1FF3" w14:textId="6CCEC50C"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 xml:space="preserve">BCG’s analytics / data-science practice - applies ML for strategy and </w:t>
            </w:r>
            <w:r w:rsidRPr="00CE46A0">
              <w:rPr>
                <w:rFonts w:ascii="Times New Roman" w:eastAsia="Times New Roman" w:hAnsi="Times New Roman" w:cs="Times New Roman"/>
                <w:sz w:val="24"/>
                <w:szCs w:val="24"/>
              </w:rPr>
              <w:lastRenderedPageBreak/>
              <w:t>operations; staff data scientists embedded in projects.</w:t>
            </w:r>
          </w:p>
        </w:tc>
        <w:tc>
          <w:tcPr>
            <w:tcW w:w="2213" w:type="dxa"/>
            <w:vAlign w:val="center"/>
          </w:tcPr>
          <w:p w14:paraId="477F9BF2" w14:textId="19C7A6A2"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lastRenderedPageBreak/>
              <w:t xml:space="preserve">Advanced ML/AI, predictive modelling, productized use-case playbooks, </w:t>
            </w:r>
            <w:r w:rsidRPr="00CE46A0">
              <w:rPr>
                <w:rFonts w:ascii="Times New Roman" w:eastAsia="Times New Roman" w:hAnsi="Times New Roman" w:cs="Times New Roman"/>
                <w:sz w:val="24"/>
                <w:szCs w:val="24"/>
              </w:rPr>
              <w:lastRenderedPageBreak/>
              <w:t>strong applied-science focus.</w:t>
            </w:r>
          </w:p>
        </w:tc>
        <w:tc>
          <w:tcPr>
            <w:tcW w:w="2890" w:type="dxa"/>
            <w:vAlign w:val="center"/>
          </w:tcPr>
          <w:p w14:paraId="058E779F" w14:textId="79CB57D4"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lastRenderedPageBreak/>
              <w:t xml:space="preserve">Strong at deep analytics &amp; project staffing; less public evidence of standardized multi-tenant, per-role dashboards that </w:t>
            </w:r>
            <w:r w:rsidRPr="00CE46A0">
              <w:rPr>
                <w:rFonts w:ascii="Times New Roman" w:eastAsia="Times New Roman" w:hAnsi="Times New Roman" w:cs="Times New Roman"/>
                <w:sz w:val="24"/>
                <w:szCs w:val="24"/>
              </w:rPr>
              <w:lastRenderedPageBreak/>
              <w:t>automatically switch ML models/KPIs depending on the consulting role (e.g., project manager vs partner). Our system: modular catalog of role-mapped models + BI front end.</w:t>
            </w:r>
          </w:p>
        </w:tc>
        <w:tc>
          <w:tcPr>
            <w:tcW w:w="850" w:type="dxa"/>
            <w:vAlign w:val="center"/>
          </w:tcPr>
          <w:p w14:paraId="458FC708" w14:textId="2BB45864"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lastRenderedPageBreak/>
              <w:t>[18]</w:t>
            </w:r>
          </w:p>
        </w:tc>
      </w:tr>
      <w:tr w:rsidR="00B37A93" w14:paraId="13172A91" w14:textId="77777777" w:rsidTr="00B37A93">
        <w:tc>
          <w:tcPr>
            <w:tcW w:w="1555" w:type="dxa"/>
            <w:vAlign w:val="center"/>
          </w:tcPr>
          <w:p w14:paraId="443890C5" w14:textId="4E9FAE0F"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Vector / Advanced Analytics - Bain</w:t>
            </w:r>
          </w:p>
        </w:tc>
        <w:tc>
          <w:tcPr>
            <w:tcW w:w="1842" w:type="dxa"/>
            <w:vAlign w:val="center"/>
          </w:tcPr>
          <w:p w14:paraId="4916BBC5" w14:textId="6E3DE1AB"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Bain’s digital and analytics capability - delivering data strategy, analytics transformation and product engineering.</w:t>
            </w:r>
          </w:p>
        </w:tc>
        <w:tc>
          <w:tcPr>
            <w:tcW w:w="2213" w:type="dxa"/>
            <w:vAlign w:val="center"/>
          </w:tcPr>
          <w:p w14:paraId="082E451E" w14:textId="154FABE8"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End-to-end analytics transformation, prebuilt use-case products, integration with client workflows, digital product engineering.</w:t>
            </w:r>
          </w:p>
        </w:tc>
        <w:tc>
          <w:tcPr>
            <w:tcW w:w="2890" w:type="dxa"/>
            <w:vAlign w:val="center"/>
          </w:tcPr>
          <w:p w14:paraId="721E4D7D" w14:textId="535A616F"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Emphasizes client transformation and bespoke solutions; public docs highlight productized “use cases” but do not show a consultant-hierarchy adaptive UI that re-configures available ML modules by role. Our research adds per-persona module orchestration and dynamic KPI aggregation for consulting hierarchies.</w:t>
            </w:r>
          </w:p>
        </w:tc>
        <w:tc>
          <w:tcPr>
            <w:tcW w:w="850" w:type="dxa"/>
            <w:vAlign w:val="center"/>
          </w:tcPr>
          <w:p w14:paraId="0F8F9A17" w14:textId="78ACA558"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[19]</w:t>
            </w:r>
          </w:p>
        </w:tc>
      </w:tr>
      <w:tr w:rsidR="00B37A93" w14:paraId="21639F0D" w14:textId="77777777" w:rsidTr="00B37A93">
        <w:tc>
          <w:tcPr>
            <w:tcW w:w="1555" w:type="dxa"/>
            <w:vAlign w:val="center"/>
          </w:tcPr>
          <w:p w14:paraId="7AC8B7B7" w14:textId="3DB87FC2"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Accenture Applied Intelligence</w:t>
            </w:r>
          </w:p>
        </w:tc>
        <w:tc>
          <w:tcPr>
            <w:tcW w:w="1842" w:type="dxa"/>
            <w:vAlign w:val="center"/>
          </w:tcPr>
          <w:p w14:paraId="013CECC8" w14:textId="3E937C2C"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Accenture’s platform &amp; services unify analytics, AI, automation for clients (used by large enterprises and consulting teams).</w:t>
            </w:r>
          </w:p>
        </w:tc>
        <w:tc>
          <w:tcPr>
            <w:tcW w:w="2213" w:type="dxa"/>
            <w:vAlign w:val="center"/>
          </w:tcPr>
          <w:p w14:paraId="19546D88" w14:textId="7A8D507F"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Productized AI offerings, accelerators, managed AI services, low-code/accelerator tooling for faster time-to-value.</w:t>
            </w:r>
          </w:p>
        </w:tc>
        <w:tc>
          <w:tcPr>
            <w:tcW w:w="2890" w:type="dxa"/>
            <w:vAlign w:val="center"/>
          </w:tcPr>
          <w:p w14:paraId="56FAA8B6" w14:textId="7FAF590F"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Platform is broad and acceleration-focused but oriented to client engagements and managed services rather than an internal consulting-hierarchy UX. Our design: lightweight front end for consultants + per-role model selection.</w:t>
            </w:r>
          </w:p>
        </w:tc>
        <w:tc>
          <w:tcPr>
            <w:tcW w:w="850" w:type="dxa"/>
            <w:vAlign w:val="center"/>
          </w:tcPr>
          <w:p w14:paraId="69273D32" w14:textId="588828A1"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[20]</w:t>
            </w:r>
          </w:p>
        </w:tc>
      </w:tr>
      <w:tr w:rsidR="00B37A93" w14:paraId="64616F47" w14:textId="77777777" w:rsidTr="00B37A93">
        <w:tc>
          <w:tcPr>
            <w:tcW w:w="1555" w:type="dxa"/>
            <w:vAlign w:val="center"/>
          </w:tcPr>
          <w:p w14:paraId="05D9812E" w14:textId="73CBC41B"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Deloitte - Omnia / Deloitte Analytics Platform (DAP)</w:t>
            </w:r>
          </w:p>
        </w:tc>
        <w:tc>
          <w:tcPr>
            <w:tcW w:w="1842" w:type="dxa"/>
            <w:vAlign w:val="center"/>
          </w:tcPr>
          <w:p w14:paraId="043D71D2" w14:textId="7F56FA9E"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Deloitte’s cloud audit/analytics and enterprise analytics platform for audit, risk, and consulting workflows.</w:t>
            </w:r>
          </w:p>
        </w:tc>
        <w:tc>
          <w:tcPr>
            <w:tcW w:w="2213" w:type="dxa"/>
            <w:vAlign w:val="center"/>
          </w:tcPr>
          <w:p w14:paraId="444429EE" w14:textId="0829013E"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 xml:space="preserve">Cloud data orchestration for audit, data retrieval &amp; analysis, </w:t>
            </w:r>
            <w:proofErr w:type="spellStart"/>
            <w:r w:rsidRPr="00CE46A0">
              <w:rPr>
                <w:rFonts w:ascii="Times New Roman" w:eastAsia="Times New Roman" w:hAnsi="Times New Roman" w:cs="Times New Roman"/>
                <w:sz w:val="24"/>
                <w:szCs w:val="24"/>
              </w:rPr>
              <w:t>platformized</w:t>
            </w:r>
            <w:proofErr w:type="spellEnd"/>
            <w:r w:rsidRPr="00CE46A0">
              <w:rPr>
                <w:rFonts w:ascii="Times New Roman" w:eastAsia="Times New Roman" w:hAnsi="Times New Roman" w:cs="Times New Roman"/>
                <w:sz w:val="24"/>
                <w:szCs w:val="24"/>
              </w:rPr>
              <w:t xml:space="preserve"> analytics (DAP) with reference architectures for 24/7 analytics. Emphasis on governance, security, and auditability.</w:t>
            </w:r>
          </w:p>
        </w:tc>
        <w:tc>
          <w:tcPr>
            <w:tcW w:w="2890" w:type="dxa"/>
            <w:vAlign w:val="center"/>
          </w:tcPr>
          <w:p w14:paraId="0609627C" w14:textId="65C15E9D"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 xml:space="preserve">Strong governance and audit capabilities (good for compliance-heavy workflows) but Omni­a/DAP are audit/enterprise-centric rather than consulting-persona </w:t>
            </w:r>
            <w:proofErr w:type="spellStart"/>
            <w:proofErr w:type="gramStart"/>
            <w:r w:rsidRPr="00CE46A0">
              <w:rPr>
                <w:rFonts w:ascii="Times New Roman" w:eastAsia="Times New Roman" w:hAnsi="Times New Roman" w:cs="Times New Roman"/>
                <w:sz w:val="24"/>
                <w:szCs w:val="24"/>
              </w:rPr>
              <w:t>oriented.Our</w:t>
            </w:r>
            <w:proofErr w:type="spellEnd"/>
            <w:proofErr w:type="gramEnd"/>
            <w:r w:rsidRPr="00CE46A0">
              <w:rPr>
                <w:rFonts w:ascii="Times New Roman" w:eastAsia="Times New Roman" w:hAnsi="Times New Roman" w:cs="Times New Roman"/>
                <w:sz w:val="24"/>
                <w:szCs w:val="24"/>
              </w:rPr>
              <w:t xml:space="preserve"> system: combines governance with persona-aware model switching and simplified </w:t>
            </w:r>
            <w:proofErr w:type="spellStart"/>
            <w:r w:rsidRPr="00CE46A0">
              <w:rPr>
                <w:rFonts w:ascii="Times New Roman" w:eastAsia="Times New Roman" w:hAnsi="Times New Roman" w:cs="Times New Roman"/>
                <w:sz w:val="24"/>
                <w:szCs w:val="24"/>
              </w:rPr>
              <w:t>MLOps</w:t>
            </w:r>
            <w:proofErr w:type="spellEnd"/>
            <w:r w:rsidRPr="00CE46A0">
              <w:rPr>
                <w:rFonts w:ascii="Times New Roman" w:eastAsia="Times New Roman" w:hAnsi="Times New Roman" w:cs="Times New Roman"/>
                <w:sz w:val="24"/>
                <w:szCs w:val="24"/>
              </w:rPr>
              <w:t xml:space="preserve"> for consultants.</w:t>
            </w:r>
          </w:p>
        </w:tc>
        <w:tc>
          <w:tcPr>
            <w:tcW w:w="850" w:type="dxa"/>
            <w:vAlign w:val="center"/>
          </w:tcPr>
          <w:p w14:paraId="3113EC6A" w14:textId="2BE0E3B6"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[21]</w:t>
            </w:r>
          </w:p>
        </w:tc>
      </w:tr>
      <w:tr w:rsidR="00B37A93" w14:paraId="42848D25" w14:textId="77777777" w:rsidTr="00B37A93">
        <w:tc>
          <w:tcPr>
            <w:tcW w:w="1555" w:type="dxa"/>
            <w:vAlign w:val="center"/>
          </w:tcPr>
          <w:p w14:paraId="74632A3C" w14:textId="4AE2F6B9"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lastRenderedPageBreak/>
              <w:t>Lighthouse - KPMG</w:t>
            </w:r>
          </w:p>
        </w:tc>
        <w:tc>
          <w:tcPr>
            <w:tcW w:w="1842" w:type="dxa"/>
            <w:vAlign w:val="center"/>
          </w:tcPr>
          <w:p w14:paraId="1B5836B6" w14:textId="6B800C73"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KPMG’s analytics &amp; AI center for council, advisory, and internal augmentation.</w:t>
            </w:r>
          </w:p>
        </w:tc>
        <w:tc>
          <w:tcPr>
            <w:tcW w:w="2213" w:type="dxa"/>
            <w:vAlign w:val="center"/>
          </w:tcPr>
          <w:p w14:paraId="2237A1C9" w14:textId="15C39671"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Data science, AI accelerators, solution portfolio, internal AI assistants/case references (</w:t>
            </w:r>
            <w:proofErr w:type="spellStart"/>
            <w:r w:rsidRPr="00CE46A0">
              <w:rPr>
                <w:rFonts w:ascii="Times New Roman" w:eastAsia="Times New Roman" w:hAnsi="Times New Roman" w:cs="Times New Roman"/>
                <w:sz w:val="24"/>
                <w:szCs w:val="24"/>
              </w:rPr>
              <w:t>KymChat</w:t>
            </w:r>
            <w:proofErr w:type="spellEnd"/>
            <w:r w:rsidRPr="00CE46A0">
              <w:rPr>
                <w:rFonts w:ascii="Times New Roman" w:eastAsia="Times New Roman" w:hAnsi="Times New Roman" w:cs="Times New Roman"/>
                <w:sz w:val="24"/>
                <w:szCs w:val="24"/>
              </w:rPr>
              <w:t xml:space="preserve"> example). Focus on building trusted data, solution catalog.</w:t>
            </w:r>
          </w:p>
        </w:tc>
        <w:tc>
          <w:tcPr>
            <w:tcW w:w="2890" w:type="dxa"/>
            <w:vAlign w:val="center"/>
          </w:tcPr>
          <w:p w14:paraId="241511DF" w14:textId="739B0E0A"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 xml:space="preserve">Lighthouse targets a broad set of solutions and internal assistants; public examples emphasize discovery and productivity but don’t show a standardized, granular mapping of ML models to consulting hierarchy roles </w:t>
            </w:r>
          </w:p>
          <w:p w14:paraId="4B46624D" w14:textId="575B70E0"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We supply: an explicit role-model mapping and modular marketplace.</w:t>
            </w:r>
          </w:p>
        </w:tc>
        <w:tc>
          <w:tcPr>
            <w:tcW w:w="850" w:type="dxa"/>
            <w:vAlign w:val="center"/>
          </w:tcPr>
          <w:p w14:paraId="66360C59" w14:textId="7EE007E0"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[21]</w:t>
            </w:r>
          </w:p>
        </w:tc>
      </w:tr>
    </w:tbl>
    <w:p w14:paraId="34E2A1A8" w14:textId="77777777" w:rsidR="004F46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rPr>
        <w:br/>
      </w:r>
      <w:r>
        <w:rPr>
          <w:rFonts w:ascii="Times New Roman" w:eastAsia="Times New Roman" w:hAnsi="Times New Roman" w:cs="Times New Roman"/>
          <w:sz w:val="24"/>
          <w:szCs w:val="24"/>
        </w:rPr>
        <w:t xml:space="preserve">From the given above </w:t>
      </w:r>
      <w:r w:rsidRPr="00A358ED">
        <w:rPr>
          <w:rFonts w:ascii="Times New Roman" w:eastAsia="Times New Roman" w:hAnsi="Times New Roman" w:cs="Times New Roman"/>
          <w:sz w:val="24"/>
          <w:szCs w:val="24"/>
        </w:rPr>
        <w:t>Table 1</w:t>
      </w:r>
      <w:r>
        <w:rPr>
          <w:rFonts w:ascii="Times New Roman" w:eastAsia="Times New Roman" w:hAnsi="Times New Roman" w:cs="Times New Roman"/>
          <w:sz w:val="24"/>
          <w:szCs w:val="24"/>
        </w:rPr>
        <w:t xml:space="preserve">, the most technologically advanced side of the strategy-consulting spectrum is Bain Vector, BCG GAMMA, and </w:t>
      </w:r>
      <w:proofErr w:type="spellStart"/>
      <w:r>
        <w:rPr>
          <w:rFonts w:ascii="Times New Roman" w:eastAsia="Times New Roman" w:hAnsi="Times New Roman" w:cs="Times New Roman"/>
          <w:sz w:val="24"/>
          <w:szCs w:val="24"/>
        </w:rPr>
        <w:t>QuantumBlack</w:t>
      </w:r>
      <w:proofErr w:type="spellEnd"/>
      <w:r>
        <w:rPr>
          <w:rFonts w:ascii="Times New Roman" w:eastAsia="Times New Roman" w:hAnsi="Times New Roman" w:cs="Times New Roman"/>
          <w:sz w:val="24"/>
          <w:szCs w:val="24"/>
        </w:rPr>
        <w:t xml:space="preserve"> (McKinsey). </w:t>
      </w:r>
      <w:proofErr w:type="spellStart"/>
      <w:r>
        <w:rPr>
          <w:rFonts w:ascii="Times New Roman" w:eastAsia="Times New Roman" w:hAnsi="Times New Roman" w:cs="Times New Roman"/>
          <w:sz w:val="24"/>
          <w:szCs w:val="24"/>
        </w:rPr>
        <w:t>QuantumBlack</w:t>
      </w:r>
      <w:proofErr w:type="spellEnd"/>
      <w:r>
        <w:rPr>
          <w:rFonts w:ascii="Times New Roman" w:eastAsia="Times New Roman" w:hAnsi="Times New Roman" w:cs="Times New Roman"/>
          <w:sz w:val="24"/>
          <w:szCs w:val="24"/>
        </w:rPr>
        <w:t xml:space="preserve"> specializes in the integration of AI in the customer operating activities (hybrid intelligence), end-to-end AI advisory, production-scale </w:t>
      </w:r>
      <w:proofErr w:type="spellStart"/>
      <w:r>
        <w:rPr>
          <w:rFonts w:ascii="Times New Roman" w:eastAsia="Times New Roman" w:hAnsi="Times New Roman" w:cs="Times New Roman"/>
          <w:sz w:val="24"/>
          <w:szCs w:val="24"/>
        </w:rPr>
        <w:t>MLOps</w:t>
      </w:r>
      <w:proofErr w:type="spellEnd"/>
      <w:r>
        <w:rPr>
          <w:rFonts w:ascii="Times New Roman" w:eastAsia="Times New Roman" w:hAnsi="Times New Roman" w:cs="Times New Roman"/>
          <w:sz w:val="24"/>
          <w:szCs w:val="24"/>
        </w:rPr>
        <w:t xml:space="preserve">, and domain-specific AI deployments. However, instead of a </w:t>
      </w:r>
      <w:proofErr w:type="spellStart"/>
      <w:r>
        <w:rPr>
          <w:rFonts w:ascii="Times New Roman" w:eastAsia="Times New Roman" w:hAnsi="Times New Roman" w:cs="Times New Roman"/>
          <w:sz w:val="24"/>
          <w:szCs w:val="24"/>
        </w:rPr>
        <w:t>standardised</w:t>
      </w:r>
      <w:proofErr w:type="spellEnd"/>
      <w:r>
        <w:rPr>
          <w:rFonts w:ascii="Times New Roman" w:eastAsia="Times New Roman" w:hAnsi="Times New Roman" w:cs="Times New Roman"/>
          <w:sz w:val="24"/>
          <w:szCs w:val="24"/>
        </w:rPr>
        <w:t>, multi-tenant solution for internal consultants with a hierarchy-aware user experience, public descriptions concentrate on custom transformation programs and engineering pipelines. Similar to this, BCG GAMMA uses advanced machine learning and predictive modelling through embedded data scientists and playbooks. However, its offerings are based on project-specific analytics instead of a per-role dashboard layer that dynamically changes models and KPIs for, say, a partner versus an associate.</w:t>
      </w:r>
    </w:p>
    <w:p w14:paraId="71CBF2D0" w14:textId="75608477"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Bain's Vector and digital analytics capabilities are similar in that they offer clients pre-built use cases and digital product engineering. However, the available content talks about "use-case products" and workflow integration rather than an adaptive user interface that changes the available machine learning modules according to a consultant's role or grade.</w:t>
      </w:r>
      <w:r>
        <w:rPr>
          <w:rFonts w:ascii="Times New Roman" w:eastAsia="Times New Roman" w:hAnsi="Times New Roman" w:cs="Times New Roman"/>
          <w:sz w:val="24"/>
          <w:szCs w:val="24"/>
        </w:rPr>
        <w:br/>
      </w:r>
    </w:p>
    <w:p w14:paraId="382F0AC0" w14:textId="3970CDEB"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Deloitte Omnia/DAP, KPMG Lighthouse and PwC Halo too are advanced analytics platforms but targeted at audit, risk and finance, not at a </w:t>
      </w:r>
      <w:r w:rsidR="004F466D">
        <w:rPr>
          <w:rFonts w:ascii="Times New Roman" w:eastAsia="Times New Roman" w:hAnsi="Times New Roman" w:cs="Times New Roman"/>
          <w:sz w:val="24"/>
          <w:szCs w:val="24"/>
        </w:rPr>
        <w:t>broader</w:t>
      </w:r>
      <w:r>
        <w:rPr>
          <w:rFonts w:ascii="Times New Roman" w:eastAsia="Times New Roman" w:hAnsi="Times New Roman" w:cs="Times New Roman"/>
          <w:sz w:val="24"/>
          <w:szCs w:val="24"/>
        </w:rPr>
        <w:t xml:space="preserve"> application in general consulting role-based decision support.</w:t>
      </w:r>
    </w:p>
    <w:p w14:paraId="7FBC44E2" w14:textId="39BBCFEF"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Taken together, this literature on existing systems indicates that while advanced AI and analytics capabilities are mature in consulting and enterprise </w:t>
      </w:r>
      <w:r w:rsidR="004F466D">
        <w:rPr>
          <w:rFonts w:ascii="Times New Roman" w:eastAsia="Times New Roman" w:hAnsi="Times New Roman" w:cs="Times New Roman"/>
          <w:sz w:val="24"/>
          <w:szCs w:val="24"/>
        </w:rPr>
        <w:t>contexts. Strategy</w:t>
      </w:r>
      <w:r>
        <w:rPr>
          <w:rFonts w:ascii="Times New Roman" w:eastAsia="Times New Roman" w:hAnsi="Times New Roman" w:cs="Times New Roman"/>
          <w:sz w:val="24"/>
          <w:szCs w:val="24"/>
        </w:rPr>
        <w:t xml:space="preserve"> consulting firms and the Big Four have strong domain expertise solutions but largely only at the engagement or audit/finance organizational level, and not at a standardized, internal, consulting-hierarchy-aware product level. </w:t>
      </w:r>
    </w:p>
    <w:p w14:paraId="74AB89D6" w14:textId="77777777"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Horizontal AI platforms have strong </w:t>
      </w:r>
      <w:proofErr w:type="spellStart"/>
      <w:r>
        <w:rPr>
          <w:rFonts w:ascii="Times New Roman" w:eastAsia="Times New Roman" w:hAnsi="Times New Roman" w:cs="Times New Roman"/>
          <w:sz w:val="24"/>
          <w:szCs w:val="24"/>
        </w:rPr>
        <w:t>AutoML</w:t>
      </w:r>
      <w:proofErr w:type="spellEnd"/>
      <w:r>
        <w:rPr>
          <w:rFonts w:ascii="Times New Roman" w:eastAsia="Times New Roman" w:hAnsi="Times New Roman" w:cs="Times New Roman"/>
          <w:sz w:val="24"/>
          <w:szCs w:val="24"/>
        </w:rPr>
        <w:t xml:space="preserve"> and governance capabilities, but these are limited to the data science level and do not include an out-of-the-box role-aware UX layer for consultants.</w:t>
      </w:r>
      <w:r>
        <w:rPr>
          <w:rFonts w:ascii="Times New Roman" w:eastAsia="Times New Roman" w:hAnsi="Times New Roman" w:cs="Times New Roman"/>
          <w:sz w:val="24"/>
          <w:szCs w:val="24"/>
        </w:rPr>
        <w:br/>
        <w:t>[1][9][4]</w:t>
      </w:r>
    </w:p>
    <w:p w14:paraId="1B8FD304" w14:textId="77777777" w:rsidR="00CE46A0" w:rsidRDefault="00CE46A0">
      <w:pPr>
        <w:rPr>
          <w:rFonts w:ascii="Times New Roman" w:eastAsia="Times New Roman" w:hAnsi="Times New Roman" w:cs="Times New Roman"/>
          <w:sz w:val="24"/>
          <w:szCs w:val="24"/>
        </w:rPr>
      </w:pPr>
    </w:p>
    <w:p w14:paraId="2903777F" w14:textId="77777777" w:rsidR="00CE46A0" w:rsidRDefault="00CE46A0">
      <w:pPr>
        <w:rPr>
          <w:rFonts w:ascii="Times New Roman" w:eastAsia="Times New Roman" w:hAnsi="Times New Roman" w:cs="Times New Roman"/>
          <w:sz w:val="24"/>
          <w:szCs w:val="24"/>
        </w:rPr>
      </w:pPr>
    </w:p>
    <w:p w14:paraId="1CB1044A" w14:textId="77777777" w:rsidR="00C07E08"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Problem Statement</w:t>
      </w:r>
    </w:p>
    <w:p w14:paraId="4DFE53F0" w14:textId="01528861" w:rsidR="00C07E08"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111111"/>
          <w:sz w:val="24"/>
          <w:szCs w:val="24"/>
          <w:highlight w:val="white"/>
        </w:rPr>
        <w:t>The working needs in a consulting firm are not consistent; they change radically with rising up the pyramid.</w:t>
      </w:r>
      <w:r>
        <w:rPr>
          <w:rFonts w:ascii="Times New Roman" w:eastAsia="Times New Roman" w:hAnsi="Times New Roman" w:cs="Times New Roman"/>
          <w:sz w:val="24"/>
          <w:szCs w:val="24"/>
          <w:highlight w:val="white"/>
        </w:rPr>
        <w:t xml:space="preserve"> </w:t>
      </w:r>
      <w:r w:rsidR="00A358ED">
        <w:rPr>
          <w:rFonts w:ascii="Times New Roman" w:eastAsia="Times New Roman" w:hAnsi="Times New Roman" w:cs="Times New Roman"/>
          <w:sz w:val="24"/>
          <w:szCs w:val="24"/>
          <w:highlight w:val="white"/>
        </w:rPr>
        <w:t xml:space="preserve">Given below Figure 3 shows the challenges in Consulting Firm Efficiency. </w:t>
      </w:r>
      <w:r>
        <w:rPr>
          <w:rFonts w:ascii="Times New Roman" w:eastAsia="Times New Roman" w:hAnsi="Times New Roman" w:cs="Times New Roman"/>
          <w:color w:val="111111"/>
          <w:sz w:val="24"/>
          <w:szCs w:val="24"/>
          <w:highlight w:val="white"/>
        </w:rPr>
        <w:t>A single dashboard that is supposed to be applicable to everyone on the hierarchy is failing since the meaning of the word efficiency varies at every stage of the hierarchy:</w:t>
      </w:r>
    </w:p>
    <w:p w14:paraId="30E6FBD9" w14:textId="77777777" w:rsidR="00C07E08"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The Gap: </w:t>
      </w:r>
    </w:p>
    <w:p w14:paraId="28588F9F" w14:textId="77777777" w:rsidR="00C07E08" w:rsidRDefault="00000000">
      <w:pPr>
        <w:numPr>
          <w:ilvl w:val="0"/>
          <w:numId w:val="3"/>
        </w:num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Existing tools tend to offer retrospective data (what is going to happen next week) instead of providing predictive warnings (e.g., "This project will go above its budget in 3 days at its current burn rate).</w:t>
      </w:r>
    </w:p>
    <w:p w14:paraId="688A8DCB" w14:textId="77777777" w:rsidR="00C07E08" w:rsidRDefault="00000000">
      <w:pPr>
        <w:numPr>
          <w:ilvl w:val="0"/>
          <w:numId w:val="3"/>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111111"/>
          <w:sz w:val="24"/>
          <w:szCs w:val="24"/>
          <w:highlight w:val="white"/>
        </w:rPr>
        <w:t>They do not have an integrated Control Tower vision.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11111"/>
          <w:sz w:val="24"/>
          <w:szCs w:val="24"/>
          <w:highlight w:val="white"/>
        </w:rPr>
        <w:t>They have to do it manually, adding up dozens of project managers to get a forecast, which is likely to have human bias and error.</w:t>
      </w:r>
    </w:p>
    <w:p w14:paraId="266E8614" w14:textId="77777777" w:rsidR="00C07E08"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Current solutions in the case of architectural rigidity do not solve this dichotomy.</w:t>
      </w:r>
    </w:p>
    <w:p w14:paraId="16CCA48C" w14:textId="7EB9DC62" w:rsidR="00C07E08"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Absence of Modularity Commercial Professional Services Automation (PSA) systems are monolithic. When a company would like to replace its current revenue forecasting approach, which is a basic linear regression model, with a sophisticated deep learning one, they typically cannot because the vendor has hard-coded logic. A way to solve this is the urgent necessity of a Modular Architecture where individual ML models may be replaced as a "microservice" without affecting the entire platform.</w:t>
      </w:r>
    </w:p>
    <w:p w14:paraId="43D13D8A" w14:textId="77777777" w:rsidR="00C07E08" w:rsidRDefault="00000000">
      <w:pPr>
        <w:jc w:val="both"/>
        <w:rPr>
          <w:rFonts w:ascii="Times New Roman" w:eastAsia="Times New Roman" w:hAnsi="Times New Roman" w:cs="Times New Roman"/>
          <w:color w:val="111111"/>
          <w:sz w:val="24"/>
          <w:szCs w:val="24"/>
          <w:highlight w:val="white"/>
        </w:rPr>
      </w:pPr>
      <w:r>
        <w:rPr>
          <w:noProof/>
        </w:rPr>
        <w:drawing>
          <wp:anchor distT="114300" distB="114300" distL="114300" distR="114300" simplePos="0" relativeHeight="251658240" behindDoc="0" locked="0" layoutInCell="1" hidden="0" allowOverlap="1" wp14:anchorId="5D5E1089" wp14:editId="7CAD3CEB">
            <wp:simplePos x="0" y="0"/>
            <wp:positionH relativeFrom="column">
              <wp:posOffset>600075</wp:posOffset>
            </wp:positionH>
            <wp:positionV relativeFrom="paragraph">
              <wp:posOffset>200025</wp:posOffset>
            </wp:positionV>
            <wp:extent cx="5343525" cy="3086100"/>
            <wp:effectExtent l="0" t="0" r="0" b="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10096" t="16296" b="5618"/>
                    <a:stretch>
                      <a:fillRect/>
                    </a:stretch>
                  </pic:blipFill>
                  <pic:spPr>
                    <a:xfrm>
                      <a:off x="0" y="0"/>
                      <a:ext cx="5343525" cy="3086100"/>
                    </a:xfrm>
                    <a:prstGeom prst="rect">
                      <a:avLst/>
                    </a:prstGeom>
                    <a:ln/>
                  </pic:spPr>
                </pic:pic>
              </a:graphicData>
            </a:graphic>
          </wp:anchor>
        </w:drawing>
      </w:r>
    </w:p>
    <w:p w14:paraId="4D32B731" w14:textId="77777777" w:rsidR="00C07E08" w:rsidRPr="0000011E" w:rsidRDefault="00000000">
      <w:pPr>
        <w:ind w:left="1710"/>
        <w:rPr>
          <w:rFonts w:ascii="Times New Roman" w:eastAsia="Times New Roman" w:hAnsi="Times New Roman" w:cs="Times New Roman"/>
          <w:b/>
          <w:bCs/>
          <w:color w:val="111111"/>
          <w:sz w:val="24"/>
          <w:szCs w:val="24"/>
          <w:highlight w:val="white"/>
        </w:rPr>
      </w:pPr>
      <w:r w:rsidRPr="0000011E">
        <w:rPr>
          <w:rFonts w:ascii="Times New Roman" w:eastAsia="Times New Roman" w:hAnsi="Times New Roman" w:cs="Times New Roman"/>
          <w:b/>
          <w:bCs/>
          <w:color w:val="111111"/>
          <w:sz w:val="24"/>
          <w:szCs w:val="24"/>
          <w:highlight w:val="white"/>
        </w:rPr>
        <w:t xml:space="preserve">           Figure 3: Challenges in Consulting Firm Efficiency</w:t>
      </w:r>
    </w:p>
    <w:p w14:paraId="2DAAA765" w14:textId="77777777" w:rsidR="00C07E08" w:rsidRDefault="00C07E08">
      <w:pPr>
        <w:jc w:val="center"/>
        <w:rPr>
          <w:rFonts w:ascii="Times New Roman" w:eastAsia="Times New Roman" w:hAnsi="Times New Roman" w:cs="Times New Roman"/>
          <w:color w:val="111111"/>
          <w:sz w:val="24"/>
          <w:szCs w:val="24"/>
          <w:highlight w:val="white"/>
        </w:rPr>
      </w:pPr>
    </w:p>
    <w:p w14:paraId="06E4AA4E" w14:textId="5B26B7CE" w:rsidR="00C07E08"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Single-Model Approaches: Gestation of inadequacy: The consulting data is very stochastic-revenue is lumpy (large irregular contracts) and affected by many factors (seasonality, market </w:t>
      </w:r>
      <w:r>
        <w:rPr>
          <w:rFonts w:ascii="Times New Roman" w:eastAsia="Times New Roman" w:hAnsi="Times New Roman" w:cs="Times New Roman"/>
          <w:color w:val="111111"/>
          <w:sz w:val="24"/>
          <w:szCs w:val="24"/>
          <w:highlight w:val="white"/>
        </w:rPr>
        <w:lastRenderedPageBreak/>
        <w:t xml:space="preserve">trends, client merger, </w:t>
      </w:r>
      <w:r w:rsidR="004F466D">
        <w:rPr>
          <w:rFonts w:ascii="Times New Roman" w:eastAsia="Times New Roman" w:hAnsi="Times New Roman" w:cs="Times New Roman"/>
          <w:color w:val="111111"/>
          <w:sz w:val="24"/>
          <w:szCs w:val="24"/>
          <w:highlight w:val="white"/>
        </w:rPr>
        <w:t>etc.</w:t>
      </w:r>
      <w:r>
        <w:rPr>
          <w:rFonts w:ascii="Times New Roman" w:eastAsia="Times New Roman" w:hAnsi="Times New Roman" w:cs="Times New Roman"/>
          <w:color w:val="111111"/>
          <w:sz w:val="24"/>
          <w:szCs w:val="24"/>
          <w:highlight w:val="white"/>
        </w:rPr>
        <w:t>). This complexity is not usually evident in single machine learning models. The issue requires Ensemble Learning Techniques - combining many models (e.g., LSTM to forecast trends of data over time with Random Forest to predict the probability) in order to decrease the variance and raise the predictive power.</w:t>
      </w:r>
    </w:p>
    <w:p w14:paraId="0D66394C" w14:textId="77777777" w:rsidR="00C07E08"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Consulting companies do not have a cohesive, role conscious, and modular data infrastructure that can intersect the tactical project implementation with strategic business planning. No operational system exists that can facilitate the dynamic Modular combination of sophisticated Ensemble ML models to use specific hierarchical user requirements on one interface.</w:t>
      </w:r>
    </w:p>
    <w:p w14:paraId="25B0CC9D" w14:textId="77777777" w:rsidR="00C07E08" w:rsidRDefault="00C07E08">
      <w:pPr>
        <w:rPr>
          <w:rFonts w:ascii="Times New Roman" w:eastAsia="Times New Roman" w:hAnsi="Times New Roman" w:cs="Times New Roman"/>
          <w:color w:val="111111"/>
          <w:sz w:val="24"/>
          <w:szCs w:val="24"/>
          <w:shd w:val="clear" w:color="auto" w:fill="D4EDDA"/>
        </w:rPr>
      </w:pPr>
    </w:p>
    <w:p w14:paraId="0AA658C3" w14:textId="77777777" w:rsidR="00C07E08" w:rsidRDefault="00000000">
      <w:pPr>
        <w:jc w:val="both"/>
        <w:rPr>
          <w:rFonts w:ascii="Times New Roman" w:eastAsia="Times New Roman" w:hAnsi="Times New Roman" w:cs="Times New Roman"/>
          <w:b/>
          <w:bCs/>
          <w:color w:val="111111"/>
          <w:sz w:val="28"/>
          <w:szCs w:val="28"/>
          <w:highlight w:val="white"/>
        </w:rPr>
      </w:pPr>
      <w:r>
        <w:rPr>
          <w:rFonts w:ascii="Times New Roman" w:eastAsia="Times New Roman" w:hAnsi="Times New Roman" w:cs="Times New Roman"/>
          <w:b/>
          <w:bCs/>
          <w:color w:val="111111"/>
          <w:sz w:val="28"/>
          <w:szCs w:val="28"/>
          <w:highlight w:val="white"/>
        </w:rPr>
        <w:t>Methodology</w:t>
      </w:r>
    </w:p>
    <w:p w14:paraId="2AA7ED62" w14:textId="77777777" w:rsidR="00C07E08" w:rsidRDefault="00000000">
      <w:pPr>
        <w:jc w:val="both"/>
        <w:rPr>
          <w:rFonts w:ascii="Times New Roman" w:eastAsia="Times New Roman" w:hAnsi="Times New Roman" w:cs="Times New Roman"/>
          <w:b/>
          <w:bCs/>
          <w:color w:val="111111"/>
          <w:sz w:val="24"/>
          <w:szCs w:val="24"/>
          <w:highlight w:val="white"/>
        </w:rPr>
      </w:pPr>
      <w:r>
        <w:rPr>
          <w:rFonts w:ascii="Times New Roman" w:eastAsia="Times New Roman" w:hAnsi="Times New Roman" w:cs="Times New Roman"/>
          <w:b/>
          <w:bCs/>
          <w:color w:val="111111"/>
          <w:sz w:val="24"/>
          <w:szCs w:val="24"/>
          <w:highlight w:val="white"/>
        </w:rPr>
        <w:t>4.1 System Architecture</w:t>
      </w:r>
    </w:p>
    <w:p w14:paraId="53EDAA3E" w14:textId="6C4DD081" w:rsidR="00C07E08"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In order to overcome the weaknesses of the current monolithic frameworks that have been noted in the literature review, the proposed study will present a Hierarchical-Modular Microservices Architecture. The design does not follow the trend of one-size-fits-all analytics but separates the physical capability of problem-solving into microservices dedicated to particular roles.</w:t>
      </w:r>
    </w:p>
    <w:p w14:paraId="6943667A" w14:textId="77777777" w:rsidR="00CE46A0" w:rsidRDefault="00CE46A0">
      <w:pPr>
        <w:jc w:val="both"/>
        <w:rPr>
          <w:rFonts w:ascii="Times New Roman" w:eastAsia="Times New Roman" w:hAnsi="Times New Roman" w:cs="Times New Roman"/>
          <w:color w:val="111111"/>
          <w:sz w:val="24"/>
          <w:szCs w:val="24"/>
          <w:highlight w:val="white"/>
        </w:rPr>
      </w:pPr>
    </w:p>
    <w:p w14:paraId="5FA8E1B7" w14:textId="77777777" w:rsidR="00C07E08"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The architecture has two principles upon which it is developed:</w:t>
      </w:r>
    </w:p>
    <w:p w14:paraId="6CE81779" w14:textId="77777777" w:rsidR="00C07E08" w:rsidRDefault="00C07E08">
      <w:pPr>
        <w:jc w:val="both"/>
        <w:rPr>
          <w:rFonts w:ascii="Times New Roman" w:eastAsia="Times New Roman" w:hAnsi="Times New Roman" w:cs="Times New Roman"/>
          <w:color w:val="111111"/>
          <w:sz w:val="24"/>
          <w:szCs w:val="24"/>
          <w:highlight w:val="white"/>
        </w:rPr>
      </w:pPr>
    </w:p>
    <w:p w14:paraId="1ED96FAD" w14:textId="77777777" w:rsidR="00C07E08"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b/>
          <w:bCs/>
          <w:color w:val="111111"/>
          <w:sz w:val="24"/>
          <w:szCs w:val="24"/>
          <w:highlight w:val="white"/>
        </w:rPr>
        <w:t>1)Vertical Separation (Hierarchy-Specific Clusters)</w:t>
      </w:r>
      <w:r>
        <w:rPr>
          <w:rFonts w:ascii="Times New Roman" w:eastAsia="Times New Roman" w:hAnsi="Times New Roman" w:cs="Times New Roman"/>
          <w:color w:val="111111"/>
          <w:sz w:val="24"/>
          <w:szCs w:val="24"/>
          <w:highlight w:val="white"/>
        </w:rPr>
        <w:t>: Given that the operational reality of an Analyst and that of a Partner is fundamentally different, it is proposed to segregate the operational reality of the partners by separating it into different clusters associated with the corporate hierarchy.</w:t>
      </w:r>
    </w:p>
    <w:p w14:paraId="169DF6EC" w14:textId="77777777" w:rsidR="00C07E08" w:rsidRDefault="00C07E08">
      <w:pPr>
        <w:jc w:val="both"/>
        <w:rPr>
          <w:rFonts w:ascii="Times New Roman" w:eastAsia="Times New Roman" w:hAnsi="Times New Roman" w:cs="Times New Roman"/>
          <w:color w:val="111111"/>
          <w:sz w:val="24"/>
          <w:szCs w:val="24"/>
          <w:highlight w:val="white"/>
        </w:rPr>
      </w:pPr>
    </w:p>
    <w:p w14:paraId="71A006A1" w14:textId="3B489C2E" w:rsidR="00CE46A0"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b/>
          <w:bCs/>
          <w:color w:val="111111"/>
          <w:sz w:val="24"/>
          <w:szCs w:val="24"/>
          <w:highlight w:val="white"/>
        </w:rPr>
        <w:t>2)Horizontal Integration (Dynamic Ensemble)</w:t>
      </w:r>
      <w:r>
        <w:rPr>
          <w:rFonts w:ascii="Times New Roman" w:eastAsia="Times New Roman" w:hAnsi="Times New Roman" w:cs="Times New Roman"/>
          <w:color w:val="111111"/>
          <w:sz w:val="24"/>
          <w:szCs w:val="24"/>
          <w:highlight w:val="white"/>
        </w:rPr>
        <w:t>: To address the instability of consulting data, a common, dynamic, so-called Meta-Learner combines the results of whichever cluster is currently in use to have statistical strength.</w:t>
      </w:r>
    </w:p>
    <w:p w14:paraId="1FBE3F96" w14:textId="31627472" w:rsidR="00CE46A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000D630B">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illustrates the complete system interaction, detailing the flow from user authentication to dynamic model orchestration. Highlighting the separation of role-based Model Clusters and the shared Dynamic Ensemble Module.</w:t>
      </w:r>
    </w:p>
    <w:p w14:paraId="1172CCCE" w14:textId="77777777" w:rsidR="00CE46A0" w:rsidRDefault="00CE46A0">
      <w:pPr>
        <w:spacing w:before="240" w:after="240"/>
        <w:jc w:val="both"/>
        <w:rPr>
          <w:rFonts w:ascii="Times New Roman" w:eastAsia="Times New Roman" w:hAnsi="Times New Roman" w:cs="Times New Roman"/>
          <w:sz w:val="24"/>
          <w:szCs w:val="24"/>
        </w:rPr>
      </w:pPr>
    </w:p>
    <w:p w14:paraId="0B9DBACC" w14:textId="609A105E" w:rsidR="00C07E08" w:rsidRDefault="00000000">
      <w:pPr>
        <w:spacing w:before="240" w:after="240"/>
        <w:jc w:val="both"/>
        <w:rPr>
          <w:rFonts w:ascii="Times New Roman" w:eastAsia="Times New Roman" w:hAnsi="Times New Roman" w:cs="Times New Roman"/>
          <w:sz w:val="24"/>
          <w:szCs w:val="24"/>
        </w:rPr>
      </w:pPr>
      <w:r>
        <w:rPr>
          <w:noProof/>
        </w:rPr>
        <w:lastRenderedPageBreak/>
        <w:drawing>
          <wp:anchor distT="114300" distB="114300" distL="114300" distR="114300" simplePos="0" relativeHeight="251659264" behindDoc="0" locked="0" layoutInCell="1" hidden="0" allowOverlap="1" wp14:anchorId="1D070BD1" wp14:editId="325D21ED">
            <wp:simplePos x="0" y="0"/>
            <wp:positionH relativeFrom="column">
              <wp:posOffset>685800</wp:posOffset>
            </wp:positionH>
            <wp:positionV relativeFrom="paragraph">
              <wp:posOffset>857250</wp:posOffset>
            </wp:positionV>
            <wp:extent cx="5167313" cy="2812923"/>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t="140" b="140"/>
                    <a:stretch>
                      <a:fillRect/>
                    </a:stretch>
                  </pic:blipFill>
                  <pic:spPr>
                    <a:xfrm>
                      <a:off x="0" y="0"/>
                      <a:ext cx="5167313" cy="2812923"/>
                    </a:xfrm>
                    <a:prstGeom prst="rect">
                      <a:avLst/>
                    </a:prstGeom>
                    <a:ln/>
                  </pic:spPr>
                </pic:pic>
              </a:graphicData>
            </a:graphic>
          </wp:anchor>
        </w:drawing>
      </w:r>
    </w:p>
    <w:p w14:paraId="3D13DDF4" w14:textId="77777777" w:rsidR="00C07E08"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p>
    <w:p w14:paraId="3E36BC2C" w14:textId="77777777" w:rsidR="00C07E08" w:rsidRDefault="00C07E08">
      <w:pPr>
        <w:spacing w:before="240" w:after="240"/>
        <w:jc w:val="both"/>
        <w:rPr>
          <w:rFonts w:ascii="Times New Roman" w:eastAsia="Times New Roman" w:hAnsi="Times New Roman" w:cs="Times New Roman"/>
          <w:b/>
          <w:bCs/>
          <w:sz w:val="24"/>
          <w:szCs w:val="24"/>
        </w:rPr>
      </w:pPr>
    </w:p>
    <w:p w14:paraId="54DDB85A" w14:textId="77777777" w:rsidR="00C07E08" w:rsidRDefault="00C07E08">
      <w:pPr>
        <w:spacing w:before="240" w:after="240"/>
        <w:jc w:val="both"/>
        <w:rPr>
          <w:rFonts w:ascii="Times New Roman" w:eastAsia="Times New Roman" w:hAnsi="Times New Roman" w:cs="Times New Roman"/>
          <w:b/>
          <w:bCs/>
          <w:sz w:val="24"/>
          <w:szCs w:val="24"/>
        </w:rPr>
      </w:pPr>
    </w:p>
    <w:p w14:paraId="58F642C4" w14:textId="77777777" w:rsidR="00C07E08" w:rsidRDefault="00C07E08">
      <w:pPr>
        <w:spacing w:before="240" w:after="240"/>
        <w:jc w:val="both"/>
        <w:rPr>
          <w:rFonts w:ascii="Times New Roman" w:eastAsia="Times New Roman" w:hAnsi="Times New Roman" w:cs="Times New Roman"/>
          <w:b/>
          <w:bCs/>
          <w:sz w:val="24"/>
          <w:szCs w:val="24"/>
        </w:rPr>
      </w:pPr>
    </w:p>
    <w:p w14:paraId="7A6C2C85" w14:textId="77777777" w:rsidR="00C07E08" w:rsidRDefault="00C07E08">
      <w:pPr>
        <w:spacing w:before="240" w:after="240"/>
        <w:jc w:val="both"/>
        <w:rPr>
          <w:rFonts w:ascii="Times New Roman" w:eastAsia="Times New Roman" w:hAnsi="Times New Roman" w:cs="Times New Roman"/>
          <w:b/>
          <w:bCs/>
          <w:sz w:val="24"/>
          <w:szCs w:val="24"/>
        </w:rPr>
      </w:pPr>
    </w:p>
    <w:p w14:paraId="22F4E9EC" w14:textId="77777777" w:rsidR="00C07E08" w:rsidRDefault="00C07E08">
      <w:pPr>
        <w:spacing w:before="240" w:after="240"/>
        <w:jc w:val="both"/>
        <w:rPr>
          <w:rFonts w:ascii="Times New Roman" w:eastAsia="Times New Roman" w:hAnsi="Times New Roman" w:cs="Times New Roman"/>
          <w:b/>
          <w:bCs/>
          <w:sz w:val="24"/>
          <w:szCs w:val="24"/>
        </w:rPr>
      </w:pPr>
    </w:p>
    <w:p w14:paraId="28BEC319" w14:textId="77777777" w:rsidR="00C07E08" w:rsidRDefault="00C07E08">
      <w:pPr>
        <w:spacing w:before="240" w:after="240"/>
        <w:jc w:val="both"/>
        <w:rPr>
          <w:rFonts w:ascii="Times New Roman" w:eastAsia="Times New Roman" w:hAnsi="Times New Roman" w:cs="Times New Roman"/>
          <w:b/>
          <w:bCs/>
          <w:sz w:val="24"/>
          <w:szCs w:val="24"/>
        </w:rPr>
      </w:pPr>
    </w:p>
    <w:p w14:paraId="394F710C" w14:textId="77777777" w:rsidR="00C07E08" w:rsidRDefault="00C07E08">
      <w:pPr>
        <w:spacing w:before="240" w:after="240"/>
        <w:jc w:val="both"/>
        <w:rPr>
          <w:rFonts w:ascii="Times New Roman" w:eastAsia="Times New Roman" w:hAnsi="Times New Roman" w:cs="Times New Roman"/>
          <w:b/>
          <w:bCs/>
          <w:sz w:val="24"/>
          <w:szCs w:val="24"/>
        </w:rPr>
      </w:pPr>
    </w:p>
    <w:p w14:paraId="1876CED3" w14:textId="77777777" w:rsidR="00CE46A0"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37B0A078" w14:textId="050C02E8" w:rsidR="00C07E08" w:rsidRPr="0000011E" w:rsidRDefault="00000000" w:rsidP="00CE46A0">
      <w:pPr>
        <w:spacing w:before="240" w:after="240"/>
        <w:ind w:left="1440" w:firstLine="720"/>
        <w:jc w:val="both"/>
        <w:rPr>
          <w:rFonts w:ascii="Times New Roman" w:eastAsia="Times New Roman" w:hAnsi="Times New Roman" w:cs="Times New Roman"/>
          <w:b/>
          <w:bCs/>
          <w:sz w:val="24"/>
          <w:szCs w:val="24"/>
        </w:rPr>
      </w:pPr>
      <w:r w:rsidRPr="0000011E">
        <w:rPr>
          <w:rFonts w:ascii="Times New Roman" w:eastAsia="Times New Roman" w:hAnsi="Times New Roman" w:cs="Times New Roman"/>
          <w:b/>
          <w:bCs/>
          <w:sz w:val="24"/>
          <w:szCs w:val="24"/>
        </w:rPr>
        <w:t>Figure</w:t>
      </w:r>
      <w:r w:rsidR="00CE46A0">
        <w:rPr>
          <w:rFonts w:ascii="Times New Roman" w:eastAsia="Times New Roman" w:hAnsi="Times New Roman" w:cs="Times New Roman"/>
          <w:b/>
          <w:bCs/>
          <w:sz w:val="24"/>
          <w:szCs w:val="24"/>
        </w:rPr>
        <w:t xml:space="preserve"> </w:t>
      </w:r>
      <w:r w:rsidR="0000011E" w:rsidRPr="0000011E">
        <w:rPr>
          <w:rFonts w:ascii="Times New Roman" w:eastAsia="Times New Roman" w:hAnsi="Times New Roman" w:cs="Times New Roman"/>
          <w:b/>
          <w:bCs/>
          <w:sz w:val="24"/>
          <w:szCs w:val="24"/>
        </w:rPr>
        <w:t>4</w:t>
      </w:r>
      <w:r w:rsidRPr="0000011E">
        <w:rPr>
          <w:rFonts w:ascii="Times New Roman" w:eastAsia="Times New Roman" w:hAnsi="Times New Roman" w:cs="Times New Roman"/>
          <w:b/>
          <w:bCs/>
          <w:sz w:val="24"/>
          <w:szCs w:val="24"/>
        </w:rPr>
        <w:t>:</w:t>
      </w:r>
      <w:r w:rsidR="00CE46A0">
        <w:rPr>
          <w:rFonts w:ascii="Times New Roman" w:eastAsia="Times New Roman" w:hAnsi="Times New Roman" w:cs="Times New Roman"/>
          <w:b/>
          <w:bCs/>
          <w:sz w:val="24"/>
          <w:szCs w:val="24"/>
        </w:rPr>
        <w:t xml:space="preserve"> </w:t>
      </w:r>
      <w:r w:rsidRPr="0000011E">
        <w:rPr>
          <w:rFonts w:ascii="Times New Roman" w:eastAsia="Times New Roman" w:hAnsi="Times New Roman" w:cs="Times New Roman"/>
          <w:b/>
          <w:bCs/>
          <w:sz w:val="24"/>
          <w:szCs w:val="24"/>
        </w:rPr>
        <w:t>The Hierarchical-Modular Microservices Architecture</w:t>
      </w:r>
    </w:p>
    <w:p w14:paraId="0E08DD89" w14:textId="77777777" w:rsidR="00C07E08" w:rsidRDefault="00000000">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4.2</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Architectural Components</w:t>
      </w:r>
    </w:p>
    <w:p w14:paraId="05277E41"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It consists of five main layers, which are aimed at supporting a Modular environment, allowing new predictive modules to be added without disturbing the underlying application logic.</w:t>
      </w:r>
    </w:p>
    <w:p w14:paraId="572340E7"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b/>
          <w:bCs/>
          <w:color w:val="111111"/>
          <w:sz w:val="24"/>
          <w:szCs w:val="24"/>
          <w:highlight w:val="white"/>
        </w:rPr>
        <w:t>4.2.1 Presentation Layer &amp; API Gateway (The Entry Point):</w:t>
      </w:r>
      <w:r>
        <w:rPr>
          <w:rFonts w:ascii="Times New Roman" w:eastAsia="Times New Roman" w:hAnsi="Times New Roman" w:cs="Times New Roman"/>
          <w:color w:val="111111"/>
          <w:sz w:val="24"/>
          <w:szCs w:val="24"/>
          <w:highlight w:val="white"/>
        </w:rPr>
        <w:t xml:space="preserve"> The frontend is a role-flexible Business Intelligence (BI) interface (e.g. a custom web app encasing Power BI/Tableau views). It picks up the intention of the user whether it is a request of data cleaning or revenue forecast. More importantly, every traffic is sent through a secure API Gateway. This authentication service is the only way to access the system. It also does user authentication and creates a role token which is based on the hierarchical position of the user. This role token turns out to be the main control parameter of downstream service orchestration and model choice.</w:t>
      </w:r>
    </w:p>
    <w:p w14:paraId="7E7DCE15" w14:textId="273DE0FF"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b/>
          <w:bCs/>
          <w:color w:val="111111"/>
          <w:sz w:val="24"/>
          <w:szCs w:val="24"/>
          <w:highlight w:val="white"/>
        </w:rPr>
        <w:t>4.2.2 The Intelligent Orchestrator Service (Brain):</w:t>
      </w:r>
      <w:r>
        <w:rPr>
          <w:rFonts w:ascii="Times New Roman" w:eastAsia="Times New Roman" w:hAnsi="Times New Roman" w:cs="Times New Roman"/>
          <w:color w:val="111111"/>
          <w:sz w:val="24"/>
          <w:szCs w:val="24"/>
          <w:highlight w:val="white"/>
        </w:rPr>
        <w:t xml:space="preserve"> Adhering to the Strategy Design Pattern, Orchestrator Service is the </w:t>
      </w:r>
      <w:r w:rsidR="004F466D">
        <w:rPr>
          <w:rFonts w:ascii="Times New Roman" w:eastAsia="Times New Roman" w:hAnsi="Times New Roman" w:cs="Times New Roman"/>
          <w:color w:val="111111"/>
          <w:sz w:val="24"/>
          <w:szCs w:val="24"/>
          <w:highlight w:val="white"/>
        </w:rPr>
        <w:t>high-level</w:t>
      </w:r>
      <w:r>
        <w:rPr>
          <w:rFonts w:ascii="Times New Roman" w:eastAsia="Times New Roman" w:hAnsi="Times New Roman" w:cs="Times New Roman"/>
          <w:color w:val="111111"/>
          <w:sz w:val="24"/>
          <w:szCs w:val="24"/>
          <w:highlight w:val="white"/>
        </w:rPr>
        <w:t xml:space="preserve"> logic controller. It decides on what analytical pipeline and machine-learned services to activate with regard to a specific request.</w:t>
      </w:r>
    </w:p>
    <w:p w14:paraId="3B57F89C"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When the token shows that it is a Partner, the Orchestrator is used to suppress the operational models and to activate the strategic cluster.</w:t>
      </w:r>
    </w:p>
    <w:p w14:paraId="38E9519D"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lastRenderedPageBreak/>
        <w:t>The independent scaling made possible by this decoupling is that the resource-intensive Partner models can be deployed using high-performance instances of the GPU, whereas the lightweight Analyst models can be deployed using standard compute and can be optimized in terms of cost and performance.</w:t>
      </w:r>
    </w:p>
    <w:p w14:paraId="69ECBED0"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b/>
          <w:bCs/>
          <w:sz w:val="24"/>
          <w:szCs w:val="24"/>
        </w:rPr>
        <w:t>4.2.3 Hierarchical ML Model Clusters (The Modular Backend):</w:t>
      </w:r>
      <w:r>
        <w:rPr>
          <w:rFonts w:ascii="Times New Roman" w:eastAsia="Times New Roman" w:hAnsi="Times New Roman" w:cs="Times New Roman"/>
          <w:color w:val="111111"/>
          <w:sz w:val="24"/>
          <w:szCs w:val="24"/>
          <w:highlight w:val="white"/>
        </w:rPr>
        <w:t xml:space="preserve"> The machine-learning backend is structured into role-focused clusters, this architecture is the grouping of the ML models into disconnected clusters, which address workforce-level-specific problems.</w:t>
      </w:r>
    </w:p>
    <w:p w14:paraId="3A61160B"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Each cluster supports the portfolio planning, service performance evaluation, strategic growth assessment, operational risk management and project execution optimization with the aid of the outputs of each cluster.</w:t>
      </w:r>
    </w:p>
    <w:p w14:paraId="39976DBA"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The clusters are independent and can be updated, scaled or replaced without compromising on the other clusters hence providing modularity, scalability and maintainability of the entire system.</w:t>
      </w:r>
    </w:p>
    <w:p w14:paraId="01594839"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b/>
          <w:bCs/>
          <w:sz w:val="24"/>
          <w:szCs w:val="24"/>
        </w:rPr>
        <w:t>4.2.4 The Dynamic Ensemble Learning Module (Aggregator):</w:t>
      </w:r>
      <w:r>
        <w:rPr>
          <w:rFonts w:ascii="Times New Roman" w:eastAsia="Times New Roman" w:hAnsi="Times New Roman" w:cs="Times New Roman"/>
          <w:color w:val="111111"/>
          <w:sz w:val="24"/>
          <w:szCs w:val="24"/>
          <w:highlight w:val="white"/>
        </w:rPr>
        <w:t xml:space="preserve"> Although depending on the role of the user, the input models vary, the mechanism of accuracy assurance is the same. Ensemble Learning Module is the common microservice which serves as a Meta-Learner.</w:t>
      </w:r>
    </w:p>
    <w:p w14:paraId="59346967"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The ensemble layer is logically consistent to all users, but the collection of input models and features change based on the active cluster.</w:t>
      </w:r>
    </w:p>
    <w:p w14:paraId="4ABC8530"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The ensemble mechanism aids the stacking, voting and weighted aggregation methods to enhance predictive stability and robustness. This design will guarantee that the ensemble learning does not add tightly coupled dependence between the heterogeneous model services in the architecture.</w:t>
      </w:r>
    </w:p>
    <w:p w14:paraId="3D4E4F8A"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b/>
          <w:bCs/>
          <w:color w:val="111111"/>
          <w:sz w:val="24"/>
          <w:szCs w:val="24"/>
          <w:highlight w:val="white"/>
        </w:rPr>
        <w:t xml:space="preserve">4.2.5 Data Layer: </w:t>
      </w:r>
      <w:r>
        <w:rPr>
          <w:rFonts w:ascii="Times New Roman" w:eastAsia="Times New Roman" w:hAnsi="Times New Roman" w:cs="Times New Roman"/>
          <w:color w:val="111111"/>
          <w:sz w:val="24"/>
          <w:szCs w:val="24"/>
          <w:highlight w:val="white"/>
        </w:rPr>
        <w:t>To guarantee agility and minimize latency, the data layer is scaled down to three lean processes:</w:t>
      </w:r>
    </w:p>
    <w:p w14:paraId="004E3774" w14:textId="77777777" w:rsidR="00C07E08" w:rsidRDefault="00000000">
      <w:pPr>
        <w:numPr>
          <w:ilvl w:val="0"/>
          <w:numId w:val="4"/>
        </w:numPr>
        <w:spacing w:before="240"/>
        <w:jc w:val="both"/>
        <w:rPr>
          <w:color w:val="111111"/>
          <w:sz w:val="24"/>
          <w:szCs w:val="24"/>
          <w:highlight w:val="white"/>
        </w:rPr>
      </w:pPr>
      <w:r>
        <w:rPr>
          <w:rFonts w:ascii="Times New Roman" w:eastAsia="Times New Roman" w:hAnsi="Times New Roman" w:cs="Times New Roman"/>
          <w:b/>
          <w:bCs/>
          <w:color w:val="111111"/>
          <w:sz w:val="24"/>
          <w:szCs w:val="24"/>
          <w:highlight w:val="white"/>
        </w:rPr>
        <w:t>Data Sources:</w:t>
      </w:r>
      <w:r>
        <w:rPr>
          <w:rFonts w:ascii="Times New Roman" w:eastAsia="Times New Roman" w:hAnsi="Times New Roman" w:cs="Times New Roman"/>
          <w:color w:val="111111"/>
          <w:sz w:val="24"/>
          <w:szCs w:val="24"/>
          <w:highlight w:val="white"/>
        </w:rPr>
        <w:t xml:space="preserve"> ERP (SAP/Oracle), CRM (Salesforce) and Timesheets (Workday) Ingestion.</w:t>
      </w:r>
    </w:p>
    <w:p w14:paraId="53B21A35" w14:textId="77777777" w:rsidR="00C07E08" w:rsidRDefault="00000000">
      <w:pPr>
        <w:numPr>
          <w:ilvl w:val="0"/>
          <w:numId w:val="4"/>
        </w:numPr>
        <w:jc w:val="both"/>
        <w:rPr>
          <w:color w:val="111111"/>
          <w:sz w:val="24"/>
          <w:szCs w:val="24"/>
          <w:highlight w:val="white"/>
        </w:rPr>
      </w:pPr>
      <w:r>
        <w:rPr>
          <w:rFonts w:ascii="Times New Roman" w:eastAsia="Times New Roman" w:hAnsi="Times New Roman" w:cs="Times New Roman"/>
          <w:b/>
          <w:bCs/>
          <w:color w:val="111111"/>
          <w:sz w:val="24"/>
          <w:szCs w:val="24"/>
          <w:highlight w:val="white"/>
        </w:rPr>
        <w:t>ETL Pipelines:</w:t>
      </w:r>
      <w:r>
        <w:rPr>
          <w:rFonts w:ascii="Times New Roman" w:eastAsia="Times New Roman" w:hAnsi="Times New Roman" w:cs="Times New Roman"/>
          <w:color w:val="111111"/>
          <w:sz w:val="24"/>
          <w:szCs w:val="24"/>
          <w:highlight w:val="white"/>
        </w:rPr>
        <w:t xml:space="preserve"> Lightweight data extraction and transformation routines that normalize data of different formats.</w:t>
      </w:r>
    </w:p>
    <w:p w14:paraId="72A43E84" w14:textId="77777777" w:rsidR="00C07E08" w:rsidRDefault="00000000">
      <w:pPr>
        <w:numPr>
          <w:ilvl w:val="0"/>
          <w:numId w:val="4"/>
        </w:numPr>
        <w:spacing w:after="240"/>
        <w:jc w:val="both"/>
        <w:rPr>
          <w:color w:val="111111"/>
          <w:sz w:val="24"/>
          <w:szCs w:val="24"/>
          <w:highlight w:val="white"/>
        </w:rPr>
      </w:pPr>
      <w:r>
        <w:rPr>
          <w:rFonts w:ascii="Times New Roman" w:eastAsia="Times New Roman" w:hAnsi="Times New Roman" w:cs="Times New Roman"/>
          <w:b/>
          <w:bCs/>
          <w:color w:val="111111"/>
          <w:sz w:val="24"/>
          <w:szCs w:val="24"/>
          <w:highlight w:val="white"/>
        </w:rPr>
        <w:t>Feature Store (Redis/Feast):</w:t>
      </w:r>
      <w:r>
        <w:rPr>
          <w:rFonts w:ascii="Times New Roman" w:eastAsia="Times New Roman" w:hAnsi="Times New Roman" w:cs="Times New Roman"/>
          <w:color w:val="111111"/>
          <w:sz w:val="24"/>
          <w:szCs w:val="24"/>
          <w:highlight w:val="white"/>
        </w:rPr>
        <w:t xml:space="preserve"> A fast intermittent layer that records features computed in advance. This enables the ML models to recall inputs (such as the current utilization rate) within milliseconds to ensure that the BI dashboard is responsive.</w:t>
      </w:r>
    </w:p>
    <w:p w14:paraId="21FF3F52" w14:textId="77777777" w:rsidR="00C07E08" w:rsidRDefault="00000000">
      <w:pPr>
        <w:spacing w:before="240" w:after="240"/>
        <w:jc w:val="both"/>
        <w:rPr>
          <w:rFonts w:ascii="Times New Roman" w:eastAsia="Times New Roman" w:hAnsi="Times New Roman" w:cs="Times New Roman"/>
          <w:b/>
          <w:bCs/>
          <w:color w:val="111111"/>
          <w:sz w:val="24"/>
          <w:szCs w:val="24"/>
          <w:highlight w:val="white"/>
        </w:rPr>
      </w:pPr>
      <w:r>
        <w:rPr>
          <w:rFonts w:ascii="Times New Roman" w:eastAsia="Times New Roman" w:hAnsi="Times New Roman" w:cs="Times New Roman"/>
          <w:b/>
          <w:bCs/>
          <w:color w:val="111111"/>
          <w:sz w:val="24"/>
          <w:szCs w:val="24"/>
          <w:highlight w:val="white"/>
        </w:rPr>
        <w:t>4.3 Operational Flow:</w:t>
      </w:r>
    </w:p>
    <w:p w14:paraId="582CFFE2" w14:textId="2A943CF3"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The architecture has the following operational flow. An end-user makes a request via the frontend interface. The API gateway authenticates, adds the role token to the request. The process of the role token being interpreted and the correct hierarchical cluster being selected is done by the smart </w:t>
      </w:r>
      <w:r>
        <w:rPr>
          <w:rFonts w:ascii="Times New Roman" w:eastAsia="Times New Roman" w:hAnsi="Times New Roman" w:cs="Times New Roman"/>
          <w:color w:val="111111"/>
          <w:sz w:val="24"/>
          <w:szCs w:val="24"/>
          <w:highlight w:val="white"/>
        </w:rPr>
        <w:lastRenderedPageBreak/>
        <w:t xml:space="preserve">organizer. The chosen cluster runs its respective predictive models and sends the results to the dynamic ensemble learning module. The ensemble module generates the consolidated predictions and sends them back to the frontend in structured response format that could be visualized and </w:t>
      </w:r>
      <w:r w:rsidR="004F466D">
        <w:rPr>
          <w:rFonts w:ascii="Times New Roman" w:eastAsia="Times New Roman" w:hAnsi="Times New Roman" w:cs="Times New Roman"/>
          <w:color w:val="111111"/>
          <w:sz w:val="24"/>
          <w:szCs w:val="24"/>
          <w:highlight w:val="white"/>
        </w:rPr>
        <w:t>analyzed</w:t>
      </w:r>
      <w:r>
        <w:rPr>
          <w:rFonts w:ascii="Times New Roman" w:eastAsia="Times New Roman" w:hAnsi="Times New Roman" w:cs="Times New Roman"/>
          <w:color w:val="111111"/>
          <w:sz w:val="24"/>
          <w:szCs w:val="24"/>
          <w:highlight w:val="white"/>
        </w:rPr>
        <w:t>.</w:t>
      </w:r>
    </w:p>
    <w:p w14:paraId="51616BCC" w14:textId="77777777" w:rsidR="00C07E08" w:rsidRDefault="00000000">
      <w:pPr>
        <w:spacing w:before="240" w:after="240"/>
        <w:jc w:val="both"/>
        <w:rPr>
          <w:rFonts w:ascii="Times New Roman" w:eastAsia="Times New Roman" w:hAnsi="Times New Roman" w:cs="Times New Roman"/>
          <w:b/>
          <w:bCs/>
          <w:color w:val="111111"/>
          <w:sz w:val="24"/>
          <w:szCs w:val="24"/>
          <w:highlight w:val="white"/>
        </w:rPr>
      </w:pPr>
      <w:r>
        <w:rPr>
          <w:rFonts w:ascii="Times New Roman" w:eastAsia="Times New Roman" w:hAnsi="Times New Roman" w:cs="Times New Roman"/>
          <w:b/>
          <w:bCs/>
          <w:color w:val="111111"/>
          <w:sz w:val="24"/>
          <w:szCs w:val="24"/>
          <w:highlight w:val="white"/>
        </w:rPr>
        <w:t xml:space="preserve">Implementation </w:t>
      </w:r>
    </w:p>
    <w:p w14:paraId="21716420"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It presents the technical implementation of the suggested Hierarchical-Modular Microservices Architecture. The implementation targets converting the theoretical design into a deployable system of very low latency that can serve the jagged data frontiers associated with consultancy operation.</w:t>
      </w:r>
    </w:p>
    <w:p w14:paraId="161AF280"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A Python microservices stack was used to create the system, which was selected due to its support of data science (</w:t>
      </w:r>
      <w:proofErr w:type="spellStart"/>
      <w:r>
        <w:rPr>
          <w:rFonts w:ascii="Times New Roman" w:eastAsia="Times New Roman" w:hAnsi="Times New Roman" w:cs="Times New Roman"/>
          <w:color w:val="111111"/>
          <w:sz w:val="24"/>
          <w:szCs w:val="24"/>
          <w:highlight w:val="white"/>
        </w:rPr>
        <w:t>Tensorflow</w:t>
      </w:r>
      <w:proofErr w:type="spellEnd"/>
      <w:r>
        <w:rPr>
          <w:rFonts w:ascii="Times New Roman" w:eastAsia="Times New Roman" w:hAnsi="Times New Roman" w:cs="Times New Roman"/>
          <w:color w:val="111111"/>
          <w:sz w:val="24"/>
          <w:szCs w:val="24"/>
          <w:highlight w:val="white"/>
        </w:rPr>
        <w:t>, Scikit-learn) and backend orchestration (</w:t>
      </w:r>
      <w:proofErr w:type="spellStart"/>
      <w:r>
        <w:rPr>
          <w:rFonts w:ascii="Times New Roman" w:eastAsia="Times New Roman" w:hAnsi="Times New Roman" w:cs="Times New Roman"/>
          <w:color w:val="111111"/>
          <w:sz w:val="24"/>
          <w:szCs w:val="24"/>
          <w:highlight w:val="white"/>
        </w:rPr>
        <w:t>FastAPI</w:t>
      </w:r>
      <w:proofErr w:type="spellEnd"/>
      <w:r>
        <w:rPr>
          <w:rFonts w:ascii="Times New Roman" w:eastAsia="Times New Roman" w:hAnsi="Times New Roman" w:cs="Times New Roman"/>
          <w:color w:val="111111"/>
          <w:sz w:val="24"/>
          <w:szCs w:val="24"/>
          <w:highlight w:val="white"/>
        </w:rPr>
        <w:t>). Its implementation will be split into four phases namely Data Engineering, Model Cluster Development, Dynamic Ensemble Configuration and Deployment Orchestration.</w:t>
      </w:r>
    </w:p>
    <w:p w14:paraId="22D5C7EF" w14:textId="77777777" w:rsidR="00C07E08" w:rsidRPr="0000011E" w:rsidRDefault="00000000">
      <w:pPr>
        <w:spacing w:before="240" w:after="240"/>
        <w:jc w:val="center"/>
        <w:rPr>
          <w:rFonts w:ascii="Times New Roman" w:eastAsia="Times New Roman" w:hAnsi="Times New Roman" w:cs="Times New Roman"/>
          <w:b/>
          <w:bCs/>
          <w:sz w:val="24"/>
          <w:szCs w:val="24"/>
        </w:rPr>
      </w:pPr>
      <w:r w:rsidRPr="0000011E">
        <w:rPr>
          <w:rFonts w:ascii="Times New Roman" w:eastAsia="Times New Roman" w:hAnsi="Times New Roman" w:cs="Times New Roman"/>
          <w:b/>
          <w:bCs/>
          <w:sz w:val="24"/>
          <w:szCs w:val="24"/>
        </w:rPr>
        <w:t>Table 2: Technology Stack</w:t>
      </w:r>
    </w:p>
    <w:tbl>
      <w:tblPr>
        <w:tblStyle w:val="TableGrid"/>
        <w:tblW w:w="0" w:type="auto"/>
        <w:tblLook w:val="04A0" w:firstRow="1" w:lastRow="0" w:firstColumn="1" w:lastColumn="0" w:noHBand="0" w:noVBand="1"/>
      </w:tblPr>
      <w:tblGrid>
        <w:gridCol w:w="3116"/>
        <w:gridCol w:w="3117"/>
        <w:gridCol w:w="3117"/>
      </w:tblGrid>
      <w:tr w:rsidR="00B37A93" w14:paraId="2BF68DCF" w14:textId="77777777" w:rsidTr="0000011E">
        <w:tc>
          <w:tcPr>
            <w:tcW w:w="3116" w:type="dxa"/>
            <w:shd w:val="clear" w:color="auto" w:fill="D9D9D9" w:themeFill="background1" w:themeFillShade="D9"/>
          </w:tcPr>
          <w:p w14:paraId="3DE276FD" w14:textId="0137C61F" w:rsidR="00B37A93" w:rsidRPr="0000011E" w:rsidRDefault="00B37A93">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Component</w:t>
            </w:r>
          </w:p>
        </w:tc>
        <w:tc>
          <w:tcPr>
            <w:tcW w:w="3117" w:type="dxa"/>
            <w:shd w:val="clear" w:color="auto" w:fill="D9D9D9" w:themeFill="background1" w:themeFillShade="D9"/>
          </w:tcPr>
          <w:p w14:paraId="33FB9B75" w14:textId="10BF205F" w:rsidR="00B37A93" w:rsidRPr="0000011E" w:rsidRDefault="00B37A93">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Technology/Library</w:t>
            </w:r>
          </w:p>
        </w:tc>
        <w:tc>
          <w:tcPr>
            <w:tcW w:w="3117" w:type="dxa"/>
            <w:shd w:val="clear" w:color="auto" w:fill="D9D9D9" w:themeFill="background1" w:themeFillShade="D9"/>
          </w:tcPr>
          <w:p w14:paraId="56879F49" w14:textId="0FDCD56C" w:rsidR="00B37A93" w:rsidRPr="0000011E" w:rsidRDefault="00B37A93">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Role in Architecture</w:t>
            </w:r>
          </w:p>
        </w:tc>
      </w:tr>
      <w:tr w:rsidR="00B37A93" w14:paraId="58C2C705" w14:textId="77777777" w:rsidTr="00B37A93">
        <w:tc>
          <w:tcPr>
            <w:tcW w:w="3116" w:type="dxa"/>
          </w:tcPr>
          <w:p w14:paraId="2CAB1352" w14:textId="01492D8C" w:rsidR="00B37A93" w:rsidRPr="0000011E" w:rsidRDefault="00B37A93">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Frontend</w:t>
            </w:r>
          </w:p>
        </w:tc>
        <w:tc>
          <w:tcPr>
            <w:tcW w:w="3117" w:type="dxa"/>
          </w:tcPr>
          <w:p w14:paraId="3A10F174" w14:textId="5F43C7F0" w:rsidR="00B37A93"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React.js + D3.js</w:t>
            </w:r>
          </w:p>
        </w:tc>
        <w:tc>
          <w:tcPr>
            <w:tcW w:w="3117" w:type="dxa"/>
          </w:tcPr>
          <w:p w14:paraId="370BBF9D" w14:textId="55BADCAE" w:rsidR="00B37A93"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Role-adaptive dashboard rendering.</w:t>
            </w:r>
          </w:p>
        </w:tc>
      </w:tr>
      <w:tr w:rsidR="00B37A93" w14:paraId="7688AE38" w14:textId="77777777" w:rsidTr="00B37A93">
        <w:tc>
          <w:tcPr>
            <w:tcW w:w="3116" w:type="dxa"/>
          </w:tcPr>
          <w:p w14:paraId="4359F49E" w14:textId="1E1290C3" w:rsidR="00B37A93" w:rsidRPr="0000011E" w:rsidRDefault="00B37A93">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API Gateway</w:t>
            </w:r>
          </w:p>
        </w:tc>
        <w:tc>
          <w:tcPr>
            <w:tcW w:w="3117" w:type="dxa"/>
          </w:tcPr>
          <w:p w14:paraId="6D0A1727" w14:textId="4B41F639" w:rsidR="00B37A93"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AWS - API Gateway</w:t>
            </w:r>
          </w:p>
        </w:tc>
        <w:tc>
          <w:tcPr>
            <w:tcW w:w="3117" w:type="dxa"/>
          </w:tcPr>
          <w:p w14:paraId="3727377E" w14:textId="491D4FD6" w:rsidR="00B37A93"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Auth &amp; Role Token injection</w:t>
            </w:r>
          </w:p>
        </w:tc>
      </w:tr>
      <w:tr w:rsidR="00B37A93" w14:paraId="37BC0A33" w14:textId="77777777" w:rsidTr="00B37A93">
        <w:tc>
          <w:tcPr>
            <w:tcW w:w="3116" w:type="dxa"/>
          </w:tcPr>
          <w:p w14:paraId="74908530" w14:textId="7D461297" w:rsidR="00B37A93" w:rsidRPr="0000011E" w:rsidRDefault="00B37A93">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Orchestrator</w:t>
            </w:r>
          </w:p>
        </w:tc>
        <w:tc>
          <w:tcPr>
            <w:tcW w:w="3117" w:type="dxa"/>
          </w:tcPr>
          <w:p w14:paraId="67528389" w14:textId="0EBC5D08" w:rsidR="00B37A93" w:rsidRPr="0000011E" w:rsidRDefault="0000011E">
            <w:pPr>
              <w:spacing w:before="240" w:after="240"/>
              <w:jc w:val="center"/>
              <w:rPr>
                <w:rFonts w:ascii="Times New Roman" w:eastAsia="Times New Roman" w:hAnsi="Times New Roman" w:cs="Times New Roman"/>
                <w:sz w:val="24"/>
                <w:szCs w:val="24"/>
              </w:rPr>
            </w:pPr>
            <w:proofErr w:type="spellStart"/>
            <w:r w:rsidRPr="0000011E">
              <w:rPr>
                <w:rFonts w:ascii="Times New Roman" w:eastAsia="Times New Roman" w:hAnsi="Times New Roman" w:cs="Times New Roman"/>
                <w:sz w:val="24"/>
                <w:szCs w:val="24"/>
              </w:rPr>
              <w:t>FastAPI</w:t>
            </w:r>
            <w:proofErr w:type="spellEnd"/>
            <w:r w:rsidRPr="0000011E">
              <w:rPr>
                <w:rFonts w:ascii="Times New Roman" w:eastAsia="Times New Roman" w:hAnsi="Times New Roman" w:cs="Times New Roman"/>
                <w:sz w:val="24"/>
                <w:szCs w:val="24"/>
              </w:rPr>
              <w:t xml:space="preserve"> (Python 3.9)</w:t>
            </w:r>
          </w:p>
        </w:tc>
        <w:tc>
          <w:tcPr>
            <w:tcW w:w="3117" w:type="dxa"/>
          </w:tcPr>
          <w:p w14:paraId="638D1DC5" w14:textId="12F740E2" w:rsidR="00B37A93"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Request routing &amp; Strategy Pattern logic.</w:t>
            </w:r>
          </w:p>
        </w:tc>
      </w:tr>
      <w:tr w:rsidR="00B37A93" w14:paraId="699A4F05" w14:textId="77777777" w:rsidTr="00B37A93">
        <w:tc>
          <w:tcPr>
            <w:tcW w:w="3116" w:type="dxa"/>
          </w:tcPr>
          <w:p w14:paraId="43E01521" w14:textId="618EDDA2" w:rsidR="00B37A93" w:rsidRPr="0000011E" w:rsidRDefault="00B37A93">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ML Backend</w:t>
            </w:r>
          </w:p>
        </w:tc>
        <w:tc>
          <w:tcPr>
            <w:tcW w:w="3117" w:type="dxa"/>
          </w:tcPr>
          <w:p w14:paraId="06975B39" w14:textId="73871EC2" w:rsidR="00B37A93" w:rsidRPr="0000011E" w:rsidRDefault="0000011E">
            <w:pPr>
              <w:spacing w:before="240" w:after="240"/>
              <w:jc w:val="center"/>
              <w:rPr>
                <w:rFonts w:ascii="Times New Roman" w:eastAsia="Times New Roman" w:hAnsi="Times New Roman" w:cs="Times New Roman"/>
                <w:sz w:val="24"/>
                <w:szCs w:val="24"/>
              </w:rPr>
            </w:pPr>
            <w:proofErr w:type="spellStart"/>
            <w:r w:rsidRPr="0000011E">
              <w:rPr>
                <w:rFonts w:ascii="Times New Roman" w:eastAsia="Times New Roman" w:hAnsi="Times New Roman" w:cs="Times New Roman"/>
                <w:sz w:val="24"/>
                <w:szCs w:val="24"/>
              </w:rPr>
              <w:t>PyTorch</w:t>
            </w:r>
            <w:proofErr w:type="spellEnd"/>
            <w:r w:rsidRPr="0000011E">
              <w:rPr>
                <w:rFonts w:ascii="Times New Roman" w:eastAsia="Times New Roman" w:hAnsi="Times New Roman" w:cs="Times New Roman"/>
                <w:sz w:val="24"/>
                <w:szCs w:val="24"/>
              </w:rPr>
              <w:t xml:space="preserve">, TensorFlow, </w:t>
            </w:r>
            <w:proofErr w:type="spellStart"/>
            <w:r w:rsidRPr="0000011E">
              <w:rPr>
                <w:rFonts w:ascii="Times New Roman" w:eastAsia="Times New Roman" w:hAnsi="Times New Roman" w:cs="Times New Roman"/>
                <w:sz w:val="24"/>
                <w:szCs w:val="24"/>
              </w:rPr>
              <w:t>XGBoost</w:t>
            </w:r>
            <w:proofErr w:type="spellEnd"/>
            <w:r w:rsidRPr="0000011E">
              <w:rPr>
                <w:rFonts w:ascii="Times New Roman" w:eastAsia="Times New Roman" w:hAnsi="Times New Roman" w:cs="Times New Roman"/>
                <w:sz w:val="24"/>
                <w:szCs w:val="24"/>
              </w:rPr>
              <w:t>, Scikit-learn</w:t>
            </w:r>
          </w:p>
        </w:tc>
        <w:tc>
          <w:tcPr>
            <w:tcW w:w="3117" w:type="dxa"/>
          </w:tcPr>
          <w:p w14:paraId="77935113" w14:textId="20EE18D2" w:rsidR="00B37A93"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Model training and inference.</w:t>
            </w:r>
          </w:p>
        </w:tc>
      </w:tr>
      <w:tr w:rsidR="00B37A93" w14:paraId="5DB9250E" w14:textId="77777777" w:rsidTr="00B37A93">
        <w:tc>
          <w:tcPr>
            <w:tcW w:w="3116" w:type="dxa"/>
          </w:tcPr>
          <w:p w14:paraId="5FD65C3D" w14:textId="026F059A" w:rsidR="00B37A93"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Ensemble</w:t>
            </w:r>
          </w:p>
        </w:tc>
        <w:tc>
          <w:tcPr>
            <w:tcW w:w="3117" w:type="dxa"/>
          </w:tcPr>
          <w:p w14:paraId="3D9D7FCE" w14:textId="1E0D359C" w:rsidR="00B37A93" w:rsidRPr="0000011E" w:rsidRDefault="0000011E">
            <w:pPr>
              <w:spacing w:before="240" w:after="240"/>
              <w:jc w:val="center"/>
              <w:rPr>
                <w:rFonts w:ascii="Times New Roman" w:eastAsia="Times New Roman" w:hAnsi="Times New Roman" w:cs="Times New Roman"/>
                <w:sz w:val="24"/>
                <w:szCs w:val="24"/>
              </w:rPr>
            </w:pPr>
            <w:proofErr w:type="spellStart"/>
            <w:r w:rsidRPr="0000011E">
              <w:rPr>
                <w:rFonts w:ascii="Times New Roman" w:eastAsia="Times New Roman" w:hAnsi="Times New Roman" w:cs="Times New Roman"/>
                <w:sz w:val="24"/>
                <w:szCs w:val="24"/>
              </w:rPr>
              <w:t>MLxtend</w:t>
            </w:r>
            <w:proofErr w:type="spellEnd"/>
            <w:r w:rsidRPr="0000011E">
              <w:rPr>
                <w:rFonts w:ascii="Times New Roman" w:eastAsia="Times New Roman" w:hAnsi="Times New Roman" w:cs="Times New Roman"/>
                <w:sz w:val="24"/>
                <w:szCs w:val="24"/>
              </w:rPr>
              <w:t xml:space="preserve"> (</w:t>
            </w:r>
            <w:proofErr w:type="spellStart"/>
            <w:r w:rsidRPr="0000011E">
              <w:rPr>
                <w:rFonts w:ascii="Times New Roman" w:eastAsia="Times New Roman" w:hAnsi="Times New Roman" w:cs="Times New Roman"/>
                <w:sz w:val="24"/>
                <w:szCs w:val="24"/>
              </w:rPr>
              <w:t>StackingCVRegressor</w:t>
            </w:r>
            <w:proofErr w:type="spellEnd"/>
            <w:r w:rsidRPr="0000011E">
              <w:rPr>
                <w:rFonts w:ascii="Times New Roman" w:eastAsia="Times New Roman" w:hAnsi="Times New Roman" w:cs="Times New Roman"/>
                <w:sz w:val="24"/>
                <w:szCs w:val="24"/>
              </w:rPr>
              <w:t>)</w:t>
            </w:r>
          </w:p>
        </w:tc>
        <w:tc>
          <w:tcPr>
            <w:tcW w:w="3117" w:type="dxa"/>
          </w:tcPr>
          <w:p w14:paraId="5E3CCE09" w14:textId="4C57F446" w:rsidR="00B37A93"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Meta-learning logic.</w:t>
            </w:r>
          </w:p>
        </w:tc>
      </w:tr>
      <w:tr w:rsidR="0000011E" w14:paraId="56842D91" w14:textId="77777777" w:rsidTr="00B37A93">
        <w:tc>
          <w:tcPr>
            <w:tcW w:w="3116" w:type="dxa"/>
          </w:tcPr>
          <w:p w14:paraId="4CED6A98" w14:textId="47339E24" w:rsidR="0000011E"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Feature Store</w:t>
            </w:r>
          </w:p>
        </w:tc>
        <w:tc>
          <w:tcPr>
            <w:tcW w:w="3117" w:type="dxa"/>
          </w:tcPr>
          <w:p w14:paraId="4B1F36FD" w14:textId="74F2D366" w:rsidR="0000011E"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Feast + Redis</w:t>
            </w:r>
          </w:p>
        </w:tc>
        <w:tc>
          <w:tcPr>
            <w:tcW w:w="3117" w:type="dxa"/>
          </w:tcPr>
          <w:p w14:paraId="078D65B9" w14:textId="62C7AB52" w:rsidR="0000011E"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Low-latency feature serving (&lt; 10ms).</w:t>
            </w:r>
          </w:p>
        </w:tc>
      </w:tr>
      <w:tr w:rsidR="0000011E" w14:paraId="39F24437" w14:textId="77777777" w:rsidTr="00B37A93">
        <w:tc>
          <w:tcPr>
            <w:tcW w:w="3116" w:type="dxa"/>
          </w:tcPr>
          <w:p w14:paraId="642CA885" w14:textId="55DA742D" w:rsidR="0000011E"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lastRenderedPageBreak/>
              <w:t>Infrastructure</w:t>
            </w:r>
          </w:p>
        </w:tc>
        <w:tc>
          <w:tcPr>
            <w:tcW w:w="3117" w:type="dxa"/>
          </w:tcPr>
          <w:p w14:paraId="2049E4C3" w14:textId="61DCECE4" w:rsidR="0000011E"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Docker + Kubernetes (K8s)</w:t>
            </w:r>
          </w:p>
        </w:tc>
        <w:tc>
          <w:tcPr>
            <w:tcW w:w="3117" w:type="dxa"/>
          </w:tcPr>
          <w:p w14:paraId="4DD9DCA3" w14:textId="6462B184" w:rsidR="0000011E"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Containerization and auto-scaling.</w:t>
            </w:r>
          </w:p>
        </w:tc>
      </w:tr>
    </w:tbl>
    <w:p w14:paraId="38D81239" w14:textId="77777777" w:rsidR="00C07E08" w:rsidRDefault="00C07E08">
      <w:pPr>
        <w:pStyle w:val="Heading2"/>
        <w:keepNext w:val="0"/>
        <w:keepLines w:val="0"/>
        <w:spacing w:before="0" w:after="80" w:line="288" w:lineRule="auto"/>
        <w:rPr>
          <w:rFonts w:ascii="Times New Roman" w:eastAsia="Times New Roman" w:hAnsi="Times New Roman" w:cs="Times New Roman"/>
          <w:b/>
          <w:bCs/>
          <w:sz w:val="34"/>
          <w:szCs w:val="34"/>
        </w:rPr>
      </w:pPr>
      <w:bookmarkStart w:id="0" w:name="_oma4mml6nvw6" w:colFirst="0" w:colLast="0"/>
      <w:bookmarkEnd w:id="0"/>
    </w:p>
    <w:p w14:paraId="543FE87A" w14:textId="77777777" w:rsidR="00C07E08" w:rsidRDefault="00000000">
      <w:pPr>
        <w:pStyle w:val="Heading2"/>
        <w:keepNext w:val="0"/>
        <w:keepLines w:val="0"/>
        <w:spacing w:before="0" w:after="80" w:line="288" w:lineRule="auto"/>
        <w:rPr>
          <w:rFonts w:ascii="Times New Roman" w:eastAsia="Times New Roman" w:hAnsi="Times New Roman" w:cs="Times New Roman"/>
          <w:sz w:val="24"/>
          <w:szCs w:val="24"/>
        </w:rPr>
      </w:pPr>
      <w:bookmarkStart w:id="1" w:name="_4a52oavk2ni8" w:colFirst="0" w:colLast="0"/>
      <w:bookmarkEnd w:id="1"/>
      <w:r>
        <w:rPr>
          <w:rFonts w:ascii="Times New Roman" w:eastAsia="Times New Roman" w:hAnsi="Times New Roman" w:cs="Times New Roman"/>
          <w:b/>
          <w:bCs/>
          <w:sz w:val="34"/>
          <w:szCs w:val="34"/>
        </w:rPr>
        <w:t>Optimization and Model Training</w:t>
      </w:r>
      <w:r>
        <w:rPr>
          <w:rFonts w:ascii="Times New Roman" w:eastAsia="Times New Roman" w:hAnsi="Times New Roman" w:cs="Times New Roman"/>
          <w:color w:val="FF0000"/>
          <w:sz w:val="24"/>
          <w:szCs w:val="24"/>
        </w:rPr>
        <w:br/>
      </w:r>
      <w:r>
        <w:rPr>
          <w:rFonts w:ascii="Times New Roman" w:eastAsia="Times New Roman" w:hAnsi="Times New Roman" w:cs="Times New Roman"/>
          <w:sz w:val="24"/>
          <w:szCs w:val="24"/>
        </w:rPr>
        <w:t>In our system, each predictive component acts as an independent "base learner." Rather than relying on complex, hard-coded rules, these models learn by analyzing historical consulting data to find patterns and minimize their prediction errors.</w:t>
      </w:r>
    </w:p>
    <w:p w14:paraId="32C66D02" w14:textId="77777777" w:rsidR="00C07E08" w:rsidRDefault="00000000">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training process for each individual model follows a straightforward optimization logic:</w:t>
      </w:r>
    </w:p>
    <w:p w14:paraId="0150B3A8" w14:textId="77777777" w:rsidR="00C07E08" w:rsidRDefault="00000000">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Defining the Goal:</w:t>
      </w:r>
    </w:p>
    <w:p w14:paraId="255370D7" w14:textId="22CE460A" w:rsidR="00CE46A0" w:rsidRDefault="00000000">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any given task, the model takes an input (e.g., project data) and generates a prediction. The system compares this prediction to the actual historical outcome. The mathematical goal is to minimize the "Loss" or "Error."</w:t>
      </w:r>
      <w:r w:rsidR="00CE46A0">
        <w:rPr>
          <w:rFonts w:ascii="Times New Roman" w:eastAsia="Times New Roman" w:hAnsi="Times New Roman" w:cs="Times New Roman"/>
          <w:sz w:val="24"/>
          <w:szCs w:val="24"/>
        </w:rPr>
        <w:t xml:space="preserve"> </w:t>
      </w:r>
    </w:p>
    <w:p w14:paraId="3C467ED2" w14:textId="64AABA92" w:rsidR="00217D17" w:rsidRDefault="00CE46A0">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w:t>
      </w:r>
      <m:oMath>
        <m:r>
          <m:rPr>
            <m:sty m:val="p"/>
          </m:rPr>
          <w:rPr>
            <w:rFonts w:ascii="Cambria Math" w:eastAsia="Times New Roman" w:hAnsi="Cambria Math" w:cs="Times New Roman"/>
            <w:sz w:val="24"/>
            <w:szCs w:val="24"/>
          </w:rPr>
          <m:t>e=Y-</m:t>
        </m:r>
        <m:acc>
          <m:accPr>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Y</m:t>
            </m:r>
          </m:e>
        </m:acc>
      </m:oMath>
    </w:p>
    <w:p w14:paraId="6B81E7B6" w14:textId="77777777" w:rsidR="00217D17" w:rsidRDefault="00217D17">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
    <w:p w14:paraId="7B24D5A1" w14:textId="318EC851" w:rsidR="00217D17" w:rsidRDefault="00217D17">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 Prediction Error</w:t>
      </w:r>
    </w:p>
    <w:p w14:paraId="3D26A07A" w14:textId="3325B741" w:rsidR="00217D17" w:rsidRDefault="00217D17">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 = Actual Historical Outcome</w:t>
      </w:r>
    </w:p>
    <w:p w14:paraId="1008E3EA" w14:textId="664E91A9" w:rsidR="00C07E08" w:rsidRDefault="00217D17">
      <w:pPr>
        <w:spacing w:before="240" w:after="240" w:line="288" w:lineRule="auto"/>
        <w:rPr>
          <w:rFonts w:ascii="Times New Roman" w:eastAsia="Times New Roman" w:hAnsi="Times New Roman" w:cs="Times New Roman"/>
          <w:sz w:val="24"/>
          <w:szCs w:val="24"/>
        </w:rPr>
      </w:pPr>
      <w:r w:rsidRPr="00217D17">
        <w:rPr>
          <w:rFonts w:ascii="Times New Roman" w:eastAsia="Times New Roman" w:hAnsi="Times New Roman" w:cs="Times New Roman"/>
          <w:sz w:val="24"/>
          <w:szCs w:val="24"/>
        </w:rPr>
        <w:t>Y</w:t>
      </w:r>
      <w:r>
        <w:rPr>
          <w:rFonts w:ascii="Times New Roman" w:eastAsia="Times New Roman" w:hAnsi="Times New Roman" w:cs="Times New Roman"/>
          <w:sz w:val="24"/>
          <w:szCs w:val="24"/>
        </w:rPr>
        <w:t>-hat = Model’s Predicted Outcome</w:t>
      </w:r>
      <w:r>
        <w:rPr>
          <w:rFonts w:ascii="Times New Roman" w:eastAsia="Times New Roman" w:hAnsi="Times New Roman" w:cs="Times New Roman"/>
          <w:color w:val="FFFFFF"/>
          <w:sz w:val="24"/>
          <w:szCs w:val="24"/>
          <w:highlight w:val="black"/>
        </w:rPr>
        <w:br/>
      </w:r>
      <w:r>
        <w:rPr>
          <w:rFonts w:ascii="Times New Roman" w:eastAsia="Times New Roman" w:hAnsi="Times New Roman" w:cs="Times New Roman"/>
          <w:sz w:val="24"/>
          <w:szCs w:val="24"/>
        </w:rPr>
        <w:br/>
        <w:t>The system uses optimization algorithms to continuously adjust the model's internal parameters until this Error is as close to zero as possible.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The Training Loop:</w:t>
      </w:r>
      <w:r>
        <w:rPr>
          <w:rFonts w:ascii="Times New Roman" w:eastAsia="Times New Roman" w:hAnsi="Times New Roman" w:cs="Times New Roman"/>
          <w:sz w:val="24"/>
          <w:szCs w:val="24"/>
        </w:rPr>
        <w:t xml:space="preserve"> The models are trained in "batches." For example, the system feeds 64 historical projects into the model, checks the average error, updates the model's logic, and repeats. This continues until the model's accuracy stops improving on a separate set of "test" data, preventing the model from just memorizing the past (overfitting).</w:t>
      </w:r>
      <w:r>
        <w:rPr>
          <w:rFonts w:ascii="Times New Roman" w:eastAsia="Times New Roman" w:hAnsi="Times New Roman" w:cs="Times New Roman"/>
          <w:color w:val="FF0000"/>
          <w:sz w:val="24"/>
          <w:szCs w:val="24"/>
        </w:rPr>
        <w:br/>
      </w:r>
      <w:r>
        <w:rPr>
          <w:rFonts w:ascii="Times New Roman" w:eastAsia="Times New Roman" w:hAnsi="Times New Roman" w:cs="Times New Roman"/>
          <w:color w:val="FF0000"/>
          <w:sz w:val="24"/>
          <w:szCs w:val="24"/>
        </w:rPr>
        <w:br/>
      </w:r>
      <w:r>
        <w:rPr>
          <w:rFonts w:ascii="Times New Roman" w:eastAsia="Times New Roman" w:hAnsi="Times New Roman" w:cs="Times New Roman"/>
          <w:sz w:val="24"/>
          <w:szCs w:val="24"/>
        </w:rPr>
        <w:t xml:space="preserve">So, every predictive component (LSTM utilization forecaster, burn‑rate regressor, revenue forecaster, sentiment model, etc.) is treated as a base learner </w:t>
      </w:r>
    </w:p>
    <w:p w14:paraId="401C3E1C" w14:textId="2F175517" w:rsidR="00C07E08" w:rsidRDefault="00000000">
      <w:pPr>
        <w:spacing w:before="240" w:after="240" w:line="288" w:lineRule="auto"/>
        <w:rPr>
          <w:rFonts w:ascii="Times New Roman" w:eastAsia="Times New Roman" w:hAnsi="Times New Roman" w:cs="Times New Roman"/>
          <w:sz w:val="27"/>
          <w:szCs w:val="27"/>
        </w:rPr>
      </w:pPr>
      <w:r>
        <w:rPr>
          <w:rFonts w:ascii="Times New Roman" w:eastAsia="Times New Roman" w:hAnsi="Times New Roman" w:cs="Times New Roman"/>
          <w:sz w:val="24"/>
          <w:szCs w:val="24"/>
        </w:rPr>
        <w:t xml:space="preserve">Consider </w:t>
      </w:r>
      <w:r>
        <w:rPr>
          <w:rFonts w:ascii="Times New Roman" w:eastAsia="Times New Roman" w:hAnsi="Times New Roman" w:cs="Times New Roman"/>
          <w:i/>
          <w:iCs/>
          <w:sz w:val="27"/>
          <w:szCs w:val="27"/>
        </w:rPr>
        <w:t>f</w:t>
      </w:r>
      <w:r w:rsidR="00217D17">
        <w:rPr>
          <w:rFonts w:ascii="Times New Roman" w:eastAsia="Times New Roman" w:hAnsi="Times New Roman" w:cs="Times New Roman"/>
          <w:i/>
          <w:iCs/>
          <w:sz w:val="27"/>
          <w:szCs w:val="27"/>
        </w:rPr>
        <w:t xml:space="preserve"> </w:t>
      </w:r>
      <w:r>
        <w:rPr>
          <w:rFonts w:ascii="Times New Roman" w:eastAsia="Times New Roman" w:hAnsi="Times New Roman" w:cs="Times New Roman"/>
          <w:sz w:val="27"/>
          <w:szCs w:val="27"/>
        </w:rPr>
        <w:t>(</w:t>
      </w:r>
      <w:r>
        <w:rPr>
          <w:rFonts w:ascii="Times New Roman" w:eastAsia="Times New Roman" w:hAnsi="Times New Roman" w:cs="Times New Roman"/>
          <w:i/>
          <w:iCs/>
          <w:sz w:val="27"/>
          <w:szCs w:val="27"/>
        </w:rPr>
        <w:t>z</w:t>
      </w:r>
      <w:r>
        <w:rPr>
          <w:rFonts w:ascii="Times New Roman" w:eastAsia="Times New Roman" w:hAnsi="Times New Roman" w:cs="Times New Roman"/>
          <w:sz w:val="27"/>
          <w:szCs w:val="27"/>
        </w:rPr>
        <w:t>;</w:t>
      </w:r>
      <w:r w:rsidR="00217D17">
        <w:rPr>
          <w:rFonts w:ascii="Times New Roman" w:eastAsia="Times New Roman" w:hAnsi="Times New Roman" w:cs="Times New Roman"/>
          <w:sz w:val="27"/>
          <w:szCs w:val="27"/>
        </w:rPr>
        <w:t xml:space="preserve"> </w:t>
      </w:r>
      <w:r>
        <w:rPr>
          <w:rFonts w:ascii="Times New Roman" w:eastAsia="Times New Roman" w:hAnsi="Times New Roman" w:cs="Times New Roman"/>
          <w:i/>
          <w:iCs/>
          <w:sz w:val="27"/>
          <w:szCs w:val="27"/>
        </w:rPr>
        <w:t>θ</w:t>
      </w:r>
      <w:r>
        <w:rPr>
          <w:rFonts w:ascii="Times New Roman" w:eastAsia="Times New Roman" w:hAnsi="Times New Roman" w:cs="Times New Roman"/>
          <w:sz w:val="27"/>
          <w:szCs w:val="27"/>
        </w:rPr>
        <w:t>) as a modeling function where:</w:t>
      </w:r>
    </w:p>
    <w:p w14:paraId="16877CB2" w14:textId="77777777" w:rsidR="00C07E08" w:rsidRDefault="00000000">
      <w:pPr>
        <w:spacing w:before="240" w:after="240" w:line="288"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z: is the input data</w:t>
      </w:r>
    </w:p>
    <w:p w14:paraId="66C78397" w14:textId="77777777" w:rsidR="00C07E08" w:rsidRDefault="00000000">
      <w:pPr>
        <w:spacing w:before="240" w:after="240" w:line="288" w:lineRule="auto"/>
        <w:rPr>
          <w:rFonts w:ascii="Times New Roman" w:eastAsia="Times New Roman" w:hAnsi="Times New Roman" w:cs="Times New Roman"/>
          <w:sz w:val="27"/>
          <w:szCs w:val="27"/>
        </w:rPr>
      </w:pPr>
      <w:r>
        <w:rPr>
          <w:rFonts w:ascii="Times New Roman" w:eastAsia="Times New Roman" w:hAnsi="Times New Roman" w:cs="Times New Roman"/>
          <w:i/>
          <w:iCs/>
          <w:sz w:val="27"/>
          <w:szCs w:val="27"/>
        </w:rPr>
        <w:t xml:space="preserve">θ: </w:t>
      </w:r>
      <w:r>
        <w:rPr>
          <w:rFonts w:ascii="Times New Roman" w:eastAsia="Times New Roman" w:hAnsi="Times New Roman" w:cs="Times New Roman"/>
          <w:sz w:val="27"/>
          <w:szCs w:val="27"/>
        </w:rPr>
        <w:t>model’s parameter</w:t>
      </w:r>
    </w:p>
    <w:p w14:paraId="0F102A46" w14:textId="77777777" w:rsidR="00C07E0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that is trained by minimizing an empirical risk objective over historical consultancy data.</w:t>
      </w:r>
    </w:p>
    <w:p w14:paraId="7A3280EA" w14:textId="77777777" w:rsidR="00C07E08" w:rsidRDefault="00000000">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 given task (for example, revenue forecasting) with training set </w:t>
      </w:r>
    </w:p>
    <w:p w14:paraId="5A98434F" w14:textId="77777777" w:rsidR="008944D6" w:rsidRDefault="00000000">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7"/>
          <w:szCs w:val="27"/>
        </w:rPr>
        <w:t>D</w:t>
      </w:r>
      <w:r w:rsidR="00217D17">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w:t>
      </w:r>
      <w:r w:rsidR="00217D17">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{(xi,</w:t>
      </w:r>
      <w:r w:rsidR="00217D17">
        <w:rPr>
          <w:rFonts w:ascii="Times New Roman" w:eastAsia="Times New Roman" w:hAnsi="Times New Roman" w:cs="Times New Roman"/>
          <w:sz w:val="27"/>
          <w:szCs w:val="27"/>
        </w:rPr>
        <w:t xml:space="preserve"> </w:t>
      </w:r>
      <w:proofErr w:type="spellStart"/>
      <w:r>
        <w:rPr>
          <w:rFonts w:ascii="Times New Roman" w:eastAsia="Times New Roman" w:hAnsi="Times New Roman" w:cs="Times New Roman"/>
          <w:sz w:val="27"/>
          <w:szCs w:val="27"/>
        </w:rPr>
        <w:t>yi</w:t>
      </w:r>
      <w:proofErr w:type="spellEnd"/>
      <w:r w:rsidR="00217D17">
        <w:rPr>
          <w:rFonts w:ascii="Times New Roman" w:eastAsia="Times New Roman" w:hAnsi="Times New Roman" w:cs="Times New Roman"/>
          <w:sz w:val="27"/>
          <w:szCs w:val="27"/>
        </w:rPr>
        <w:t>)</w:t>
      </w:r>
      <w:r w:rsidR="008944D6">
        <w:rPr>
          <w:rFonts w:ascii="Times New Roman" w:eastAsia="Times New Roman" w:hAnsi="Times New Roman" w:cs="Times New Roman"/>
          <w:sz w:val="27"/>
          <w:szCs w:val="27"/>
        </w:rPr>
        <w:t xml:space="preserve"> where </w:t>
      </w:r>
      <w:proofErr w:type="spellStart"/>
      <w:r w:rsidR="008944D6">
        <w:rPr>
          <w:rFonts w:ascii="Times New Roman" w:eastAsia="Times New Roman" w:hAnsi="Times New Roman" w:cs="Times New Roman"/>
          <w:sz w:val="27"/>
          <w:szCs w:val="27"/>
        </w:rPr>
        <w:t>i</w:t>
      </w:r>
      <w:proofErr w:type="spellEnd"/>
      <w:r w:rsidR="008944D6">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=1</w:t>
      </w:r>
      <w:r w:rsidR="008944D6">
        <w:rPr>
          <w:rFonts w:ascii="Times New Roman" w:eastAsia="Times New Roman" w:hAnsi="Times New Roman" w:cs="Times New Roman"/>
          <w:sz w:val="27"/>
          <w:szCs w:val="27"/>
        </w:rPr>
        <w:t xml:space="preserve"> to </w:t>
      </w:r>
      <w:r>
        <w:rPr>
          <w:rFonts w:ascii="Times New Roman" w:eastAsia="Times New Roman" w:hAnsi="Times New Roman" w:cs="Times New Roman"/>
          <w:sz w:val="27"/>
          <w:szCs w:val="27"/>
        </w:rPr>
        <w:t>N</w:t>
      </w:r>
      <w:r>
        <w:rPr>
          <w:rFonts w:ascii="Times New Roman" w:eastAsia="Times New Roman" w:hAnsi="Times New Roman" w:cs="Times New Roman"/>
          <w:sz w:val="24"/>
          <w:szCs w:val="24"/>
        </w:rPr>
        <w:t xml:space="preserve">, the parameters </w:t>
      </w:r>
      <w:r>
        <w:rPr>
          <w:rFonts w:ascii="Times New Roman" w:eastAsia="Times New Roman" w:hAnsi="Times New Roman" w:cs="Times New Roman"/>
          <w:i/>
          <w:iCs/>
          <w:sz w:val="27"/>
          <w:szCs w:val="27"/>
        </w:rPr>
        <w:t>θ</w:t>
      </w:r>
      <w:r>
        <w:rPr>
          <w:rFonts w:ascii="Times New Roman" w:eastAsia="Times New Roman" w:hAnsi="Times New Roman" w:cs="Times New Roman"/>
          <w:sz w:val="24"/>
          <w:szCs w:val="24"/>
        </w:rPr>
        <w:t xml:space="preserve"> are obtained by solving</w:t>
      </w:r>
    </w:p>
    <w:p w14:paraId="7E8887C4" w14:textId="5803F5CF" w:rsidR="00C07E08" w:rsidRDefault="00000000">
      <w:pPr>
        <w:spacing w:before="240" w:after="240" w:line="288" w:lineRule="auto"/>
        <w:rPr>
          <w:rFonts w:ascii="Times New Roman" w:eastAsia="Times New Roman" w:hAnsi="Times New Roman" w:cs="Times New Roman"/>
          <w:sz w:val="24"/>
          <w:szCs w:val="24"/>
        </w:rPr>
      </w:pPr>
      <m:oMathPara>
        <m:oMath>
          <m:limLow>
            <m:limLowPr>
              <m:ctrlPr>
                <w:rPr>
                  <w:rFonts w:ascii="Cambria Math" w:eastAsia="Times New Roman" w:hAnsi="Cambria Math" w:cs="Times New Roman"/>
                  <w:i/>
                  <w:sz w:val="24"/>
                  <w:szCs w:val="24"/>
                </w:rPr>
              </m:ctrlPr>
            </m:limLowPr>
            <m:e>
              <m:r>
                <m:rPr>
                  <m:sty m:val="p"/>
                </m:rPr>
                <w:rPr>
                  <w:rFonts w:ascii="Cambria Math" w:eastAsia="Times New Roman" w:hAnsi="Cambria Math" w:cs="Times New Roman"/>
                  <w:sz w:val="24"/>
                  <w:szCs w:val="24"/>
                </w:rPr>
                <m:t>min</m:t>
              </m:r>
            </m:e>
            <m:lim>
              <m:r>
                <w:rPr>
                  <w:rFonts w:ascii="Cambria Math" w:eastAsia="Times New Roman" w:hAnsi="Cambria Math" w:cs="Times New Roman"/>
                  <w:sz w:val="24"/>
                  <w:szCs w:val="24"/>
                </w:rPr>
                <m:t>θ</m:t>
              </m:r>
            </m:lim>
          </m:limLow>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N</m:t>
              </m:r>
            </m:den>
          </m:f>
          <m:nary>
            <m:naryPr>
              <m:chr m:val="∑"/>
              <m:limLoc m:val="undOvr"/>
              <m:grow m:val="1"/>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N</m:t>
              </m:r>
            </m:sup>
            <m:e>
              <m:r>
                <w:rPr>
                  <w:rFonts w:ascii="Cambria Math" w:eastAsia="Times New Roman" w:hAnsi="Cambria Math" w:cs="Times New Roman"/>
                  <w:sz w:val="24"/>
                  <w:szCs w:val="24"/>
                </w:rPr>
                <m:t>ⅇ</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;θ</m:t>
                      </m:r>
                    </m:e>
                  </m:d>
                </m:e>
              </m:d>
            </m:e>
          </m:nary>
          <m:r>
            <m:rPr>
              <m:sty m:val="p"/>
            </m:rPr>
            <w:rPr>
              <w:rFonts w:ascii="Times New Roman" w:eastAsia="Times New Roman" w:hAnsi="Times New Roman" w:cs="Times New Roman"/>
              <w:sz w:val="24"/>
              <w:szCs w:val="24"/>
            </w:rPr>
            <w:br/>
          </m:r>
        </m:oMath>
        <m:oMath>
          <m:r>
            <m:rPr>
              <m:sty m:val="p"/>
            </m:rPr>
            <w:rPr>
              <w:rFonts w:ascii="Times New Roman" w:eastAsia="Times New Roman" w:hAnsi="Times New Roman" w:cs="Times New Roman"/>
              <w:sz w:val="24"/>
              <w:szCs w:val="24"/>
            </w:rPr>
            <w:br/>
          </m:r>
        </m:oMath>
      </m:oMathPara>
      <w:r w:rsidR="008944D6">
        <w:rPr>
          <w:rFonts w:ascii="Times New Roman" w:eastAsia="Times New Roman" w:hAnsi="Times New Roman" w:cs="Times New Roman"/>
          <w:sz w:val="24"/>
          <w:szCs w:val="24"/>
        </w:rPr>
        <w:t>where:</w:t>
      </w:r>
    </w:p>
    <w:p w14:paraId="56CD66A8" w14:textId="6F36DB6E" w:rsidR="00C07E08" w:rsidRDefault="00000000">
      <w:pPr>
        <w:numPr>
          <w:ilvl w:val="0"/>
          <w:numId w:val="2"/>
        </w:numPr>
        <w:spacing w:line="288" w:lineRule="auto"/>
        <w:ind w:right="-20"/>
        <w:rPr>
          <w:rFonts w:ascii="Roboto" w:eastAsia="Roboto" w:hAnsi="Roboto" w:cs="Roboto"/>
          <w:sz w:val="24"/>
          <w:szCs w:val="24"/>
        </w:rPr>
      </w:pPr>
      <w:r>
        <w:rPr>
          <w:rFonts w:ascii="Times New Roman" w:eastAsia="Times New Roman" w:hAnsi="Times New Roman" w:cs="Times New Roman"/>
          <w:i/>
          <w:iCs/>
          <w:sz w:val="29"/>
          <w:szCs w:val="29"/>
        </w:rPr>
        <w:t>x</w:t>
      </w:r>
      <w:r>
        <w:rPr>
          <w:rFonts w:ascii="Times New Roman" w:eastAsia="Times New Roman" w:hAnsi="Times New Roman" w:cs="Times New Roman"/>
          <w:i/>
          <w:iCs/>
          <w:sz w:val="20"/>
          <w:szCs w:val="20"/>
        </w:rPr>
        <w:t>i</w:t>
      </w:r>
      <w:r>
        <w:rPr>
          <w:rFonts w:ascii="Times New Roman" w:eastAsia="Times New Roman" w:hAnsi="Times New Roman" w:cs="Times New Roman"/>
          <w:sz w:val="24"/>
          <w:szCs w:val="24"/>
        </w:rPr>
        <w:t xml:space="preserve"> is the feature vector built by the unified data pipeline (project features, client segment, time‑series slices, sentiment indicators, etc.),</w:t>
      </w:r>
    </w:p>
    <w:p w14:paraId="20E82FFF" w14:textId="53B943EF" w:rsidR="00C07E08" w:rsidRDefault="00000000">
      <w:pPr>
        <w:numPr>
          <w:ilvl w:val="0"/>
          <w:numId w:val="2"/>
        </w:numPr>
        <w:spacing w:line="288" w:lineRule="auto"/>
        <w:rPr>
          <w:rFonts w:ascii="Roboto" w:eastAsia="Roboto" w:hAnsi="Roboto" w:cs="Roboto"/>
          <w:sz w:val="24"/>
          <w:szCs w:val="24"/>
        </w:rPr>
      </w:pPr>
      <w:proofErr w:type="spellStart"/>
      <w:r>
        <w:rPr>
          <w:rFonts w:ascii="Times New Roman" w:eastAsia="Times New Roman" w:hAnsi="Times New Roman" w:cs="Times New Roman"/>
          <w:i/>
          <w:iCs/>
          <w:sz w:val="29"/>
          <w:szCs w:val="29"/>
        </w:rPr>
        <w:t>y</w:t>
      </w:r>
      <w:r>
        <w:rPr>
          <w:rFonts w:ascii="Times New Roman" w:eastAsia="Times New Roman" w:hAnsi="Times New Roman" w:cs="Times New Roman"/>
          <w:i/>
          <w:iCs/>
          <w:sz w:val="20"/>
          <w:szCs w:val="20"/>
        </w:rPr>
        <w:t>i</w:t>
      </w:r>
      <w:proofErr w:type="spellEnd"/>
      <w:r>
        <w:rPr>
          <w:rFonts w:ascii="Times New Roman" w:eastAsia="Times New Roman" w:hAnsi="Times New Roman" w:cs="Times New Roman"/>
          <w:sz w:val="24"/>
          <w:szCs w:val="24"/>
        </w:rPr>
        <w:t xml:space="preserve"> is the ground‑truth target (e.g., </w:t>
      </w:r>
      <w:r w:rsidR="008944D6">
        <w:rPr>
          <w:rFonts w:ascii="Times New Roman" w:eastAsia="Times New Roman" w:hAnsi="Times New Roman" w:cs="Times New Roman"/>
          <w:sz w:val="24"/>
          <w:szCs w:val="24"/>
        </w:rPr>
        <w:t>realized</w:t>
      </w:r>
      <w:r>
        <w:rPr>
          <w:rFonts w:ascii="Times New Roman" w:eastAsia="Times New Roman" w:hAnsi="Times New Roman" w:cs="Times New Roman"/>
          <w:sz w:val="24"/>
          <w:szCs w:val="24"/>
        </w:rPr>
        <w:t xml:space="preserve"> revenue, actual </w:t>
      </w:r>
      <w:r w:rsidR="008944D6">
        <w:rPr>
          <w:rFonts w:ascii="Times New Roman" w:eastAsia="Times New Roman" w:hAnsi="Times New Roman" w:cs="Times New Roman"/>
          <w:sz w:val="24"/>
          <w:szCs w:val="24"/>
        </w:rPr>
        <w:t>utilization</w:t>
      </w:r>
      <w:r>
        <w:rPr>
          <w:rFonts w:ascii="Times New Roman" w:eastAsia="Times New Roman" w:hAnsi="Times New Roman" w:cs="Times New Roman"/>
          <w:sz w:val="24"/>
          <w:szCs w:val="24"/>
        </w:rPr>
        <w:t xml:space="preserve">, </w:t>
      </w:r>
      <w:r w:rsidR="008944D6">
        <w:rPr>
          <w:rFonts w:ascii="Times New Roman" w:eastAsia="Times New Roman" w:hAnsi="Times New Roman" w:cs="Times New Roman"/>
          <w:sz w:val="24"/>
          <w:szCs w:val="24"/>
        </w:rPr>
        <w:t>realized</w:t>
      </w:r>
      <w:r>
        <w:rPr>
          <w:rFonts w:ascii="Times New Roman" w:eastAsia="Times New Roman" w:hAnsi="Times New Roman" w:cs="Times New Roman"/>
          <w:sz w:val="24"/>
          <w:szCs w:val="24"/>
        </w:rPr>
        <w:t xml:space="preserve"> cost overrun),</w:t>
      </w:r>
    </w:p>
    <w:p w14:paraId="068611DF" w14:textId="59715E9D" w:rsidR="00C07E08" w:rsidRDefault="00217D17">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is task‑specific: mean‑squared error for regression tasks, </w:t>
      </w:r>
      <w:r>
        <w:rPr>
          <w:rFonts w:ascii="Times New Roman" w:eastAsia="Times New Roman" w:hAnsi="Times New Roman" w:cs="Times New Roman"/>
          <w:sz w:val="24"/>
          <w:szCs w:val="24"/>
          <w:highlight w:val="white"/>
        </w:rPr>
        <w:t>Prediction Error</w:t>
      </w:r>
      <w:r>
        <w:rPr>
          <w:rFonts w:ascii="Times New Roman" w:eastAsia="Times New Roman" w:hAnsi="Times New Roman" w:cs="Times New Roman"/>
          <w:sz w:val="24"/>
          <w:szCs w:val="24"/>
        </w:rPr>
        <w:t>.</w:t>
      </w:r>
    </w:p>
    <w:p w14:paraId="60684F62" w14:textId="77777777" w:rsidR="00C07E08"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N: The total number of historical consulting projects used to train the system.</w:t>
      </w:r>
    </w:p>
    <w:p w14:paraId="1CBA455C" w14:textId="77777777" w:rsidR="00C07E08"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 One specific historical project (e.g., "Project Delta").</w:t>
      </w:r>
    </w:p>
    <w:p w14:paraId="31039D56" w14:textId="77777777" w:rsidR="00C07E08"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Xi: The</w:t>
      </w:r>
      <w:r w:rsidRPr="00217D17">
        <w:rPr>
          <w:rFonts w:ascii="Times New Roman" w:eastAsia="Times New Roman" w:hAnsi="Times New Roman" w:cs="Times New Roman"/>
          <w:sz w:val="24"/>
          <w:szCs w:val="24"/>
        </w:rPr>
        <w:t xml:space="preserve"> Input Data </w:t>
      </w:r>
      <w:r>
        <w:rPr>
          <w:rFonts w:ascii="Times New Roman" w:eastAsia="Times New Roman" w:hAnsi="Times New Roman" w:cs="Times New Roman"/>
          <w:sz w:val="24"/>
          <w:szCs w:val="24"/>
        </w:rPr>
        <w:t>for that specific project.</w:t>
      </w:r>
    </w:p>
    <w:p w14:paraId="72B7A795" w14:textId="77777777" w:rsidR="00C07E08"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Yi: The </w:t>
      </w:r>
      <w:r w:rsidRPr="00217D17">
        <w:rPr>
          <w:rFonts w:ascii="Times New Roman" w:eastAsia="Times New Roman" w:hAnsi="Times New Roman" w:cs="Times New Roman"/>
          <w:sz w:val="24"/>
          <w:szCs w:val="24"/>
        </w:rPr>
        <w:t>Actual Historical Outcome</w:t>
      </w:r>
      <w:r>
        <w:rPr>
          <w:rFonts w:ascii="Times New Roman" w:eastAsia="Times New Roman" w:hAnsi="Times New Roman" w:cs="Times New Roman"/>
          <w:sz w:val="24"/>
          <w:szCs w:val="24"/>
        </w:rPr>
        <w:t xml:space="preserve"> for that project</w:t>
      </w:r>
    </w:p>
    <w:p w14:paraId="0AA4F9F1" w14:textId="24A0732F" w:rsidR="00C07E08"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roofErr w:type="spellStart"/>
      <w:proofErr w:type="gramStart"/>
      <w:r w:rsidR="00217D17">
        <w:rPr>
          <w:rFonts w:ascii="Times New Roman" w:eastAsia="Times New Roman" w:hAnsi="Times New Roman" w:cs="Times New Roman"/>
          <w:sz w:val="24"/>
          <w:szCs w:val="24"/>
        </w:rPr>
        <w:t>x</w:t>
      </w:r>
      <w:r>
        <w:rPr>
          <w:rFonts w:ascii="Times New Roman" w:eastAsia="Times New Roman" w:hAnsi="Times New Roman" w:cs="Times New Roman"/>
          <w:sz w:val="24"/>
          <w:szCs w:val="24"/>
        </w:rPr>
        <w:t>i;</w:t>
      </w:r>
      <w:r w:rsidR="00217D17" w:rsidRPr="00217D17">
        <w:rPr>
          <w:rFonts w:ascii="Times New Roman" w:eastAsia="Times New Roman" w:hAnsi="Times New Roman" w:cs="Times New Roman"/>
          <w:sz w:val="27"/>
          <w:szCs w:val="27"/>
        </w:rPr>
        <w:t>θ</w:t>
      </w:r>
      <w:proofErr w:type="spellEnd"/>
      <w:proofErr w:type="gramEnd"/>
      <w:r>
        <w:rPr>
          <w:rFonts w:ascii="Times New Roman" w:eastAsia="Times New Roman" w:hAnsi="Times New Roman" w:cs="Times New Roman"/>
          <w:sz w:val="24"/>
          <w:szCs w:val="24"/>
        </w:rPr>
        <w:t xml:space="preserve">): The </w:t>
      </w:r>
      <w:r w:rsidRPr="00217D17">
        <w:rPr>
          <w:rFonts w:ascii="Times New Roman" w:eastAsia="Times New Roman" w:hAnsi="Times New Roman" w:cs="Times New Roman"/>
          <w:sz w:val="24"/>
          <w:szCs w:val="24"/>
        </w:rPr>
        <w:t>Model's Prediction.</w:t>
      </w:r>
    </w:p>
    <w:p w14:paraId="76153AEF" w14:textId="4464961A" w:rsidR="00C07E08" w:rsidRDefault="00000000">
      <w:pPr>
        <w:spacing w:before="120" w:after="120" w:line="288" w:lineRule="auto"/>
        <w:rPr>
          <w:rFonts w:ascii="Times New Roman" w:eastAsia="Times New Roman" w:hAnsi="Times New Roman" w:cs="Times New Roman"/>
          <w:sz w:val="25"/>
          <w:szCs w:val="25"/>
        </w:rPr>
      </w:pPr>
      <w:r>
        <w:rPr>
          <w:rFonts w:ascii="Times New Roman" w:eastAsia="Times New Roman" w:hAnsi="Times New Roman" w:cs="Times New Roman"/>
          <w:sz w:val="24"/>
          <w:szCs w:val="24"/>
        </w:rPr>
        <w:t xml:space="preserve">Practically, this </w:t>
      </w:r>
      <w:r w:rsidR="008944D6">
        <w:rPr>
          <w:rFonts w:ascii="Times New Roman" w:eastAsia="Times New Roman" w:hAnsi="Times New Roman" w:cs="Times New Roman"/>
          <w:sz w:val="24"/>
          <w:szCs w:val="24"/>
        </w:rPr>
        <w:t>minimization</w:t>
      </w:r>
      <w:r>
        <w:rPr>
          <w:rFonts w:ascii="Times New Roman" w:eastAsia="Times New Roman" w:hAnsi="Times New Roman" w:cs="Times New Roman"/>
          <w:sz w:val="24"/>
          <w:szCs w:val="24"/>
        </w:rPr>
        <w:t xml:space="preserve"> is implemented using gradient‑based </w:t>
      </w:r>
      <w:r w:rsidR="008944D6">
        <w:rPr>
          <w:rFonts w:ascii="Times New Roman" w:eastAsia="Times New Roman" w:hAnsi="Times New Roman" w:cs="Times New Roman"/>
          <w:sz w:val="24"/>
          <w:szCs w:val="24"/>
        </w:rPr>
        <w:t>optimizers</w:t>
      </w:r>
      <w:r>
        <w:rPr>
          <w:rFonts w:ascii="Times New Roman" w:eastAsia="Times New Roman" w:hAnsi="Times New Roman" w:cs="Times New Roman"/>
          <w:sz w:val="24"/>
          <w:szCs w:val="24"/>
        </w:rPr>
        <w:t xml:space="preserve">. The training loop iterates over mini‑batches of size, computes the loss </w:t>
      </w:r>
      <w:r>
        <w:rPr>
          <w:rFonts w:ascii="Times New Roman" w:eastAsia="Times New Roman" w:hAnsi="Times New Roman" w:cs="Times New Roman"/>
          <w:color w:val="FF0000"/>
          <w:sz w:val="29"/>
          <w:szCs w:val="29"/>
        </w:rPr>
        <w:br/>
      </w:r>
      <w:r>
        <w:rPr>
          <w:rFonts w:ascii="Times New Roman" w:eastAsia="Times New Roman" w:hAnsi="Times New Roman" w:cs="Times New Roman"/>
          <w:color w:val="FF0000"/>
          <w:sz w:val="29"/>
          <w:szCs w:val="29"/>
        </w:rPr>
        <w:br/>
      </w:r>
      <w:r>
        <w:rPr>
          <w:rFonts w:ascii="Times New Roman" w:eastAsia="Times New Roman" w:hAnsi="Times New Roman" w:cs="Times New Roman"/>
          <w:sz w:val="25"/>
          <w:szCs w:val="25"/>
        </w:rPr>
        <w:t>Instead of just taking a simple average, the Ensemble Module uses a "Meta-Learner" (a secondary machine learning model) to assign dynamic weights to each base model's prediction. It learns which model is more trustworthy in specific scenarios.</w:t>
      </w:r>
    </w:p>
    <w:p w14:paraId="2782DF5B" w14:textId="77777777" w:rsidR="00C07E08" w:rsidRDefault="00C07E08">
      <w:pPr>
        <w:spacing w:before="120" w:after="120" w:line="288" w:lineRule="auto"/>
        <w:rPr>
          <w:rFonts w:ascii="Times New Roman" w:eastAsia="Times New Roman" w:hAnsi="Times New Roman" w:cs="Times New Roman"/>
          <w:sz w:val="25"/>
          <w:szCs w:val="25"/>
        </w:rPr>
      </w:pPr>
    </w:p>
    <w:p w14:paraId="5E5CFAFF" w14:textId="0C4E87E7" w:rsidR="0001745B" w:rsidRPr="000E6616" w:rsidRDefault="00000000">
      <w:pPr>
        <w:spacing w:before="120" w:after="120" w:line="288"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The final prediction presented to the user is calculated using a weighted combination:</w:t>
      </w:r>
    </w:p>
    <w:p w14:paraId="76F95F5E" w14:textId="648EDD49" w:rsidR="000E6616" w:rsidRPr="0001745B" w:rsidRDefault="000E6616">
      <w:pPr>
        <w:spacing w:before="120" w:after="120" w:line="288" w:lineRule="auto"/>
        <w:rPr>
          <w:rFonts w:ascii="Times New Roman" w:eastAsia="Times New Roman" w:hAnsi="Times New Roman" w:cs="Times New Roman"/>
          <w:sz w:val="25"/>
          <w:szCs w:val="25"/>
        </w:rPr>
      </w:pPr>
      <m:oMathPara>
        <m:oMath>
          <m:r>
            <w:rPr>
              <w:rFonts w:ascii="Cambria Math" w:eastAsia="Times New Roman" w:hAnsi="Cambria Math" w:cs="Times New Roman"/>
              <w:sz w:val="25"/>
              <w:szCs w:val="25"/>
            </w:rPr>
            <m:t>f=</m:t>
          </m:r>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w</m:t>
              </m:r>
            </m:e>
            <m:sub>
              <m:r>
                <w:rPr>
                  <w:rFonts w:ascii="Cambria Math" w:eastAsia="Times New Roman" w:hAnsi="Cambria Math" w:cs="Times New Roman"/>
                  <w:sz w:val="25"/>
                  <w:szCs w:val="25"/>
                </w:rPr>
                <m:t>A</m:t>
              </m:r>
            </m:sub>
          </m:sSub>
          <m:r>
            <w:rPr>
              <w:rFonts w:ascii="Cambria Math" w:eastAsia="Times New Roman" w:hAnsi="Cambria Math" w:cs="Times New Roman"/>
              <w:sz w:val="25"/>
              <w:szCs w:val="25"/>
            </w:rPr>
            <m:t>×</m:t>
          </m:r>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p</m:t>
              </m:r>
            </m:e>
            <m:sub>
              <m:r>
                <w:rPr>
                  <w:rFonts w:ascii="Cambria Math" w:eastAsia="Times New Roman" w:hAnsi="Cambria Math" w:cs="Times New Roman"/>
                  <w:sz w:val="25"/>
                  <w:szCs w:val="25"/>
                </w:rPr>
                <m:t>A</m:t>
              </m:r>
            </m:sub>
          </m:sSub>
          <m:r>
            <w:rPr>
              <w:rFonts w:ascii="Cambria Math" w:eastAsia="Times New Roman" w:hAnsi="Cambria Math" w:cs="Times New Roman"/>
              <w:sz w:val="25"/>
              <w:szCs w:val="25"/>
            </w:rPr>
            <m:t>+</m:t>
          </m:r>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w</m:t>
              </m:r>
            </m:e>
            <m:sub>
              <m:r>
                <w:rPr>
                  <w:rFonts w:ascii="Cambria Math" w:eastAsia="Times New Roman" w:hAnsi="Cambria Math" w:cs="Times New Roman"/>
                  <w:sz w:val="25"/>
                  <w:szCs w:val="25"/>
                </w:rPr>
                <m:t>B</m:t>
              </m:r>
            </m:sub>
          </m:sSub>
          <m:r>
            <w:rPr>
              <w:rFonts w:ascii="Cambria Math" w:eastAsia="Times New Roman" w:hAnsi="Cambria Math" w:cs="Times New Roman"/>
              <w:sz w:val="25"/>
              <w:szCs w:val="25"/>
            </w:rPr>
            <m:t>×</m:t>
          </m:r>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p</m:t>
              </m:r>
            </m:e>
            <m:sub>
              <m:r>
                <w:rPr>
                  <w:rFonts w:ascii="Cambria Math" w:eastAsia="Times New Roman" w:hAnsi="Cambria Math" w:cs="Times New Roman"/>
                  <w:sz w:val="25"/>
                  <w:szCs w:val="25"/>
                </w:rPr>
                <m:t>B</m:t>
              </m:r>
            </m:sub>
          </m:sSub>
          <m:r>
            <w:rPr>
              <w:rFonts w:ascii="Cambria Math" w:eastAsia="Times New Roman" w:hAnsi="Cambria Math" w:cs="Times New Roman"/>
              <w:sz w:val="25"/>
              <w:szCs w:val="25"/>
            </w:rPr>
            <m:t>+…</m:t>
          </m:r>
        </m:oMath>
      </m:oMathPara>
    </w:p>
    <w:p w14:paraId="414D0D9D" w14:textId="3B64F4C5" w:rsidR="0001745B" w:rsidRDefault="0001745B">
      <w:pPr>
        <w:spacing w:before="120" w:after="120" w:line="288"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where:</w:t>
      </w:r>
    </w:p>
    <w:p w14:paraId="449F2834" w14:textId="4E3DE90B" w:rsidR="0001745B" w:rsidRDefault="0001745B">
      <w:pPr>
        <w:spacing w:before="120" w:after="120" w:line="288"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f: Final Unified Output</w:t>
      </w:r>
    </w:p>
    <w:p w14:paraId="1192BB61" w14:textId="6A28D12F" w:rsidR="0001745B" w:rsidRDefault="00000000">
      <w:pPr>
        <w:spacing w:before="120" w:after="120" w:line="288" w:lineRule="auto"/>
        <w:rPr>
          <w:rFonts w:ascii="Times New Roman" w:eastAsia="Times New Roman" w:hAnsi="Times New Roman" w:cs="Times New Roman"/>
          <w:sz w:val="25"/>
          <w:szCs w:val="25"/>
        </w:rPr>
      </w:pPr>
      <m:oMath>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w</m:t>
            </m:r>
          </m:e>
          <m:sub>
            <m:r>
              <w:rPr>
                <w:rFonts w:ascii="Cambria Math" w:eastAsia="Times New Roman" w:hAnsi="Cambria Math" w:cs="Times New Roman"/>
                <w:sz w:val="25"/>
                <w:szCs w:val="25"/>
              </w:rPr>
              <m:t>A</m:t>
            </m:r>
          </m:sub>
        </m:sSub>
      </m:oMath>
      <w:r w:rsidR="0001745B">
        <w:rPr>
          <w:rFonts w:ascii="Times New Roman" w:eastAsia="Times New Roman" w:hAnsi="Times New Roman" w:cs="Times New Roman"/>
          <w:sz w:val="25"/>
          <w:szCs w:val="25"/>
        </w:rPr>
        <w:t>: Weight of model A</w:t>
      </w:r>
    </w:p>
    <w:p w14:paraId="0FBEE944" w14:textId="57657C79" w:rsidR="0001745B" w:rsidRDefault="00000000">
      <w:pPr>
        <w:spacing w:before="120" w:after="120" w:line="288" w:lineRule="auto"/>
        <w:rPr>
          <w:rFonts w:ascii="Times New Roman" w:eastAsia="Times New Roman" w:hAnsi="Times New Roman" w:cs="Times New Roman"/>
          <w:sz w:val="25"/>
          <w:szCs w:val="25"/>
        </w:rPr>
      </w:pPr>
      <m:oMath>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p</m:t>
            </m:r>
          </m:e>
          <m:sub>
            <m:r>
              <w:rPr>
                <w:rFonts w:ascii="Cambria Math" w:eastAsia="Times New Roman" w:hAnsi="Cambria Math" w:cs="Times New Roman"/>
                <w:sz w:val="25"/>
                <w:szCs w:val="25"/>
              </w:rPr>
              <m:t>A</m:t>
            </m:r>
          </m:sub>
        </m:sSub>
      </m:oMath>
      <w:r w:rsidR="0001745B">
        <w:rPr>
          <w:rFonts w:ascii="Times New Roman" w:eastAsia="Times New Roman" w:hAnsi="Times New Roman" w:cs="Times New Roman"/>
          <w:sz w:val="25"/>
          <w:szCs w:val="25"/>
        </w:rPr>
        <w:t>: Prediction of model A</w:t>
      </w:r>
    </w:p>
    <w:p w14:paraId="4E5CA68C" w14:textId="0BDD94D9" w:rsidR="000E6616" w:rsidRDefault="00000000">
      <w:pPr>
        <w:spacing w:before="120" w:after="120" w:line="288" w:lineRule="auto"/>
        <w:rPr>
          <w:rFonts w:ascii="Times New Roman" w:eastAsia="Times New Roman" w:hAnsi="Times New Roman" w:cs="Times New Roman"/>
          <w:sz w:val="25"/>
          <w:szCs w:val="25"/>
        </w:rPr>
      </w:pPr>
      <m:oMath>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w</m:t>
            </m:r>
          </m:e>
          <m:sub>
            <m:r>
              <w:rPr>
                <w:rFonts w:ascii="Cambria Math" w:eastAsia="Times New Roman" w:hAnsi="Cambria Math" w:cs="Times New Roman"/>
                <w:sz w:val="25"/>
                <w:szCs w:val="25"/>
              </w:rPr>
              <m:t>B</m:t>
            </m:r>
          </m:sub>
        </m:sSub>
      </m:oMath>
      <w:r w:rsidR="000E6616">
        <w:rPr>
          <w:rFonts w:ascii="Times New Roman" w:eastAsia="Times New Roman" w:hAnsi="Times New Roman" w:cs="Times New Roman"/>
          <w:sz w:val="25"/>
          <w:szCs w:val="25"/>
        </w:rPr>
        <w:t>: Weight of model B</w:t>
      </w:r>
    </w:p>
    <w:p w14:paraId="0ACF9C96" w14:textId="5ADA98DE" w:rsidR="00C07E08" w:rsidRPr="000E6616" w:rsidRDefault="00000000">
      <w:pPr>
        <w:spacing w:before="120" w:after="120" w:line="288" w:lineRule="auto"/>
        <w:rPr>
          <w:rFonts w:ascii="Times New Roman" w:eastAsia="Times New Roman" w:hAnsi="Times New Roman" w:cs="Times New Roman"/>
          <w:sz w:val="25"/>
          <w:szCs w:val="25"/>
        </w:rPr>
      </w:pPr>
      <m:oMath>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p</m:t>
            </m:r>
          </m:e>
          <m:sub>
            <m:r>
              <w:rPr>
                <w:rFonts w:ascii="Cambria Math" w:eastAsia="Times New Roman" w:hAnsi="Cambria Math" w:cs="Times New Roman"/>
                <w:sz w:val="25"/>
                <w:szCs w:val="25"/>
              </w:rPr>
              <m:t>B</m:t>
            </m:r>
          </m:sub>
        </m:sSub>
      </m:oMath>
      <w:r w:rsidR="000E6616">
        <w:rPr>
          <w:rFonts w:ascii="Times New Roman" w:eastAsia="Times New Roman" w:hAnsi="Times New Roman" w:cs="Times New Roman"/>
          <w:sz w:val="25"/>
          <w:szCs w:val="25"/>
        </w:rPr>
        <w:t>: Prediction of model B</w:t>
      </w:r>
      <w:r w:rsidR="00217D17">
        <w:rPr>
          <w:rFonts w:ascii="Times New Roman" w:eastAsia="Times New Roman" w:hAnsi="Times New Roman" w:cs="Times New Roman"/>
          <w:color w:val="FFFFFF"/>
          <w:sz w:val="25"/>
          <w:szCs w:val="25"/>
          <w:highlight w:val="black"/>
        </w:rPr>
        <w:br/>
      </w:r>
      <w:r w:rsidR="00217D17">
        <w:rPr>
          <w:rFonts w:ascii="Times New Roman" w:eastAsia="Times New Roman" w:hAnsi="Times New Roman" w:cs="Times New Roman"/>
          <w:color w:val="FF0000"/>
          <w:sz w:val="25"/>
          <w:szCs w:val="25"/>
        </w:rPr>
        <w:br/>
      </w:r>
      <w:r w:rsidR="00217D17" w:rsidRPr="007E17CA">
        <w:rPr>
          <w:rFonts w:ascii="Times New Roman" w:eastAsia="Times New Roman" w:hAnsi="Times New Roman" w:cs="Times New Roman"/>
          <w:b/>
          <w:bCs/>
          <w:sz w:val="24"/>
          <w:szCs w:val="24"/>
        </w:rPr>
        <w:t>Working:</w:t>
      </w:r>
      <w:r w:rsidR="00217D17" w:rsidRPr="008944D6">
        <w:rPr>
          <w:rFonts w:ascii="Times New Roman" w:eastAsia="Times New Roman" w:hAnsi="Times New Roman" w:cs="Times New Roman"/>
          <w:sz w:val="24"/>
          <w:szCs w:val="24"/>
        </w:rPr>
        <w:t xml:space="preserve"> </w:t>
      </w:r>
      <w:r w:rsidR="00217D17" w:rsidRPr="008944D6">
        <w:rPr>
          <w:rFonts w:ascii="Times New Roman" w:eastAsia="Times New Roman" w:hAnsi="Times New Roman" w:cs="Times New Roman"/>
          <w:sz w:val="24"/>
          <w:szCs w:val="24"/>
        </w:rPr>
        <w:br/>
        <w:t>The Utilization Model (Prediction A) predicts the team will be fully booked.</w:t>
      </w:r>
    </w:p>
    <w:p w14:paraId="59B6DFBC" w14:textId="26D91D24" w:rsidR="00C07E08" w:rsidRPr="008944D6" w:rsidRDefault="00000000">
      <w:pPr>
        <w:spacing w:before="120" w:after="120" w:line="288" w:lineRule="auto"/>
        <w:rPr>
          <w:rFonts w:ascii="Times New Roman" w:eastAsia="Times New Roman" w:hAnsi="Times New Roman" w:cs="Times New Roman"/>
          <w:sz w:val="24"/>
          <w:szCs w:val="24"/>
        </w:rPr>
      </w:pPr>
      <w:r w:rsidRPr="008944D6">
        <w:rPr>
          <w:rFonts w:ascii="Times New Roman" w:eastAsia="Times New Roman" w:hAnsi="Times New Roman" w:cs="Times New Roman"/>
          <w:sz w:val="24"/>
          <w:szCs w:val="24"/>
        </w:rPr>
        <w:t>However, the Data Quality Model (Prediction B) flags that the data used for this prediction have a high error rate.</w:t>
      </w:r>
    </w:p>
    <w:p w14:paraId="57B226CE" w14:textId="77777777" w:rsidR="00C07E08" w:rsidRPr="008944D6" w:rsidRDefault="00000000">
      <w:pPr>
        <w:spacing w:before="120" w:after="120" w:line="288" w:lineRule="auto"/>
        <w:rPr>
          <w:rFonts w:ascii="Times New Roman" w:eastAsia="Times New Roman" w:hAnsi="Times New Roman" w:cs="Times New Roman"/>
          <w:sz w:val="24"/>
          <w:szCs w:val="24"/>
        </w:rPr>
      </w:pPr>
      <w:r w:rsidRPr="008944D6">
        <w:rPr>
          <w:rFonts w:ascii="Times New Roman" w:eastAsia="Times New Roman" w:hAnsi="Times New Roman" w:cs="Times New Roman"/>
          <w:sz w:val="24"/>
          <w:szCs w:val="24"/>
        </w:rPr>
        <w:t>The Meta-Learner recognizes that when data quality is low, the Utilization Model is less reliable. Therefore, it automatically lowers the weight of Prediction A and outputs a more cautious.</w:t>
      </w:r>
    </w:p>
    <w:p w14:paraId="6887A22C" w14:textId="723FC00C" w:rsidR="00C07E08" w:rsidRDefault="00000000">
      <w:pPr>
        <w:spacing w:before="240" w:after="240"/>
        <w:rPr>
          <w:rFonts w:ascii="Times New Roman" w:eastAsia="Times New Roman" w:hAnsi="Times New Roman" w:cs="Times New Roman"/>
          <w:b/>
          <w:bCs/>
          <w:color w:val="111111"/>
          <w:sz w:val="24"/>
          <w:szCs w:val="24"/>
          <w:highlight w:val="white"/>
        </w:rPr>
      </w:pPr>
      <w:r>
        <w:rPr>
          <w:rFonts w:ascii="Times New Roman" w:eastAsia="Times New Roman" w:hAnsi="Times New Roman" w:cs="Times New Roman"/>
          <w:sz w:val="24"/>
          <w:szCs w:val="24"/>
        </w:rPr>
        <w:t>So</w:t>
      </w:r>
      <w:r w:rsidR="00217D1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the active models change based on the user's role, this mathematical ensemble logic adapts naturally. Analysts receive quality-centric alerts, Managers receive tactical forecasts adjusted for data reliability, and Partners receive strategic financial forecasts that are automatically up-weighted or down-weighted based on operational risks. This makes the math completely consistent across the software stack while perfectly serving the diverse needs of the consulting hierarchy.</w:t>
      </w:r>
      <w:r>
        <w:rPr>
          <w:rFonts w:ascii="Times New Roman" w:eastAsia="Times New Roman" w:hAnsi="Times New Roman" w:cs="Times New Roman"/>
          <w:b/>
          <w:bCs/>
          <w:color w:val="111111"/>
          <w:sz w:val="24"/>
          <w:szCs w:val="24"/>
          <w:highlight w:val="white"/>
        </w:rPr>
        <w:br/>
      </w:r>
      <w:r>
        <w:rPr>
          <w:rFonts w:ascii="Times New Roman" w:eastAsia="Times New Roman" w:hAnsi="Times New Roman" w:cs="Times New Roman"/>
          <w:b/>
          <w:bCs/>
          <w:color w:val="111111"/>
          <w:sz w:val="24"/>
          <w:szCs w:val="24"/>
          <w:highlight w:val="white"/>
        </w:rPr>
        <w:br/>
        <w:t>6. Result</w:t>
      </w:r>
    </w:p>
    <w:p w14:paraId="36655D0F" w14:textId="18487EE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The suggested hierarchical-modular business intelligence model proves that the implementation of AIML-enhanced decision support can be </w:t>
      </w:r>
      <w:r w:rsidR="004F466D">
        <w:rPr>
          <w:rFonts w:ascii="Times New Roman" w:eastAsia="Times New Roman" w:hAnsi="Times New Roman" w:cs="Times New Roman"/>
          <w:color w:val="111111"/>
          <w:sz w:val="24"/>
          <w:szCs w:val="24"/>
          <w:highlight w:val="white"/>
        </w:rPr>
        <w:t>operationalized</w:t>
      </w:r>
      <w:r>
        <w:rPr>
          <w:rFonts w:ascii="Times New Roman" w:eastAsia="Times New Roman" w:hAnsi="Times New Roman" w:cs="Times New Roman"/>
          <w:color w:val="111111"/>
          <w:sz w:val="24"/>
          <w:szCs w:val="24"/>
          <w:highlight w:val="white"/>
        </w:rPr>
        <w:t xml:space="preserve"> in a manner that is clearly consistent with the internal hierarchy of consulting firms. On the system level the implementation provides a low-latency, role-aware analytics stack where analysts, managers and partners are all able to communicate with various clusters of models using a single integrated interface and share a common back-end data and orchestration infrastructure.</w:t>
      </w:r>
    </w:p>
    <w:p w14:paraId="69AFD194" w14:textId="12B781A0"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The proposed system achieves this need by means of a single Python based extraction and auto clean pipeline, anomaly detection at the ingestion layer, and a Redis/Feast feature store which brings shared views of features to all model clusters. In this way it is a direct answer to recurrent issues in previous work like data silos, complexity of integration, latency, and is compatible with current </w:t>
      </w:r>
      <w:proofErr w:type="spellStart"/>
      <w:r>
        <w:rPr>
          <w:rFonts w:ascii="Times New Roman" w:eastAsia="Times New Roman" w:hAnsi="Times New Roman" w:cs="Times New Roman"/>
          <w:color w:val="111111"/>
          <w:sz w:val="24"/>
          <w:szCs w:val="24"/>
          <w:highlight w:val="white"/>
        </w:rPr>
        <w:t>lakehouse</w:t>
      </w:r>
      <w:proofErr w:type="spellEnd"/>
      <w:r>
        <w:rPr>
          <w:rFonts w:ascii="Times New Roman" w:eastAsia="Times New Roman" w:hAnsi="Times New Roman" w:cs="Times New Roman"/>
          <w:color w:val="111111"/>
          <w:sz w:val="24"/>
          <w:szCs w:val="24"/>
          <w:highlight w:val="white"/>
        </w:rPr>
        <w:t xml:space="preserve"> or EDW</w:t>
      </w:r>
      <w:r w:rsidR="00217D17">
        <w:rPr>
          <w:rFonts w:ascii="Times New Roman" w:eastAsia="Times New Roman" w:hAnsi="Times New Roman" w:cs="Times New Roman"/>
          <w:color w:val="111111"/>
          <w:sz w:val="24"/>
          <w:szCs w:val="24"/>
          <w:highlight w:val="white"/>
        </w:rPr>
        <w:t xml:space="preserve"> </w:t>
      </w:r>
      <w:r>
        <w:rPr>
          <w:rFonts w:ascii="Times New Roman" w:eastAsia="Times New Roman" w:hAnsi="Times New Roman" w:cs="Times New Roman"/>
          <w:color w:val="111111"/>
          <w:sz w:val="24"/>
          <w:szCs w:val="24"/>
          <w:highlight w:val="white"/>
        </w:rPr>
        <w:t>(Enterprise Data Warehouse) products used by large consulting companies.</w:t>
      </w:r>
    </w:p>
    <w:p w14:paraId="6AEA99D4" w14:textId="30392482"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We tested the precision of our hierarchical models vs. the classic baseline techniques popular in consulting (e.g., Moving Averages to use, Manual spreadsheet to calculate revenue).</w:t>
      </w:r>
    </w:p>
    <w:p w14:paraId="5D82E1EA" w14:textId="77777777" w:rsidR="000E6616" w:rsidRDefault="000E6616">
      <w:pPr>
        <w:spacing w:before="240" w:after="240"/>
        <w:jc w:val="both"/>
        <w:rPr>
          <w:rFonts w:ascii="Times New Roman" w:eastAsia="Times New Roman" w:hAnsi="Times New Roman" w:cs="Times New Roman"/>
          <w:color w:val="111111"/>
          <w:sz w:val="24"/>
          <w:szCs w:val="24"/>
          <w:highlight w:val="white"/>
        </w:rPr>
      </w:pPr>
    </w:p>
    <w:p w14:paraId="451C37D3" w14:textId="77777777" w:rsidR="00C07E08" w:rsidRDefault="00000000">
      <w:pPr>
        <w:spacing w:before="240" w:after="240"/>
        <w:jc w:val="center"/>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b/>
          <w:bCs/>
          <w:sz w:val="24"/>
          <w:szCs w:val="24"/>
        </w:rPr>
        <w:lastRenderedPageBreak/>
        <w:t>Table 3: Comparative Performance Metrics by Hierarchy Level</w:t>
      </w:r>
    </w:p>
    <w:tbl>
      <w:tblPr>
        <w:tblStyle w:val="a1"/>
        <w:tblW w:w="11490" w:type="dxa"/>
        <w:tblInd w:w="-975" w:type="dxa"/>
        <w:tblBorders>
          <w:top w:val="nil"/>
          <w:left w:val="nil"/>
          <w:bottom w:val="nil"/>
          <w:right w:val="nil"/>
          <w:insideH w:val="nil"/>
          <w:insideV w:val="nil"/>
        </w:tblBorders>
        <w:tblLayout w:type="fixed"/>
        <w:tblLook w:val="0600" w:firstRow="0" w:lastRow="0" w:firstColumn="0" w:lastColumn="0" w:noHBand="1" w:noVBand="1"/>
      </w:tblPr>
      <w:tblGrid>
        <w:gridCol w:w="1440"/>
        <w:gridCol w:w="1530"/>
        <w:gridCol w:w="1980"/>
        <w:gridCol w:w="1095"/>
        <w:gridCol w:w="1245"/>
        <w:gridCol w:w="1350"/>
        <w:gridCol w:w="1770"/>
        <w:gridCol w:w="1080"/>
      </w:tblGrid>
      <w:tr w:rsidR="00C07E08" w14:paraId="79D803CE" w14:textId="77777777">
        <w:trPr>
          <w:trHeight w:val="889"/>
        </w:trPr>
        <w:tc>
          <w:tcPr>
            <w:tcW w:w="1440"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66968360"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Hierarchy Level</w:t>
            </w:r>
          </w:p>
        </w:tc>
        <w:tc>
          <w:tcPr>
            <w:tcW w:w="1530"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373ADF07"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Model (Proposed)</w:t>
            </w:r>
          </w:p>
        </w:tc>
        <w:tc>
          <w:tcPr>
            <w:tcW w:w="1980"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688AF19F"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Baseline Method</w:t>
            </w:r>
          </w:p>
        </w:tc>
        <w:tc>
          <w:tcPr>
            <w:tcW w:w="1095"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3564580C"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Metric</w:t>
            </w:r>
          </w:p>
        </w:tc>
        <w:tc>
          <w:tcPr>
            <w:tcW w:w="1245"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6592A4CA"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Baseline Score</w:t>
            </w:r>
          </w:p>
        </w:tc>
        <w:tc>
          <w:tcPr>
            <w:tcW w:w="1350"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45C8D0D2"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Proposed Score</w:t>
            </w:r>
          </w:p>
        </w:tc>
        <w:tc>
          <w:tcPr>
            <w:tcW w:w="1770"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43FFD04C"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Improvement</w:t>
            </w:r>
          </w:p>
        </w:tc>
        <w:tc>
          <w:tcPr>
            <w:tcW w:w="1080"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47E6BC71" w14:textId="77777777" w:rsidR="00C07E08" w:rsidRDefault="00000000">
            <w:pPr>
              <w:spacing w:after="480"/>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Source</w:t>
            </w:r>
          </w:p>
        </w:tc>
      </w:tr>
      <w:tr w:rsidR="00C07E08" w14:paraId="7FD3E48C" w14:textId="77777777">
        <w:trPr>
          <w:trHeight w:val="997"/>
        </w:trPr>
        <w:tc>
          <w:tcPr>
            <w:tcW w:w="144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F16DDFC" w14:textId="77777777" w:rsidR="00C07E08" w:rsidRPr="008944D6" w:rsidRDefault="00000000">
            <w:pPr>
              <w:spacing w:after="480"/>
              <w:rPr>
                <w:rFonts w:ascii="Times New Roman" w:eastAsia="Times New Roman" w:hAnsi="Times New Roman" w:cs="Times New Roman"/>
                <w:color w:val="1F1F1F"/>
                <w:sz w:val="24"/>
                <w:szCs w:val="24"/>
              </w:rPr>
            </w:pPr>
            <w:r w:rsidRPr="008944D6">
              <w:rPr>
                <w:rFonts w:ascii="Times New Roman" w:eastAsia="Times New Roman" w:hAnsi="Times New Roman" w:cs="Times New Roman"/>
                <w:color w:val="1F1F1F"/>
                <w:sz w:val="24"/>
                <w:szCs w:val="24"/>
              </w:rPr>
              <w:t>Manager (Tactical)</w:t>
            </w:r>
          </w:p>
        </w:tc>
        <w:tc>
          <w:tcPr>
            <w:tcW w:w="153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B4EF8F7"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LSTM (Utilization)</w:t>
            </w:r>
          </w:p>
        </w:tc>
        <w:tc>
          <w:tcPr>
            <w:tcW w:w="198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FB215A3"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Moving Average (4-week)</w:t>
            </w:r>
          </w:p>
        </w:tc>
        <w:tc>
          <w:tcPr>
            <w:tcW w:w="109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DF4FC5B"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MAPE (Error)</w:t>
            </w:r>
          </w:p>
        </w:tc>
        <w:tc>
          <w:tcPr>
            <w:tcW w:w="124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A822FDC"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28.5%</w:t>
            </w:r>
          </w:p>
        </w:tc>
        <w:tc>
          <w:tcPr>
            <w:tcW w:w="13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F72EE0E"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12.4%</w:t>
            </w:r>
          </w:p>
        </w:tc>
        <w:tc>
          <w:tcPr>
            <w:tcW w:w="17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7234E7A"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+56% Accuracy</w:t>
            </w:r>
          </w:p>
        </w:tc>
        <w:tc>
          <w:tcPr>
            <w:tcW w:w="108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0866B6C"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[26]</w:t>
            </w:r>
          </w:p>
        </w:tc>
      </w:tr>
      <w:tr w:rsidR="00C07E08" w14:paraId="2C43EAF7" w14:textId="77777777">
        <w:trPr>
          <w:trHeight w:val="1524"/>
        </w:trPr>
        <w:tc>
          <w:tcPr>
            <w:tcW w:w="144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EF3D8A6" w14:textId="77777777" w:rsidR="00C07E08" w:rsidRPr="008944D6" w:rsidRDefault="00000000">
            <w:pPr>
              <w:spacing w:after="480"/>
              <w:rPr>
                <w:rFonts w:ascii="Times New Roman" w:eastAsia="Times New Roman" w:hAnsi="Times New Roman" w:cs="Times New Roman"/>
                <w:color w:val="1F1F1F"/>
                <w:sz w:val="24"/>
                <w:szCs w:val="24"/>
              </w:rPr>
            </w:pPr>
            <w:r w:rsidRPr="008944D6">
              <w:rPr>
                <w:rFonts w:ascii="Times New Roman" w:eastAsia="Times New Roman" w:hAnsi="Times New Roman" w:cs="Times New Roman"/>
                <w:color w:val="1F1F1F"/>
                <w:sz w:val="24"/>
                <w:szCs w:val="24"/>
              </w:rPr>
              <w:t>Manager (Risk)</w:t>
            </w:r>
          </w:p>
        </w:tc>
        <w:tc>
          <w:tcPr>
            <w:tcW w:w="153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BCB5A01"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Random Forest</w:t>
            </w:r>
          </w:p>
        </w:tc>
        <w:tc>
          <w:tcPr>
            <w:tcW w:w="198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348C262"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Linear Extrapolation</w:t>
            </w:r>
          </w:p>
        </w:tc>
        <w:tc>
          <w:tcPr>
            <w:tcW w:w="109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9562AB4"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Recall (Risk Detection)</w:t>
            </w:r>
          </w:p>
        </w:tc>
        <w:tc>
          <w:tcPr>
            <w:tcW w:w="124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9B11409"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0.62</w:t>
            </w:r>
          </w:p>
        </w:tc>
        <w:tc>
          <w:tcPr>
            <w:tcW w:w="13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95A4C2C"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0.88</w:t>
            </w:r>
          </w:p>
        </w:tc>
        <w:tc>
          <w:tcPr>
            <w:tcW w:w="17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82928F2"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+42% Detection</w:t>
            </w:r>
          </w:p>
        </w:tc>
        <w:tc>
          <w:tcPr>
            <w:tcW w:w="108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E14BA81"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[28]</w:t>
            </w:r>
          </w:p>
        </w:tc>
      </w:tr>
      <w:tr w:rsidR="00C07E08" w14:paraId="0441FEC7" w14:textId="77777777">
        <w:trPr>
          <w:trHeight w:val="1114"/>
        </w:trPr>
        <w:tc>
          <w:tcPr>
            <w:tcW w:w="144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499C233" w14:textId="77777777" w:rsidR="00C07E08" w:rsidRPr="008944D6" w:rsidRDefault="00000000">
            <w:pPr>
              <w:spacing w:after="480"/>
              <w:rPr>
                <w:rFonts w:ascii="Times New Roman" w:eastAsia="Times New Roman" w:hAnsi="Times New Roman" w:cs="Times New Roman"/>
                <w:color w:val="1F1F1F"/>
                <w:sz w:val="24"/>
                <w:szCs w:val="24"/>
              </w:rPr>
            </w:pPr>
            <w:r w:rsidRPr="008944D6">
              <w:rPr>
                <w:rFonts w:ascii="Times New Roman" w:eastAsia="Times New Roman" w:hAnsi="Times New Roman" w:cs="Times New Roman"/>
                <w:color w:val="1F1F1F"/>
                <w:sz w:val="24"/>
                <w:szCs w:val="24"/>
              </w:rPr>
              <w:t>Partner (Strategic)</w:t>
            </w:r>
          </w:p>
        </w:tc>
        <w:tc>
          <w:tcPr>
            <w:tcW w:w="153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9BBE868" w14:textId="77777777" w:rsidR="00C07E08" w:rsidRDefault="00000000">
            <w:pPr>
              <w:spacing w:after="480"/>
              <w:rPr>
                <w:rFonts w:ascii="Times New Roman" w:eastAsia="Times New Roman" w:hAnsi="Times New Roman" w:cs="Times New Roman"/>
                <w:color w:val="1F1F1F"/>
                <w:sz w:val="24"/>
                <w:szCs w:val="24"/>
              </w:rPr>
            </w:pPr>
            <w:proofErr w:type="spellStart"/>
            <w:r>
              <w:rPr>
                <w:rFonts w:ascii="Times New Roman" w:eastAsia="Times New Roman" w:hAnsi="Times New Roman" w:cs="Times New Roman"/>
                <w:color w:val="1F1F1F"/>
                <w:sz w:val="24"/>
                <w:szCs w:val="24"/>
              </w:rPr>
              <w:t>XGBoost</w:t>
            </w:r>
            <w:proofErr w:type="spellEnd"/>
            <w:r>
              <w:rPr>
                <w:rFonts w:ascii="Times New Roman" w:eastAsia="Times New Roman" w:hAnsi="Times New Roman" w:cs="Times New Roman"/>
                <w:color w:val="1F1F1F"/>
                <w:sz w:val="24"/>
                <w:szCs w:val="24"/>
              </w:rPr>
              <w:t xml:space="preserve"> + Ensemble</w:t>
            </w:r>
          </w:p>
        </w:tc>
        <w:tc>
          <w:tcPr>
            <w:tcW w:w="198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8CFBB5F"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Manual Pipeline Aggregation</w:t>
            </w:r>
          </w:p>
        </w:tc>
        <w:tc>
          <w:tcPr>
            <w:tcW w:w="109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453D9F7"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R^2 (Fit)</w:t>
            </w:r>
          </w:p>
        </w:tc>
        <w:tc>
          <w:tcPr>
            <w:tcW w:w="124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FDDCA3F"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0.65</w:t>
            </w:r>
          </w:p>
        </w:tc>
        <w:tc>
          <w:tcPr>
            <w:tcW w:w="13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AA4B3EC"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0.89</w:t>
            </w:r>
          </w:p>
        </w:tc>
        <w:tc>
          <w:tcPr>
            <w:tcW w:w="17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B9720D3"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+37% Fit</w:t>
            </w:r>
          </w:p>
        </w:tc>
        <w:tc>
          <w:tcPr>
            <w:tcW w:w="108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FD3326B"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[27]</w:t>
            </w:r>
          </w:p>
        </w:tc>
      </w:tr>
    </w:tbl>
    <w:p w14:paraId="72D7CBD7"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The architecture on the operational side is directly aimed at efficiency levers highlighted by empirical research: automating routine analytics, real-time monitoring, and alerting. To analysts, auto-cleaning and anomaly services help users to eliminate repetitive and data-wrangling tasks, and prevent the occurrence of surface data-quality problems before they spread upstream.</w:t>
      </w:r>
    </w:p>
    <w:p w14:paraId="5BB3F61C"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The API gateway, role mapping based on tokens and audit logging mechanisms offer a technical basis of the type of governance, traceability, and access control which is recurrently mentioned as the prerequisite to responsible AI implementation in the context of consultancy. In a way that enables firms to easily integrate explainability components, bias-auditing tools or human-in-the-loop approval steps at clearly defined points of integration, the framework enables them to directly address issues of trust, interpretability and ethical use of automated recommendations.</w:t>
      </w:r>
    </w:p>
    <w:p w14:paraId="21F56584" w14:textId="1B3A58BC" w:rsidR="00C07E08" w:rsidRDefault="00000000">
      <w:pPr>
        <w:spacing w:before="240" w:after="240"/>
        <w:jc w:val="both"/>
        <w:rPr>
          <w:rFonts w:ascii="Times New Roman" w:eastAsia="Times New Roman" w:hAnsi="Times New Roman" w:cs="Times New Roman"/>
          <w:color w:val="111111"/>
          <w:sz w:val="24"/>
          <w:szCs w:val="24"/>
          <w:shd w:val="clear" w:color="auto" w:fill="D4EDDA"/>
        </w:rPr>
      </w:pPr>
      <w:r>
        <w:rPr>
          <w:rFonts w:ascii="Times New Roman" w:eastAsia="Times New Roman" w:hAnsi="Times New Roman" w:cs="Times New Roman"/>
          <w:color w:val="111111"/>
          <w:sz w:val="24"/>
          <w:szCs w:val="24"/>
          <w:highlight w:val="white"/>
        </w:rPr>
        <w:t>Finally, regarding the contribution to the research, the framework converts a number of largely abstract recommendations of the literature including scalable modular architectures, hybrid intelligence, role-conscious decision support into a concrete end-to-end reference design suitable to consulting firms.</w:t>
      </w:r>
    </w:p>
    <w:p w14:paraId="5E444E85" w14:textId="77777777" w:rsidR="00C07E08"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rPr>
        <w:lastRenderedPageBreak/>
        <w:t>Conclusion</w:t>
      </w:r>
      <w:r>
        <w:rPr>
          <w:rFonts w:ascii="Times New Roman" w:eastAsia="Times New Roman" w:hAnsi="Times New Roman" w:cs="Times New Roman"/>
          <w:b/>
          <w:bCs/>
          <w:sz w:val="24"/>
          <w:szCs w:val="24"/>
        </w:rPr>
        <w:br/>
      </w:r>
    </w:p>
    <w:p w14:paraId="7D852EC9" w14:textId="26FB6C0F" w:rsidR="00C07E08"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research set out to address a well‑documented gap in AIML‑enabled business intelligence for consulting firms: the absence of an internal, hierarchy-aware analytics framework that connects project‑level execution with portfolio‑level strategy. </w:t>
      </w:r>
      <w:r>
        <w:rPr>
          <w:rFonts w:ascii="Times New Roman" w:eastAsia="Times New Roman" w:hAnsi="Times New Roman" w:cs="Times New Roman"/>
          <w:color w:val="111111"/>
          <w:sz w:val="24"/>
          <w:szCs w:val="24"/>
          <w:highlight w:val="white"/>
        </w:rPr>
        <w:t>Based on evidence of processing speed improvements of approximately 40-42% and accuracy improvements in excess of 30% with highly developed data integration and advanced analytics in large-scale BI systems, the work applies these abstract advantages to a real structure of the multi-tier design of consulting organizations.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11111"/>
          <w:sz w:val="24"/>
          <w:szCs w:val="24"/>
          <w:highlight w:val="white"/>
        </w:rPr>
        <w:t xml:space="preserve">The Hierarchical-Modular Microservices Architecture proposed here implements role specific ML modules to analysts, managers and partners, working with a common assembly and driven by feature store that proves that low-latency persona-sensitive decision support may be </w:t>
      </w:r>
      <w:r w:rsidR="004F466D">
        <w:rPr>
          <w:rFonts w:ascii="Times New Roman" w:eastAsia="Times New Roman" w:hAnsi="Times New Roman" w:cs="Times New Roman"/>
          <w:color w:val="111111"/>
          <w:sz w:val="24"/>
          <w:szCs w:val="24"/>
          <w:highlight w:val="white"/>
        </w:rPr>
        <w:t>operationalized</w:t>
      </w:r>
      <w:r>
        <w:rPr>
          <w:rFonts w:ascii="Times New Roman" w:eastAsia="Times New Roman" w:hAnsi="Times New Roman" w:cs="Times New Roman"/>
          <w:color w:val="111111"/>
          <w:sz w:val="24"/>
          <w:szCs w:val="24"/>
          <w:highlight w:val="white"/>
        </w:rPr>
        <w:t xml:space="preserve"> without tradeoff in modularity or scalability., [29] [30]</w:t>
      </w:r>
    </w:p>
    <w:p w14:paraId="7960D97D" w14:textId="77777777" w:rsidR="00C07E08" w:rsidRDefault="00C07E08">
      <w:pPr>
        <w:jc w:val="both"/>
        <w:rPr>
          <w:rFonts w:ascii="Times New Roman" w:eastAsia="Times New Roman" w:hAnsi="Times New Roman" w:cs="Times New Roman"/>
          <w:sz w:val="24"/>
          <w:szCs w:val="24"/>
        </w:rPr>
      </w:pPr>
    </w:p>
    <w:p w14:paraId="13849603" w14:textId="77777777" w:rsidR="00C07E08"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111111"/>
          <w:sz w:val="24"/>
          <w:szCs w:val="24"/>
          <w:highlight w:val="white"/>
        </w:rPr>
        <w:t xml:space="preserve">Contextually, the framework identifies itself as a light, consulting-based layer that can be placed over existing </w:t>
      </w:r>
      <w:proofErr w:type="spellStart"/>
      <w:r>
        <w:rPr>
          <w:rFonts w:ascii="Times New Roman" w:eastAsia="Times New Roman" w:hAnsi="Times New Roman" w:cs="Times New Roman"/>
          <w:color w:val="111111"/>
          <w:sz w:val="24"/>
          <w:szCs w:val="24"/>
          <w:highlight w:val="white"/>
        </w:rPr>
        <w:t>lakehouse</w:t>
      </w:r>
      <w:proofErr w:type="spellEnd"/>
      <w:r>
        <w:rPr>
          <w:rFonts w:ascii="Times New Roman" w:eastAsia="Times New Roman" w:hAnsi="Times New Roman" w:cs="Times New Roman"/>
          <w:color w:val="111111"/>
          <w:sz w:val="24"/>
          <w:szCs w:val="24"/>
          <w:highlight w:val="white"/>
        </w:rPr>
        <w:t xml:space="preserve">, </w:t>
      </w:r>
      <w:proofErr w:type="spellStart"/>
      <w:r>
        <w:rPr>
          <w:rFonts w:ascii="Times New Roman" w:eastAsia="Times New Roman" w:hAnsi="Times New Roman" w:cs="Times New Roman"/>
          <w:color w:val="111111"/>
          <w:sz w:val="24"/>
          <w:szCs w:val="24"/>
          <w:highlight w:val="white"/>
        </w:rPr>
        <w:t>MLOps</w:t>
      </w:r>
      <w:proofErr w:type="spellEnd"/>
      <w:r>
        <w:rPr>
          <w:rFonts w:ascii="Times New Roman" w:eastAsia="Times New Roman" w:hAnsi="Times New Roman" w:cs="Times New Roman"/>
          <w:color w:val="111111"/>
          <w:sz w:val="24"/>
          <w:szCs w:val="24"/>
          <w:highlight w:val="white"/>
        </w:rPr>
        <w:t>, or enterprise BI systems that are used by large strategy firms and the Big Four.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11111"/>
          <w:sz w:val="24"/>
          <w:szCs w:val="24"/>
          <w:highlight w:val="white"/>
        </w:rPr>
        <w:t>Compared to existing industrial implementations, which are oriented towards client-side transformation or generic data-science instrumentation, the presented work introduces a prototype architecture of an internal control tower, which interprets real KPIs and model catalog to consulting functions, starting with junior analyst dashboards and ending with partner-level portfolio views. [31]</w:t>
      </w:r>
    </w:p>
    <w:p w14:paraId="607B9F78" w14:textId="77777777" w:rsidR="00C07E08" w:rsidRDefault="00C07E08">
      <w:pPr>
        <w:jc w:val="both"/>
        <w:rPr>
          <w:rFonts w:ascii="Times New Roman" w:eastAsia="Times New Roman" w:hAnsi="Times New Roman" w:cs="Times New Roman"/>
          <w:sz w:val="24"/>
          <w:szCs w:val="24"/>
        </w:rPr>
      </w:pPr>
    </w:p>
    <w:p w14:paraId="01A1A925" w14:textId="77777777" w:rsidR="00C07E08"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111111"/>
          <w:sz w:val="24"/>
          <w:szCs w:val="24"/>
          <w:highlight w:val="white"/>
        </w:rPr>
        <w:t>The contributions made in this paper are as follows:</w:t>
      </w:r>
    </w:p>
    <w:p w14:paraId="31E2AF28" w14:textId="77777777" w:rsidR="00C07E08"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111111"/>
          <w:sz w:val="24"/>
          <w:szCs w:val="24"/>
          <w:highlight w:val="white"/>
        </w:rPr>
        <w:br/>
      </w:r>
      <w:r>
        <w:rPr>
          <w:rFonts w:ascii="Times New Roman" w:eastAsia="Times New Roman" w:hAnsi="Times New Roman" w:cs="Times New Roman"/>
          <w:b/>
          <w:bCs/>
          <w:color w:val="111111"/>
          <w:sz w:val="24"/>
          <w:szCs w:val="24"/>
          <w:highlight w:val="white"/>
        </w:rPr>
        <w:t>1.Conceptual:</w:t>
      </w:r>
      <w:r>
        <w:rPr>
          <w:rFonts w:ascii="Times New Roman" w:eastAsia="Times New Roman" w:hAnsi="Times New Roman" w:cs="Times New Roman"/>
          <w:color w:val="111111"/>
          <w:sz w:val="24"/>
          <w:szCs w:val="24"/>
          <w:highlight w:val="white"/>
        </w:rPr>
        <w:t xml:space="preserve"> It captures the hierarchy-conscious design feature of consulting firms and demonstrates the importance of decoupling KPIs and predictive tasks by organizational level (tactical vs strategic).</w:t>
      </w:r>
    </w:p>
    <w:p w14:paraId="60666CA5" w14:textId="77777777" w:rsidR="00C07E08"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111111"/>
          <w:sz w:val="24"/>
          <w:szCs w:val="24"/>
          <w:highlight w:val="white"/>
        </w:rPr>
        <w:br/>
      </w:r>
      <w:r>
        <w:rPr>
          <w:rFonts w:ascii="Times New Roman" w:eastAsia="Times New Roman" w:hAnsi="Times New Roman" w:cs="Times New Roman"/>
          <w:b/>
          <w:bCs/>
          <w:color w:val="111111"/>
          <w:sz w:val="24"/>
          <w:szCs w:val="24"/>
          <w:highlight w:val="white"/>
        </w:rPr>
        <w:t>2.Architectural:</w:t>
      </w:r>
      <w:r>
        <w:rPr>
          <w:rFonts w:ascii="Times New Roman" w:eastAsia="Times New Roman" w:hAnsi="Times New Roman" w:cs="Times New Roman"/>
          <w:color w:val="111111"/>
          <w:sz w:val="24"/>
          <w:szCs w:val="24"/>
          <w:highlight w:val="white"/>
        </w:rPr>
        <w:t xml:space="preserve"> It defines a modular microservices architecture that maintains plug-and-play model replaceable, scale independent, and governance boundaries.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11111"/>
          <w:sz w:val="24"/>
          <w:szCs w:val="24"/>
          <w:highlight w:val="white"/>
        </w:rPr>
        <w:t>This fills the reported gap in the current vendor and platform products, which are either project-centric or data-science-centric but are not role-adaptive.</w:t>
      </w:r>
    </w:p>
    <w:p w14:paraId="78F28622" w14:textId="77777777" w:rsidR="004F466D"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br/>
      </w:r>
      <w:r>
        <w:rPr>
          <w:rFonts w:ascii="Times New Roman" w:eastAsia="Times New Roman" w:hAnsi="Times New Roman" w:cs="Times New Roman"/>
          <w:b/>
          <w:bCs/>
          <w:color w:val="111111"/>
          <w:sz w:val="24"/>
          <w:szCs w:val="24"/>
          <w:highlight w:val="white"/>
        </w:rPr>
        <w:t>3.Practical/Empirical:</w:t>
      </w:r>
      <w:r>
        <w:rPr>
          <w:rFonts w:ascii="Times New Roman" w:eastAsia="Times New Roman" w:hAnsi="Times New Roman" w:cs="Times New Roman"/>
          <w:color w:val="111111"/>
          <w:sz w:val="24"/>
          <w:szCs w:val="24"/>
          <w:highlight w:val="white"/>
        </w:rPr>
        <w:t xml:space="preserve"> It implements ensemble and training algorithms (base-learner minimization, </w:t>
      </w:r>
      <w:proofErr w:type="spellStart"/>
      <w:r>
        <w:rPr>
          <w:rFonts w:ascii="Times New Roman" w:eastAsia="Times New Roman" w:hAnsi="Times New Roman" w:cs="Times New Roman"/>
          <w:color w:val="111111"/>
          <w:sz w:val="24"/>
          <w:szCs w:val="24"/>
          <w:highlight w:val="white"/>
        </w:rPr>
        <w:t>softmax</w:t>
      </w:r>
      <w:proofErr w:type="spellEnd"/>
      <w:r>
        <w:rPr>
          <w:rFonts w:ascii="Times New Roman" w:eastAsia="Times New Roman" w:hAnsi="Times New Roman" w:cs="Times New Roman"/>
          <w:color w:val="111111"/>
          <w:sz w:val="24"/>
          <w:szCs w:val="24"/>
          <w:highlight w:val="white"/>
        </w:rPr>
        <w:t xml:space="preserve"> weight aggregation, feature-augmented meta-inputs) and shows better tactical and strategic metrics performance than standard baselines.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11111"/>
          <w:sz w:val="24"/>
          <w:szCs w:val="24"/>
          <w:highlight w:val="white"/>
        </w:rPr>
        <w:t xml:space="preserve">The method supports regular </w:t>
      </w:r>
      <w:proofErr w:type="spellStart"/>
      <w:r>
        <w:rPr>
          <w:rFonts w:ascii="Times New Roman" w:eastAsia="Times New Roman" w:hAnsi="Times New Roman" w:cs="Times New Roman"/>
          <w:color w:val="111111"/>
          <w:sz w:val="24"/>
          <w:szCs w:val="24"/>
          <w:highlight w:val="white"/>
        </w:rPr>
        <w:t>MLOps</w:t>
      </w:r>
      <w:proofErr w:type="spellEnd"/>
      <w:r>
        <w:rPr>
          <w:rFonts w:ascii="Times New Roman" w:eastAsia="Times New Roman" w:hAnsi="Times New Roman" w:cs="Times New Roman"/>
          <w:color w:val="111111"/>
          <w:sz w:val="24"/>
          <w:szCs w:val="24"/>
          <w:highlight w:val="white"/>
        </w:rPr>
        <w:t xml:space="preserve"> stacks and feature stores to serve low latency.</w:t>
      </w:r>
    </w:p>
    <w:p w14:paraId="6ECB41CA" w14:textId="77777777" w:rsidR="00C07E08" w:rsidRDefault="00000000">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111111"/>
          <w:sz w:val="24"/>
          <w:szCs w:val="24"/>
          <w:highlight w:val="white"/>
        </w:rPr>
        <w:t>In the case of consulting firms (the top strategy practice including McKinsey and Company, Boston Consulting Group (BCG) and Bain and Company), the framework offers direction to:</w:t>
      </w:r>
    </w:p>
    <w:p w14:paraId="06A7CE0F" w14:textId="77777777" w:rsidR="00C07E08" w:rsidRDefault="00000000">
      <w:pPr>
        <w:numPr>
          <w:ilvl w:val="0"/>
          <w:numId w:val="1"/>
        </w:numPr>
        <w:spacing w:before="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Reduce repetitive analyst workload through automated data-cleaning and anomaly detection.</w:t>
      </w:r>
    </w:p>
    <w:p w14:paraId="6E98C9AC" w14:textId="77777777" w:rsidR="00C07E08" w:rsidRDefault="00000000">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111111"/>
          <w:sz w:val="24"/>
          <w:szCs w:val="24"/>
          <w:highlight w:val="white"/>
        </w:rPr>
        <w:t>Enhance tactical forecasting (utilization, burn rate) to enable the engagement managers to act proactively to avoid overruns</w:t>
      </w:r>
      <w:r>
        <w:rPr>
          <w:rFonts w:ascii="Times New Roman" w:eastAsia="Times New Roman" w:hAnsi="Times New Roman" w:cs="Times New Roman"/>
          <w:sz w:val="24"/>
          <w:szCs w:val="24"/>
          <w:highlight w:val="white"/>
        </w:rPr>
        <w:t>.</w:t>
      </w:r>
    </w:p>
    <w:p w14:paraId="767DBC79" w14:textId="77777777" w:rsidR="00C07E08" w:rsidRDefault="00000000">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111111"/>
          <w:sz w:val="24"/>
          <w:szCs w:val="24"/>
          <w:highlight w:val="white"/>
        </w:rPr>
        <w:t>Create reduced bias strategic forecasts of partners by harmonizing operation cues and market moods and revenue models.</w:t>
      </w:r>
    </w:p>
    <w:p w14:paraId="724DC990" w14:textId="77777777" w:rsidR="004F466D" w:rsidRDefault="00000000">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Maintain governance, auditability and traceability via the API gateway / token model and isolated microservices.</w:t>
      </w:r>
    </w:p>
    <w:p w14:paraId="50B46ADD" w14:textId="386F3A9E" w:rsidR="00C07E08" w:rsidRDefault="00C07E08" w:rsidP="004F466D">
      <w:pPr>
        <w:ind w:left="720"/>
        <w:jc w:val="both"/>
        <w:rPr>
          <w:rFonts w:ascii="Times New Roman" w:eastAsia="Times New Roman" w:hAnsi="Times New Roman" w:cs="Times New Roman"/>
          <w:sz w:val="24"/>
          <w:szCs w:val="24"/>
          <w:highlight w:val="white"/>
        </w:rPr>
      </w:pPr>
    </w:p>
    <w:p w14:paraId="34747255" w14:textId="77777777" w:rsidR="00C07E08"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The Hierarchical-Modular Microservices Architecture fills a provable void between the AIML-enhanced BI promise and the reality of how consulting firms operate.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11111"/>
          <w:sz w:val="24"/>
          <w:szCs w:val="24"/>
          <w:highlight w:val="white"/>
        </w:rPr>
        <w:t>The framework provides low-latency context-sensitive predictions of a model topology that aligns with organizational hierarchy and incorporates modular model clusters with a shared ensemble meta-learner, which is vital to consulting organizations.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11111"/>
          <w:sz w:val="24"/>
          <w:szCs w:val="24"/>
          <w:highlight w:val="white"/>
        </w:rPr>
        <w:t>The key to achieving its full potential will lie in the consideration of data quality, integration patterns, human factors, and governance: these aspects are recognized as the high-priority research and implementation activities in the literature.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11111"/>
          <w:sz w:val="24"/>
          <w:szCs w:val="24"/>
          <w:highlight w:val="white"/>
        </w:rPr>
        <w:t>All of these aspects are indicative of a practical roadmap towards changing the internal consultancy processes and making them a quantifiable, AI-based competitive edge.</w:t>
      </w:r>
    </w:p>
    <w:p w14:paraId="7252FCBE" w14:textId="77777777" w:rsidR="00C07E08" w:rsidRDefault="00C07E08">
      <w:pPr>
        <w:rPr>
          <w:rFonts w:ascii="Times New Roman" w:eastAsia="Times New Roman" w:hAnsi="Times New Roman" w:cs="Times New Roman"/>
          <w:color w:val="111111"/>
          <w:sz w:val="24"/>
          <w:szCs w:val="24"/>
          <w:highlight w:val="white"/>
        </w:rPr>
      </w:pPr>
    </w:p>
    <w:p w14:paraId="74B70B5E"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References:</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[1] F. Abuhashish and I. Ismail, "Integration of artificial intelligence and machine learning in business intelligence," 2025.</w:t>
      </w:r>
    </w:p>
    <w:p w14:paraId="2D3C0937" w14:textId="77777777" w:rsidR="00C07E08" w:rsidRDefault="00C07E08">
      <w:pPr>
        <w:rPr>
          <w:rFonts w:ascii="Times New Roman" w:eastAsia="Times New Roman" w:hAnsi="Times New Roman" w:cs="Times New Roman"/>
          <w:sz w:val="24"/>
          <w:szCs w:val="24"/>
        </w:rPr>
      </w:pPr>
    </w:p>
    <w:p w14:paraId="733A4464"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U. </w:t>
      </w:r>
      <w:proofErr w:type="spellStart"/>
      <w:r>
        <w:rPr>
          <w:rFonts w:ascii="Times New Roman" w:eastAsia="Times New Roman" w:hAnsi="Times New Roman" w:cs="Times New Roman"/>
          <w:sz w:val="24"/>
          <w:szCs w:val="24"/>
        </w:rPr>
        <w:t>Saidkhujaev</w:t>
      </w:r>
      <w:proofErr w:type="spellEnd"/>
      <w:r>
        <w:rPr>
          <w:rFonts w:ascii="Times New Roman" w:eastAsia="Times New Roman" w:hAnsi="Times New Roman" w:cs="Times New Roman"/>
          <w:sz w:val="24"/>
          <w:szCs w:val="24"/>
        </w:rPr>
        <w:t>, "From dashboards to decision-making agents: Integrating agentic AI into business intelligence systems for enterprise transformation," 2025.</w:t>
      </w:r>
    </w:p>
    <w:p w14:paraId="1D5EA020" w14:textId="77777777" w:rsidR="00C07E08" w:rsidRDefault="00C07E08">
      <w:pPr>
        <w:rPr>
          <w:rFonts w:ascii="Times New Roman" w:eastAsia="Times New Roman" w:hAnsi="Times New Roman" w:cs="Times New Roman"/>
          <w:sz w:val="24"/>
          <w:szCs w:val="24"/>
        </w:rPr>
      </w:pPr>
    </w:p>
    <w:p w14:paraId="52319F66"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O. Badmus, S. Rajput, J. B. </w:t>
      </w:r>
      <w:proofErr w:type="spellStart"/>
      <w:r>
        <w:rPr>
          <w:rFonts w:ascii="Times New Roman" w:eastAsia="Times New Roman" w:hAnsi="Times New Roman" w:cs="Times New Roman"/>
          <w:sz w:val="24"/>
          <w:szCs w:val="24"/>
        </w:rPr>
        <w:t>Arogundade</w:t>
      </w:r>
      <w:proofErr w:type="spellEnd"/>
      <w:r>
        <w:rPr>
          <w:rFonts w:ascii="Times New Roman" w:eastAsia="Times New Roman" w:hAnsi="Times New Roman" w:cs="Times New Roman"/>
          <w:sz w:val="24"/>
          <w:szCs w:val="24"/>
        </w:rPr>
        <w:t>, and M. H. Williams, "AI-driven business analytics and decision making," 2024.</w:t>
      </w:r>
    </w:p>
    <w:p w14:paraId="54BCF999" w14:textId="77777777" w:rsidR="00C07E08" w:rsidRDefault="00C07E08">
      <w:pPr>
        <w:rPr>
          <w:rFonts w:ascii="Times New Roman" w:eastAsia="Times New Roman" w:hAnsi="Times New Roman" w:cs="Times New Roman"/>
          <w:sz w:val="24"/>
          <w:szCs w:val="24"/>
        </w:rPr>
      </w:pPr>
    </w:p>
    <w:p w14:paraId="70C051D9"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M. V., "Enterprise data-driven decision making: A framework for digital transformation and organizational excellence," International Journal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Multidisciplinary Research, vol. 6, no. 6, 2024.</w:t>
      </w:r>
    </w:p>
    <w:p w14:paraId="1D10E7EC" w14:textId="77777777" w:rsidR="00C07E08" w:rsidRDefault="00C07E08">
      <w:pPr>
        <w:rPr>
          <w:rFonts w:ascii="Times New Roman" w:eastAsia="Times New Roman" w:hAnsi="Times New Roman" w:cs="Times New Roman"/>
          <w:sz w:val="24"/>
          <w:szCs w:val="24"/>
        </w:rPr>
      </w:pPr>
    </w:p>
    <w:p w14:paraId="2C9E0667"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 A. G. Kesarkar, T. Patel, and P. Deshmukh, "Hybrid intelligence in business analytics: Integrating large language models with traditional predictive analytics," 2025.</w:t>
      </w:r>
    </w:p>
    <w:p w14:paraId="456863B3" w14:textId="77777777" w:rsidR="00C07E08" w:rsidRDefault="00C07E08">
      <w:pPr>
        <w:rPr>
          <w:rFonts w:ascii="Times New Roman" w:eastAsia="Times New Roman" w:hAnsi="Times New Roman" w:cs="Times New Roman"/>
          <w:sz w:val="24"/>
          <w:szCs w:val="24"/>
        </w:rPr>
      </w:pPr>
    </w:p>
    <w:p w14:paraId="50C5B267"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A. A. Osman, O. O. </w:t>
      </w:r>
      <w:proofErr w:type="spellStart"/>
      <w:r>
        <w:rPr>
          <w:rFonts w:ascii="Times New Roman" w:eastAsia="Times New Roman" w:hAnsi="Times New Roman" w:cs="Times New Roman"/>
          <w:sz w:val="24"/>
          <w:szCs w:val="24"/>
        </w:rPr>
        <w:t>Fowowe</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Agboluaje</w:t>
      </w:r>
      <w:proofErr w:type="spellEnd"/>
      <w:r>
        <w:rPr>
          <w:rFonts w:ascii="Times New Roman" w:eastAsia="Times New Roman" w:hAnsi="Times New Roman" w:cs="Times New Roman"/>
          <w:sz w:val="24"/>
          <w:szCs w:val="24"/>
        </w:rPr>
        <w:t xml:space="preserve">, and P. O. </w:t>
      </w:r>
      <w:proofErr w:type="spellStart"/>
      <w:r>
        <w:rPr>
          <w:rFonts w:ascii="Times New Roman" w:eastAsia="Times New Roman" w:hAnsi="Times New Roman" w:cs="Times New Roman"/>
          <w:sz w:val="24"/>
          <w:szCs w:val="24"/>
        </w:rPr>
        <w:t>Orekha</w:t>
      </w:r>
      <w:proofErr w:type="spellEnd"/>
      <w:r>
        <w:rPr>
          <w:rFonts w:ascii="Times New Roman" w:eastAsia="Times New Roman" w:hAnsi="Times New Roman" w:cs="Times New Roman"/>
          <w:sz w:val="24"/>
          <w:szCs w:val="24"/>
        </w:rPr>
        <w:t>, "Integrating machine learning in business analytics consulting for proactive decision-making and innovation," 2025.</w:t>
      </w:r>
    </w:p>
    <w:p w14:paraId="4B59F43B" w14:textId="77777777" w:rsidR="00C07E08" w:rsidRDefault="00C07E08">
      <w:pPr>
        <w:rPr>
          <w:rFonts w:ascii="Times New Roman" w:eastAsia="Times New Roman" w:hAnsi="Times New Roman" w:cs="Times New Roman"/>
          <w:sz w:val="24"/>
          <w:szCs w:val="24"/>
        </w:rPr>
      </w:pPr>
    </w:p>
    <w:p w14:paraId="54FB5AF7"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 G. Dhanalakshmi, C. Kalyani, and K. Shaik, "Data-driven decision making: The power of business intelligence," 2025.</w:t>
      </w:r>
    </w:p>
    <w:p w14:paraId="49DDA646" w14:textId="77777777" w:rsidR="00C07E08" w:rsidRDefault="00C07E08">
      <w:pPr>
        <w:rPr>
          <w:rFonts w:ascii="Times New Roman" w:eastAsia="Times New Roman" w:hAnsi="Times New Roman" w:cs="Times New Roman"/>
          <w:sz w:val="24"/>
          <w:szCs w:val="24"/>
        </w:rPr>
      </w:pPr>
    </w:p>
    <w:p w14:paraId="57409E86"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 S. R. Keshireddy, "Bridging the gap: The synergy of AI, data integration, and data science in driving innovation," 2024.</w:t>
      </w:r>
    </w:p>
    <w:p w14:paraId="650E6560" w14:textId="77777777" w:rsidR="00C07E08" w:rsidRDefault="00C07E08">
      <w:pPr>
        <w:rPr>
          <w:rFonts w:ascii="Times New Roman" w:eastAsia="Times New Roman" w:hAnsi="Times New Roman" w:cs="Times New Roman"/>
          <w:sz w:val="24"/>
          <w:szCs w:val="24"/>
        </w:rPr>
      </w:pPr>
    </w:p>
    <w:p w14:paraId="745406E3"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D. Lavanya, D. </w:t>
      </w:r>
      <w:proofErr w:type="spellStart"/>
      <w:r>
        <w:rPr>
          <w:rFonts w:ascii="Times New Roman" w:eastAsia="Times New Roman" w:hAnsi="Times New Roman" w:cs="Times New Roman"/>
          <w:sz w:val="24"/>
          <w:szCs w:val="24"/>
        </w:rPr>
        <w:t>Marupaka</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Rangineni</w:t>
      </w:r>
      <w:proofErr w:type="spellEnd"/>
      <w:r>
        <w:rPr>
          <w:rFonts w:ascii="Times New Roman" w:eastAsia="Times New Roman" w:hAnsi="Times New Roman" w:cs="Times New Roman"/>
          <w:sz w:val="24"/>
          <w:szCs w:val="24"/>
        </w:rPr>
        <w:t>, S. Agarwal, L. T. Reddi, and T. Shynu, "Evolving business intelligence on data integration, ETL procedures, and the power of predictive analytics," 2023.</w:t>
      </w:r>
    </w:p>
    <w:p w14:paraId="56992BB3" w14:textId="77777777" w:rsidR="00C07E08" w:rsidRDefault="00C07E08">
      <w:pPr>
        <w:rPr>
          <w:rFonts w:ascii="Times New Roman" w:eastAsia="Times New Roman" w:hAnsi="Times New Roman" w:cs="Times New Roman"/>
          <w:sz w:val="24"/>
          <w:szCs w:val="24"/>
        </w:rPr>
      </w:pPr>
    </w:p>
    <w:p w14:paraId="4D2E47F8"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 O. Alapini, "Implementing AI-driven performance monitoring for enhanced decision-making," 2025.</w:t>
      </w:r>
    </w:p>
    <w:p w14:paraId="038BDC0D" w14:textId="77777777" w:rsidR="00C07E08" w:rsidRDefault="00C07E08">
      <w:pPr>
        <w:rPr>
          <w:rFonts w:ascii="Times New Roman" w:eastAsia="Times New Roman" w:hAnsi="Times New Roman" w:cs="Times New Roman"/>
          <w:sz w:val="24"/>
          <w:szCs w:val="24"/>
        </w:rPr>
      </w:pPr>
    </w:p>
    <w:p w14:paraId="278581DE"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A. </w:t>
      </w:r>
      <w:proofErr w:type="spellStart"/>
      <w:r>
        <w:rPr>
          <w:rFonts w:ascii="Times New Roman" w:eastAsia="Times New Roman" w:hAnsi="Times New Roman" w:cs="Times New Roman"/>
          <w:sz w:val="24"/>
          <w:szCs w:val="24"/>
        </w:rPr>
        <w:t>Okuboye</w:t>
      </w:r>
      <w:proofErr w:type="spellEnd"/>
      <w:r>
        <w:rPr>
          <w:rFonts w:ascii="Times New Roman" w:eastAsia="Times New Roman" w:hAnsi="Times New Roman" w:cs="Times New Roman"/>
          <w:sz w:val="24"/>
          <w:szCs w:val="24"/>
        </w:rPr>
        <w:t xml:space="preserve">, "Integrating AI into global business process management: Implications for workforce roles and operational efficiency," International Journal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Multidisciplinary Research, vol. 2, no. 1, pp. 25-34, 2021,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10.54660/ijmfd.2021.2.1.25-34.</w:t>
      </w:r>
    </w:p>
    <w:p w14:paraId="47D3DC64" w14:textId="77777777" w:rsidR="00C07E08" w:rsidRDefault="00C07E08">
      <w:pPr>
        <w:rPr>
          <w:rFonts w:ascii="Times New Roman" w:eastAsia="Times New Roman" w:hAnsi="Times New Roman" w:cs="Times New Roman"/>
          <w:sz w:val="24"/>
          <w:szCs w:val="24"/>
        </w:rPr>
      </w:pPr>
    </w:p>
    <w:p w14:paraId="25BAD1C1"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 M. U. Tariq, "Integration of artificial intelligence and machine learning in business intelligence," 2025.</w:t>
      </w:r>
    </w:p>
    <w:p w14:paraId="0B0DA266" w14:textId="77777777" w:rsidR="00C07E08" w:rsidRDefault="00C07E08">
      <w:pPr>
        <w:rPr>
          <w:rFonts w:ascii="Times New Roman" w:eastAsia="Times New Roman" w:hAnsi="Times New Roman" w:cs="Times New Roman"/>
          <w:sz w:val="24"/>
          <w:szCs w:val="24"/>
        </w:rPr>
      </w:pPr>
    </w:p>
    <w:p w14:paraId="251BC8E5"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M. Sharma, P. Kumar, and S. </w:t>
      </w:r>
      <w:proofErr w:type="spellStart"/>
      <w:r>
        <w:rPr>
          <w:rFonts w:ascii="Times New Roman" w:eastAsia="Times New Roman" w:hAnsi="Times New Roman" w:cs="Times New Roman"/>
          <w:sz w:val="24"/>
          <w:szCs w:val="24"/>
        </w:rPr>
        <w:t>Gundewar</w:t>
      </w:r>
      <w:proofErr w:type="spellEnd"/>
      <w:r>
        <w:rPr>
          <w:rFonts w:ascii="Times New Roman" w:eastAsia="Times New Roman" w:hAnsi="Times New Roman" w:cs="Times New Roman"/>
          <w:sz w:val="24"/>
          <w:szCs w:val="24"/>
        </w:rPr>
        <w:t>, "Leveraging AI and machine learning for predictive analytics in business intelligence," 2024.</w:t>
      </w:r>
    </w:p>
    <w:p w14:paraId="35F6C89E" w14:textId="77777777" w:rsidR="00C07E08" w:rsidRDefault="00C07E08">
      <w:pPr>
        <w:rPr>
          <w:rFonts w:ascii="Times New Roman" w:eastAsia="Times New Roman" w:hAnsi="Times New Roman" w:cs="Times New Roman"/>
          <w:sz w:val="24"/>
          <w:szCs w:val="24"/>
        </w:rPr>
      </w:pPr>
    </w:p>
    <w:p w14:paraId="577B1D8E"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[14] P. S. A. Malla, "Data-driven business decision making: Leveraging predictive analytics and BI dashboards," 2025.</w:t>
      </w:r>
    </w:p>
    <w:p w14:paraId="2929A75B" w14:textId="77777777" w:rsidR="00C07E08" w:rsidRDefault="00C07E08">
      <w:pPr>
        <w:rPr>
          <w:rFonts w:ascii="Times New Roman" w:eastAsia="Times New Roman" w:hAnsi="Times New Roman" w:cs="Times New Roman"/>
          <w:sz w:val="24"/>
          <w:szCs w:val="24"/>
        </w:rPr>
      </w:pPr>
    </w:p>
    <w:p w14:paraId="3E060E93"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[15] N. Goswami, "Integrating AI into enterprise data warehouses for enhanced operational intelligence and decision-making," 2025.</w:t>
      </w:r>
    </w:p>
    <w:p w14:paraId="0969DFF1" w14:textId="77777777" w:rsidR="00C07E08" w:rsidRDefault="00C07E08">
      <w:pPr>
        <w:rPr>
          <w:rFonts w:ascii="Times New Roman" w:eastAsia="Times New Roman" w:hAnsi="Times New Roman" w:cs="Times New Roman"/>
          <w:sz w:val="24"/>
          <w:szCs w:val="24"/>
        </w:rPr>
      </w:pPr>
    </w:p>
    <w:p w14:paraId="3DC0DF6B"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 N. Rodrigues, "Predictive analytics and artificial intelligence: Advancing business analytics in the medical devices industry," 2025.</w:t>
      </w:r>
    </w:p>
    <w:p w14:paraId="2B47CE8F" w14:textId="77777777" w:rsidR="00C07E08" w:rsidRDefault="00C07E08">
      <w:pPr>
        <w:rPr>
          <w:rFonts w:ascii="Times New Roman" w:eastAsia="Times New Roman" w:hAnsi="Times New Roman" w:cs="Times New Roman"/>
          <w:sz w:val="24"/>
          <w:szCs w:val="24"/>
        </w:rPr>
      </w:pPr>
    </w:p>
    <w:p w14:paraId="7CCC10BF"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[17] McKinsey &amp; Company. [Online]. Available: https://www.mckinsey.com/capabilities/quantumblack/how-we-help-clients</w:t>
      </w:r>
    </w:p>
    <w:p w14:paraId="3BAB768F" w14:textId="77777777" w:rsidR="00C07E08" w:rsidRDefault="00C07E08">
      <w:pPr>
        <w:rPr>
          <w:rFonts w:ascii="Times New Roman" w:eastAsia="Times New Roman" w:hAnsi="Times New Roman" w:cs="Times New Roman"/>
          <w:sz w:val="24"/>
          <w:szCs w:val="24"/>
        </w:rPr>
      </w:pPr>
    </w:p>
    <w:p w14:paraId="3BF01980"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 Rocket Blocks. [Online]. Available: https://www.rocketblocks.me/blog/bcg-gamma-overview.php</w:t>
      </w:r>
    </w:p>
    <w:p w14:paraId="050F1D45" w14:textId="77777777" w:rsidR="00C07E08" w:rsidRDefault="00C07E08">
      <w:pPr>
        <w:rPr>
          <w:rFonts w:ascii="Times New Roman" w:eastAsia="Times New Roman" w:hAnsi="Times New Roman" w:cs="Times New Roman"/>
          <w:sz w:val="24"/>
          <w:szCs w:val="24"/>
        </w:rPr>
      </w:pPr>
    </w:p>
    <w:p w14:paraId="2FE28468"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[19] Bain &amp; Company. [Online]. Available: https://www.bain.com/vector-digital/</w:t>
      </w:r>
    </w:p>
    <w:p w14:paraId="1FFE674B" w14:textId="77777777" w:rsidR="00C07E08" w:rsidRDefault="00C07E08">
      <w:pPr>
        <w:rPr>
          <w:rFonts w:ascii="Times New Roman" w:eastAsia="Times New Roman" w:hAnsi="Times New Roman" w:cs="Times New Roman"/>
          <w:sz w:val="24"/>
          <w:szCs w:val="24"/>
        </w:rPr>
      </w:pPr>
    </w:p>
    <w:p w14:paraId="7DCD7618"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 Accenture, "Accenture launches Applied Intelligence platform to help clients use artificial intelligence without need for deep data science expertise," Newsroom. [Online]. Available: https://newsroom.accenture.com/news/2019/accenture-launches-applied-intelligence-platform-to-help-clients-use-artificial-intelligence-without-need-for-deep-data-science-expertise</w:t>
      </w:r>
    </w:p>
    <w:p w14:paraId="4E386C5B" w14:textId="77777777" w:rsidR="00C07E08" w:rsidRDefault="00C07E08">
      <w:pPr>
        <w:rPr>
          <w:rFonts w:ascii="Times New Roman" w:eastAsia="Times New Roman" w:hAnsi="Times New Roman" w:cs="Times New Roman"/>
          <w:sz w:val="24"/>
          <w:szCs w:val="24"/>
        </w:rPr>
      </w:pPr>
    </w:p>
    <w:p w14:paraId="65A1BFCA"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[21] Deloitte. "Audit Technology Solutions." [Online]. Available: https://www.deloitte.com/us/en/services/audit-assurance/about/audit-technology-solutions.html</w:t>
      </w:r>
    </w:p>
    <w:p w14:paraId="09479555" w14:textId="77777777" w:rsidR="00C07E08" w:rsidRDefault="00C07E08">
      <w:pPr>
        <w:rPr>
          <w:rFonts w:ascii="Times New Roman" w:eastAsia="Times New Roman" w:hAnsi="Times New Roman" w:cs="Times New Roman"/>
          <w:sz w:val="24"/>
          <w:szCs w:val="24"/>
        </w:rPr>
      </w:pPr>
    </w:p>
    <w:p w14:paraId="1A389567"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[22] KPMG. "KPMG Lighthouse." [Online]. Available: https://kpmg.com/ae/en/services/advisory/digital-and-innovation/kpmg-lighthouse.html</w:t>
      </w:r>
    </w:p>
    <w:p w14:paraId="07C85AC0" w14:textId="77777777" w:rsidR="00C07E08" w:rsidRDefault="00C07E08">
      <w:pPr>
        <w:rPr>
          <w:rFonts w:ascii="Times New Roman" w:eastAsia="Times New Roman" w:hAnsi="Times New Roman" w:cs="Times New Roman"/>
          <w:sz w:val="24"/>
          <w:szCs w:val="24"/>
        </w:rPr>
      </w:pPr>
    </w:p>
    <w:p w14:paraId="2C4E326C"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[23] Fortune Business Insights, "Management consulting services market size, share," 2024. [Online]. Available: https://www.fortunebusinessinsights.com/management-consulting-services-market-114734</w:t>
      </w:r>
    </w:p>
    <w:p w14:paraId="4EF11554" w14:textId="77777777" w:rsidR="00C07E08" w:rsidRDefault="00C07E08">
      <w:pPr>
        <w:rPr>
          <w:rFonts w:ascii="Times New Roman" w:eastAsia="Times New Roman" w:hAnsi="Times New Roman" w:cs="Times New Roman"/>
          <w:sz w:val="24"/>
          <w:szCs w:val="24"/>
        </w:rPr>
      </w:pPr>
    </w:p>
    <w:p w14:paraId="11CC04EB"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 Custom Market Insights, "Global management consulting market size, share 2034," 2026. [Online]. Available:  https://www.custommarketinsights.com/report/management-consulting-market/</w:t>
      </w:r>
    </w:p>
    <w:p w14:paraId="5AE57732" w14:textId="77777777" w:rsidR="00C07E08" w:rsidRDefault="00C07E08">
      <w:pPr>
        <w:rPr>
          <w:rFonts w:ascii="Times New Roman" w:eastAsia="Times New Roman" w:hAnsi="Times New Roman" w:cs="Times New Roman"/>
          <w:sz w:val="24"/>
          <w:szCs w:val="24"/>
        </w:rPr>
      </w:pPr>
    </w:p>
    <w:p w14:paraId="301AB279"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proofErr w:type="spellStart"/>
      <w:r>
        <w:rPr>
          <w:rFonts w:ascii="Times New Roman" w:eastAsia="Times New Roman" w:hAnsi="Times New Roman" w:cs="Times New Roman"/>
          <w:sz w:val="24"/>
          <w:szCs w:val="24"/>
        </w:rPr>
        <w:t>MConsulting</w:t>
      </w:r>
      <w:proofErr w:type="spellEnd"/>
      <w:r>
        <w:rPr>
          <w:rFonts w:ascii="Times New Roman" w:eastAsia="Times New Roman" w:hAnsi="Times New Roman" w:cs="Times New Roman"/>
          <w:sz w:val="24"/>
          <w:szCs w:val="24"/>
        </w:rPr>
        <w:t xml:space="preserve"> Prep, "What is a consulting firm?" Accessed: Mar. 02, 2026. </w:t>
      </w:r>
    </w:p>
    <w:p w14:paraId="289177C9" w14:textId="4CB18609"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Available: </w:t>
      </w:r>
      <w:hyperlink r:id="rId12">
        <w:r w:rsidR="00C07E08">
          <w:rPr>
            <w:rFonts w:ascii="Times New Roman" w:eastAsia="Times New Roman" w:hAnsi="Times New Roman" w:cs="Times New Roman"/>
            <w:color w:val="1155CC"/>
            <w:sz w:val="24"/>
            <w:szCs w:val="24"/>
            <w:u w:val="single"/>
          </w:rPr>
          <w:t>https://mconsultingprep.com/what-is-a-consulting-firm</w:t>
        </w:r>
      </w:hyperlink>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[26] C. Willmott and K. Matsuura, "Advantages of the mean absolute error (MAE) over the root mean square error (RMSE) in assessing average model performance," Climate Research, vol. 30, no. 1, pp. 79–82, 2005.</w:t>
      </w:r>
    </w:p>
    <w:p w14:paraId="6FAD107D" w14:textId="77777777" w:rsidR="00C07E08" w:rsidRDefault="00C07E08">
      <w:pPr>
        <w:rPr>
          <w:rFonts w:ascii="Times New Roman" w:eastAsia="Times New Roman" w:hAnsi="Times New Roman" w:cs="Times New Roman"/>
          <w:sz w:val="24"/>
          <w:szCs w:val="24"/>
        </w:rPr>
      </w:pPr>
    </w:p>
    <w:p w14:paraId="4EB8FEEF" w14:textId="267438DB"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D. M. Powers, "Evaluation: from precision, recall and F-measure to ROC, </w:t>
      </w:r>
      <w:proofErr w:type="spellStart"/>
      <w:r>
        <w:rPr>
          <w:rFonts w:ascii="Times New Roman" w:eastAsia="Times New Roman" w:hAnsi="Times New Roman" w:cs="Times New Roman"/>
          <w:sz w:val="24"/>
          <w:szCs w:val="24"/>
        </w:rPr>
        <w:t>informedness</w:t>
      </w:r>
      <w:proofErr w:type="spellEnd"/>
      <w:r>
        <w:rPr>
          <w:rFonts w:ascii="Times New Roman" w:eastAsia="Times New Roman" w:hAnsi="Times New Roman" w:cs="Times New Roman"/>
          <w:sz w:val="24"/>
          <w:szCs w:val="24"/>
        </w:rPr>
        <w:t>, markedness &amp; correlation," Journal of Machine Learning Technologies, vol. 2, no. 1, pp. 37–63, 2011.</w:t>
      </w:r>
    </w:p>
    <w:p w14:paraId="2A18E6ED" w14:textId="77777777" w:rsidR="00C07E08" w:rsidRDefault="00C07E08">
      <w:pPr>
        <w:rPr>
          <w:rFonts w:ascii="Times New Roman" w:eastAsia="Times New Roman" w:hAnsi="Times New Roman" w:cs="Times New Roman"/>
          <w:sz w:val="24"/>
          <w:szCs w:val="24"/>
        </w:rPr>
      </w:pPr>
    </w:p>
    <w:p w14:paraId="2E2B3E91" w14:textId="0F7E9CA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 A. Gelman, J. B. Carlin, H. S. Stern, and D. B. Rubin, Bayesian Data Analysis. 3rd </w:t>
      </w:r>
      <w:proofErr w:type="spellStart"/>
      <w:r>
        <w:rPr>
          <w:rFonts w:ascii="Times New Roman" w:eastAsia="Times New Roman" w:hAnsi="Times New Roman" w:cs="Times New Roman"/>
          <w:sz w:val="24"/>
          <w:szCs w:val="24"/>
        </w:rPr>
        <w:t>edn</w:t>
      </w:r>
      <w:proofErr w:type="spellEnd"/>
      <w:r>
        <w:rPr>
          <w:rFonts w:ascii="Times New Roman" w:eastAsia="Times New Roman" w:hAnsi="Times New Roman" w:cs="Times New Roman"/>
          <w:sz w:val="24"/>
          <w:szCs w:val="24"/>
        </w:rPr>
        <w:t>. Boca Raton, FL: CRC Press, 2013.</w:t>
      </w:r>
    </w:p>
    <w:p w14:paraId="4C0C048F" w14:textId="77777777" w:rsidR="00C07E08" w:rsidRDefault="00C07E08">
      <w:pPr>
        <w:rPr>
          <w:rFonts w:ascii="Times New Roman" w:eastAsia="Times New Roman" w:hAnsi="Times New Roman" w:cs="Times New Roman"/>
          <w:sz w:val="24"/>
          <w:szCs w:val="24"/>
        </w:rPr>
      </w:pPr>
    </w:p>
    <w:p w14:paraId="0B9514C5" w14:textId="7C12E150"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S. Makridakis, E. Spiliotis, and V. </w:t>
      </w:r>
      <w:proofErr w:type="spellStart"/>
      <w:r>
        <w:rPr>
          <w:rFonts w:ascii="Times New Roman" w:eastAsia="Times New Roman" w:hAnsi="Times New Roman" w:cs="Times New Roman"/>
          <w:sz w:val="24"/>
          <w:szCs w:val="24"/>
        </w:rPr>
        <w:t>Assimakopoulos</w:t>
      </w:r>
      <w:proofErr w:type="spellEnd"/>
      <w:r>
        <w:rPr>
          <w:rFonts w:ascii="Times New Roman" w:eastAsia="Times New Roman" w:hAnsi="Times New Roman" w:cs="Times New Roman"/>
          <w:sz w:val="24"/>
          <w:szCs w:val="24"/>
        </w:rPr>
        <w:t xml:space="preserve">, "Statistical and machine learning forecasting methods: Concerns and ways forward," </w:t>
      </w:r>
      <w:proofErr w:type="spellStart"/>
      <w:r>
        <w:rPr>
          <w:rFonts w:ascii="Times New Roman" w:eastAsia="Times New Roman" w:hAnsi="Times New Roman" w:cs="Times New Roman"/>
          <w:sz w:val="24"/>
          <w:szCs w:val="24"/>
        </w:rPr>
        <w:t>PLoS</w:t>
      </w:r>
      <w:proofErr w:type="spellEnd"/>
      <w:r>
        <w:rPr>
          <w:rFonts w:ascii="Times New Roman" w:eastAsia="Times New Roman" w:hAnsi="Times New Roman" w:cs="Times New Roman"/>
          <w:sz w:val="24"/>
          <w:szCs w:val="24"/>
        </w:rPr>
        <w:t xml:space="preserve"> ONE, vol. 13, no. 3, p. e0194889, Mar. 2018.</w:t>
      </w:r>
    </w:p>
    <w:p w14:paraId="714A9158" w14:textId="77777777" w:rsidR="00C07E08" w:rsidRDefault="00C07E08">
      <w:pPr>
        <w:rPr>
          <w:rFonts w:ascii="Times New Roman" w:eastAsia="Times New Roman" w:hAnsi="Times New Roman" w:cs="Times New Roman"/>
          <w:sz w:val="24"/>
          <w:szCs w:val="24"/>
        </w:rPr>
      </w:pPr>
    </w:p>
    <w:p w14:paraId="0660F1F6" w14:textId="17AB0C72"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[30] A. V. Oppenheim and R. W. Schafer, Discrete-Time Signal Processing, 3rd ed. Hoboken, NJ: Pearson, 2009.</w:t>
      </w:r>
    </w:p>
    <w:p w14:paraId="502F0BA2" w14:textId="77777777" w:rsidR="00C07E08" w:rsidRDefault="00C07E08">
      <w:pPr>
        <w:rPr>
          <w:rFonts w:ascii="Times New Roman" w:eastAsia="Times New Roman" w:hAnsi="Times New Roman" w:cs="Times New Roman"/>
          <w:sz w:val="24"/>
          <w:szCs w:val="24"/>
        </w:rPr>
      </w:pPr>
    </w:p>
    <w:p w14:paraId="632CF009" w14:textId="1D3D2558"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[31] D. H. Wolpert, "Stacked generalization," Neural Networks, vol. 5, no. 2, pp. 241–259, 1992.</w:t>
      </w:r>
    </w:p>
    <w:p w14:paraId="4E016F8C" w14:textId="77777777" w:rsidR="00C07E08" w:rsidRDefault="00C07E08">
      <w:pPr>
        <w:rPr>
          <w:rFonts w:ascii="Times New Roman" w:eastAsia="Times New Roman" w:hAnsi="Times New Roman" w:cs="Times New Roman"/>
          <w:sz w:val="24"/>
          <w:szCs w:val="24"/>
        </w:rPr>
      </w:pPr>
    </w:p>
    <w:p w14:paraId="28212561" w14:textId="77777777" w:rsidR="00C07E08" w:rsidRDefault="00C07E08">
      <w:pPr>
        <w:rPr>
          <w:rFonts w:ascii="Times New Roman" w:eastAsia="Times New Roman" w:hAnsi="Times New Roman" w:cs="Times New Roman"/>
        </w:rPr>
      </w:pPr>
    </w:p>
    <w:p w14:paraId="1AA3B3B6" w14:textId="77777777" w:rsidR="00C07E08" w:rsidRDefault="00C07E08"/>
    <w:p w14:paraId="15320CCF" w14:textId="77777777" w:rsidR="00C07E08" w:rsidRDefault="00C07E08"/>
    <w:p w14:paraId="3C2223D0" w14:textId="77777777" w:rsidR="00C07E08" w:rsidRDefault="00C07E08"/>
    <w:p w14:paraId="04C4A866" w14:textId="77777777" w:rsidR="00C07E08" w:rsidRDefault="00C07E08"/>
    <w:p w14:paraId="077D0FA0" w14:textId="77777777" w:rsidR="00C07E08" w:rsidRDefault="00C07E08">
      <w:pPr>
        <w:rPr>
          <w:rFonts w:ascii="Times New Roman" w:eastAsia="Times New Roman" w:hAnsi="Times New Roman" w:cs="Times New Roman"/>
          <w:sz w:val="24"/>
          <w:szCs w:val="24"/>
        </w:rPr>
      </w:pPr>
    </w:p>
    <w:p w14:paraId="63CD13F0" w14:textId="77777777" w:rsidR="00C07E08" w:rsidRDefault="00C07E08"/>
    <w:sectPr w:rsidR="00C07E08">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A309C" w14:textId="77777777" w:rsidR="001D277C" w:rsidRDefault="001D277C">
      <w:pPr>
        <w:spacing w:line="240" w:lineRule="auto"/>
      </w:pPr>
      <w:r>
        <w:separator/>
      </w:r>
    </w:p>
  </w:endnote>
  <w:endnote w:type="continuationSeparator" w:id="0">
    <w:p w14:paraId="2910A348" w14:textId="77777777" w:rsidR="001D277C" w:rsidRDefault="001D27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 w:fontKey="{895FD0DF-D626-4A2F-B37A-73617F627015}"/>
  </w:font>
  <w:font w:name="Cambria Math">
    <w:panose1 w:val="02040503050406030204"/>
    <w:charset w:val="00"/>
    <w:family w:val="roman"/>
    <w:pitch w:val="variable"/>
    <w:sig w:usb0="E00006FF" w:usb1="420024FF" w:usb2="02000000" w:usb3="00000000" w:csb0="0000019F" w:csb1="00000000"/>
    <w:embedRegular r:id="rId2" w:fontKey="{402ED1D4-6C3F-4A38-A6B8-EAFFE30B53BB}"/>
    <w:embedItalic r:id="rId3" w:fontKey="{E8DDCEA7-4D2F-47B6-AE32-63BCD1297323}"/>
  </w:font>
  <w:font w:name="Roboto">
    <w:charset w:val="00"/>
    <w:family w:val="auto"/>
    <w:pitch w:val="variable"/>
    <w:sig w:usb0="E0000AFF" w:usb1="5000217F" w:usb2="00000021" w:usb3="00000000" w:csb0="0000019F" w:csb1="00000000"/>
    <w:embedRegular r:id="rId4" w:fontKey="{090631D7-52A2-4B4C-94B6-B1A0156B4B18}"/>
  </w:font>
  <w:font w:name="Calibri">
    <w:panose1 w:val="020F0502020204030204"/>
    <w:charset w:val="00"/>
    <w:family w:val="swiss"/>
    <w:pitch w:val="variable"/>
    <w:sig w:usb0="E4002EFF" w:usb1="C000247B" w:usb2="00000009" w:usb3="00000000" w:csb0="000001FF" w:csb1="00000000"/>
    <w:embedRegular r:id="rId5" w:fontKey="{6741C4B7-3163-4FFB-8009-B29FEE2FE4E3}"/>
  </w:font>
  <w:font w:name="Cambria">
    <w:panose1 w:val="02040503050406030204"/>
    <w:charset w:val="00"/>
    <w:family w:val="roman"/>
    <w:pitch w:val="variable"/>
    <w:sig w:usb0="E00006FF" w:usb1="420024FF" w:usb2="02000000" w:usb3="00000000" w:csb0="0000019F" w:csb1="00000000"/>
    <w:embedRegular r:id="rId6" w:fontKey="{0A79251D-7C34-40BA-A4D2-C26768C480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63AD" w14:textId="77777777" w:rsidR="00C07E08" w:rsidRDefault="00C07E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497AD" w14:textId="77777777" w:rsidR="001D277C" w:rsidRDefault="001D277C">
      <w:pPr>
        <w:spacing w:line="240" w:lineRule="auto"/>
      </w:pPr>
      <w:r>
        <w:separator/>
      </w:r>
    </w:p>
  </w:footnote>
  <w:footnote w:type="continuationSeparator" w:id="0">
    <w:p w14:paraId="007EA056" w14:textId="77777777" w:rsidR="001D277C" w:rsidRDefault="001D27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164D" w14:textId="77777777" w:rsidR="00C07E08" w:rsidRDefault="00C07E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84155C"/>
    <w:multiLevelType w:val="multilevel"/>
    <w:tmpl w:val="34AE7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5F502F"/>
    <w:multiLevelType w:val="multilevel"/>
    <w:tmpl w:val="08C4C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445452"/>
    <w:multiLevelType w:val="multilevel"/>
    <w:tmpl w:val="37926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97B7ED9"/>
    <w:multiLevelType w:val="hybridMultilevel"/>
    <w:tmpl w:val="F9E0C658"/>
    <w:lvl w:ilvl="0" w:tplc="79F416F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CD375E0"/>
    <w:multiLevelType w:val="multilevel"/>
    <w:tmpl w:val="C9509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2990740">
    <w:abstractNumId w:val="1"/>
  </w:num>
  <w:num w:numId="2" w16cid:durableId="467673998">
    <w:abstractNumId w:val="4"/>
  </w:num>
  <w:num w:numId="3" w16cid:durableId="1062875361">
    <w:abstractNumId w:val="0"/>
  </w:num>
  <w:num w:numId="4" w16cid:durableId="15422664">
    <w:abstractNumId w:val="2"/>
  </w:num>
  <w:num w:numId="5" w16cid:durableId="20705662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E08"/>
    <w:rsid w:val="0000011E"/>
    <w:rsid w:val="0001745B"/>
    <w:rsid w:val="00020D61"/>
    <w:rsid w:val="000D630B"/>
    <w:rsid w:val="000E6616"/>
    <w:rsid w:val="0010786F"/>
    <w:rsid w:val="001D277C"/>
    <w:rsid w:val="00217D17"/>
    <w:rsid w:val="0029574B"/>
    <w:rsid w:val="0049470A"/>
    <w:rsid w:val="004F466D"/>
    <w:rsid w:val="005330A6"/>
    <w:rsid w:val="0055090B"/>
    <w:rsid w:val="00612067"/>
    <w:rsid w:val="006303A1"/>
    <w:rsid w:val="00677F6F"/>
    <w:rsid w:val="007E17CA"/>
    <w:rsid w:val="008944D6"/>
    <w:rsid w:val="008A607D"/>
    <w:rsid w:val="009961F3"/>
    <w:rsid w:val="009A2838"/>
    <w:rsid w:val="00A358ED"/>
    <w:rsid w:val="00AC1FA9"/>
    <w:rsid w:val="00B336E0"/>
    <w:rsid w:val="00B37A93"/>
    <w:rsid w:val="00C07E08"/>
    <w:rsid w:val="00C74638"/>
    <w:rsid w:val="00CE46A0"/>
    <w:rsid w:val="00DC6D3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72E66"/>
  <w15:docId w15:val="{27B23150-B282-46B8-814F-7CEA7B0B6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hi-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ListParagraph">
    <w:name w:val="List Paragraph"/>
    <w:basedOn w:val="Normal"/>
    <w:uiPriority w:val="34"/>
    <w:qFormat/>
    <w:rsid w:val="004F466D"/>
    <w:pPr>
      <w:ind w:left="720"/>
      <w:contextualSpacing/>
    </w:pPr>
    <w:rPr>
      <w:rFonts w:cs="Mangal"/>
      <w:szCs w:val="20"/>
    </w:rPr>
  </w:style>
  <w:style w:type="table" w:styleId="TableGrid">
    <w:name w:val="Table Grid"/>
    <w:basedOn w:val="TableNormal"/>
    <w:uiPriority w:val="39"/>
    <w:rsid w:val="004F466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E46A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consultingprep.com/what-is-a-consulting-fir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A03FC-832E-46B0-A823-4DC2F3759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21</Pages>
  <Words>5707</Words>
  <Characters>32533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26</cp:revision>
  <dcterms:created xsi:type="dcterms:W3CDTF">2026-03-03T07:40:00Z</dcterms:created>
  <dcterms:modified xsi:type="dcterms:W3CDTF">2026-04-27T06:13:00Z</dcterms:modified>
</cp:coreProperties>
</file>