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DE3876" w14:textId="13678D7A" w:rsidR="00FC5DB7" w:rsidRPr="00FC5DB7" w:rsidRDefault="00527579" w:rsidP="00FC5DB7">
      <w:pPr>
        <w:pStyle w:val="Title"/>
        <w:jc w:val="center"/>
        <w:rPr>
          <w:rFonts w:ascii="Times New Roman" w:hAnsi="Times New Roman" w:cs="Times New Roman"/>
          <w:sz w:val="36"/>
          <w:szCs w:val="36"/>
        </w:rPr>
      </w:pPr>
      <w:r w:rsidRPr="00527579">
        <w:rPr>
          <w:rFonts w:ascii="Times New Roman" w:hAnsi="Times New Roman" w:cs="Times New Roman"/>
          <w:b/>
          <w:sz w:val="36"/>
          <w:szCs w:val="36"/>
          <w:lang w:val="en-US"/>
        </w:rPr>
        <w:t>Improving Domestic Environmental Health among Migrant Service Families: Lessons from a Community Service Program in Kuala Lumpur</w:t>
      </w:r>
    </w:p>
    <w:p w14:paraId="1128DC4A" w14:textId="77777777" w:rsidR="00FC5DB7" w:rsidRPr="005A73C2" w:rsidRDefault="00FC5DB7" w:rsidP="00FC5DB7">
      <w:pPr>
        <w:pStyle w:val="Authors"/>
        <w:framePr w:w="0" w:hSpace="0" w:vSpace="0" w:wrap="auto" w:vAnchor="margin" w:hAnchor="text" w:xAlign="left" w:yAlign="inline"/>
        <w:spacing w:after="0"/>
        <w:rPr>
          <w:bCs/>
          <w:sz w:val="20"/>
          <w:szCs w:val="20"/>
        </w:rPr>
      </w:pPr>
    </w:p>
    <w:p w14:paraId="0FE4E4E9" w14:textId="77777777" w:rsidR="00467AE7" w:rsidRDefault="00467AE7" w:rsidP="00FC5DB7">
      <w:pPr>
        <w:jc w:val="center"/>
        <w:rPr>
          <w:iCs/>
          <w:sz w:val="20"/>
          <w:szCs w:val="20"/>
        </w:rPr>
      </w:pPr>
      <w:bookmarkStart w:id="0" w:name="_GoBack"/>
      <w:bookmarkEnd w:id="0"/>
    </w:p>
    <w:p w14:paraId="36640FA3" w14:textId="77777777" w:rsidR="00467AE7" w:rsidRDefault="00467AE7" w:rsidP="00FC5DB7">
      <w:pPr>
        <w:jc w:val="center"/>
        <w:rPr>
          <w:iCs/>
          <w:sz w:val="20"/>
          <w:szCs w:val="20"/>
        </w:rPr>
      </w:pPr>
    </w:p>
    <w:p w14:paraId="0799E524" w14:textId="2C045D4C" w:rsidR="00467AE7" w:rsidRDefault="00467AE7" w:rsidP="00467AE7">
      <w:pPr>
        <w:jc w:val="both"/>
      </w:pPr>
      <w:r w:rsidRPr="00467AE7">
        <w:rPr>
          <w:b/>
          <w:bCs/>
          <w:sz w:val="28"/>
          <w:szCs w:val="28"/>
        </w:rPr>
        <w:t>ABSTRACT :</w:t>
      </w:r>
      <w:r w:rsidRPr="00467AE7">
        <w:t xml:space="preserve"> </w:t>
      </w:r>
      <w:r w:rsidR="00885205" w:rsidRPr="00885205">
        <w:t>This community service paper presents the implementation and reflection of a field-based engagement program aimed at improving domestic environmental health among migrant service-worker families in Kuala Lumpur. The target group consisted of long-term migrant families working in the service sector, including domestic work, construction, and other informal urban services, who have lived with their families in the city for many years. Despite their important contribution to urban life, many of these families experience limited housing quality, overcrowding, inadequate ventilation, insufficient lighting, sanitation challenges, and constrained domestic space that affects family well-being. The program was designed and delivered by a multidisciplinary team with expertise in architecture and building engineering. It focused on increasing participants’ awareness of the relationship between housing conditions, everyday health, and family resilience. The activities included field observation, participatory discussion, environmental health education, and practical guidance on low-cost improvements that could be applied in rented or modest living environments. Key topics addressed in the program included airflow and ventilation, natural lighting, hygiene, moisture control, household safety, waste management, and the more effective organization of domestic space. The program showed that community-based interventions grounded in spatial understanding can help migrant families better recognize environmental risks and identify realistic ways to improve their living conditions. The paper argues that community service in architecture and building engineering can contribute meaningfully to healthier domestic environments, especially for vulnerable migrant families in dense urban settings. It also highlights the value of practical, context-sensitive knowledge as a form of empowerment for long-term migrant communities.</w:t>
      </w:r>
    </w:p>
    <w:p w14:paraId="3F70DFB8" w14:textId="77777777" w:rsidR="00835870" w:rsidRDefault="00835870" w:rsidP="00467AE7">
      <w:pPr>
        <w:jc w:val="both"/>
      </w:pPr>
    </w:p>
    <w:p w14:paraId="7D938494" w14:textId="16DEA391" w:rsidR="00835870" w:rsidRDefault="00835870" w:rsidP="00467AE7">
      <w:pPr>
        <w:jc w:val="both"/>
      </w:pPr>
      <w:r w:rsidRPr="00835870">
        <w:rPr>
          <w:b/>
          <w:bCs/>
        </w:rPr>
        <w:t>Keywords</w:t>
      </w:r>
      <w:r w:rsidRPr="00835870">
        <w:t xml:space="preserve"> - </w:t>
      </w:r>
      <w:r w:rsidR="00885205" w:rsidRPr="00885205">
        <w:t>domestic environmental health, migrant service families, community service, healthy housing, spatial empowerment</w:t>
      </w:r>
    </w:p>
    <w:p w14:paraId="3F41D6DB" w14:textId="77777777" w:rsidR="00D61DF5" w:rsidRDefault="00D61DF5" w:rsidP="00467AE7">
      <w:pPr>
        <w:jc w:val="both"/>
      </w:pPr>
    </w:p>
    <w:p w14:paraId="5AB196C5" w14:textId="77777777" w:rsidR="001517BF" w:rsidRPr="001517BF" w:rsidRDefault="001517BF" w:rsidP="00B6486A">
      <w:pPr>
        <w:pStyle w:val="Heading1"/>
      </w:pPr>
      <w:r w:rsidRPr="001517BF">
        <w:t>INTRODUCTION</w:t>
      </w:r>
    </w:p>
    <w:p w14:paraId="14D296D9" w14:textId="6C6784BE" w:rsidR="001517BF" w:rsidRDefault="001517BF" w:rsidP="001517BF">
      <w:pPr>
        <w:jc w:val="both"/>
      </w:pPr>
    </w:p>
    <w:p w14:paraId="507B6F3A" w14:textId="2C69C3A5" w:rsidR="001517BF" w:rsidRDefault="001517BF" w:rsidP="001517BF">
      <w:pPr>
        <w:jc w:val="both"/>
      </w:pPr>
      <w:r w:rsidRPr="001517BF">
        <w:t>Migration reshapes not only labour participation and urban economies, but also the everyday domestic environments in which families live, recover, and reproduce daily life. For long-term migrant service-worker families, the home is more than a place of shelter. It functions as a space for rest, caregiving, hygiene, storage, social interaction, and recovery from physically demanding or unstable work. In dense urban settings, however, these domestic functions are often carried out within constrained and modest housing conditions. Recent scholarship has reaffirmed that housing is a major social determinant of health. Healthy housing is not defined merely by the presence of a roof, but by suitability, security, dryness, ventilation, and freedom from environmental hazards that can undermine physical and mental well-being</w:t>
      </w:r>
      <w:r w:rsidR="00A3251F">
        <w:t xml:space="preserve"> (</w:t>
      </w:r>
      <w:r w:rsidR="00A3251F" w:rsidRPr="00A3251F">
        <w:rPr>
          <w:rFonts w:eastAsiaTheme="minorHAnsi"/>
          <w:lang w:val="en-US"/>
        </w:rPr>
        <w:t>Bentley</w:t>
      </w:r>
      <w:r w:rsidR="00A3251F">
        <w:rPr>
          <w:rFonts w:eastAsiaTheme="minorHAnsi"/>
          <w:lang w:val="en-US"/>
        </w:rPr>
        <w:t>, 2025)</w:t>
      </w:r>
      <w:r w:rsidRPr="001517BF">
        <w:t xml:space="preserve">. </w:t>
      </w:r>
    </w:p>
    <w:p w14:paraId="337DD233" w14:textId="77777777" w:rsidR="00203474" w:rsidRPr="001517BF" w:rsidRDefault="00203474" w:rsidP="001517BF">
      <w:pPr>
        <w:jc w:val="both"/>
      </w:pPr>
    </w:p>
    <w:p w14:paraId="2A66E5A1" w14:textId="49CD5A0A" w:rsidR="001517BF" w:rsidRDefault="001517BF" w:rsidP="001517BF">
      <w:pPr>
        <w:jc w:val="both"/>
      </w:pPr>
      <w:r w:rsidRPr="001517BF">
        <w:t>These concerns become more urgent in migrant contexts, where housing disadvantages frequently intersect with economic precarity, insecure tenure, discrimination, and limited access to adequate urban infrastructure. A recent mixed-methods systematic review of migrant and refugee populations found consistent associations between housing inequalities and poor health outcomes, with overcrowding and inadequate ventilation repeatedly linked to respiratory illness, anxiety, and depression. The same review also showed that inadequate rental housing, insecure tenure, and poor neighbourhood conditions contribute to a broad range of physical and mental health problems among migrant households</w:t>
      </w:r>
      <w:r w:rsidR="00203474">
        <w:t xml:space="preserve"> </w:t>
      </w:r>
      <w:r w:rsidR="00203474">
        <w:fldChar w:fldCharType="begin"/>
      </w:r>
      <w:r w:rsidR="00203474">
        <w:instrText xml:space="preserve"> ADDIN ZOTERO_ITEM CSL_CITATION {"citationID":"RSCQ4hY6","properties":{"formattedCitation":"(Rana et al., 2025)","plainCitation":"(Rana et al., 2025)","noteIndex":0},"citationItems":[{"id":20347,"uris":["http://zotero.org/users/1011003/items/I2G2Y4KB"],"itemData":{"id":20347,"type":"article-journal","abstract":"Background Migrant and refugee populations are disproportionately affected by the housing crises reportedly impacting high-income countries around the globe. However, the health implications of housing inequalities within these communities and contexts remain relatively understudied. This review aimed to synthesise the evidence on housing and health inequalities prevalent among migrant and refugee populations in high-income countries, and to identify the pathways linking housing inequalities and health outcomes. Methods This systematic review employed the Joanna Briggs Institute (JBI) methodology for mixed-methods systematic reviews using a convergent integrated approach to synthesis and integration. Electronic database searches were conducted using Medline (OVID), Web of Science (ISI), Embase (OVID), PsycInfo (OVID), Scopus, and CINAHL (EBSCO), supplemented by grey literature searches on Google Scholar, MedNar, and WHOLIS. Eligible studies included quantitative, qualitative, and mixed methods designs focused on understanding how housing inequalities are associated with physical and mental health outcomes. Results A total of 65 studies published between 1995 and 2024 were included in this review, comprising 38 quantitative and 27 qualitative studies. Substandard housing conditions, such as overcrowding and poor ventilation, were consistently associated with adverse physical and mental health outcomes, including respiratory illnesses and experiences of anxiety and depression. The type of housing tenure also impacted both physical and mental health, specifically living in inadequate rental housing as opposed to self-owned homes, was linked with poorer physical health and increased risk of mental health issues. Similarly, housing insecurity stemming from unstable housing situations and insecure tenancy, as well as neighbourhood conditions such as safety concerns and living in deprived neighbourhoods, led to the exacerbation of both physical and mental health issues. Furthermore, housing affordability challenges and decreased housing satisfaction were linked with poor mental health outcomes such as experiences of depression and psychological distress. Conclusions This review highlights the critical role of housing as a social determinant of health and wellbeing for migrant and refugee populations in high-income countries, along with highlighting the potential pathways through which housing inequalities impact physical and mental health outcomes. Ensuring access to adequate, affordable, and secure housing, while also improving neighbourhood conditions, is essential for improving the health and wellbeing of migrant and refugee populations.","container-title":"BMC Public Health","DOI":"10.1186/s12889-025-22186-5","ISSN":"1471-2458","issue":"1","language":"En","license":"2025 The Author(s)","page":"1098","publisher":"BioMed Central","source":"link.springer.com","title":"Housing inequalities and health outcomes among migrant and refugee populations in high-income countries: a mixed-methods systematic review","title-short":"Housing inequalities and health outcomes among migrant and refugee populations in high-income countries","URL":"https://link.springer.com/article/10.1186/s12889-025-22186-5","volume":"25","author":[{"family":"Rana","given":"Kritika"},{"family":"Kent","given":"Jennifer L."},{"family":"Page","given":"Andrew"}],"accessed":{"date-parts":[["2026",4,16]]},"issued":{"date-parts":[["2025",3,22]]}}}],"schema":"https://github.com/citation-style-language/schema/raw/master/csl-citation.json"} </w:instrText>
      </w:r>
      <w:r w:rsidR="00203474">
        <w:fldChar w:fldCharType="separate"/>
      </w:r>
      <w:r w:rsidR="00203474">
        <w:rPr>
          <w:noProof/>
        </w:rPr>
        <w:t>(Rana et al., 2025)</w:t>
      </w:r>
      <w:r w:rsidR="00203474">
        <w:fldChar w:fldCharType="end"/>
      </w:r>
      <w:r w:rsidRPr="001517BF">
        <w:t xml:space="preserve">. </w:t>
      </w:r>
    </w:p>
    <w:p w14:paraId="789C57C7" w14:textId="77777777" w:rsidR="00203474" w:rsidRPr="001517BF" w:rsidRDefault="00203474" w:rsidP="001517BF">
      <w:pPr>
        <w:jc w:val="both"/>
      </w:pPr>
    </w:p>
    <w:p w14:paraId="488417FF" w14:textId="7E283F5B" w:rsidR="001517BF" w:rsidRDefault="001517BF" w:rsidP="001517BF">
      <w:pPr>
        <w:jc w:val="both"/>
      </w:pPr>
      <w:r w:rsidRPr="001517BF">
        <w:t xml:space="preserve">The present paper focuses on migrant service-worker families in Kuala Lumpur, including those engaged in domestic work, construction, and other informal urban services. Although these families contribute significantly to the functioning of the city, their living conditions are often shaped by limited space, inadequate airflow, insufficient natural lighting, sanitation challenges, and the cumulative pressures of long-term urban survival. Existing housing research supports the importance of examining these domestic conditions closely. Work on migrant housing stress has shown that housing disadvantage is strongly associated with perceived </w:t>
      </w:r>
      <w:r w:rsidRPr="001517BF">
        <w:lastRenderedPageBreak/>
        <w:t>stress and poorer mental health among migrant populations, especially where residents are concentrated in informal or otherwise disadvantaged living environments</w:t>
      </w:r>
      <w:r w:rsidR="00203474">
        <w:t xml:space="preserve"> </w:t>
      </w:r>
      <w:r w:rsidR="00203474">
        <w:fldChar w:fldCharType="begin"/>
      </w:r>
      <w:r w:rsidR="008D73FF">
        <w:instrText xml:space="preserve"> ADDIN ZOTERO_ITEM CSL_CITATION {"citationID":"mKdiA41A","properties":{"formattedCitation":"(Li &amp; Liu, 2018)","plainCitation":"(Li &amp; Liu, 2018)","noteIndex":0},"citationItems":[{"id":20358,"uris":["http://zotero.org/users/1011003/items/VCYDI7CZ"],"itemData":{"id":20358,"type":"article-journal","abstract":"Social epidemiological studies have long understood housing as a social determinant of mental health. However, most studies have focused on the formal housing sector and the conceptualisation of housing is limited to the housing per se. This study aims to bridge the gap by investigating the mental health impact of housing disadvantages concerning the migrant population in China, who are largely excluded from the formal housing sector. Drawing from recent writings on stress as the intermediary agent between modern city life and mental illness, the study examines the relationship between housing and neighbourhood conditions, perceived stress and mental health status. Using a large-scale survey conducted in twelve Chinese cities in 2009, this research found that informal housing tenants have the highest level of perceived stress and worst mental health status compared to dormitory tenants and formal housing residents. Poor housing conditions are significantly associated with perceived stress but not with mental health, while the neighbourhood social environment significantly predicts both perceived stress and mental health. The paper concludes by calling for more ethnographic research on migrants' resilience and stress-coping strategies and more attention in urban planning and housing policy to address the vulnerability and adversity of migrant settlements.","container-title":"Cities","DOI":"10.1016/j.cities.2018.04.006","ISSN":"0264-2751","journalAbbreviation":"Cities","page":"172-179","source":"ScienceDirect","title":"Housing stress and mental health of migrant populations in urban China","URL":"https://www.sciencedirect.com/science/article/pii/S0264275117313355","volume":"81","author":[{"family":"Li","given":"Jie"},{"family":"Liu","given":"Zhilin"}],"accessed":{"date-parts":[["2026",4,16]]},"issued":{"date-parts":[["2018",11,1]]}}}],"schema":"https://github.com/citation-style-language/schema/raw/master/csl-citation.json"} </w:instrText>
      </w:r>
      <w:r w:rsidR="00203474">
        <w:fldChar w:fldCharType="separate"/>
      </w:r>
      <w:r w:rsidR="008D73FF">
        <w:rPr>
          <w:noProof/>
        </w:rPr>
        <w:t>(Li &amp; Liu, 2018)</w:t>
      </w:r>
      <w:r w:rsidR="00203474">
        <w:fldChar w:fldCharType="end"/>
      </w:r>
      <w:r w:rsidRPr="001517BF">
        <w:t xml:space="preserve">. </w:t>
      </w:r>
    </w:p>
    <w:p w14:paraId="5DE3A6BA" w14:textId="77777777" w:rsidR="00203474" w:rsidRPr="001517BF" w:rsidRDefault="00203474" w:rsidP="001517BF">
      <w:pPr>
        <w:jc w:val="both"/>
      </w:pPr>
    </w:p>
    <w:p w14:paraId="0E99688F" w14:textId="70835D84" w:rsidR="001517BF" w:rsidRDefault="001517BF" w:rsidP="001517BF">
      <w:pPr>
        <w:jc w:val="both"/>
      </w:pPr>
      <w:r w:rsidRPr="001517BF">
        <w:t>From the perspective of the built environment, these domestic challenges are not minor background issues. Indoor environmental quality research has consistently demonstrated that air quality, thermal conditions, and visual comfort are closely related to occupant well-being and comfort. Building conditions such as poor ventilation, dampness, weak lighting, and inadequate environmental management can therefore affect health not only directly, but also through discomfort, fatigue, disrupted rest, and reduced quality of everyday family life. Review evidence on home lighting further suggests that residential lighting conditions are linked to visual performance, safety, sleep, and broader health outcomes, reinforcing the importance of domestic environmental quality as a public health concern</w:t>
      </w:r>
      <w:r w:rsidR="00203474">
        <w:t xml:space="preserve"> </w:t>
      </w:r>
      <w:r w:rsidR="00203474">
        <w:fldChar w:fldCharType="begin"/>
      </w:r>
      <w:r w:rsidR="00086746">
        <w:instrText xml:space="preserve"> ADDIN ZOTERO_ITEM CSL_CITATION {"citationID":"oLH1NcUd","properties":{"formattedCitation":"(Osibona et al., 2021)","plainCitation":"(Osibona et al., 2021)","dontUpdate":true,"noteIndex":0},"citationItems":[{"id":20353,"uris":["http://zotero.org/users/1011003/items/87IGC23Q"],"itemData":{"id":20353,"type":"article-journal","abstract":"Poor housing is an important determinant of poor health. One key aspect of housing quality is lighting. Light is important for visual performance and safety, and also plays a vital role in regulating human physiological functions. This review aims to synthesise existing evidence on the relationship between lighting in the home and health and recommends areas for future research. Three databases were searched for relevant literature using pre-defined inclusion criteria. Study quality was assessed using the Newcastle Ottawa Scale. Extracted data were qualitatively synthesised according to type of lighting (natural light, artificial light and light at night) and stratified by broad health domains (physical, mental and sleep health). Of the 4043 records retrieved, 28 studies met the inclusion criteria. There was considerable heterogeneity in light exposure metrics used and specific health outcome assessed by the studies. Lighting in the home can negatively affect health but the current evidence base is limited to a small number of studies in different domains of light and health. Further research surrounding specific health outcomes is required to better inform housing quality assessments and lighting practises in the home.","container-title":"International Journal of Environmental Research and Public Health","DOI":"10.3390/ijerph18020609","ISSN":"1660-4601","issue":"2","journalAbbreviation":"IJERPH","language":"en","page":"609","source":"DOI.org (Crossref)","title":"Lighting in the Home and Health: A Systematic Review","title-short":"Lighting in the Home and Health","URL":"https://www.mdpi.com/1660-4601/18/2/609","volume":"18","author":[{"family":"Osibona","given":"Oluwapelumi"},{"family":"Solomon","given":"Bethlehem D."},{"family":"Fecht","given":"Daniela"}],"accessed":{"date-parts":[["2026",4,16]]},"issued":{"date-parts":[["2021",1,12]]}}},{"id":20355,"uris":["http://zotero.org/users/1011003/items/Q8U5TX7X"],"itemData":{"id":20355,"type":"article-journal","abstract":"Indoor environmental quality (IEQ) and its effect on occupant well-being and comfort is an important area of study. This paper presents a state of the art study through extensive review of the literature, by establishing links between IEQs and occupant well-being and comfort. A range of issues such as sick building syndrome, indoor air quality thermal comfort, visual comfort and acoustic comfort are considered in this paper. The complexity of the relationship between occupant comfort and well-being parameters with IEQ are further exacerbated due to relationships that these parameters have with each other as well. Based on the review of literature in these areas it is established that design of buildings needs to consider occupant well-being parameters right at the beginning. Some good practices in all these different areas have also been highlighted and documented in this paper. The knowledge established as part of this paper would be helpful for researchers, designer, engineers and facilities maintenance engineers. This paper will also be of great benefit to researchers who endeavour to undertake research in this area and could act as a good starting point for them.","container-title":"International Journal of Sustainable Built Environment","DOI":"10.1016/j.ijsbe.2016.03.006","ISSN":"2212-6090","issue":"1","journalAbbreviation":"International Journal of Sustainable Built Environment","page":"1-11","source":"ScienceDirect","title":"Impact of indoor environmental quality on occupant well-being and comfort: A review of the literature","title-short":"Impact of indoor environmental quality on occupant well-being and comfort","URL":"https://www.sciencedirect.com/science/article/pii/S2212609016300140","volume":"5","author":[{"family":"Al horr","given":"Yousef"},{"family":"Arif","given":"Mohammed"},{"family":"Katafygiotou","given":"Martha"},{"family":"Mazroei","given":"Ahmed"},{"family":"Kaushik","given":"Amit"},{"family":"Elsarrag","given":"Esam"}],"accessed":{"date-parts":[["2026",4,16]]},"issued":{"date-parts":[["2016",6,1]]}}}],"schema":"https://github.com/citation-style-language/schema/raw/master/csl-citation.json"} </w:instrText>
      </w:r>
      <w:r w:rsidR="00203474">
        <w:fldChar w:fldCharType="separate"/>
      </w:r>
      <w:r w:rsidR="00203474">
        <w:rPr>
          <w:noProof/>
        </w:rPr>
        <w:t xml:space="preserve"> </w:t>
      </w:r>
      <w:r w:rsidR="00A3251F">
        <w:rPr>
          <w:noProof/>
        </w:rPr>
        <w:t>(</w:t>
      </w:r>
      <w:r w:rsidR="00203474">
        <w:rPr>
          <w:noProof/>
        </w:rPr>
        <w:t>Osibona et al., 2021)</w:t>
      </w:r>
      <w:r w:rsidR="00203474">
        <w:fldChar w:fldCharType="end"/>
      </w:r>
      <w:r w:rsidRPr="001517BF">
        <w:t xml:space="preserve">. </w:t>
      </w:r>
    </w:p>
    <w:p w14:paraId="28137408" w14:textId="77777777" w:rsidR="00203474" w:rsidRPr="001517BF" w:rsidRDefault="00203474" w:rsidP="001517BF">
      <w:pPr>
        <w:jc w:val="both"/>
      </w:pPr>
    </w:p>
    <w:p w14:paraId="2E4CDE0A" w14:textId="4561D0A2" w:rsidR="001517BF" w:rsidRDefault="001517BF" w:rsidP="001517BF">
      <w:pPr>
        <w:jc w:val="both"/>
      </w:pPr>
      <w:r w:rsidRPr="001517BF">
        <w:t>The housing situation of migrant workers also needs to be understood as an issue of equity. Recent research on migrant farmworker housing in Canada has shown that overcrowding, environmental hazards, and structural deficiencies in worker housing can harm both physical and mental health, while also reflecting broader inequalities in power and access. Although the occupational and national context differs from that of Kuala Lumpur, the underlying lesson remains relevant: migrant households often experience environmental disadvantage not because housing quality is unimportant, but because structural vulnerability limits their ability to secure healthier living conditions</w:t>
      </w:r>
      <w:r w:rsidR="001F3AE7">
        <w:t xml:space="preserve"> </w:t>
      </w:r>
      <w:r w:rsidR="001F3AE7">
        <w:fldChar w:fldCharType="begin"/>
      </w:r>
      <w:r w:rsidR="00086746">
        <w:instrText xml:space="preserve"> ADDIN ZOTERO_ITEM CSL_CITATION {"citationID":"6txup43f","properties":{"formattedCitation":"(Rana et al., 2025)","plainCitation":"(Rana et al., 2025)","dontUpdate":true,"noteIndex":0},"citationItems":[{"id":20347,"uris":["http://zotero.org/users/1011003/items/I2G2Y4KB"],"itemData":{"id":20347,"type":"article-journal","abstract":"Background Migrant and refugee populations are disproportionately affected by the housing crises reportedly impacting high-income countries around the globe. However, the health implications of housing inequalities within these communities and contexts remain relatively understudied. This review aimed to synthesise the evidence on housing and health inequalities prevalent among migrant and refugee populations in high-income countries, and to identify the pathways linking housing inequalities and health outcomes. Methods This systematic review employed the Joanna Briggs Institute (JBI) methodology for mixed-methods systematic reviews using a convergent integrated approach to synthesis and integration. Electronic database searches were conducted using Medline (OVID), Web of Science (ISI), Embase (OVID), PsycInfo (OVID), Scopus, and CINAHL (EBSCO), supplemented by grey literature searches on Google Scholar, MedNar, and WHOLIS. Eligible studies included quantitative, qualitative, and mixed methods designs focused on understanding how housing inequalities are associated with physical and mental health outcomes. Results A total of 65 studies published between 1995 and 2024 were included in this review, comprising 38 quantitative and 27 qualitative studies. Substandard housing conditions, such as overcrowding and poor ventilation, were consistently associated with adverse physical and mental health outcomes, including respiratory illnesses and experiences of anxiety and depression. The type of housing tenure also impacted both physical and mental health, specifically living in inadequate rental housing as opposed to self-owned homes, was linked with poorer physical health and increased risk of mental health issues. Similarly, housing insecurity stemming from unstable housing situations and insecure tenancy, as well as neighbourhood conditions such as safety concerns and living in deprived neighbourhoods, led to the exacerbation of both physical and mental health issues. Furthermore, housing affordability challenges and decreased housing satisfaction were linked with poor mental health outcomes such as experiences of depression and psychological distress. Conclusions This review highlights the critical role of housing as a social determinant of health and wellbeing for migrant and refugee populations in high-income countries, along with highlighting the potential pathways through which housing inequalities impact physical and mental health outcomes. Ensuring access to adequate, affordable, and secure housing, while also improving neighbourhood conditions, is essential for improving the health and wellbeing of migrant and refugee populations.","container-title":"BMC Public Health","DOI":"10.1186/s12889-025-22186-5","ISSN":"1471-2458","issue":"1","language":"En","license":"2025 The Author(s)","page":"1098","publisher":"BioMed Central","source":"link.springer.com","title":"Housing inequalities and health outcomes among migrant and refugee populations in high-income countries: a mixed-methods systematic review","title-short":"Housing inequalities and health outcomes among migrant and refugee populations in high-income countries","URL":"https://link.springer.com/article/10.1186/s12889-025-22186-5","volume":"25","author":[{"family":"Rana","given":"Kritika"},{"family":"Kent","given":"Jennifer L."},{"family":"Page","given":"Andrew"}],"accessed":{"date-parts":[["2026",4,16]]},"issued":{"date-parts":[["2025",3,22]]}}},{"id":20349,"uris":["http://zotero.org/users/1011003/items/ETYT8FMX"],"itemData":{"id":20349,"type":"article-journal","abstract":"Health scholars are becoming increasingly attuned to the intimate ties between a person's housing and their access to mental and physical health. However, existing models for understanding the link between housing and health equity do not adequately theorize why inequities arise and persist, who benefits from these social arrangements, and how they operate transnationally. How do domestic and global dynamics of political economy shape housing and health equity for migrant farmworkers? How can conceptual models of housing and health equity better account for political economy? To answer these conceptual questions, our study examines the empirical case of migrant agricultural workers in Canada. Migrant worker housing provides a pertinent case for better conceptualizing capitalist power dynamics in housing and health equity on a global scale. Specifically, we draw on in-depth interviews conducted between 2021 and 2022 with 151 migrant workers Ontario and British Columbia. Participants' housing and health concerns aligned with existing literature, including issues such as overcrowding and barriers to health care due to a remote rural location. Our analysis identified three empirical themes: Precarity, Paternalism, and a lack of Political Participation. Drawing from these insights, we recommend a refined model of housing and health equity that keeps an analytical lens trained on global racial capitalism.","container-title":"Social Science &amp; Medicine","DOI":"10.1016/j.socscimed.2024.117067","ISSN":"0277-9536","journalAbbreviation":"Social Science &amp; Medicine","page":"117067","source":"ScienceDirect","title":"Housing, health equity, and global capitalist power: Migrant farmworkers in Canada","title-short":"Housing, health equity, and global capitalist power","URL":"https://www.sciencedirect.com/science/article/pii/S0277953624005203","volume":"354","author":[{"family":"Weiler","given":"Anelyse M."},{"family":"Caxaj","given":"C. Susana"}],"accessed":{"date-parts":[["2026",4,16]]},"issued":{"date-parts":[["2024",8,1]]}}}],"schema":"https://github.com/citation-style-language/schema/raw/master/csl-citation.json"} </w:instrText>
      </w:r>
      <w:r w:rsidR="001F3AE7">
        <w:fldChar w:fldCharType="separate"/>
      </w:r>
      <w:r w:rsidR="001F3AE7">
        <w:rPr>
          <w:noProof/>
        </w:rPr>
        <w:t xml:space="preserve"> </w:t>
      </w:r>
      <w:r w:rsidR="00086746">
        <w:rPr>
          <w:noProof/>
        </w:rPr>
        <w:t>(</w:t>
      </w:r>
      <w:r w:rsidR="001F3AE7">
        <w:rPr>
          <w:noProof/>
        </w:rPr>
        <w:t>Rana et al., 2025)</w:t>
      </w:r>
      <w:r w:rsidR="001F3AE7">
        <w:fldChar w:fldCharType="end"/>
      </w:r>
      <w:r w:rsidRPr="001517BF">
        <w:t xml:space="preserve">. </w:t>
      </w:r>
    </w:p>
    <w:p w14:paraId="650A0BA7" w14:textId="77777777" w:rsidR="00203474" w:rsidRPr="001517BF" w:rsidRDefault="00203474" w:rsidP="001517BF">
      <w:pPr>
        <w:jc w:val="both"/>
      </w:pPr>
    </w:p>
    <w:p w14:paraId="55EEDFED" w14:textId="548DA30D" w:rsidR="001517BF" w:rsidRPr="001517BF" w:rsidRDefault="001517BF" w:rsidP="001517BF">
      <w:pPr>
        <w:jc w:val="both"/>
      </w:pPr>
      <w:r w:rsidRPr="001517BF">
        <w:t>Within this context, community service in architecture and building engineering can make a practical contribution by translating environmental knowledge into realistic household-level action. For vulnerable migrant families, health promotion is more effective when it is connected to the actual domestic setting in which daily life takes place. A field-based and participatory approach can therefore help families recognize how ventilation, lighting, hygiene, moisture control, household safety, waste management, and spatial organization shape well-being in everyday life. This paper presents a community service program conducted with migrant service-worker families in Kuala Lumpur and argues that context-sensitive spatial guidance can strengthen domestic environmental health and family resilience in dense urban migrant settings</w:t>
      </w:r>
      <w:r w:rsidR="001F3AE7">
        <w:t xml:space="preserve"> </w:t>
      </w:r>
      <w:r w:rsidR="00407872">
        <w:fldChar w:fldCharType="begin"/>
      </w:r>
      <w:r w:rsidR="00086746">
        <w:instrText xml:space="preserve"> ADDIN ZOTERO_ITEM CSL_CITATION {"citationID":"P19SiSF6","properties":{"formattedCitation":"(Al horr et al., 2016)","plainCitation":"(Al horr et al., 2016)","dontUpdate":true,"noteIndex":0},"citationItems":[{"id":20355,"uris":["http://zotero.org/users/1011003/items/Q8U5TX7X"],"itemData":{"id":20355,"type":"article-journal","abstract":"Indoor environmental quality (IEQ) and its effect on occupant well-being and comfort is an important area of study. This paper presents a state of the art study through extensive review of the literature, by establishing links between IEQs and occupant well-being and comfort. A range of issues such as sick building syndrome, indoor air quality thermal comfort, visual comfort and acoustic comfort are considered in this paper. The complexity of the relationship between occupant comfort and well-being parameters with IEQ are further exacerbated due to relationships that these parameters have with each other as well. Based on the review of literature in these areas it is established that design of buildings needs to consider occupant well-being parameters right at the beginning. Some good practices in all these different areas have also been highlighted and documented in this paper. The knowledge established as part of this paper would be helpful for researchers, designer, engineers and facilities maintenance engineers. This paper will also be of great benefit to researchers who endeavour to undertake research in this area and could act as a good starting point for them.","container-title":"International Journal of Sustainable Built Environment","DOI":"10.1016/j.ijsbe.2016.03.006","ISSN":"2212-6090","issue":"1","journalAbbreviation":"International Journal of Sustainable Built Environment","page":"1-11","source":"ScienceDirect","title":"Impact of indoor environmental quality on occupant well-being and comfort: A review of the literature","title-short":"Impact of indoor environmental quality on occupant well-being and comfort","URL":"https://www.sciencedirect.com/science/article/pii/S2212609016300140","volume":"5","author":[{"family":"Al horr","given":"Yousef"},{"family":"Arif","given":"Mohammed"},{"family":"Katafygiotou","given":"Martha"},{"family":"Mazroei","given":"Ahmed"},{"family":"Kaushik","given":"Amit"},{"family":"Elsarrag","given":"Esam"}],"accessed":{"date-parts":[["2026",4,16]]},"issued":{"date-parts":[["2016",6,1]]}}},{"id":"owZssxfv/Tfgp9jvy","uris":["http://zotero.org/users/1011003/items/AZ4ANZFY"],"itemData":{"id":20370,"type":"article-journal","language":"en","source":"www.thelancet.com","title":"Housing as a social determinant of health: a contemporary framework","title-short":"Housing as a social determinant of health","URL":"https://www.thelancet.com/journals/lanpub/article/PIIS2468-2667%2825%2900142-2/fulltext?utm_source=chatgpt.com","author":[{"family":"Bentley","given":"Rebecca"},{"family":"Mason","given":"Kate"},{"family":"Jacobs","given":"David"},{"family":"Blakely","given":"Tony"},{"family":"Howden-Chapman","given":"Philippa"},{"family":"Li","given":"Ang"},{"family":"Adamkiewicz","given":"Gary"},{"family":"Reeves","given":"Aaron"}],"accessed":{"date-parts":[["2026",4,16]]},"issued":{"date-parts":[["2025"]]}}}],"schema":"https://github.com/citation-style-language/schema/raw/master/csl-citation.json"} </w:instrText>
      </w:r>
      <w:r w:rsidR="00407872">
        <w:fldChar w:fldCharType="separate"/>
      </w:r>
      <w:r w:rsidR="00407872">
        <w:rPr>
          <w:noProof/>
        </w:rPr>
        <w:t xml:space="preserve"> </w:t>
      </w:r>
      <w:r w:rsidR="00086746">
        <w:rPr>
          <w:noProof/>
        </w:rPr>
        <w:t>(</w:t>
      </w:r>
      <w:r w:rsidR="00407872">
        <w:rPr>
          <w:noProof/>
        </w:rPr>
        <w:t>Al horr et al., 2016)</w:t>
      </w:r>
      <w:r w:rsidR="00407872">
        <w:fldChar w:fldCharType="end"/>
      </w:r>
      <w:r w:rsidRPr="001517BF">
        <w:t xml:space="preserve">. </w:t>
      </w:r>
    </w:p>
    <w:p w14:paraId="274456E8" w14:textId="77777777" w:rsidR="001517BF" w:rsidRDefault="001517BF" w:rsidP="001517BF">
      <w:pPr>
        <w:jc w:val="both"/>
      </w:pPr>
    </w:p>
    <w:p w14:paraId="6D71D8C4" w14:textId="77777777" w:rsidR="001517BF" w:rsidRPr="001517BF" w:rsidRDefault="001517BF" w:rsidP="001517BF">
      <w:pPr>
        <w:jc w:val="both"/>
      </w:pPr>
    </w:p>
    <w:p w14:paraId="6DF1BBB3" w14:textId="77777777" w:rsidR="001517BF" w:rsidRPr="001517BF" w:rsidRDefault="001517BF" w:rsidP="00B6486A">
      <w:pPr>
        <w:pStyle w:val="Heading1"/>
      </w:pPr>
      <w:r w:rsidRPr="001517BF">
        <w:t>METHODOLOGY</w:t>
      </w:r>
    </w:p>
    <w:p w14:paraId="10BF4BD2" w14:textId="0F14FD52" w:rsidR="001517BF" w:rsidRDefault="001517BF" w:rsidP="00203474">
      <w:pPr>
        <w:jc w:val="both"/>
      </w:pPr>
    </w:p>
    <w:p w14:paraId="6583A62B" w14:textId="58B51F82" w:rsidR="00203474" w:rsidRDefault="00203474" w:rsidP="00203474">
      <w:pPr>
        <w:jc w:val="both"/>
      </w:pPr>
      <w:r w:rsidRPr="00203474">
        <w:t>This community service program adopted a field-based, participatory, and problem-oriented approach to improve domestic environmental health among migrant service-worker families in Kuala Lumpur. The methodological design was structured as an applied community engagement model rather than an experimental study. It combined on-site observation, participatory discussion, environmental health education, and practical technical guidance for low-cost household improvement. This approach was selected because housing quality and indoor environmental conditions are strongly associated with health and well-being, while migrant populations often face layered housing disadvantages that require context-sensitive and feasible interventions rather than idealized design solutions</w:t>
      </w:r>
      <w:r w:rsidR="001F3AE7">
        <w:t xml:space="preserve"> </w:t>
      </w:r>
      <w:r w:rsidR="001F3AE7">
        <w:fldChar w:fldCharType="begin"/>
      </w:r>
      <w:r w:rsidR="00086746">
        <w:instrText xml:space="preserve"> ADDIN ZOTERO_ITEM CSL_CITATION {"citationID":"nd1nIJv9","properties":{"formattedCitation":"(Li &amp; Liu, 2018)","plainCitation":"(Li &amp; Liu, 2018)","dontUpdate":true,"noteIndex":0},"citationItems":[{"id":20358,"uris":["http://zotero.org/users/1011003/items/VCYDI7CZ"],"itemData":{"id":20358,"type":"article-journal","abstract":"Social epidemiological studies have long understood housing as a social determinant of mental health. However, most studies have focused on the formal housing sector and the conceptualisation of housing is limited to the housing per se. This study aims to bridge the gap by investigating the mental health impact of housing disadvantages concerning the migrant population in China, who are largely excluded from the formal housing sector. Drawing from recent writings on stress as the intermediary agent between modern city life and mental illness, the study examines the relationship between housing and neighbourhood conditions, perceived stress and mental health status. Using a large-scale survey conducted in twelve Chinese cities in 2009, this research found that informal housing tenants have the highest level of perceived stress and worst mental health status compared to dormitory tenants and formal housing residents. Poor housing conditions are significantly associated with perceived stress but not with mental health, while the neighbourhood social environment significantly predicts both perceived stress and mental health. The paper concludes by calling for more ethnographic research on migrants' resilience and stress-coping strategies and more attention in urban planning and housing policy to address the vulnerability and adversity of migrant settlements.","container-title":"Cities","DOI":"10.1016/j.cities.2018.04.006","ISSN":"0264-2751","journalAbbreviation":"Cities","page":"172-179","source":"ScienceDirect","title":"Housing stress and mental health of migrant populations in urban China","URL":"https://www.sciencedirect.com/science/article/pii/S0264275117313355","volume":"81","author":[{"family":"Li","given":"Jie"},{"family":"Liu","given":"Zhilin"}],"accessed":{"date-parts":[["2026",4,16]]},"issued":{"date-parts":[["2018",11,1]]}}},{"id":"owZssxfv/Tfgp9jvy","uris":["http://zotero.org/users/1011003/items/AZ4ANZFY"],"itemData":{"id":20370,"type":"article-journal","language":"en","source":"www.thelancet.com","title":"Housing as a social determinant of health: a contemporary framework","title-short":"Housing as a social determinant of health","URL":"https://www.thelancet.com/journals/lanpub/article/PIIS2468-2667%2825%2900142-2/fulltext?utm_source=chatgpt.com","author":[{"family":"Bentley","given":"Rebecca"},{"family":"Mason","given":"Kate"},{"family":"Jacobs","given":"David"},{"family":"Blakely","given":"Tony"},{"family":"Howden-Chapman","given":"Philippa"},{"family":"Li","given":"Ang"},{"family":"Adamkiewicz","given":"Gary"},{"family":"Reeves","given":"Aaron"}],"accessed":{"date-parts":[["2026",4,16]]},"issued":{"date-parts":[["2025"]]}}},{"id":20355,"uris":["http://zotero.org/users/1011003/items/Q8U5TX7X"],"itemData":{"id":20355,"type":"article-journal","abstract":"Indoor environmental quality (IEQ) and its effect on occupant well-being and comfort is an important area of study. This paper presents a state of the art study through extensive review of the literature, by establishing links between IEQs and occupant well-being and comfort. A range of issues such as sick building syndrome, indoor air quality thermal comfort, visual comfort and acoustic comfort are considered in this paper. The complexity of the relationship between occupant comfort and well-being parameters with IEQ are further exacerbated due to relationships that these parameters have with each other as well. Based on the review of literature in these areas it is established that design of buildings needs to consider occupant well-being parameters right at the beginning. Some good practices in all these different areas have also been highlighted and documented in this paper. The knowledge established as part of this paper would be helpful for researchers, designer, engineers and facilities maintenance engineers. This paper will also be of great benefit to researchers who endeavour to undertake research in this area and could act as a good starting point for them.","container-title":"International Journal of Sustainable Built Environment","DOI":"10.1016/j.ijsbe.2016.03.006","ISSN":"2212-6090","issue":"1","journalAbbreviation":"International Journal of Sustainable Built Environment","page":"1-11","source":"ScienceDirect","title":"Impact of indoor environmental quality on occupant well-being and comfort: A review of the literature","title-short":"Impact of indoor environmental quality on occupant well-being and comfort","URL":"https://www.sciencedirect.com/science/article/pii/S2212609016300140","volume":"5","author":[{"family":"Al horr","given":"Yousef"},{"family":"Arif","given":"Mohammed"},{"family":"Katafygiotou","given":"Martha"},{"family":"Mazroei","given":"Ahmed"},{"family":"Kaushik","given":"Amit"},{"family":"Elsarrag","given":"Esam"}],"accessed":{"date-parts":[["2026",4,16]]},"issued":{"date-parts":[["2016",6,1]]}}}],"schema":"https://github.com/citation-style-language/schema/raw/master/csl-citation.json"} </w:instrText>
      </w:r>
      <w:r w:rsidR="001F3AE7">
        <w:fldChar w:fldCharType="separate"/>
      </w:r>
      <w:r w:rsidR="001F3AE7">
        <w:rPr>
          <w:noProof/>
        </w:rPr>
        <w:t xml:space="preserve"> </w:t>
      </w:r>
      <w:r w:rsidR="00086746">
        <w:rPr>
          <w:noProof/>
        </w:rPr>
        <w:t>(</w:t>
      </w:r>
      <w:r w:rsidR="001F3AE7">
        <w:rPr>
          <w:noProof/>
        </w:rPr>
        <w:t>Li &amp; Liu, 2018)</w:t>
      </w:r>
      <w:r w:rsidR="001F3AE7">
        <w:fldChar w:fldCharType="end"/>
      </w:r>
      <w:r w:rsidRPr="00203474">
        <w:t xml:space="preserve">. </w:t>
      </w:r>
    </w:p>
    <w:p w14:paraId="544A26DF" w14:textId="77777777" w:rsidR="00ED1555" w:rsidRDefault="00ED1555" w:rsidP="00203474">
      <w:pPr>
        <w:jc w:val="both"/>
      </w:pPr>
    </w:p>
    <w:p w14:paraId="3EBD1124" w14:textId="28ECF588" w:rsidR="00ED1555" w:rsidRPr="00ED1555" w:rsidRDefault="00ED1555" w:rsidP="00203474">
      <w:pPr>
        <w:jc w:val="both"/>
      </w:pPr>
      <w:r w:rsidRPr="00ED1555">
        <w:t xml:space="preserve">To provide clearer geographical context for the implementation of the community service program, the study site is shown at both regional and local scales. The activity was conducted in Lorong Sungai Mulia 5, Sungai Mulia, Kuala Lumpur, Malaysia, an urban residential area occupied by long-term migrant service-worker families living in modest and spatially constrained domestic environments. Presenting the location at two spatial levels is important for situating the observed domestic conditions within the wider urban setting of Kuala Lumpur as well as within the immediate </w:t>
      </w:r>
      <w:proofErr w:type="spellStart"/>
      <w:r w:rsidRPr="00ED1555">
        <w:t>neighborhood</w:t>
      </w:r>
      <w:proofErr w:type="spellEnd"/>
      <w:r w:rsidRPr="00ED1555">
        <w:t xml:space="preserve"> context of the intervention site.</w:t>
      </w:r>
    </w:p>
    <w:p w14:paraId="78C1CAA6" w14:textId="77777777" w:rsidR="004864AE" w:rsidRDefault="004864AE" w:rsidP="00203474">
      <w:pPr>
        <w:jc w:val="both"/>
      </w:pPr>
    </w:p>
    <w:p w14:paraId="2F274A14" w14:textId="01319CAC" w:rsidR="004864AE" w:rsidRDefault="004864AE" w:rsidP="00203474">
      <w:pPr>
        <w:jc w:val="both"/>
      </w:pPr>
      <w:r w:rsidRPr="004864AE">
        <w:rPr>
          <w:noProof/>
          <w:lang w:val="en-IN" w:eastAsia="en-IN"/>
        </w:rPr>
        <w:lastRenderedPageBreak/>
        <w:drawing>
          <wp:inline distT="0" distB="0" distL="0" distR="0" wp14:anchorId="79C88F66" wp14:editId="5002507C">
            <wp:extent cx="3327789" cy="2201820"/>
            <wp:effectExtent l="0" t="0" r="0" b="0"/>
            <wp:docPr id="1611816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816653" name=""/>
                    <pic:cNvPicPr/>
                  </pic:nvPicPr>
                  <pic:blipFill>
                    <a:blip r:embed="rId7"/>
                    <a:stretch>
                      <a:fillRect/>
                    </a:stretch>
                  </pic:blipFill>
                  <pic:spPr>
                    <a:xfrm>
                      <a:off x="0" y="0"/>
                      <a:ext cx="3390428" cy="2243265"/>
                    </a:xfrm>
                    <a:prstGeom prst="rect">
                      <a:avLst/>
                    </a:prstGeom>
                  </pic:spPr>
                </pic:pic>
              </a:graphicData>
            </a:graphic>
          </wp:inline>
        </w:drawing>
      </w:r>
      <w:r>
        <w:t xml:space="preserve">  </w:t>
      </w:r>
      <w:r w:rsidRPr="004864AE">
        <w:rPr>
          <w:noProof/>
          <w:lang w:val="en-IN" w:eastAsia="en-IN"/>
        </w:rPr>
        <w:drawing>
          <wp:inline distT="0" distB="0" distL="0" distR="0" wp14:anchorId="67542582" wp14:editId="5688F0EE">
            <wp:extent cx="3343491" cy="2212209"/>
            <wp:effectExtent l="0" t="0" r="0" b="0"/>
            <wp:docPr id="1743048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48000" name=""/>
                    <pic:cNvPicPr/>
                  </pic:nvPicPr>
                  <pic:blipFill>
                    <a:blip r:embed="rId8"/>
                    <a:stretch>
                      <a:fillRect/>
                    </a:stretch>
                  </pic:blipFill>
                  <pic:spPr>
                    <a:xfrm>
                      <a:off x="0" y="0"/>
                      <a:ext cx="3427492" cy="2267788"/>
                    </a:xfrm>
                    <a:prstGeom prst="rect">
                      <a:avLst/>
                    </a:prstGeom>
                  </pic:spPr>
                </pic:pic>
              </a:graphicData>
            </a:graphic>
          </wp:inline>
        </w:drawing>
      </w:r>
    </w:p>
    <w:p w14:paraId="3C4A742D" w14:textId="77777777" w:rsidR="004864AE" w:rsidRDefault="004864AE" w:rsidP="00203474">
      <w:pPr>
        <w:jc w:val="both"/>
      </w:pPr>
    </w:p>
    <w:p w14:paraId="3165CB6F" w14:textId="180F0D4F" w:rsidR="004864AE" w:rsidRDefault="00ED1555" w:rsidP="00203474">
      <w:pPr>
        <w:jc w:val="both"/>
      </w:pPr>
      <w:r w:rsidRPr="00ED1555">
        <w:t>Figure 1. Location of the community service site at Lorong Sungai Mulia 5, Sungai Mulia, Kuala Lumpur, Malaysia</w:t>
      </w:r>
    </w:p>
    <w:p w14:paraId="41BB3DFF" w14:textId="77777777" w:rsidR="00ED1555" w:rsidRDefault="00ED1555" w:rsidP="00203474">
      <w:pPr>
        <w:jc w:val="both"/>
      </w:pPr>
    </w:p>
    <w:p w14:paraId="68EA5397" w14:textId="77E022CA" w:rsidR="00ED1555" w:rsidRPr="00203474" w:rsidRDefault="00ED1555" w:rsidP="00203474">
      <w:pPr>
        <w:jc w:val="both"/>
      </w:pPr>
      <w:r w:rsidRPr="00ED1555">
        <w:t>As shown in Figure 1, the intervention site is located within a dense urban area of Kuala Lumpur, where domestic life is shaped by limited residential space, close building proximity, and everyday environmental pressures typical of long-term migrant settlement areas. This locational context is methodologically relevant because domestic environmental health cannot be separated from the broader spatial conditions in which housing is situated. The mapping therefore supports the field-based approach of this study by clarifying where the observed living conditions, participatory discussions, and practical guidance activities took place.</w:t>
      </w:r>
    </w:p>
    <w:p w14:paraId="7079BEBD" w14:textId="77777777" w:rsidR="00407872" w:rsidRDefault="00407872" w:rsidP="00203474">
      <w:pPr>
        <w:jc w:val="both"/>
        <w:rPr>
          <w:b/>
          <w:bCs/>
        </w:rPr>
      </w:pPr>
    </w:p>
    <w:p w14:paraId="0E52C6CC" w14:textId="77777777" w:rsidR="00407872" w:rsidRDefault="00407872" w:rsidP="00203474">
      <w:pPr>
        <w:jc w:val="both"/>
        <w:rPr>
          <w:b/>
          <w:bCs/>
        </w:rPr>
      </w:pPr>
    </w:p>
    <w:p w14:paraId="068ABD5B" w14:textId="0997598A" w:rsidR="00203474" w:rsidRPr="00203474" w:rsidRDefault="00203474" w:rsidP="00203474">
      <w:pPr>
        <w:jc w:val="both"/>
        <w:rPr>
          <w:b/>
          <w:bCs/>
        </w:rPr>
      </w:pPr>
      <w:r w:rsidRPr="00203474">
        <w:rPr>
          <w:b/>
          <w:bCs/>
        </w:rPr>
        <w:t>Study setting and target group</w:t>
      </w:r>
    </w:p>
    <w:p w14:paraId="138EF798" w14:textId="34844ED0" w:rsidR="00203474" w:rsidRDefault="00203474" w:rsidP="00203474">
      <w:pPr>
        <w:jc w:val="both"/>
      </w:pPr>
      <w:r w:rsidRPr="00203474">
        <w:t>The activity was conducted in Kuala Lumpur, Malaysia, and focused on long-term migrant service-worker families living in modest or rented urban housing. The target group included families engaged in domestic work, construction, and other informal or service-based urban occupations, as reflected in the draft paper. The methodological relevance of this target group lies in the close relationship between migrant housing conditions, cumulative housing stress, and family well-being. Previous research has shown that migrant populations living in disadvantaged or informal housing experience higher perceived stress and poorer mental health, while broader reviews have linked overcrowding, inadequate ventilation, and other housing inequalities to adverse physical and psychosocial outcomes</w:t>
      </w:r>
      <w:r w:rsidR="001F3AE7">
        <w:t xml:space="preserve"> </w:t>
      </w:r>
      <w:r w:rsidR="001F3AE7">
        <w:fldChar w:fldCharType="begin"/>
      </w:r>
      <w:r w:rsidR="001F3AE7">
        <w:instrText xml:space="preserve"> ADDIN ZOTERO_ITEM CSL_CITATION {"citationID":"thWyWA90","properties":{"formattedCitation":"(Rana et al., 2025)","plainCitation":"(Rana et al., 2025)","noteIndex":0},"citationItems":[{"id":20347,"uris":["http://zotero.org/users/1011003/items/I2G2Y4KB"],"itemData":{"id":20347,"type":"article-journal","abstract":"Background Migrant and refugee populations are disproportionately affected by the housing crises reportedly impacting high-income countries around the globe. However, the health implications of housing inequalities within these communities and contexts remain relatively understudied. This review aimed to synthesise the evidence on housing and health inequalities prevalent among migrant and refugee populations in high-income countries, and to identify the pathways linking housing inequalities and health outcomes. Methods This systematic review employed the Joanna Briggs Institute (JBI) methodology for mixed-methods systematic reviews using a convergent integrated approach to synthesis and integration. Electronic database searches were conducted using Medline (OVID), Web of Science (ISI), Embase (OVID), PsycInfo (OVID), Scopus, and CINAHL (EBSCO), supplemented by grey literature searches on Google Scholar, MedNar, and WHOLIS. Eligible studies included quantitative, qualitative, and mixed methods designs focused on understanding how housing inequalities are associated with physical and mental health outcomes. Results A total of 65 studies published between 1995 and 2024 were included in this review, comprising 38 quantitative and 27 qualitative studies. Substandard housing conditions, such as overcrowding and poor ventilation, were consistently associated with adverse physical and mental health outcomes, including respiratory illnesses and experiences of anxiety and depression. The type of housing tenure also impacted both physical and mental health, specifically living in inadequate rental housing as opposed to self-owned homes, was linked with poorer physical health and increased risk of mental health issues. Similarly, housing insecurity stemming from unstable housing situations and insecure tenancy, as well as neighbourhood conditions such as safety concerns and living in deprived neighbourhoods, led to the exacerbation of both physical and mental health issues. Furthermore, housing affordability challenges and decreased housing satisfaction were linked with poor mental health outcomes such as experiences of depression and psychological distress. Conclusions This review highlights the critical role of housing as a social determinant of health and wellbeing for migrant and refugee populations in high-income countries, along with highlighting the potential pathways through which housing inequalities impact physical and mental health outcomes. Ensuring access to adequate, affordable, and secure housing, while also improving neighbourhood conditions, is essential for improving the health and wellbeing of migrant and refugee populations.","container-title":"BMC Public Health","DOI":"10.1186/s12889-025-22186-5","ISSN":"1471-2458","issue":"1","language":"En","license":"2025 The Author(s)","page":"1098","publisher":"BioMed Central","source":"link.springer.com","title":"Housing inequalities and health outcomes among migrant and refugee populations in high-income countries: a mixed-methods systematic review","title-short":"Housing inequalities and health outcomes among migrant and refugee populations in high-income countries","URL":"https://link.springer.com/article/10.1186/s12889-025-22186-5","volume":"25","author":[{"family":"Rana","given":"Kritika"},{"family":"Kent","given":"Jennifer L."},{"family":"Page","given":"Andrew"}],"accessed":{"date-parts":[["2026",4,16]]},"issued":{"date-parts":[["2025",3,22]]}}}],"schema":"https://github.com/citation-style-language/schema/raw/master/csl-citation.json"} </w:instrText>
      </w:r>
      <w:r w:rsidR="001F3AE7">
        <w:fldChar w:fldCharType="separate"/>
      </w:r>
      <w:r w:rsidR="001F3AE7">
        <w:rPr>
          <w:noProof/>
        </w:rPr>
        <w:t>(Rana et al., 2025)</w:t>
      </w:r>
      <w:r w:rsidR="001F3AE7">
        <w:fldChar w:fldCharType="end"/>
      </w:r>
      <w:r w:rsidRPr="00203474">
        <w:t xml:space="preserve">. </w:t>
      </w:r>
    </w:p>
    <w:p w14:paraId="0253B2E6" w14:textId="77777777" w:rsidR="00203474" w:rsidRPr="00203474" w:rsidRDefault="00203474" w:rsidP="00203474">
      <w:pPr>
        <w:jc w:val="both"/>
      </w:pPr>
    </w:p>
    <w:p w14:paraId="6EBD4A26" w14:textId="77777777" w:rsidR="00203474" w:rsidRPr="00203474" w:rsidRDefault="00203474" w:rsidP="00203474">
      <w:pPr>
        <w:jc w:val="both"/>
        <w:rPr>
          <w:b/>
          <w:bCs/>
        </w:rPr>
      </w:pPr>
      <w:r w:rsidRPr="00203474">
        <w:rPr>
          <w:b/>
          <w:bCs/>
        </w:rPr>
        <w:t>Service approach</w:t>
      </w:r>
    </w:p>
    <w:p w14:paraId="6ED27C07" w14:textId="77777777" w:rsidR="00203474" w:rsidRPr="00203474" w:rsidRDefault="00203474" w:rsidP="00203474">
      <w:pPr>
        <w:jc w:val="both"/>
      </w:pPr>
      <w:r w:rsidRPr="00203474">
        <w:t xml:space="preserve">The program used a participatory health-oriented service approach. Community members were engaged not only as recipients of information but also as active participants in identifying domestic environmental problems, discussing everyday routines, and considering realistic ways to improve their living conditions. This approach is consistent with participatory health research involving migrant communities, which emphasizes the value of involving migrants in defining problems, shaping interventions, and producing knowledge that is grounded in lived experience. For this paper, participation was especially important because domestic environmental health is closely tied to daily practices, constraints of rental housing, and culturally embedded household routines. </w:t>
      </w:r>
    </w:p>
    <w:p w14:paraId="64BF6797" w14:textId="77777777" w:rsidR="00203474" w:rsidRDefault="00203474" w:rsidP="00203474">
      <w:pPr>
        <w:jc w:val="both"/>
        <w:rPr>
          <w:b/>
          <w:bCs/>
        </w:rPr>
      </w:pPr>
    </w:p>
    <w:p w14:paraId="1BED0BDC" w14:textId="6002C153" w:rsidR="00203474" w:rsidRPr="00203474" w:rsidRDefault="00203474" w:rsidP="00203474">
      <w:pPr>
        <w:jc w:val="both"/>
        <w:rPr>
          <w:b/>
          <w:bCs/>
        </w:rPr>
      </w:pPr>
      <w:r w:rsidRPr="00203474">
        <w:rPr>
          <w:b/>
          <w:bCs/>
        </w:rPr>
        <w:t>Stages of implementation</w:t>
      </w:r>
    </w:p>
    <w:p w14:paraId="6FECBF60" w14:textId="77777777" w:rsidR="00203474" w:rsidRPr="00203474" w:rsidRDefault="00203474" w:rsidP="00203474">
      <w:pPr>
        <w:jc w:val="both"/>
      </w:pPr>
      <w:r w:rsidRPr="00203474">
        <w:t>The program was implemented in four main stages.</w:t>
      </w:r>
    </w:p>
    <w:p w14:paraId="7B6471BD" w14:textId="77777777" w:rsidR="00407872" w:rsidRDefault="00407872" w:rsidP="00203474">
      <w:pPr>
        <w:jc w:val="both"/>
        <w:rPr>
          <w:b/>
          <w:bCs/>
        </w:rPr>
      </w:pPr>
    </w:p>
    <w:p w14:paraId="5A57FA2C" w14:textId="77777777" w:rsidR="00ED1555" w:rsidRDefault="00ED1555" w:rsidP="00203474">
      <w:pPr>
        <w:jc w:val="both"/>
        <w:rPr>
          <w:b/>
          <w:bCs/>
        </w:rPr>
      </w:pPr>
    </w:p>
    <w:p w14:paraId="6876B883" w14:textId="5EBED756" w:rsidR="00203474" w:rsidRPr="00203474" w:rsidRDefault="00203474" w:rsidP="00203474">
      <w:pPr>
        <w:jc w:val="both"/>
        <w:rPr>
          <w:b/>
          <w:bCs/>
        </w:rPr>
      </w:pPr>
      <w:r w:rsidRPr="00203474">
        <w:rPr>
          <w:b/>
          <w:bCs/>
        </w:rPr>
        <w:t>1. Preliminary identification of domestic environmental issues</w:t>
      </w:r>
    </w:p>
    <w:p w14:paraId="2D917659" w14:textId="111F635B" w:rsidR="00203474" w:rsidRPr="00203474" w:rsidRDefault="00203474" w:rsidP="00203474">
      <w:pPr>
        <w:jc w:val="both"/>
      </w:pPr>
      <w:r w:rsidRPr="00203474">
        <w:t xml:space="preserve">The first stage involved preliminary identification of the participants’ domestic environmental conditions and everyday housing-related challenges. This stage focused on recognizing recurrent issues such as spatial limitation, poor airflow, insufficient natural lighting, sanitation constraints, dampness, cluttered storage, and basic household safety concerns. The purpose of this stage was to establish an initial understanding of how domestic space affected family health and resilience in the migrant context. This is methodologically important </w:t>
      </w:r>
      <w:r w:rsidRPr="00203474">
        <w:lastRenderedPageBreak/>
        <w:t>because housing disadvantage is increasingly understood as a multidimensional health determinant rather than a single physical defect</w:t>
      </w:r>
      <w:r w:rsidR="00086746">
        <w:t xml:space="preserve"> </w:t>
      </w:r>
      <w:r w:rsidR="00A3251F">
        <w:t>(</w:t>
      </w:r>
      <w:r w:rsidR="00A3251F" w:rsidRPr="00A3251F">
        <w:rPr>
          <w:rFonts w:eastAsiaTheme="minorHAnsi"/>
          <w:lang w:val="en-US"/>
        </w:rPr>
        <w:t>Bentley</w:t>
      </w:r>
      <w:r w:rsidR="00A3251F">
        <w:rPr>
          <w:rFonts w:eastAsiaTheme="minorHAnsi"/>
          <w:lang w:val="en-US"/>
        </w:rPr>
        <w:t>, 2025)</w:t>
      </w:r>
      <w:r w:rsidRPr="00203474">
        <w:t xml:space="preserve">. </w:t>
      </w:r>
    </w:p>
    <w:p w14:paraId="7289DFC2" w14:textId="77777777" w:rsidR="00407872" w:rsidRDefault="00407872" w:rsidP="00203474">
      <w:pPr>
        <w:jc w:val="both"/>
        <w:rPr>
          <w:b/>
          <w:bCs/>
        </w:rPr>
      </w:pPr>
    </w:p>
    <w:p w14:paraId="4075F85E" w14:textId="576C5872" w:rsidR="00203474" w:rsidRPr="00203474" w:rsidRDefault="00203474" w:rsidP="00203474">
      <w:pPr>
        <w:jc w:val="both"/>
        <w:rPr>
          <w:b/>
          <w:bCs/>
        </w:rPr>
      </w:pPr>
      <w:r w:rsidRPr="00203474">
        <w:rPr>
          <w:b/>
          <w:bCs/>
        </w:rPr>
        <w:t>2. Field observation</w:t>
      </w:r>
    </w:p>
    <w:p w14:paraId="08C6054B" w14:textId="77777777" w:rsidR="00203474" w:rsidRPr="00203474" w:rsidRDefault="00203474" w:rsidP="00203474">
      <w:pPr>
        <w:jc w:val="both"/>
      </w:pPr>
      <w:r w:rsidRPr="00203474">
        <w:t>The second stage consisted of direct field observation of selected living environments. Observation focused on practical indicators of domestic environmental health, including:</w:t>
      </w:r>
    </w:p>
    <w:p w14:paraId="2FC5CB3D" w14:textId="77777777" w:rsidR="00203474" w:rsidRPr="00203474" w:rsidRDefault="00203474" w:rsidP="00324EB2">
      <w:pPr>
        <w:numPr>
          <w:ilvl w:val="0"/>
          <w:numId w:val="1"/>
        </w:numPr>
        <w:jc w:val="both"/>
      </w:pPr>
      <w:r w:rsidRPr="00203474">
        <w:t xml:space="preserve">airflow and natural ventilation, </w:t>
      </w:r>
    </w:p>
    <w:p w14:paraId="5212B774" w14:textId="77777777" w:rsidR="00203474" w:rsidRPr="00203474" w:rsidRDefault="00203474" w:rsidP="00324EB2">
      <w:pPr>
        <w:numPr>
          <w:ilvl w:val="0"/>
          <w:numId w:val="1"/>
        </w:numPr>
        <w:jc w:val="both"/>
      </w:pPr>
      <w:r w:rsidRPr="00203474">
        <w:t xml:space="preserve">daylight access and lighting conditions, </w:t>
      </w:r>
    </w:p>
    <w:p w14:paraId="3314C43E" w14:textId="77777777" w:rsidR="00203474" w:rsidRPr="00203474" w:rsidRDefault="00203474" w:rsidP="00324EB2">
      <w:pPr>
        <w:numPr>
          <w:ilvl w:val="0"/>
          <w:numId w:val="1"/>
        </w:numPr>
        <w:jc w:val="both"/>
      </w:pPr>
      <w:r w:rsidRPr="00203474">
        <w:t xml:space="preserve">cleanliness and hygiene, </w:t>
      </w:r>
    </w:p>
    <w:p w14:paraId="3EB955F7" w14:textId="77777777" w:rsidR="00203474" w:rsidRPr="00203474" w:rsidRDefault="00203474" w:rsidP="00324EB2">
      <w:pPr>
        <w:numPr>
          <w:ilvl w:val="0"/>
          <w:numId w:val="1"/>
        </w:numPr>
        <w:jc w:val="both"/>
      </w:pPr>
      <w:r w:rsidRPr="00203474">
        <w:t xml:space="preserve">moisture and dampness, </w:t>
      </w:r>
    </w:p>
    <w:p w14:paraId="6723BD98" w14:textId="77777777" w:rsidR="00203474" w:rsidRPr="00203474" w:rsidRDefault="00203474" w:rsidP="00324EB2">
      <w:pPr>
        <w:numPr>
          <w:ilvl w:val="0"/>
          <w:numId w:val="1"/>
        </w:numPr>
        <w:jc w:val="both"/>
      </w:pPr>
      <w:r w:rsidRPr="00203474">
        <w:t xml:space="preserve">waste management, </w:t>
      </w:r>
    </w:p>
    <w:p w14:paraId="612D5A64" w14:textId="77777777" w:rsidR="00203474" w:rsidRPr="00203474" w:rsidRDefault="00203474" w:rsidP="00324EB2">
      <w:pPr>
        <w:numPr>
          <w:ilvl w:val="0"/>
          <w:numId w:val="1"/>
        </w:numPr>
        <w:jc w:val="both"/>
      </w:pPr>
      <w:r w:rsidRPr="00203474">
        <w:t xml:space="preserve">household safety, </w:t>
      </w:r>
    </w:p>
    <w:p w14:paraId="23F196EE" w14:textId="77777777" w:rsidR="00203474" w:rsidRPr="00203474" w:rsidRDefault="00203474" w:rsidP="00324EB2">
      <w:pPr>
        <w:numPr>
          <w:ilvl w:val="0"/>
          <w:numId w:val="1"/>
        </w:numPr>
        <w:jc w:val="both"/>
      </w:pPr>
      <w:r w:rsidRPr="00203474">
        <w:t xml:space="preserve">circulation within limited spaces, and </w:t>
      </w:r>
    </w:p>
    <w:p w14:paraId="0637F1D2" w14:textId="77777777" w:rsidR="00203474" w:rsidRPr="00203474" w:rsidRDefault="00203474" w:rsidP="00324EB2">
      <w:pPr>
        <w:numPr>
          <w:ilvl w:val="0"/>
          <w:numId w:val="1"/>
        </w:numPr>
        <w:jc w:val="both"/>
      </w:pPr>
      <w:r w:rsidRPr="00203474">
        <w:t xml:space="preserve">general organization of domestic space. </w:t>
      </w:r>
    </w:p>
    <w:p w14:paraId="2B44B219" w14:textId="5907E736" w:rsidR="00203474" w:rsidRDefault="00203474" w:rsidP="00203474">
      <w:pPr>
        <w:jc w:val="both"/>
      </w:pPr>
      <w:r w:rsidRPr="00203474">
        <w:t>These indicators were chosen because indoor environmental quality research consistently identifies air quality, thermal conditions, and visual comfort as central dimensions of occupant well-being. They also align with evidence that housing conditions such as crowding, poor ventilation, and environmental hazards shape health outcomes among vulnerable populations</w:t>
      </w:r>
      <w:r w:rsidR="00407872">
        <w:t xml:space="preserve"> </w:t>
      </w:r>
      <w:r w:rsidR="00407872">
        <w:fldChar w:fldCharType="begin"/>
      </w:r>
      <w:r w:rsidR="00407872">
        <w:instrText xml:space="preserve"> ADDIN ZOTERO_ITEM CSL_CITATION {"citationID":"n3ScTwWH","properties":{"formattedCitation":"(Al horr et al., 2016)","plainCitation":"(Al horr et al., 2016)","noteIndex":0},"citationItems":[{"id":20355,"uris":["http://zotero.org/users/1011003/items/Q8U5TX7X"],"itemData":{"id":20355,"type":"article-journal","abstract":"Indoor environmental quality (IEQ) and its effect on occupant well-being and comfort is an important area of study. This paper presents a state of the art study through extensive review of the literature, by establishing links between IEQs and occupant well-being and comfort. A range of issues such as sick building syndrome, indoor air quality thermal comfort, visual comfort and acoustic comfort are considered in this paper. The complexity of the relationship between occupant comfort and well-being parameters with IEQ are further exacerbated due to relationships that these parameters have with each other as well. Based on the review of literature in these areas it is established that design of buildings needs to consider occupant well-being parameters right at the beginning. Some good practices in all these different areas have also been highlighted and documented in this paper. The knowledge established as part of this paper would be helpful for researchers, designer, engineers and facilities maintenance engineers. This paper will also be of great benefit to researchers who endeavour to undertake research in this area and could act as a good starting point for them.","container-title":"International Journal of Sustainable Built Environment","DOI":"10.1016/j.ijsbe.2016.03.006","ISSN":"2212-6090","issue":"1","journalAbbreviation":"International Journal of Sustainable Built Environment","page":"1-11","source":"ScienceDirect","title":"Impact of indoor environmental quality on occupant well-being and comfort: A review of the literature","title-short":"Impact of indoor environmental quality on occupant well-being and comfort","URL":"https://www.sciencedirect.com/science/article/pii/S2212609016300140","volume":"5","author":[{"family":"Al horr","given":"Yousef"},{"family":"Arif","given":"Mohammed"},{"family":"Katafygiotou","given":"Martha"},{"family":"Mazroei","given":"Ahmed"},{"family":"Kaushik","given":"Amit"},{"family":"Elsarrag","given":"Esam"}],"accessed":{"date-parts":[["2026",4,16]]},"issued":{"date-parts":[["2016",6,1]]}}}],"schema":"https://github.com/citation-style-language/schema/raw/master/csl-citation.json"} </w:instrText>
      </w:r>
      <w:r w:rsidR="00407872">
        <w:fldChar w:fldCharType="separate"/>
      </w:r>
      <w:r w:rsidR="00407872">
        <w:rPr>
          <w:noProof/>
        </w:rPr>
        <w:t>(Al horr et al., 2016)</w:t>
      </w:r>
      <w:r w:rsidR="00407872">
        <w:fldChar w:fldCharType="end"/>
      </w:r>
      <w:r w:rsidRPr="00203474">
        <w:t xml:space="preserve">. </w:t>
      </w:r>
    </w:p>
    <w:p w14:paraId="2647553C" w14:textId="77777777" w:rsidR="00802B12" w:rsidRDefault="00802B12" w:rsidP="00203474">
      <w:pPr>
        <w:jc w:val="both"/>
      </w:pPr>
    </w:p>
    <w:p w14:paraId="4D3AD684" w14:textId="190BE6B3" w:rsidR="00802B12" w:rsidRDefault="00802B12" w:rsidP="00203474">
      <w:pPr>
        <w:jc w:val="both"/>
      </w:pPr>
      <w:r w:rsidRPr="00802B12">
        <w:t>To illustrate the field-based and participatory character of the program, selected documentation of the community engagement process is presented below. These activities formed an important part of the observational and interactive stages of the intervention, where the research team met directly with migrant service-worker families, identified domestic environmental concerns, and initiated dialogue on everyday housing conditions and health-related challenges.</w:t>
      </w:r>
    </w:p>
    <w:p w14:paraId="44EBF230" w14:textId="77777777" w:rsidR="00802B12" w:rsidRDefault="00802B12" w:rsidP="00203474">
      <w:pPr>
        <w:jc w:val="both"/>
      </w:pPr>
    </w:p>
    <w:p w14:paraId="453A9581" w14:textId="76BC779F" w:rsidR="00802B12" w:rsidRDefault="00802B12" w:rsidP="00203474">
      <w:pPr>
        <w:jc w:val="both"/>
      </w:pPr>
      <w:r w:rsidRPr="00802B12">
        <w:rPr>
          <w:noProof/>
          <w:lang w:val="en-IN" w:eastAsia="en-IN"/>
        </w:rPr>
        <w:drawing>
          <wp:inline distT="0" distB="0" distL="0" distR="0" wp14:anchorId="7750CAE3" wp14:editId="4EF34837">
            <wp:extent cx="2875722" cy="1902711"/>
            <wp:effectExtent l="0" t="0" r="0" b="2540"/>
            <wp:docPr id="540251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251099" name=""/>
                    <pic:cNvPicPr/>
                  </pic:nvPicPr>
                  <pic:blipFill>
                    <a:blip r:embed="rId9"/>
                    <a:stretch>
                      <a:fillRect/>
                    </a:stretch>
                  </pic:blipFill>
                  <pic:spPr>
                    <a:xfrm>
                      <a:off x="0" y="0"/>
                      <a:ext cx="2909294" cy="1924924"/>
                    </a:xfrm>
                    <a:prstGeom prst="rect">
                      <a:avLst/>
                    </a:prstGeom>
                  </pic:spPr>
                </pic:pic>
              </a:graphicData>
            </a:graphic>
          </wp:inline>
        </w:drawing>
      </w:r>
      <w:r>
        <w:t xml:space="preserve"> </w:t>
      </w:r>
      <w:r w:rsidRPr="00802B12">
        <w:rPr>
          <w:noProof/>
          <w:lang w:val="en-IN" w:eastAsia="en-IN"/>
        </w:rPr>
        <w:drawing>
          <wp:inline distT="0" distB="0" distL="0" distR="0" wp14:anchorId="37460260" wp14:editId="648ED5AE">
            <wp:extent cx="3706556" cy="1905286"/>
            <wp:effectExtent l="0" t="0" r="1905" b="0"/>
            <wp:docPr id="312956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956536" name=""/>
                    <pic:cNvPicPr/>
                  </pic:nvPicPr>
                  <pic:blipFill>
                    <a:blip r:embed="rId10"/>
                    <a:stretch>
                      <a:fillRect/>
                    </a:stretch>
                  </pic:blipFill>
                  <pic:spPr>
                    <a:xfrm>
                      <a:off x="0" y="0"/>
                      <a:ext cx="3756570" cy="1930995"/>
                    </a:xfrm>
                    <a:prstGeom prst="rect">
                      <a:avLst/>
                    </a:prstGeom>
                  </pic:spPr>
                </pic:pic>
              </a:graphicData>
            </a:graphic>
          </wp:inline>
        </w:drawing>
      </w:r>
    </w:p>
    <w:p w14:paraId="12511431" w14:textId="72AEDB2A" w:rsidR="00802B12" w:rsidRDefault="00802B12" w:rsidP="00203474">
      <w:pPr>
        <w:jc w:val="both"/>
      </w:pPr>
      <w:r>
        <w:t xml:space="preserve">Figure 2. </w:t>
      </w:r>
      <w:r w:rsidRPr="00802B12">
        <w:t>Field engagement and participatory interaction with migrant service-worker families in Kuala Lumpur</w:t>
      </w:r>
    </w:p>
    <w:p w14:paraId="7A9312F2" w14:textId="77777777" w:rsidR="00802B12" w:rsidRDefault="00802B12" w:rsidP="00203474">
      <w:pPr>
        <w:jc w:val="both"/>
      </w:pPr>
    </w:p>
    <w:p w14:paraId="0845CF84" w14:textId="061A936A" w:rsidR="00802B12" w:rsidRPr="00203474" w:rsidRDefault="00802B12" w:rsidP="00203474">
      <w:pPr>
        <w:jc w:val="both"/>
      </w:pPr>
      <w:r>
        <w:t>F</w:t>
      </w:r>
      <w:r w:rsidRPr="00802B12">
        <w:t>igure</w:t>
      </w:r>
      <w:r>
        <w:t xml:space="preserve"> 2</w:t>
      </w:r>
      <w:r w:rsidRPr="00802B12">
        <w:t xml:space="preserve"> documents the direct field engagement activities conducted with migrant service-worker families in Kuala Lumpur. The photographs show the community gathering and participatory interaction that supported the identification of domestic environmental issues, the exchange of lived experiences, and the delivery of initial educational input related to healthy housing and family well-being. The figure illustrates the community-based and field-oriented nature of the program methodology.</w:t>
      </w:r>
    </w:p>
    <w:p w14:paraId="024DB7BB" w14:textId="77777777" w:rsidR="00203474" w:rsidRDefault="00203474" w:rsidP="00203474">
      <w:pPr>
        <w:jc w:val="both"/>
        <w:rPr>
          <w:b/>
          <w:bCs/>
        </w:rPr>
      </w:pPr>
    </w:p>
    <w:p w14:paraId="05713464" w14:textId="1DF605EB" w:rsidR="00203474" w:rsidRPr="00203474" w:rsidRDefault="00203474" w:rsidP="00203474">
      <w:pPr>
        <w:jc w:val="both"/>
        <w:rPr>
          <w:b/>
          <w:bCs/>
        </w:rPr>
      </w:pPr>
      <w:r w:rsidRPr="00203474">
        <w:rPr>
          <w:b/>
          <w:bCs/>
        </w:rPr>
        <w:t>3. Participatory discussion and educational sessions</w:t>
      </w:r>
    </w:p>
    <w:p w14:paraId="62F3827E" w14:textId="6F21F5C4" w:rsidR="00203474" w:rsidRPr="00203474" w:rsidRDefault="00203474" w:rsidP="00203474">
      <w:pPr>
        <w:jc w:val="both"/>
      </w:pPr>
      <w:r w:rsidRPr="00203474">
        <w:t>The third stage involved participatory discussion sessions and environmental health education. These sessions were designed to help families reflect on their daily living practices and connect them more clearly with housing conditions. The discussions addressed the relationship between domestic space and family well-being, while the educational component introduced practical principles related to ventilation, natural lighting, hygiene, moisture control, waste handling, and safer use of limited domestic areas. This stage was important because participatory work with migrant communities is most effective when technical knowledge is translated into forms that are understandable, relevant, and directly linked to lived realities</w:t>
      </w:r>
      <w:r w:rsidR="00407872">
        <w:t xml:space="preserve"> </w:t>
      </w:r>
      <w:r w:rsidR="00407872">
        <w:fldChar w:fldCharType="begin"/>
      </w:r>
      <w:r w:rsidR="00407872">
        <w:instrText xml:space="preserve"> ADDIN ZOTERO_ITEM CSL_CITATION {"citationID":"fOCnfpFX","properties":{"formattedCitation":"(Roura et al., 2021)","plainCitation":"(Roura et al., 2021)","noteIndex":0},"citationItems":[{"id":20377,"uris":["http://zotero.org/users/1011003/items/XJU28WYM"],"itemData":{"id":20377,"type":"article-journal","abstract":"Abstract\n            \n              Context\n              Migration is one of the most politically pressing issues of the 21st century but migrant health remains an under‐researched area. The International Collaboration for Participatory Health Research (ICPHR) working group on migration developed this position statement to address opportunities and challenges in relation to migrant health. It aims to contribute to a shift from a deficit model that sees migrants as passively affected by policies to their reconceptualization as citizens who are engaged in the co‐creation of solutions.\n            \n            \n              Methods\n              This paper examines the opportunities and challenges posed by the use of PHR with migrants. It draws on a broad literature to provide examples of successful PHR with migrants and highlights critical issues for consideration.\n            \n            \n              Findings\n              \n                Successful initiatives illustrate the value of engaging migrants in the definition of the research agenda, the design and implementation of health interventions, the identification of health‐protective factors and the operationalization and validation of indicators to monitor progress. Within increasingly\n                super diverse\n                contexts, fragmented community landscapes that are not necessarily constructed along ethnicity traits, inadequate structures of representation, local tensions and operational barriers can hamper meaningful PHR with migrants.\n              \n            \n            \n              Conclusion\n              For each research context, it is essential to gauge the ‘optimal’ level and type of participation that is more likely to leverage migrants’ empowerment. The development of Monitoring and Evaluation tools and methodological strategies to manage inter‐stakeholder discrepancies and knowledge translation gaps are steps in this direction.\n            \n            \n              Patient or public contribution\n              This paper draws from contributions of migrant populations and other stakeholders to policymaking.","container-title":"Health Expectations","DOI":"10.1111/hex.13201","ISSN":"1369-6513, 1369-7625","issue":"2","journalAbbreviation":"Health Expectations","language":"en","page":"188-197","source":"DOI.org (Crossref)","title":"Participatory health research with migrants: Opportunities, challenges, and way forwards","title-short":"Participatory health research with migrants","URL":"https://onlinelibrary.wiley.com/doi/10.1111/hex.13201","volume":"24","author":[{"family":"Roura","given":"Maria"},{"family":"Dias","given":"Sonia"},{"family":"LeMaster","given":"Joseph W."},{"family":"MacFarlane","given":"Anne"}],"accessed":{"date-parts":[["2026",4,16]]},"issued":{"date-parts":[["2021",4]]}}}],"schema":"https://github.com/citation-style-language/schema/raw/master/csl-citation.json"} </w:instrText>
      </w:r>
      <w:r w:rsidR="00407872">
        <w:fldChar w:fldCharType="separate"/>
      </w:r>
      <w:r w:rsidR="00407872">
        <w:rPr>
          <w:noProof/>
        </w:rPr>
        <w:t>(Roura et al., 2021)</w:t>
      </w:r>
      <w:r w:rsidR="00407872">
        <w:fldChar w:fldCharType="end"/>
      </w:r>
      <w:r w:rsidRPr="00203474">
        <w:t xml:space="preserve">. </w:t>
      </w:r>
    </w:p>
    <w:p w14:paraId="3B527F45" w14:textId="77777777" w:rsidR="00203474" w:rsidRDefault="00203474" w:rsidP="00203474">
      <w:pPr>
        <w:jc w:val="both"/>
        <w:rPr>
          <w:b/>
          <w:bCs/>
        </w:rPr>
      </w:pPr>
    </w:p>
    <w:p w14:paraId="32E21562" w14:textId="7A8E2C9D" w:rsidR="00203474" w:rsidRPr="00203474" w:rsidRDefault="00203474" w:rsidP="00203474">
      <w:pPr>
        <w:jc w:val="both"/>
        <w:rPr>
          <w:b/>
          <w:bCs/>
        </w:rPr>
      </w:pPr>
      <w:r w:rsidRPr="00203474">
        <w:rPr>
          <w:b/>
          <w:bCs/>
        </w:rPr>
        <w:t>4. Technical guidance on low-cost improvements</w:t>
      </w:r>
    </w:p>
    <w:p w14:paraId="265B22E0" w14:textId="535993D9" w:rsidR="00203474" w:rsidRPr="00203474" w:rsidRDefault="00203474" w:rsidP="00203474">
      <w:pPr>
        <w:jc w:val="both"/>
      </w:pPr>
      <w:r w:rsidRPr="00203474">
        <w:lastRenderedPageBreak/>
        <w:t>The fourth stage involved the delivery of practical guidance tailored to the constraints of rented or modest housing. Recommendations were designed to be low-cost, realistic, and incremental. They included improving air movement where possible, optimizing the use of daylight, reducing dampness, organizing storage more effectively, improving waste placement, and making household circulation safer and more manageable. This stage reflects the logic of the program: meaningful improvement in domestic environmental health does not always require structural renovation, but can begin through feasible spatial and environmental adjustments. That orientation is supported by housing-health scholarship, which shows that housing interventions can contribute to health improvement when they address everyday environmental risks in actionable ways</w:t>
      </w:r>
      <w:r w:rsidR="00407872">
        <w:t xml:space="preserve"> </w:t>
      </w:r>
      <w:r w:rsidR="00407872">
        <w:fldChar w:fldCharType="begin"/>
      </w:r>
      <w:r w:rsidR="00086746">
        <w:instrText xml:space="preserve"> ADDIN ZOTERO_ITEM CSL_CITATION {"citationID":"UgzPzsRu","properties":{"formattedCitation":"(Hern\\uc0\\u225{}ndez, 2019)","plainCitation":"(Hernández, 2019)","noteIndex":0},"citationItems":[{"id":"owZssxfv/Qe6nqNKZ","uris":["http://zotero.org/users/1011003/items/YK5E5WSN"],"itemData":{"id":20373,"type":"article-journal","container-title":"American Journal of Public Health","DOI":"10.2105/AJPH.2018.304914","ISSN":"0090-0036, 1541-0048","issue":"S2","journalAbbreviation":"Am J Public Health","language":"en","page":"S135-S136","source":"DOI.org (Crossref)","title":"Housing-Based Health Interventions: Harnessing the Social Utility of Housing to Promote Health","title-short":"Housing-Based Health Interventions","URL":"https://ajph.aphapublications.org/doi/full/10.2105/AJPH.2018.304914","volume":"109","author":[{"family":"Hernández","given":"Diana"}],"accessed":{"date-parts":[["2026",4,16]]},"issued":{"date-parts":[["2019",2]]}}}],"schema":"https://github.com/citation-style-language/schema/raw/master/csl-citation.json"} </w:instrText>
      </w:r>
      <w:r w:rsidR="00407872">
        <w:fldChar w:fldCharType="separate"/>
      </w:r>
      <w:r w:rsidR="00407872" w:rsidRPr="00407872">
        <w:rPr>
          <w:lang w:val="en-US"/>
        </w:rPr>
        <w:t>(Hernández, 2019)</w:t>
      </w:r>
      <w:r w:rsidR="00407872">
        <w:fldChar w:fldCharType="end"/>
      </w:r>
      <w:r w:rsidRPr="00203474">
        <w:t xml:space="preserve">. </w:t>
      </w:r>
    </w:p>
    <w:p w14:paraId="1EE04CFE" w14:textId="77777777" w:rsidR="00203474" w:rsidRDefault="00203474" w:rsidP="00203474">
      <w:pPr>
        <w:jc w:val="both"/>
        <w:rPr>
          <w:b/>
          <w:bCs/>
        </w:rPr>
      </w:pPr>
    </w:p>
    <w:p w14:paraId="1155AFCA" w14:textId="66E94A9D" w:rsidR="00203474" w:rsidRPr="00203474" w:rsidRDefault="00203474" w:rsidP="00203474">
      <w:pPr>
        <w:jc w:val="both"/>
        <w:rPr>
          <w:b/>
          <w:bCs/>
        </w:rPr>
      </w:pPr>
      <w:r w:rsidRPr="00203474">
        <w:rPr>
          <w:b/>
          <w:bCs/>
        </w:rPr>
        <w:t>Documentation and data sources</w:t>
      </w:r>
    </w:p>
    <w:p w14:paraId="1F4585A4" w14:textId="77777777" w:rsidR="00203474" w:rsidRPr="00203474" w:rsidRDefault="00203474" w:rsidP="00203474">
      <w:pPr>
        <w:jc w:val="both"/>
      </w:pPr>
      <w:r w:rsidRPr="00203474">
        <w:t xml:space="preserve">Although this paper is presented as a community service paper rather than a full empirical research article, the activity was documented through several forms of field-based evidence, including observation notes, records from participatory discussions, visual documentation, facilitator reflections, and participant responses. These materials were used to identify recurrent patterns in domestic environmental conditions and to document how participants interpreted and responded to the guidance provided. This type of documentation is appropriate in participatory and community-based work, where contextual interpretation and practical relevance are often more important than statistical generalization. </w:t>
      </w:r>
    </w:p>
    <w:p w14:paraId="118A45FE" w14:textId="77777777" w:rsidR="00203474" w:rsidRDefault="00203474" w:rsidP="00203474">
      <w:pPr>
        <w:jc w:val="both"/>
        <w:rPr>
          <w:b/>
          <w:bCs/>
        </w:rPr>
      </w:pPr>
    </w:p>
    <w:p w14:paraId="58E73EC8" w14:textId="77777777" w:rsidR="00A3251F" w:rsidRDefault="00A3251F" w:rsidP="00203474">
      <w:pPr>
        <w:jc w:val="both"/>
        <w:rPr>
          <w:b/>
          <w:bCs/>
        </w:rPr>
      </w:pPr>
    </w:p>
    <w:p w14:paraId="4924B354" w14:textId="7C3358EC" w:rsidR="00203474" w:rsidRPr="00203474" w:rsidRDefault="00203474" w:rsidP="00203474">
      <w:pPr>
        <w:jc w:val="both"/>
        <w:rPr>
          <w:b/>
          <w:bCs/>
        </w:rPr>
      </w:pPr>
      <w:r w:rsidRPr="00203474">
        <w:rPr>
          <w:b/>
          <w:bCs/>
        </w:rPr>
        <w:t>Analytical approach</w:t>
      </w:r>
    </w:p>
    <w:p w14:paraId="200073AF" w14:textId="77777777" w:rsidR="00203474" w:rsidRPr="00203474" w:rsidRDefault="00203474" w:rsidP="00203474">
      <w:pPr>
        <w:jc w:val="both"/>
      </w:pPr>
      <w:r w:rsidRPr="00203474">
        <w:t xml:space="preserve">The analytical approach used in this paper was descriptive and interpretive. Observed conditions and discussion outcomes were grouped into thematic categories, including ventilation, lighting, sanitation, moisture control, household safety, waste management, and spatial organization. These categories were then interpreted in relation to family well-being and domestic environmental health. The aim was not to test a formal hypothesis, but to explain how the intervention responded to housing-related challenges and how participants engaged with the proposed improvements. This approach is consistent with participatory and community-based methodologies that prioritize grounded understanding, collaborative reflection, and actionable outcomes. </w:t>
      </w:r>
    </w:p>
    <w:p w14:paraId="5B249A63" w14:textId="77777777" w:rsidR="00203474" w:rsidRDefault="00203474" w:rsidP="00203474">
      <w:pPr>
        <w:jc w:val="both"/>
        <w:rPr>
          <w:b/>
          <w:bCs/>
        </w:rPr>
      </w:pPr>
    </w:p>
    <w:p w14:paraId="4C62D611" w14:textId="00ABD55A" w:rsidR="00203474" w:rsidRPr="00203474" w:rsidRDefault="00203474" w:rsidP="00203474">
      <w:pPr>
        <w:jc w:val="both"/>
        <w:rPr>
          <w:b/>
          <w:bCs/>
        </w:rPr>
      </w:pPr>
      <w:r w:rsidRPr="00203474">
        <w:rPr>
          <w:b/>
          <w:bCs/>
        </w:rPr>
        <w:t>Ethical and practical considerations</w:t>
      </w:r>
    </w:p>
    <w:p w14:paraId="06BB2DAF" w14:textId="77777777" w:rsidR="00203474" w:rsidRPr="00203474" w:rsidRDefault="00203474" w:rsidP="00203474">
      <w:pPr>
        <w:jc w:val="both"/>
      </w:pPr>
      <w:r w:rsidRPr="00203474">
        <w:t xml:space="preserve">The activity was carried out with attention to participant comfort, voluntary engagement, and contextual sensitivity. Because the target group consisted of migrant families living under varying degrees of housing limitation and economic vulnerability, the team emphasized respectful communication and practical support rather than intrusive assessment. This was important both ethically and methodologically. Studies on migrant housing have shown that structural vulnerability and unequal access to adequate housing shape health outcomes, which means that interventions must be responsive to lived constraints rather than framed around ideal standards alone. </w:t>
      </w:r>
    </w:p>
    <w:p w14:paraId="286AC072" w14:textId="77777777" w:rsidR="00203474" w:rsidRPr="001517BF" w:rsidRDefault="00203474" w:rsidP="00203474">
      <w:pPr>
        <w:jc w:val="both"/>
      </w:pPr>
    </w:p>
    <w:p w14:paraId="15CC830B" w14:textId="2DEA42E4" w:rsidR="001517BF" w:rsidRPr="001517BF" w:rsidRDefault="001517BF" w:rsidP="001517BF">
      <w:pPr>
        <w:jc w:val="both"/>
      </w:pPr>
    </w:p>
    <w:p w14:paraId="61CC08F9" w14:textId="77777777" w:rsidR="001517BF" w:rsidRPr="001517BF" w:rsidRDefault="001517BF" w:rsidP="004E5210">
      <w:pPr>
        <w:pStyle w:val="Heading1"/>
      </w:pPr>
      <w:r w:rsidRPr="001517BF">
        <w:t>RESULTS</w:t>
      </w:r>
    </w:p>
    <w:p w14:paraId="7DB6491C" w14:textId="460FD246" w:rsidR="001517BF" w:rsidRDefault="001517BF" w:rsidP="001517BF">
      <w:pPr>
        <w:jc w:val="both"/>
      </w:pPr>
    </w:p>
    <w:p w14:paraId="09D6A41D" w14:textId="77777777" w:rsidR="00601AAD" w:rsidRDefault="00601AAD" w:rsidP="00601AAD">
      <w:pPr>
        <w:jc w:val="both"/>
      </w:pPr>
      <w:r w:rsidRPr="00601AAD">
        <w:t>The community service activity revealed that the domestic environments of migrant service-worker families in Kuala Lumpur are shaped by a combination of limited housing quality, constrained interior space, and everyday environmental health risks. These findings were supported not only by field observation and participatory discussion but also by the results of a pre-test questionnaire administered to 30 participants prior to the intervention .</w:t>
      </w:r>
    </w:p>
    <w:p w14:paraId="4A978D33" w14:textId="77777777" w:rsidR="00601AAD" w:rsidRPr="00601AAD" w:rsidRDefault="00601AAD" w:rsidP="00601AAD">
      <w:pPr>
        <w:jc w:val="both"/>
      </w:pPr>
    </w:p>
    <w:p w14:paraId="496D2BE5" w14:textId="77777777" w:rsidR="000B0755" w:rsidRDefault="000B0755" w:rsidP="00601AAD">
      <w:pPr>
        <w:jc w:val="both"/>
        <w:rPr>
          <w:b/>
          <w:bCs/>
        </w:rPr>
      </w:pPr>
    </w:p>
    <w:p w14:paraId="4F1CB12F" w14:textId="77777777" w:rsidR="000B0755" w:rsidRDefault="000B0755" w:rsidP="00601AAD">
      <w:pPr>
        <w:jc w:val="both"/>
        <w:rPr>
          <w:b/>
          <w:bCs/>
        </w:rPr>
      </w:pPr>
    </w:p>
    <w:p w14:paraId="3F4ABD21" w14:textId="77777777" w:rsidR="000B0755" w:rsidRDefault="000B0755" w:rsidP="00601AAD">
      <w:pPr>
        <w:jc w:val="both"/>
        <w:rPr>
          <w:b/>
          <w:bCs/>
        </w:rPr>
      </w:pPr>
    </w:p>
    <w:p w14:paraId="0A62900E" w14:textId="1AC62A20" w:rsidR="00601AAD" w:rsidRPr="00601AAD" w:rsidRDefault="00601AAD" w:rsidP="00601AAD">
      <w:pPr>
        <w:jc w:val="both"/>
        <w:rPr>
          <w:b/>
          <w:bCs/>
        </w:rPr>
      </w:pPr>
      <w:r w:rsidRPr="00601AAD">
        <w:rPr>
          <w:b/>
          <w:bCs/>
        </w:rPr>
        <w:t>Baseline environmental health literacy (pre-test results)</w:t>
      </w:r>
    </w:p>
    <w:p w14:paraId="023D2050" w14:textId="77777777" w:rsidR="00601AAD" w:rsidRPr="00601AAD" w:rsidRDefault="00601AAD" w:rsidP="00601AAD">
      <w:pPr>
        <w:jc w:val="both"/>
      </w:pPr>
      <w:r w:rsidRPr="00601AAD">
        <w:lastRenderedPageBreak/>
        <w:t>The pre-test results provide an important baseline for understanding participants’ initial level of environmental health awareness. Overall, the findings indicate that knowledge of healthy housing principles was uneven, with several critical gaps in understanding.</w:t>
      </w:r>
    </w:p>
    <w:p w14:paraId="7E0D4B84" w14:textId="77777777" w:rsidR="00601AAD" w:rsidRDefault="00601AAD" w:rsidP="00601AAD">
      <w:pPr>
        <w:jc w:val="both"/>
      </w:pPr>
      <w:r w:rsidRPr="00601AAD">
        <w:t>While 56.7% of participants correctly recognized that a healthy home should support physical, mental, and social well-being, a substantial proportion (43.3%) still associated housing quality primarily with physical attributes such as size or appearance. This suggests that the concept of healthy housing had not yet been fully internalized as a multidimensional health determinant.</w:t>
      </w:r>
    </w:p>
    <w:p w14:paraId="24BEB2A8" w14:textId="77777777" w:rsidR="00601AAD" w:rsidRPr="00601AAD" w:rsidRDefault="00601AAD" w:rsidP="00601AAD">
      <w:pPr>
        <w:jc w:val="both"/>
      </w:pPr>
    </w:p>
    <w:p w14:paraId="5F16F878" w14:textId="77777777" w:rsidR="00601AAD" w:rsidRDefault="00601AAD" w:rsidP="00601AAD">
      <w:pPr>
        <w:jc w:val="both"/>
      </w:pPr>
      <w:r w:rsidRPr="00601AAD">
        <w:t>More critically, only 36.7% of respondents correctly identified overcrowding as a factor that increases the risk of respiratory disease transmission, while 63.3% selected incorrect answers. This is a significant finding, given that overcrowded living conditions were frequently observed in the field and are strongly associated with health risks in the literature.</w:t>
      </w:r>
    </w:p>
    <w:p w14:paraId="0B7F69C9" w14:textId="77777777" w:rsidR="00601AAD" w:rsidRPr="00601AAD" w:rsidRDefault="00601AAD" w:rsidP="00601AAD">
      <w:pPr>
        <w:jc w:val="both"/>
      </w:pPr>
    </w:p>
    <w:p w14:paraId="0F470B8F" w14:textId="77777777" w:rsidR="00601AAD" w:rsidRDefault="00601AAD" w:rsidP="00601AAD">
      <w:pPr>
        <w:jc w:val="both"/>
      </w:pPr>
      <w:r w:rsidRPr="00601AAD">
        <w:t xml:space="preserve">Similarly, knowledge related to indoor environmental quality was limited. Only 50% of participants understood the function of ventilation as a mechanism for removing polluted air and moisture. Even more concerning, only 30% correctly identified damp and </w:t>
      </w:r>
      <w:proofErr w:type="spellStart"/>
      <w:r w:rsidRPr="00601AAD">
        <w:t>moldy</w:t>
      </w:r>
      <w:proofErr w:type="spellEnd"/>
      <w:r w:rsidRPr="00601AAD">
        <w:t xml:space="preserve"> walls as causes of respiratory conditions such as asthma and allergies, while the majority (70%) associated them with unrelated health issues.</w:t>
      </w:r>
    </w:p>
    <w:p w14:paraId="44516A55" w14:textId="77777777" w:rsidR="00601AAD" w:rsidRPr="00601AAD" w:rsidRDefault="00601AAD" w:rsidP="00601AAD">
      <w:pPr>
        <w:jc w:val="both"/>
      </w:pPr>
    </w:p>
    <w:p w14:paraId="33931902" w14:textId="77777777" w:rsidR="00601AAD" w:rsidRDefault="00601AAD" w:rsidP="00601AAD">
      <w:pPr>
        <w:jc w:val="both"/>
      </w:pPr>
      <w:r w:rsidRPr="00601AAD">
        <w:t>The weakest area of understanding was related to kitchen environments and respiratory health. Only 23.3% of participants recognized the importance of proper smoke exhaust systems, while 76.7% incorrectly prioritized the use of expensive cooking equipment. This indicates a critical gap in practical environmental health knowledge, particularly in domestic spaces where exposure risks are high.</w:t>
      </w:r>
    </w:p>
    <w:p w14:paraId="168CA982" w14:textId="77777777" w:rsidR="00601AAD" w:rsidRPr="00601AAD" w:rsidRDefault="00601AAD" w:rsidP="00601AAD">
      <w:pPr>
        <w:jc w:val="both"/>
      </w:pPr>
    </w:p>
    <w:p w14:paraId="2D333413" w14:textId="77777777" w:rsidR="00601AAD" w:rsidRDefault="00601AAD" w:rsidP="00601AAD">
      <w:pPr>
        <w:jc w:val="both"/>
      </w:pPr>
      <w:r w:rsidRPr="00601AAD">
        <w:t>Knowledge of environmental stressors beyond physical conditions was also limited. Only 33.3% of respondents correctly identified noise as a factor contributing to sleep disturbance and mental stress, suggesting that non-visible environmental risks remain poorly understood.</w:t>
      </w:r>
    </w:p>
    <w:p w14:paraId="62049C00" w14:textId="77777777" w:rsidR="00601AAD" w:rsidRPr="00601AAD" w:rsidRDefault="00601AAD" w:rsidP="00601AAD">
      <w:pPr>
        <w:jc w:val="both"/>
      </w:pPr>
    </w:p>
    <w:p w14:paraId="20618848" w14:textId="77777777" w:rsidR="00601AAD" w:rsidRDefault="00601AAD" w:rsidP="00601AAD">
      <w:pPr>
        <w:jc w:val="both"/>
      </w:pPr>
      <w:r w:rsidRPr="00601AAD">
        <w:t>In contrast, awareness of immediate household safety risks was relatively stronger. A majority of participants (63.3%) correctly identified appropriate responses to hazards such as exposed electrical wiring or slippery surfaces. Similarly, 56.7% recognized that maintaining environmental cleanliness is a shared responsibility among residents.</w:t>
      </w:r>
    </w:p>
    <w:p w14:paraId="1D085F08" w14:textId="77777777" w:rsidR="00601AAD" w:rsidRPr="00601AAD" w:rsidRDefault="00601AAD" w:rsidP="00601AAD">
      <w:pPr>
        <w:jc w:val="both"/>
      </w:pPr>
    </w:p>
    <w:p w14:paraId="58B601A7" w14:textId="77777777" w:rsidR="00601AAD" w:rsidRDefault="00601AAD" w:rsidP="00601AAD">
      <w:pPr>
        <w:jc w:val="both"/>
      </w:pPr>
      <w:r w:rsidRPr="00601AAD">
        <w:t>However, knowledge related to broader environmental quality remained weak. Only 43.3% correctly identified the role of green open spaces in maintaining clean air, indicating limited awareness of the relationship between housing environments and the wider ecological context.</w:t>
      </w:r>
    </w:p>
    <w:p w14:paraId="5C128E7A" w14:textId="77777777" w:rsidR="00601AAD" w:rsidRPr="00601AAD" w:rsidRDefault="00601AAD" w:rsidP="00601AAD">
      <w:pPr>
        <w:jc w:val="both"/>
      </w:pPr>
    </w:p>
    <w:p w14:paraId="596A5928" w14:textId="1E879385" w:rsidR="00601AAD" w:rsidRDefault="00601AAD" w:rsidP="00601AAD">
      <w:pPr>
        <w:jc w:val="both"/>
      </w:pPr>
      <w:r w:rsidRPr="00601AAD">
        <w:t>Taken together, the pre-test results demonstrate that while participants possessed some basic awareness of household safety, their understanding of environmental health</w:t>
      </w:r>
      <w:r>
        <w:t xml:space="preserve"> </w:t>
      </w:r>
      <w:r w:rsidRPr="00601AAD">
        <w:t>particularly indoor air quality, moisture control, overcrowding, and environmental stressors</w:t>
      </w:r>
      <w:r>
        <w:t xml:space="preserve"> </w:t>
      </w:r>
      <w:r w:rsidRPr="00601AAD">
        <w:t>was fragmented and incomplete.</w:t>
      </w:r>
    </w:p>
    <w:p w14:paraId="2CBCF133" w14:textId="77777777" w:rsidR="009B6F13" w:rsidRDefault="009B6F13" w:rsidP="00601AAD">
      <w:pPr>
        <w:jc w:val="both"/>
      </w:pPr>
    </w:p>
    <w:p w14:paraId="64BE5DE9" w14:textId="11B35CE1" w:rsidR="009B6F13" w:rsidRDefault="009B6F13" w:rsidP="00601AAD">
      <w:pPr>
        <w:jc w:val="both"/>
      </w:pPr>
      <w:r w:rsidRPr="009B6F13">
        <w:t>To provide a structured overview of participants’ baseline environmental health knowledge, the pre-test results are summarized in Table 1. The table highlights the distribution of correct and incorrect responses across key indicators related to healthy housing, indoor environmental quality, and household safety.</w:t>
      </w:r>
    </w:p>
    <w:p w14:paraId="30D25FC5" w14:textId="77777777" w:rsidR="009D695E" w:rsidRDefault="009D695E" w:rsidP="00601AAD">
      <w:pPr>
        <w:jc w:val="both"/>
      </w:pPr>
    </w:p>
    <w:p w14:paraId="46CE4547" w14:textId="45951933" w:rsidR="009D695E" w:rsidRDefault="009D695E" w:rsidP="00601AAD">
      <w:pPr>
        <w:jc w:val="both"/>
      </w:pPr>
      <w:r w:rsidRPr="009D695E">
        <w:t>The pre-test results provide a baseline picture of participants’ environmental health literacy before the intervention. Overall, the data show uneven understanding across key aspects of healthy housing. Participants were relatively more familiar with visible and immediate household risks, but showed weaker understanding of less visible environmental hazards such as poor ventilation, dampness, overcrowding, and kitchen-related air quality. To present these baseline patterns more clearly, the results are summarized in Table 1.</w:t>
      </w:r>
    </w:p>
    <w:p w14:paraId="64635793" w14:textId="77777777" w:rsidR="009D695E" w:rsidRDefault="009D695E" w:rsidP="00601AAD">
      <w:pPr>
        <w:jc w:val="both"/>
      </w:pPr>
    </w:p>
    <w:p w14:paraId="55F35D2C" w14:textId="77777777" w:rsidR="009D695E" w:rsidRPr="009D695E" w:rsidRDefault="009D695E" w:rsidP="009D695E">
      <w:pPr>
        <w:jc w:val="both"/>
        <w:rPr>
          <w:b/>
          <w:bCs/>
        </w:rPr>
      </w:pPr>
      <w:r w:rsidRPr="009D695E">
        <w:rPr>
          <w:b/>
          <w:bCs/>
        </w:rPr>
        <w:t>Table 1. Baseline Environmental Health Literacy among Participants</w:t>
      </w:r>
    </w:p>
    <w:tbl>
      <w:tblPr>
        <w:tblStyle w:val="PlainTable2"/>
        <w:tblW w:w="0" w:type="auto"/>
        <w:tblLook w:val="04A0" w:firstRow="1" w:lastRow="0" w:firstColumn="1" w:lastColumn="0" w:noHBand="0" w:noVBand="1"/>
      </w:tblPr>
      <w:tblGrid>
        <w:gridCol w:w="570"/>
        <w:gridCol w:w="4502"/>
        <w:gridCol w:w="1476"/>
        <w:gridCol w:w="1636"/>
        <w:gridCol w:w="2256"/>
      </w:tblGrid>
      <w:tr w:rsidR="009D695E" w:rsidRPr="009D695E" w14:paraId="5B9F582E" w14:textId="77777777" w:rsidTr="009D69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44A4490" w14:textId="77777777" w:rsidR="009D695E" w:rsidRPr="009D695E" w:rsidRDefault="009D695E" w:rsidP="009D695E">
            <w:pPr>
              <w:jc w:val="both"/>
            </w:pPr>
            <w:r w:rsidRPr="009D695E">
              <w:t>No.</w:t>
            </w:r>
          </w:p>
        </w:tc>
        <w:tc>
          <w:tcPr>
            <w:tcW w:w="0" w:type="auto"/>
            <w:hideMark/>
          </w:tcPr>
          <w:p w14:paraId="60353183" w14:textId="77777777" w:rsidR="009D695E" w:rsidRPr="009D695E" w:rsidRDefault="009D695E" w:rsidP="009D695E">
            <w:pPr>
              <w:jc w:val="both"/>
              <w:cnfStyle w:val="100000000000" w:firstRow="1" w:lastRow="0" w:firstColumn="0" w:lastColumn="0" w:oddVBand="0" w:evenVBand="0" w:oddHBand="0" w:evenHBand="0" w:firstRowFirstColumn="0" w:firstRowLastColumn="0" w:lastRowFirstColumn="0" w:lastRowLastColumn="0"/>
            </w:pPr>
            <w:r w:rsidRPr="009D695E">
              <w:t>Indicator</w:t>
            </w:r>
          </w:p>
        </w:tc>
        <w:tc>
          <w:tcPr>
            <w:tcW w:w="0" w:type="auto"/>
            <w:hideMark/>
          </w:tcPr>
          <w:p w14:paraId="73B94953" w14:textId="77777777" w:rsidR="009D695E" w:rsidRPr="009D695E" w:rsidRDefault="009D695E" w:rsidP="009D695E">
            <w:pPr>
              <w:jc w:val="both"/>
              <w:cnfStyle w:val="100000000000" w:firstRow="1" w:lastRow="0" w:firstColumn="0" w:lastColumn="0" w:oddVBand="0" w:evenVBand="0" w:oddHBand="0" w:evenHBand="0" w:firstRowFirstColumn="0" w:firstRowLastColumn="0" w:lastRowFirstColumn="0" w:lastRowLastColumn="0"/>
            </w:pPr>
            <w:r w:rsidRPr="009D695E">
              <w:t>Correct (%)</w:t>
            </w:r>
          </w:p>
        </w:tc>
        <w:tc>
          <w:tcPr>
            <w:tcW w:w="0" w:type="auto"/>
            <w:hideMark/>
          </w:tcPr>
          <w:p w14:paraId="263EF415" w14:textId="77777777" w:rsidR="009D695E" w:rsidRPr="009D695E" w:rsidRDefault="009D695E" w:rsidP="009D695E">
            <w:pPr>
              <w:jc w:val="both"/>
              <w:cnfStyle w:val="100000000000" w:firstRow="1" w:lastRow="0" w:firstColumn="0" w:lastColumn="0" w:oddVBand="0" w:evenVBand="0" w:oddHBand="0" w:evenHBand="0" w:firstRowFirstColumn="0" w:firstRowLastColumn="0" w:lastRowFirstColumn="0" w:lastRowLastColumn="0"/>
            </w:pPr>
            <w:r w:rsidRPr="009D695E">
              <w:t>Incorrect (%)</w:t>
            </w:r>
          </w:p>
        </w:tc>
        <w:tc>
          <w:tcPr>
            <w:tcW w:w="0" w:type="auto"/>
            <w:hideMark/>
          </w:tcPr>
          <w:p w14:paraId="582697EE" w14:textId="77777777" w:rsidR="009D695E" w:rsidRPr="009D695E" w:rsidRDefault="009D695E" w:rsidP="009D695E">
            <w:pPr>
              <w:jc w:val="both"/>
              <w:cnfStyle w:val="100000000000" w:firstRow="1" w:lastRow="0" w:firstColumn="0" w:lastColumn="0" w:oddVBand="0" w:evenVBand="0" w:oddHBand="0" w:evenHBand="0" w:firstRowFirstColumn="0" w:firstRowLastColumn="0" w:lastRowFirstColumn="0" w:lastRowLastColumn="0"/>
            </w:pPr>
            <w:r w:rsidRPr="009D695E">
              <w:t>Evaluation</w:t>
            </w:r>
          </w:p>
        </w:tc>
      </w:tr>
      <w:tr w:rsidR="009D695E" w:rsidRPr="009D695E" w14:paraId="4E1F9817" w14:textId="77777777" w:rsidTr="009D69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B06CAEF" w14:textId="77777777" w:rsidR="009D695E" w:rsidRPr="009D695E" w:rsidRDefault="009D695E" w:rsidP="009D695E">
            <w:pPr>
              <w:jc w:val="both"/>
            </w:pPr>
            <w:r w:rsidRPr="009D695E">
              <w:t>1</w:t>
            </w:r>
          </w:p>
        </w:tc>
        <w:tc>
          <w:tcPr>
            <w:tcW w:w="0" w:type="auto"/>
            <w:hideMark/>
          </w:tcPr>
          <w:p w14:paraId="1EA3EDB8" w14:textId="77777777" w:rsidR="009D695E" w:rsidRPr="009D695E" w:rsidRDefault="009D695E" w:rsidP="009D695E">
            <w:pPr>
              <w:jc w:val="both"/>
              <w:cnfStyle w:val="000000100000" w:firstRow="0" w:lastRow="0" w:firstColumn="0" w:lastColumn="0" w:oddVBand="0" w:evenVBand="0" w:oddHBand="1" w:evenHBand="0" w:firstRowFirstColumn="0" w:firstRowLastColumn="0" w:lastRowFirstColumn="0" w:lastRowLastColumn="0"/>
            </w:pPr>
            <w:r w:rsidRPr="009D695E">
              <w:t>Understanding of healthy housing</w:t>
            </w:r>
          </w:p>
        </w:tc>
        <w:tc>
          <w:tcPr>
            <w:tcW w:w="0" w:type="auto"/>
            <w:hideMark/>
          </w:tcPr>
          <w:p w14:paraId="11E37CD8" w14:textId="77777777" w:rsidR="009D695E" w:rsidRPr="009D695E" w:rsidRDefault="009D695E" w:rsidP="009D695E">
            <w:pPr>
              <w:jc w:val="both"/>
              <w:cnfStyle w:val="000000100000" w:firstRow="0" w:lastRow="0" w:firstColumn="0" w:lastColumn="0" w:oddVBand="0" w:evenVBand="0" w:oddHBand="1" w:evenHBand="0" w:firstRowFirstColumn="0" w:firstRowLastColumn="0" w:lastRowFirstColumn="0" w:lastRowLastColumn="0"/>
            </w:pPr>
            <w:r w:rsidRPr="009D695E">
              <w:t>56.7</w:t>
            </w:r>
          </w:p>
        </w:tc>
        <w:tc>
          <w:tcPr>
            <w:tcW w:w="0" w:type="auto"/>
            <w:hideMark/>
          </w:tcPr>
          <w:p w14:paraId="5F392B81" w14:textId="77777777" w:rsidR="009D695E" w:rsidRPr="009D695E" w:rsidRDefault="009D695E" w:rsidP="009D695E">
            <w:pPr>
              <w:jc w:val="both"/>
              <w:cnfStyle w:val="000000100000" w:firstRow="0" w:lastRow="0" w:firstColumn="0" w:lastColumn="0" w:oddVBand="0" w:evenVBand="0" w:oddHBand="1" w:evenHBand="0" w:firstRowFirstColumn="0" w:firstRowLastColumn="0" w:lastRowFirstColumn="0" w:lastRowLastColumn="0"/>
            </w:pPr>
            <w:r w:rsidRPr="009D695E">
              <w:t>43.3</w:t>
            </w:r>
          </w:p>
        </w:tc>
        <w:tc>
          <w:tcPr>
            <w:tcW w:w="0" w:type="auto"/>
            <w:hideMark/>
          </w:tcPr>
          <w:p w14:paraId="2F46E72E" w14:textId="77777777" w:rsidR="009D695E" w:rsidRPr="009D695E" w:rsidRDefault="009D695E" w:rsidP="009D695E">
            <w:pPr>
              <w:jc w:val="both"/>
              <w:cnfStyle w:val="000000100000" w:firstRow="0" w:lastRow="0" w:firstColumn="0" w:lastColumn="0" w:oddVBand="0" w:evenVBand="0" w:oddHBand="1" w:evenHBand="0" w:firstRowFirstColumn="0" w:firstRowLastColumn="0" w:lastRowFirstColumn="0" w:lastRowLastColumn="0"/>
            </w:pPr>
            <w:r w:rsidRPr="009D695E">
              <w:t>Moderate</w:t>
            </w:r>
          </w:p>
        </w:tc>
      </w:tr>
      <w:tr w:rsidR="009D695E" w:rsidRPr="009D695E" w14:paraId="61548CC9" w14:textId="77777777" w:rsidTr="009D695E">
        <w:tc>
          <w:tcPr>
            <w:cnfStyle w:val="001000000000" w:firstRow="0" w:lastRow="0" w:firstColumn="1" w:lastColumn="0" w:oddVBand="0" w:evenVBand="0" w:oddHBand="0" w:evenHBand="0" w:firstRowFirstColumn="0" w:firstRowLastColumn="0" w:lastRowFirstColumn="0" w:lastRowLastColumn="0"/>
            <w:tcW w:w="0" w:type="auto"/>
            <w:hideMark/>
          </w:tcPr>
          <w:p w14:paraId="2D1A9607" w14:textId="77777777" w:rsidR="009D695E" w:rsidRPr="009D695E" w:rsidRDefault="009D695E" w:rsidP="009D695E">
            <w:pPr>
              <w:jc w:val="both"/>
            </w:pPr>
            <w:r w:rsidRPr="009D695E">
              <w:t>2</w:t>
            </w:r>
          </w:p>
        </w:tc>
        <w:tc>
          <w:tcPr>
            <w:tcW w:w="0" w:type="auto"/>
            <w:hideMark/>
          </w:tcPr>
          <w:p w14:paraId="6FFA650E" w14:textId="77777777" w:rsidR="009D695E" w:rsidRPr="009D695E" w:rsidRDefault="009D695E" w:rsidP="009D695E">
            <w:pPr>
              <w:jc w:val="both"/>
              <w:cnfStyle w:val="000000000000" w:firstRow="0" w:lastRow="0" w:firstColumn="0" w:lastColumn="0" w:oddVBand="0" w:evenVBand="0" w:oddHBand="0" w:evenHBand="0" w:firstRowFirstColumn="0" w:firstRowLastColumn="0" w:lastRowFirstColumn="0" w:lastRowLastColumn="0"/>
            </w:pPr>
            <w:r w:rsidRPr="009D695E">
              <w:t>Awareness of overcrowding risks</w:t>
            </w:r>
          </w:p>
        </w:tc>
        <w:tc>
          <w:tcPr>
            <w:tcW w:w="0" w:type="auto"/>
            <w:hideMark/>
          </w:tcPr>
          <w:p w14:paraId="7403B41B" w14:textId="77777777" w:rsidR="009D695E" w:rsidRPr="009D695E" w:rsidRDefault="009D695E" w:rsidP="009D695E">
            <w:pPr>
              <w:jc w:val="both"/>
              <w:cnfStyle w:val="000000000000" w:firstRow="0" w:lastRow="0" w:firstColumn="0" w:lastColumn="0" w:oddVBand="0" w:evenVBand="0" w:oddHBand="0" w:evenHBand="0" w:firstRowFirstColumn="0" w:firstRowLastColumn="0" w:lastRowFirstColumn="0" w:lastRowLastColumn="0"/>
            </w:pPr>
            <w:r w:rsidRPr="009D695E">
              <w:t>36.7</w:t>
            </w:r>
          </w:p>
        </w:tc>
        <w:tc>
          <w:tcPr>
            <w:tcW w:w="0" w:type="auto"/>
            <w:hideMark/>
          </w:tcPr>
          <w:p w14:paraId="4D2170E9" w14:textId="77777777" w:rsidR="009D695E" w:rsidRPr="009D695E" w:rsidRDefault="009D695E" w:rsidP="009D695E">
            <w:pPr>
              <w:jc w:val="both"/>
              <w:cnfStyle w:val="000000000000" w:firstRow="0" w:lastRow="0" w:firstColumn="0" w:lastColumn="0" w:oddVBand="0" w:evenVBand="0" w:oddHBand="0" w:evenHBand="0" w:firstRowFirstColumn="0" w:firstRowLastColumn="0" w:lastRowFirstColumn="0" w:lastRowLastColumn="0"/>
            </w:pPr>
            <w:r w:rsidRPr="009D695E">
              <w:t>63.3</w:t>
            </w:r>
          </w:p>
        </w:tc>
        <w:tc>
          <w:tcPr>
            <w:tcW w:w="0" w:type="auto"/>
            <w:hideMark/>
          </w:tcPr>
          <w:p w14:paraId="16F5734A" w14:textId="77777777" w:rsidR="009D695E" w:rsidRPr="009D695E" w:rsidRDefault="009D695E" w:rsidP="009D695E">
            <w:pPr>
              <w:jc w:val="both"/>
              <w:cnfStyle w:val="000000000000" w:firstRow="0" w:lastRow="0" w:firstColumn="0" w:lastColumn="0" w:oddVBand="0" w:evenVBand="0" w:oddHBand="0" w:evenHBand="0" w:firstRowFirstColumn="0" w:firstRowLastColumn="0" w:lastRowFirstColumn="0" w:lastRowLastColumn="0"/>
            </w:pPr>
            <w:r w:rsidRPr="009D695E">
              <w:t>Low</w:t>
            </w:r>
          </w:p>
        </w:tc>
      </w:tr>
      <w:tr w:rsidR="009D695E" w:rsidRPr="009D695E" w14:paraId="640A30CF" w14:textId="77777777" w:rsidTr="009D69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A9EFFD" w14:textId="77777777" w:rsidR="009D695E" w:rsidRPr="009D695E" w:rsidRDefault="009D695E" w:rsidP="009D695E">
            <w:pPr>
              <w:jc w:val="both"/>
            </w:pPr>
            <w:r w:rsidRPr="009D695E">
              <w:lastRenderedPageBreak/>
              <w:t>3</w:t>
            </w:r>
          </w:p>
        </w:tc>
        <w:tc>
          <w:tcPr>
            <w:tcW w:w="0" w:type="auto"/>
            <w:hideMark/>
          </w:tcPr>
          <w:p w14:paraId="29685EC8" w14:textId="77777777" w:rsidR="009D695E" w:rsidRPr="009D695E" w:rsidRDefault="009D695E" w:rsidP="009D695E">
            <w:pPr>
              <w:jc w:val="both"/>
              <w:cnfStyle w:val="000000100000" w:firstRow="0" w:lastRow="0" w:firstColumn="0" w:lastColumn="0" w:oddVBand="0" w:evenVBand="0" w:oddHBand="1" w:evenHBand="0" w:firstRowFirstColumn="0" w:firstRowLastColumn="0" w:lastRowFirstColumn="0" w:lastRowLastColumn="0"/>
            </w:pPr>
            <w:r w:rsidRPr="009D695E">
              <w:t>Knowledge of indoor thermal comfort</w:t>
            </w:r>
          </w:p>
        </w:tc>
        <w:tc>
          <w:tcPr>
            <w:tcW w:w="0" w:type="auto"/>
            <w:hideMark/>
          </w:tcPr>
          <w:p w14:paraId="2408D608" w14:textId="77777777" w:rsidR="009D695E" w:rsidRPr="009D695E" w:rsidRDefault="009D695E" w:rsidP="009D695E">
            <w:pPr>
              <w:jc w:val="both"/>
              <w:cnfStyle w:val="000000100000" w:firstRow="0" w:lastRow="0" w:firstColumn="0" w:lastColumn="0" w:oddVBand="0" w:evenVBand="0" w:oddHBand="1" w:evenHBand="0" w:firstRowFirstColumn="0" w:firstRowLastColumn="0" w:lastRowFirstColumn="0" w:lastRowLastColumn="0"/>
            </w:pPr>
            <w:r w:rsidRPr="009D695E">
              <w:t>56.7</w:t>
            </w:r>
          </w:p>
        </w:tc>
        <w:tc>
          <w:tcPr>
            <w:tcW w:w="0" w:type="auto"/>
            <w:hideMark/>
          </w:tcPr>
          <w:p w14:paraId="0207AD4D" w14:textId="77777777" w:rsidR="009D695E" w:rsidRPr="009D695E" w:rsidRDefault="009D695E" w:rsidP="009D695E">
            <w:pPr>
              <w:jc w:val="both"/>
              <w:cnfStyle w:val="000000100000" w:firstRow="0" w:lastRow="0" w:firstColumn="0" w:lastColumn="0" w:oddVBand="0" w:evenVBand="0" w:oddHBand="1" w:evenHBand="0" w:firstRowFirstColumn="0" w:firstRowLastColumn="0" w:lastRowFirstColumn="0" w:lastRowLastColumn="0"/>
            </w:pPr>
            <w:r w:rsidRPr="009D695E">
              <w:t>43.3</w:t>
            </w:r>
          </w:p>
        </w:tc>
        <w:tc>
          <w:tcPr>
            <w:tcW w:w="0" w:type="auto"/>
            <w:hideMark/>
          </w:tcPr>
          <w:p w14:paraId="7B9025E1" w14:textId="77777777" w:rsidR="009D695E" w:rsidRPr="009D695E" w:rsidRDefault="009D695E" w:rsidP="009D695E">
            <w:pPr>
              <w:jc w:val="both"/>
              <w:cnfStyle w:val="000000100000" w:firstRow="0" w:lastRow="0" w:firstColumn="0" w:lastColumn="0" w:oddVBand="0" w:evenVBand="0" w:oddHBand="1" w:evenHBand="0" w:firstRowFirstColumn="0" w:firstRowLastColumn="0" w:lastRowFirstColumn="0" w:lastRowLastColumn="0"/>
            </w:pPr>
            <w:r w:rsidRPr="009D695E">
              <w:t>Moderate</w:t>
            </w:r>
          </w:p>
        </w:tc>
      </w:tr>
      <w:tr w:rsidR="009D695E" w:rsidRPr="009D695E" w14:paraId="0908A160" w14:textId="77777777" w:rsidTr="009D695E">
        <w:tc>
          <w:tcPr>
            <w:cnfStyle w:val="001000000000" w:firstRow="0" w:lastRow="0" w:firstColumn="1" w:lastColumn="0" w:oddVBand="0" w:evenVBand="0" w:oddHBand="0" w:evenHBand="0" w:firstRowFirstColumn="0" w:firstRowLastColumn="0" w:lastRowFirstColumn="0" w:lastRowLastColumn="0"/>
            <w:tcW w:w="0" w:type="auto"/>
            <w:hideMark/>
          </w:tcPr>
          <w:p w14:paraId="75FF6092" w14:textId="77777777" w:rsidR="009D695E" w:rsidRPr="009D695E" w:rsidRDefault="009D695E" w:rsidP="009D695E">
            <w:pPr>
              <w:jc w:val="both"/>
            </w:pPr>
            <w:r w:rsidRPr="009D695E">
              <w:t>4</w:t>
            </w:r>
          </w:p>
        </w:tc>
        <w:tc>
          <w:tcPr>
            <w:tcW w:w="0" w:type="auto"/>
            <w:hideMark/>
          </w:tcPr>
          <w:p w14:paraId="6128A60A" w14:textId="77777777" w:rsidR="009D695E" w:rsidRPr="009D695E" w:rsidRDefault="009D695E" w:rsidP="009D695E">
            <w:pPr>
              <w:jc w:val="both"/>
              <w:cnfStyle w:val="000000000000" w:firstRow="0" w:lastRow="0" w:firstColumn="0" w:lastColumn="0" w:oddVBand="0" w:evenVBand="0" w:oddHBand="0" w:evenHBand="0" w:firstRowFirstColumn="0" w:firstRowLastColumn="0" w:lastRowFirstColumn="0" w:lastRowLastColumn="0"/>
            </w:pPr>
            <w:r w:rsidRPr="009D695E">
              <w:t>Function of ventilation</w:t>
            </w:r>
          </w:p>
        </w:tc>
        <w:tc>
          <w:tcPr>
            <w:tcW w:w="0" w:type="auto"/>
            <w:hideMark/>
          </w:tcPr>
          <w:p w14:paraId="6F76C823" w14:textId="77777777" w:rsidR="009D695E" w:rsidRPr="009D695E" w:rsidRDefault="009D695E" w:rsidP="009D695E">
            <w:pPr>
              <w:jc w:val="both"/>
              <w:cnfStyle w:val="000000000000" w:firstRow="0" w:lastRow="0" w:firstColumn="0" w:lastColumn="0" w:oddVBand="0" w:evenVBand="0" w:oddHBand="0" w:evenHBand="0" w:firstRowFirstColumn="0" w:firstRowLastColumn="0" w:lastRowFirstColumn="0" w:lastRowLastColumn="0"/>
            </w:pPr>
            <w:r w:rsidRPr="009D695E">
              <w:t>50.0</w:t>
            </w:r>
          </w:p>
        </w:tc>
        <w:tc>
          <w:tcPr>
            <w:tcW w:w="0" w:type="auto"/>
            <w:hideMark/>
          </w:tcPr>
          <w:p w14:paraId="3AE8E63E" w14:textId="77777777" w:rsidR="009D695E" w:rsidRPr="009D695E" w:rsidRDefault="009D695E" w:rsidP="009D695E">
            <w:pPr>
              <w:jc w:val="both"/>
              <w:cnfStyle w:val="000000000000" w:firstRow="0" w:lastRow="0" w:firstColumn="0" w:lastColumn="0" w:oddVBand="0" w:evenVBand="0" w:oddHBand="0" w:evenHBand="0" w:firstRowFirstColumn="0" w:firstRowLastColumn="0" w:lastRowFirstColumn="0" w:lastRowLastColumn="0"/>
            </w:pPr>
            <w:r w:rsidRPr="009D695E">
              <w:t>50.0</w:t>
            </w:r>
          </w:p>
        </w:tc>
        <w:tc>
          <w:tcPr>
            <w:tcW w:w="0" w:type="auto"/>
            <w:hideMark/>
          </w:tcPr>
          <w:p w14:paraId="13D5B836" w14:textId="77777777" w:rsidR="009D695E" w:rsidRPr="009D695E" w:rsidRDefault="009D695E" w:rsidP="009D695E">
            <w:pPr>
              <w:jc w:val="both"/>
              <w:cnfStyle w:val="000000000000" w:firstRow="0" w:lastRow="0" w:firstColumn="0" w:lastColumn="0" w:oddVBand="0" w:evenVBand="0" w:oddHBand="0" w:evenHBand="0" w:firstRowFirstColumn="0" w:firstRowLastColumn="0" w:lastRowFirstColumn="0" w:lastRowLastColumn="0"/>
            </w:pPr>
            <w:r w:rsidRPr="009D695E">
              <w:t>Moderate but uneven</w:t>
            </w:r>
          </w:p>
        </w:tc>
      </w:tr>
      <w:tr w:rsidR="009D695E" w:rsidRPr="009D695E" w14:paraId="5EC93209" w14:textId="77777777" w:rsidTr="009D69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B23845E" w14:textId="77777777" w:rsidR="009D695E" w:rsidRPr="009D695E" w:rsidRDefault="009D695E" w:rsidP="009D695E">
            <w:pPr>
              <w:jc w:val="both"/>
            </w:pPr>
            <w:r w:rsidRPr="009D695E">
              <w:t>5</w:t>
            </w:r>
          </w:p>
        </w:tc>
        <w:tc>
          <w:tcPr>
            <w:tcW w:w="0" w:type="auto"/>
            <w:hideMark/>
          </w:tcPr>
          <w:p w14:paraId="0C99CF3C" w14:textId="77777777" w:rsidR="009D695E" w:rsidRPr="009D695E" w:rsidRDefault="009D695E" w:rsidP="009D695E">
            <w:pPr>
              <w:jc w:val="both"/>
              <w:cnfStyle w:val="000000100000" w:firstRow="0" w:lastRow="0" w:firstColumn="0" w:lastColumn="0" w:oddVBand="0" w:evenVBand="0" w:oddHBand="1" w:evenHBand="0" w:firstRowFirstColumn="0" w:firstRowLastColumn="0" w:lastRowFirstColumn="0" w:lastRowLastColumn="0"/>
            </w:pPr>
            <w:r w:rsidRPr="009D695E">
              <w:t xml:space="preserve">Health impact of dampness and </w:t>
            </w:r>
            <w:proofErr w:type="spellStart"/>
            <w:r w:rsidRPr="009D695E">
              <w:t>mold</w:t>
            </w:r>
            <w:proofErr w:type="spellEnd"/>
          </w:p>
        </w:tc>
        <w:tc>
          <w:tcPr>
            <w:tcW w:w="0" w:type="auto"/>
            <w:hideMark/>
          </w:tcPr>
          <w:p w14:paraId="03AFF669" w14:textId="77777777" w:rsidR="009D695E" w:rsidRPr="009D695E" w:rsidRDefault="009D695E" w:rsidP="009D695E">
            <w:pPr>
              <w:jc w:val="both"/>
              <w:cnfStyle w:val="000000100000" w:firstRow="0" w:lastRow="0" w:firstColumn="0" w:lastColumn="0" w:oddVBand="0" w:evenVBand="0" w:oddHBand="1" w:evenHBand="0" w:firstRowFirstColumn="0" w:firstRowLastColumn="0" w:lastRowFirstColumn="0" w:lastRowLastColumn="0"/>
            </w:pPr>
            <w:r w:rsidRPr="009D695E">
              <w:t>30.0</w:t>
            </w:r>
          </w:p>
        </w:tc>
        <w:tc>
          <w:tcPr>
            <w:tcW w:w="0" w:type="auto"/>
            <w:hideMark/>
          </w:tcPr>
          <w:p w14:paraId="108CC3CF" w14:textId="77777777" w:rsidR="009D695E" w:rsidRPr="009D695E" w:rsidRDefault="009D695E" w:rsidP="009D695E">
            <w:pPr>
              <w:jc w:val="both"/>
              <w:cnfStyle w:val="000000100000" w:firstRow="0" w:lastRow="0" w:firstColumn="0" w:lastColumn="0" w:oddVBand="0" w:evenVBand="0" w:oddHBand="1" w:evenHBand="0" w:firstRowFirstColumn="0" w:firstRowLastColumn="0" w:lastRowFirstColumn="0" w:lastRowLastColumn="0"/>
            </w:pPr>
            <w:r w:rsidRPr="009D695E">
              <w:t>70.0</w:t>
            </w:r>
          </w:p>
        </w:tc>
        <w:tc>
          <w:tcPr>
            <w:tcW w:w="0" w:type="auto"/>
            <w:hideMark/>
          </w:tcPr>
          <w:p w14:paraId="03408F61" w14:textId="77777777" w:rsidR="009D695E" w:rsidRPr="009D695E" w:rsidRDefault="009D695E" w:rsidP="009D695E">
            <w:pPr>
              <w:jc w:val="both"/>
              <w:cnfStyle w:val="000000100000" w:firstRow="0" w:lastRow="0" w:firstColumn="0" w:lastColumn="0" w:oddVBand="0" w:evenVBand="0" w:oddHBand="1" w:evenHBand="0" w:firstRowFirstColumn="0" w:firstRowLastColumn="0" w:lastRowFirstColumn="0" w:lastRowLastColumn="0"/>
            </w:pPr>
            <w:r w:rsidRPr="009D695E">
              <w:t>Very low</w:t>
            </w:r>
          </w:p>
        </w:tc>
      </w:tr>
      <w:tr w:rsidR="009D695E" w:rsidRPr="009D695E" w14:paraId="5CB5EC2F" w14:textId="77777777" w:rsidTr="009D695E">
        <w:tc>
          <w:tcPr>
            <w:cnfStyle w:val="001000000000" w:firstRow="0" w:lastRow="0" w:firstColumn="1" w:lastColumn="0" w:oddVBand="0" w:evenVBand="0" w:oddHBand="0" w:evenHBand="0" w:firstRowFirstColumn="0" w:firstRowLastColumn="0" w:lastRowFirstColumn="0" w:lastRowLastColumn="0"/>
            <w:tcW w:w="0" w:type="auto"/>
            <w:hideMark/>
          </w:tcPr>
          <w:p w14:paraId="67916D25" w14:textId="77777777" w:rsidR="009D695E" w:rsidRPr="009D695E" w:rsidRDefault="009D695E" w:rsidP="009D695E">
            <w:pPr>
              <w:jc w:val="both"/>
            </w:pPr>
            <w:r w:rsidRPr="009D695E">
              <w:t>6</w:t>
            </w:r>
          </w:p>
        </w:tc>
        <w:tc>
          <w:tcPr>
            <w:tcW w:w="0" w:type="auto"/>
            <w:hideMark/>
          </w:tcPr>
          <w:p w14:paraId="5115082C" w14:textId="77777777" w:rsidR="009D695E" w:rsidRPr="009D695E" w:rsidRDefault="009D695E" w:rsidP="009D695E">
            <w:pPr>
              <w:jc w:val="both"/>
              <w:cnfStyle w:val="000000000000" w:firstRow="0" w:lastRow="0" w:firstColumn="0" w:lastColumn="0" w:oddVBand="0" w:evenVBand="0" w:oddHBand="0" w:evenHBand="0" w:firstRowFirstColumn="0" w:firstRowLastColumn="0" w:lastRowFirstColumn="0" w:lastRowLastColumn="0"/>
            </w:pPr>
            <w:r w:rsidRPr="009D695E">
              <w:t>Importance of smoke exhaust in the kitchen</w:t>
            </w:r>
          </w:p>
        </w:tc>
        <w:tc>
          <w:tcPr>
            <w:tcW w:w="0" w:type="auto"/>
            <w:hideMark/>
          </w:tcPr>
          <w:p w14:paraId="2EE750C2" w14:textId="77777777" w:rsidR="009D695E" w:rsidRPr="009D695E" w:rsidRDefault="009D695E" w:rsidP="009D695E">
            <w:pPr>
              <w:jc w:val="both"/>
              <w:cnfStyle w:val="000000000000" w:firstRow="0" w:lastRow="0" w:firstColumn="0" w:lastColumn="0" w:oddVBand="0" w:evenVBand="0" w:oddHBand="0" w:evenHBand="0" w:firstRowFirstColumn="0" w:firstRowLastColumn="0" w:lastRowFirstColumn="0" w:lastRowLastColumn="0"/>
            </w:pPr>
            <w:r w:rsidRPr="009D695E">
              <w:t>23.3</w:t>
            </w:r>
          </w:p>
        </w:tc>
        <w:tc>
          <w:tcPr>
            <w:tcW w:w="0" w:type="auto"/>
            <w:hideMark/>
          </w:tcPr>
          <w:p w14:paraId="7B11F4F8" w14:textId="77777777" w:rsidR="009D695E" w:rsidRPr="009D695E" w:rsidRDefault="009D695E" w:rsidP="009D695E">
            <w:pPr>
              <w:jc w:val="both"/>
              <w:cnfStyle w:val="000000000000" w:firstRow="0" w:lastRow="0" w:firstColumn="0" w:lastColumn="0" w:oddVBand="0" w:evenVBand="0" w:oddHBand="0" w:evenHBand="0" w:firstRowFirstColumn="0" w:firstRowLastColumn="0" w:lastRowFirstColumn="0" w:lastRowLastColumn="0"/>
            </w:pPr>
            <w:r w:rsidRPr="009D695E">
              <w:t>76.7</w:t>
            </w:r>
          </w:p>
        </w:tc>
        <w:tc>
          <w:tcPr>
            <w:tcW w:w="0" w:type="auto"/>
            <w:hideMark/>
          </w:tcPr>
          <w:p w14:paraId="7AEFCDC5" w14:textId="77777777" w:rsidR="009D695E" w:rsidRPr="009D695E" w:rsidRDefault="009D695E" w:rsidP="009D695E">
            <w:pPr>
              <w:jc w:val="both"/>
              <w:cnfStyle w:val="000000000000" w:firstRow="0" w:lastRow="0" w:firstColumn="0" w:lastColumn="0" w:oddVBand="0" w:evenVBand="0" w:oddHBand="0" w:evenHBand="0" w:firstRowFirstColumn="0" w:firstRowLastColumn="0" w:lastRowFirstColumn="0" w:lastRowLastColumn="0"/>
            </w:pPr>
            <w:r w:rsidRPr="009D695E">
              <w:t>Critically low</w:t>
            </w:r>
          </w:p>
        </w:tc>
      </w:tr>
      <w:tr w:rsidR="009D695E" w:rsidRPr="009D695E" w14:paraId="7D3E1615" w14:textId="77777777" w:rsidTr="009D69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32BD63" w14:textId="77777777" w:rsidR="009D695E" w:rsidRPr="009D695E" w:rsidRDefault="009D695E" w:rsidP="009D695E">
            <w:pPr>
              <w:jc w:val="both"/>
            </w:pPr>
            <w:r w:rsidRPr="009D695E">
              <w:t>7</w:t>
            </w:r>
          </w:p>
        </w:tc>
        <w:tc>
          <w:tcPr>
            <w:tcW w:w="0" w:type="auto"/>
            <w:hideMark/>
          </w:tcPr>
          <w:p w14:paraId="1798518A" w14:textId="77777777" w:rsidR="009D695E" w:rsidRPr="009D695E" w:rsidRDefault="009D695E" w:rsidP="009D695E">
            <w:pPr>
              <w:jc w:val="both"/>
              <w:cnfStyle w:val="000000100000" w:firstRow="0" w:lastRow="0" w:firstColumn="0" w:lastColumn="0" w:oddVBand="0" w:evenVBand="0" w:oddHBand="1" w:evenHBand="0" w:firstRowFirstColumn="0" w:firstRowLastColumn="0" w:lastRowFirstColumn="0" w:lastRowLastColumn="0"/>
            </w:pPr>
            <w:r w:rsidRPr="009D695E">
              <w:t>Impact of environmental noise on health</w:t>
            </w:r>
          </w:p>
        </w:tc>
        <w:tc>
          <w:tcPr>
            <w:tcW w:w="0" w:type="auto"/>
            <w:hideMark/>
          </w:tcPr>
          <w:p w14:paraId="497CD50D" w14:textId="77777777" w:rsidR="009D695E" w:rsidRPr="009D695E" w:rsidRDefault="009D695E" w:rsidP="009D695E">
            <w:pPr>
              <w:jc w:val="both"/>
              <w:cnfStyle w:val="000000100000" w:firstRow="0" w:lastRow="0" w:firstColumn="0" w:lastColumn="0" w:oddVBand="0" w:evenVBand="0" w:oddHBand="1" w:evenHBand="0" w:firstRowFirstColumn="0" w:firstRowLastColumn="0" w:lastRowFirstColumn="0" w:lastRowLastColumn="0"/>
            </w:pPr>
            <w:r w:rsidRPr="009D695E">
              <w:t>33.3</w:t>
            </w:r>
          </w:p>
        </w:tc>
        <w:tc>
          <w:tcPr>
            <w:tcW w:w="0" w:type="auto"/>
            <w:hideMark/>
          </w:tcPr>
          <w:p w14:paraId="55063D39" w14:textId="77777777" w:rsidR="009D695E" w:rsidRPr="009D695E" w:rsidRDefault="009D695E" w:rsidP="009D695E">
            <w:pPr>
              <w:jc w:val="both"/>
              <w:cnfStyle w:val="000000100000" w:firstRow="0" w:lastRow="0" w:firstColumn="0" w:lastColumn="0" w:oddVBand="0" w:evenVBand="0" w:oddHBand="1" w:evenHBand="0" w:firstRowFirstColumn="0" w:firstRowLastColumn="0" w:lastRowFirstColumn="0" w:lastRowLastColumn="0"/>
            </w:pPr>
            <w:r w:rsidRPr="009D695E">
              <w:t>66.7</w:t>
            </w:r>
          </w:p>
        </w:tc>
        <w:tc>
          <w:tcPr>
            <w:tcW w:w="0" w:type="auto"/>
            <w:hideMark/>
          </w:tcPr>
          <w:p w14:paraId="6B6783F4" w14:textId="77777777" w:rsidR="009D695E" w:rsidRPr="009D695E" w:rsidRDefault="009D695E" w:rsidP="009D695E">
            <w:pPr>
              <w:jc w:val="both"/>
              <w:cnfStyle w:val="000000100000" w:firstRow="0" w:lastRow="0" w:firstColumn="0" w:lastColumn="0" w:oddVBand="0" w:evenVBand="0" w:oddHBand="1" w:evenHBand="0" w:firstRowFirstColumn="0" w:firstRowLastColumn="0" w:lastRowFirstColumn="0" w:lastRowLastColumn="0"/>
            </w:pPr>
            <w:r w:rsidRPr="009D695E">
              <w:t>Low</w:t>
            </w:r>
          </w:p>
        </w:tc>
      </w:tr>
      <w:tr w:rsidR="009D695E" w:rsidRPr="009D695E" w14:paraId="4EE75F1A" w14:textId="77777777" w:rsidTr="009D695E">
        <w:tc>
          <w:tcPr>
            <w:cnfStyle w:val="001000000000" w:firstRow="0" w:lastRow="0" w:firstColumn="1" w:lastColumn="0" w:oddVBand="0" w:evenVBand="0" w:oddHBand="0" w:evenHBand="0" w:firstRowFirstColumn="0" w:firstRowLastColumn="0" w:lastRowFirstColumn="0" w:lastRowLastColumn="0"/>
            <w:tcW w:w="0" w:type="auto"/>
            <w:hideMark/>
          </w:tcPr>
          <w:p w14:paraId="51E219CA" w14:textId="77777777" w:rsidR="009D695E" w:rsidRPr="009D695E" w:rsidRDefault="009D695E" w:rsidP="009D695E">
            <w:pPr>
              <w:jc w:val="both"/>
            </w:pPr>
            <w:r w:rsidRPr="009D695E">
              <w:t>8</w:t>
            </w:r>
          </w:p>
        </w:tc>
        <w:tc>
          <w:tcPr>
            <w:tcW w:w="0" w:type="auto"/>
            <w:hideMark/>
          </w:tcPr>
          <w:p w14:paraId="6A044574" w14:textId="77777777" w:rsidR="009D695E" w:rsidRPr="009D695E" w:rsidRDefault="009D695E" w:rsidP="009D695E">
            <w:pPr>
              <w:jc w:val="both"/>
              <w:cnfStyle w:val="000000000000" w:firstRow="0" w:lastRow="0" w:firstColumn="0" w:lastColumn="0" w:oddVBand="0" w:evenVBand="0" w:oddHBand="0" w:evenHBand="0" w:firstRowFirstColumn="0" w:firstRowLastColumn="0" w:lastRowFirstColumn="0" w:lastRowLastColumn="0"/>
            </w:pPr>
            <w:r w:rsidRPr="009D695E">
              <w:t>Responsibility for environmental cleanliness</w:t>
            </w:r>
          </w:p>
        </w:tc>
        <w:tc>
          <w:tcPr>
            <w:tcW w:w="0" w:type="auto"/>
            <w:hideMark/>
          </w:tcPr>
          <w:p w14:paraId="40E962A2" w14:textId="77777777" w:rsidR="009D695E" w:rsidRPr="009D695E" w:rsidRDefault="009D695E" w:rsidP="009D695E">
            <w:pPr>
              <w:jc w:val="both"/>
              <w:cnfStyle w:val="000000000000" w:firstRow="0" w:lastRow="0" w:firstColumn="0" w:lastColumn="0" w:oddVBand="0" w:evenVBand="0" w:oddHBand="0" w:evenHBand="0" w:firstRowFirstColumn="0" w:firstRowLastColumn="0" w:lastRowFirstColumn="0" w:lastRowLastColumn="0"/>
            </w:pPr>
            <w:r w:rsidRPr="009D695E">
              <w:t>56.7</w:t>
            </w:r>
          </w:p>
        </w:tc>
        <w:tc>
          <w:tcPr>
            <w:tcW w:w="0" w:type="auto"/>
            <w:hideMark/>
          </w:tcPr>
          <w:p w14:paraId="5479C57B" w14:textId="77777777" w:rsidR="009D695E" w:rsidRPr="009D695E" w:rsidRDefault="009D695E" w:rsidP="009D695E">
            <w:pPr>
              <w:jc w:val="both"/>
              <w:cnfStyle w:val="000000000000" w:firstRow="0" w:lastRow="0" w:firstColumn="0" w:lastColumn="0" w:oddVBand="0" w:evenVBand="0" w:oddHBand="0" w:evenHBand="0" w:firstRowFirstColumn="0" w:firstRowLastColumn="0" w:lastRowFirstColumn="0" w:lastRowLastColumn="0"/>
            </w:pPr>
            <w:r w:rsidRPr="009D695E">
              <w:t>43.3</w:t>
            </w:r>
          </w:p>
        </w:tc>
        <w:tc>
          <w:tcPr>
            <w:tcW w:w="0" w:type="auto"/>
            <w:hideMark/>
          </w:tcPr>
          <w:p w14:paraId="5E99D759" w14:textId="77777777" w:rsidR="009D695E" w:rsidRPr="009D695E" w:rsidRDefault="009D695E" w:rsidP="009D695E">
            <w:pPr>
              <w:jc w:val="both"/>
              <w:cnfStyle w:val="000000000000" w:firstRow="0" w:lastRow="0" w:firstColumn="0" w:lastColumn="0" w:oddVBand="0" w:evenVBand="0" w:oddHBand="0" w:evenHBand="0" w:firstRowFirstColumn="0" w:firstRowLastColumn="0" w:lastRowFirstColumn="0" w:lastRowLastColumn="0"/>
            </w:pPr>
            <w:r w:rsidRPr="009D695E">
              <w:t>Moderate</w:t>
            </w:r>
          </w:p>
        </w:tc>
      </w:tr>
      <w:tr w:rsidR="009D695E" w:rsidRPr="009D695E" w14:paraId="4EE8C8A1" w14:textId="77777777" w:rsidTr="009D69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D384642" w14:textId="77777777" w:rsidR="009D695E" w:rsidRPr="009D695E" w:rsidRDefault="009D695E" w:rsidP="009D695E">
            <w:pPr>
              <w:jc w:val="both"/>
            </w:pPr>
            <w:r w:rsidRPr="009D695E">
              <w:t>9</w:t>
            </w:r>
          </w:p>
        </w:tc>
        <w:tc>
          <w:tcPr>
            <w:tcW w:w="0" w:type="auto"/>
            <w:hideMark/>
          </w:tcPr>
          <w:p w14:paraId="12EC1557" w14:textId="77777777" w:rsidR="009D695E" w:rsidRPr="009D695E" w:rsidRDefault="009D695E" w:rsidP="009D695E">
            <w:pPr>
              <w:jc w:val="both"/>
              <w:cnfStyle w:val="000000100000" w:firstRow="0" w:lastRow="0" w:firstColumn="0" w:lastColumn="0" w:oddVBand="0" w:evenVBand="0" w:oddHBand="1" w:evenHBand="0" w:firstRowFirstColumn="0" w:firstRowLastColumn="0" w:lastRowFirstColumn="0" w:lastRowLastColumn="0"/>
            </w:pPr>
            <w:r w:rsidRPr="009D695E">
              <w:t>Household safety response</w:t>
            </w:r>
          </w:p>
        </w:tc>
        <w:tc>
          <w:tcPr>
            <w:tcW w:w="0" w:type="auto"/>
            <w:hideMark/>
          </w:tcPr>
          <w:p w14:paraId="05FB6966" w14:textId="77777777" w:rsidR="009D695E" w:rsidRPr="009D695E" w:rsidRDefault="009D695E" w:rsidP="009D695E">
            <w:pPr>
              <w:jc w:val="both"/>
              <w:cnfStyle w:val="000000100000" w:firstRow="0" w:lastRow="0" w:firstColumn="0" w:lastColumn="0" w:oddVBand="0" w:evenVBand="0" w:oddHBand="1" w:evenHBand="0" w:firstRowFirstColumn="0" w:firstRowLastColumn="0" w:lastRowFirstColumn="0" w:lastRowLastColumn="0"/>
            </w:pPr>
            <w:r w:rsidRPr="009D695E">
              <w:t>63.3</w:t>
            </w:r>
          </w:p>
        </w:tc>
        <w:tc>
          <w:tcPr>
            <w:tcW w:w="0" w:type="auto"/>
            <w:hideMark/>
          </w:tcPr>
          <w:p w14:paraId="190729C6" w14:textId="77777777" w:rsidR="009D695E" w:rsidRPr="009D695E" w:rsidRDefault="009D695E" w:rsidP="009D695E">
            <w:pPr>
              <w:jc w:val="both"/>
              <w:cnfStyle w:val="000000100000" w:firstRow="0" w:lastRow="0" w:firstColumn="0" w:lastColumn="0" w:oddVBand="0" w:evenVBand="0" w:oddHBand="1" w:evenHBand="0" w:firstRowFirstColumn="0" w:firstRowLastColumn="0" w:lastRowFirstColumn="0" w:lastRowLastColumn="0"/>
            </w:pPr>
            <w:r w:rsidRPr="009D695E">
              <w:t>36.7</w:t>
            </w:r>
          </w:p>
        </w:tc>
        <w:tc>
          <w:tcPr>
            <w:tcW w:w="0" w:type="auto"/>
            <w:hideMark/>
          </w:tcPr>
          <w:p w14:paraId="42DA61DA" w14:textId="77777777" w:rsidR="009D695E" w:rsidRPr="009D695E" w:rsidRDefault="009D695E" w:rsidP="009D695E">
            <w:pPr>
              <w:jc w:val="both"/>
              <w:cnfStyle w:val="000000100000" w:firstRow="0" w:lastRow="0" w:firstColumn="0" w:lastColumn="0" w:oddVBand="0" w:evenVBand="0" w:oddHBand="1" w:evenHBand="0" w:firstRowFirstColumn="0" w:firstRowLastColumn="0" w:lastRowFirstColumn="0" w:lastRowLastColumn="0"/>
            </w:pPr>
            <w:r w:rsidRPr="009D695E">
              <w:t>Relatively strong</w:t>
            </w:r>
          </w:p>
        </w:tc>
      </w:tr>
      <w:tr w:rsidR="009D695E" w:rsidRPr="009D695E" w14:paraId="480458B7" w14:textId="77777777" w:rsidTr="009D695E">
        <w:tc>
          <w:tcPr>
            <w:cnfStyle w:val="001000000000" w:firstRow="0" w:lastRow="0" w:firstColumn="1" w:lastColumn="0" w:oddVBand="0" w:evenVBand="0" w:oddHBand="0" w:evenHBand="0" w:firstRowFirstColumn="0" w:firstRowLastColumn="0" w:lastRowFirstColumn="0" w:lastRowLastColumn="0"/>
            <w:tcW w:w="0" w:type="auto"/>
            <w:hideMark/>
          </w:tcPr>
          <w:p w14:paraId="5365998F" w14:textId="77777777" w:rsidR="009D695E" w:rsidRPr="009D695E" w:rsidRDefault="009D695E" w:rsidP="009D695E">
            <w:pPr>
              <w:jc w:val="both"/>
            </w:pPr>
            <w:r w:rsidRPr="009D695E">
              <w:t>10</w:t>
            </w:r>
          </w:p>
        </w:tc>
        <w:tc>
          <w:tcPr>
            <w:tcW w:w="0" w:type="auto"/>
            <w:hideMark/>
          </w:tcPr>
          <w:p w14:paraId="7BC0F151" w14:textId="77777777" w:rsidR="009D695E" w:rsidRPr="009D695E" w:rsidRDefault="009D695E" w:rsidP="009D695E">
            <w:pPr>
              <w:jc w:val="both"/>
              <w:cnfStyle w:val="000000000000" w:firstRow="0" w:lastRow="0" w:firstColumn="0" w:lastColumn="0" w:oddVBand="0" w:evenVBand="0" w:oddHBand="0" w:evenHBand="0" w:firstRowFirstColumn="0" w:firstRowLastColumn="0" w:lastRowFirstColumn="0" w:lastRowLastColumn="0"/>
            </w:pPr>
            <w:r w:rsidRPr="009D695E">
              <w:t>Role of green space in air quality</w:t>
            </w:r>
          </w:p>
        </w:tc>
        <w:tc>
          <w:tcPr>
            <w:tcW w:w="0" w:type="auto"/>
            <w:hideMark/>
          </w:tcPr>
          <w:p w14:paraId="33F69F9F" w14:textId="77777777" w:rsidR="009D695E" w:rsidRPr="009D695E" w:rsidRDefault="009D695E" w:rsidP="009D695E">
            <w:pPr>
              <w:jc w:val="both"/>
              <w:cnfStyle w:val="000000000000" w:firstRow="0" w:lastRow="0" w:firstColumn="0" w:lastColumn="0" w:oddVBand="0" w:evenVBand="0" w:oddHBand="0" w:evenHBand="0" w:firstRowFirstColumn="0" w:firstRowLastColumn="0" w:lastRowFirstColumn="0" w:lastRowLastColumn="0"/>
            </w:pPr>
            <w:r w:rsidRPr="009D695E">
              <w:t>43.3</w:t>
            </w:r>
          </w:p>
        </w:tc>
        <w:tc>
          <w:tcPr>
            <w:tcW w:w="0" w:type="auto"/>
            <w:hideMark/>
          </w:tcPr>
          <w:p w14:paraId="17565F85" w14:textId="77777777" w:rsidR="009D695E" w:rsidRPr="009D695E" w:rsidRDefault="009D695E" w:rsidP="009D695E">
            <w:pPr>
              <w:jc w:val="both"/>
              <w:cnfStyle w:val="000000000000" w:firstRow="0" w:lastRow="0" w:firstColumn="0" w:lastColumn="0" w:oddVBand="0" w:evenVBand="0" w:oddHBand="0" w:evenHBand="0" w:firstRowFirstColumn="0" w:firstRowLastColumn="0" w:lastRowFirstColumn="0" w:lastRowLastColumn="0"/>
            </w:pPr>
            <w:r w:rsidRPr="009D695E">
              <w:t>56.7</w:t>
            </w:r>
          </w:p>
        </w:tc>
        <w:tc>
          <w:tcPr>
            <w:tcW w:w="0" w:type="auto"/>
            <w:hideMark/>
          </w:tcPr>
          <w:p w14:paraId="679B331A" w14:textId="77777777" w:rsidR="009D695E" w:rsidRPr="009D695E" w:rsidRDefault="009D695E" w:rsidP="009D695E">
            <w:pPr>
              <w:jc w:val="both"/>
              <w:cnfStyle w:val="000000000000" w:firstRow="0" w:lastRow="0" w:firstColumn="0" w:lastColumn="0" w:oddVBand="0" w:evenVBand="0" w:oddHBand="0" w:evenHBand="0" w:firstRowFirstColumn="0" w:firstRowLastColumn="0" w:lastRowFirstColumn="0" w:lastRowLastColumn="0"/>
            </w:pPr>
            <w:r w:rsidRPr="009D695E">
              <w:t>Limited</w:t>
            </w:r>
          </w:p>
        </w:tc>
      </w:tr>
    </w:tbl>
    <w:p w14:paraId="43AF009E" w14:textId="77777777" w:rsidR="009B6F13" w:rsidRDefault="009B6F13" w:rsidP="00601AAD">
      <w:pPr>
        <w:jc w:val="both"/>
      </w:pPr>
    </w:p>
    <w:p w14:paraId="2DD3EBF5" w14:textId="2D04CB69" w:rsidR="009D695E" w:rsidRDefault="009D695E" w:rsidP="009D695E">
      <w:pPr>
        <w:jc w:val="both"/>
      </w:pPr>
      <w:r w:rsidRPr="009D695E">
        <w:t xml:space="preserve">As shown in Table 1, the participants entered the program with moderate awareness of general housing concepts and immediate household safety, but with substantial gaps in core environmental health knowledge. The weakest areas were dampness and </w:t>
      </w:r>
      <w:proofErr w:type="spellStart"/>
      <w:r w:rsidRPr="009D695E">
        <w:t>mold</w:t>
      </w:r>
      <w:proofErr w:type="spellEnd"/>
      <w:r w:rsidRPr="009D695E">
        <w:t>, kitchen smoke exhaust, environmental noise, and overcrowding risk. These findings are important because they reveal that many of the environmental pressures faced by migrant service-worker families were not fully recognized as health-related problems at the outset of the program. This baseline condition helps explain why the intervention was necessary and why practical, spatially grounded education had strong relevance for the community.</w:t>
      </w:r>
    </w:p>
    <w:p w14:paraId="066146BF" w14:textId="77777777" w:rsidR="009D695E" w:rsidRDefault="009D695E" w:rsidP="009D695E">
      <w:pPr>
        <w:jc w:val="both"/>
      </w:pPr>
    </w:p>
    <w:p w14:paraId="27457D26" w14:textId="7056E10C" w:rsidR="009D695E" w:rsidRPr="009D695E" w:rsidRDefault="009D695E" w:rsidP="009D695E">
      <w:pPr>
        <w:jc w:val="both"/>
      </w:pPr>
      <w:r w:rsidRPr="009D695E">
        <w:t>The questionnaire findings became more meaningful when read alongside the field observations. Rather than standing as isolated indicators of knowledge, the pre-test results corresponded closely with the actual domestic conditions documented on site. In other words, the areas in which participants demonstrated limited awareness were often the same areas where environmental risks were visibly present in everyday living environments. This convergence between literacy gaps and observed housing conditions forms the basis of the next section.</w:t>
      </w:r>
    </w:p>
    <w:p w14:paraId="06FAF3BD" w14:textId="77777777" w:rsidR="00ED1555" w:rsidRDefault="00ED1555" w:rsidP="00601AAD">
      <w:pPr>
        <w:jc w:val="both"/>
        <w:rPr>
          <w:b/>
          <w:bCs/>
        </w:rPr>
      </w:pPr>
    </w:p>
    <w:p w14:paraId="5B247399" w14:textId="2CA66845" w:rsidR="00601AAD" w:rsidRPr="00601AAD" w:rsidRDefault="00601AAD" w:rsidP="00601AAD">
      <w:pPr>
        <w:jc w:val="both"/>
        <w:rPr>
          <w:b/>
          <w:bCs/>
        </w:rPr>
      </w:pPr>
      <w:r w:rsidRPr="00601AAD">
        <w:rPr>
          <w:b/>
          <w:bCs/>
        </w:rPr>
        <w:t>Domestic environmental problems identified in the field</w:t>
      </w:r>
    </w:p>
    <w:p w14:paraId="207399F6" w14:textId="77777777" w:rsidR="00601AAD" w:rsidRDefault="00601AAD" w:rsidP="00601AAD">
      <w:pPr>
        <w:jc w:val="both"/>
      </w:pPr>
      <w:r w:rsidRPr="00601AAD">
        <w:t>Field observation and participatory discussion confirmed that the knowledge gaps identified in the questionnaire were closely aligned with actual living conditions. Recurring environmental concerns included poor air circulation, low daylight penetration, damp service areas, overcrowded room arrangements, and weak spatial organization of domestic functions.</w:t>
      </w:r>
    </w:p>
    <w:p w14:paraId="0570832A" w14:textId="77777777" w:rsidR="00601AAD" w:rsidRPr="00601AAD" w:rsidRDefault="00601AAD" w:rsidP="00601AAD">
      <w:pPr>
        <w:jc w:val="both"/>
      </w:pPr>
    </w:p>
    <w:p w14:paraId="0DE642FE" w14:textId="77777777" w:rsidR="00601AAD" w:rsidRDefault="00601AAD" w:rsidP="00601AAD">
      <w:pPr>
        <w:jc w:val="both"/>
      </w:pPr>
      <w:r w:rsidRPr="00601AAD">
        <w:t>Participants often described these conditions as normal aspects of daily life rather than as health risks. This normalization of environmental disadvantage is significant, as it indicates that risk is embedded within everyday domestic routines.</w:t>
      </w:r>
    </w:p>
    <w:p w14:paraId="1BB2E329" w14:textId="77777777" w:rsidR="00601AAD" w:rsidRPr="00601AAD" w:rsidRDefault="00601AAD" w:rsidP="00601AAD">
      <w:pPr>
        <w:jc w:val="both"/>
      </w:pPr>
    </w:p>
    <w:p w14:paraId="55A4CED5" w14:textId="77777777" w:rsidR="00601AAD" w:rsidRPr="00601AAD" w:rsidRDefault="00601AAD" w:rsidP="00601AAD">
      <w:pPr>
        <w:jc w:val="both"/>
      </w:pPr>
      <w:r w:rsidRPr="00601AAD">
        <w:t>The relevance of overcrowding observed in the field is reinforced by the pre-test findings, where the majority of participants failed to recognize its health implications. This convergence between observed conditions and limited awareness highlights the need for targeted intervention.</w:t>
      </w:r>
    </w:p>
    <w:p w14:paraId="2E9FA2F0" w14:textId="38C14CE6" w:rsidR="00601AAD" w:rsidRPr="00601AAD" w:rsidRDefault="00601AAD" w:rsidP="00601AAD">
      <w:pPr>
        <w:jc w:val="both"/>
      </w:pPr>
    </w:p>
    <w:p w14:paraId="3D3A97B2" w14:textId="77777777" w:rsidR="00601AAD" w:rsidRPr="00601AAD" w:rsidRDefault="00601AAD" w:rsidP="00601AAD">
      <w:pPr>
        <w:jc w:val="both"/>
        <w:rPr>
          <w:b/>
          <w:bCs/>
        </w:rPr>
      </w:pPr>
      <w:r w:rsidRPr="00601AAD">
        <w:rPr>
          <w:b/>
          <w:bCs/>
        </w:rPr>
        <w:t>Ventilation, moisture, and indoor environmental quality</w:t>
      </w:r>
    </w:p>
    <w:p w14:paraId="0BDA5E96" w14:textId="77777777" w:rsidR="00601AAD" w:rsidRDefault="00601AAD" w:rsidP="00601AAD">
      <w:pPr>
        <w:jc w:val="both"/>
      </w:pPr>
      <w:r w:rsidRPr="00601AAD">
        <w:t>Ventilation and moisture control emerged as central issues both empirically and cognitively. Field observations showed limited airflow and persistent humidity in many dwellings, while questionnaire results revealed that only half of the participants understood the basic function of ventilation, and only 30% correctly associated dampness with respiratory health risks.</w:t>
      </w:r>
    </w:p>
    <w:p w14:paraId="79025B12" w14:textId="77777777" w:rsidR="00601AAD" w:rsidRPr="00601AAD" w:rsidRDefault="00601AAD" w:rsidP="00601AAD">
      <w:pPr>
        <w:jc w:val="both"/>
      </w:pPr>
    </w:p>
    <w:p w14:paraId="653D9EEE" w14:textId="339873DA" w:rsidR="000B0755" w:rsidRDefault="00601AAD" w:rsidP="00601AAD">
      <w:pPr>
        <w:jc w:val="both"/>
      </w:pPr>
      <w:r w:rsidRPr="00601AAD">
        <w:t>This dual finding is particularly important. It indicates not only the presence of environmental problems but also the absence of conceptual frameworks needed to interpret them as health risks. As a result, environmental discomfort and potential illness are often accepted as unavoidable rather than preventable.</w:t>
      </w:r>
      <w:r w:rsidR="000B0755">
        <w:t xml:space="preserve">  </w:t>
      </w:r>
    </w:p>
    <w:p w14:paraId="19CC1CFC" w14:textId="77777777" w:rsidR="000B0755" w:rsidRDefault="000B0755" w:rsidP="00601AAD">
      <w:pPr>
        <w:jc w:val="both"/>
      </w:pPr>
    </w:p>
    <w:p w14:paraId="4DF6A92F" w14:textId="33427E5B" w:rsidR="000B0755" w:rsidRDefault="000B0755" w:rsidP="00601AAD">
      <w:pPr>
        <w:jc w:val="both"/>
      </w:pPr>
      <w:r w:rsidRPr="000B0755">
        <w:t xml:space="preserve">To further illustrate the domestic environmental context of the participants, the following figure presents selected views of the external housing conditions and the immediate </w:t>
      </w:r>
      <w:proofErr w:type="spellStart"/>
      <w:r w:rsidRPr="000B0755">
        <w:t>neighborhood</w:t>
      </w:r>
      <w:proofErr w:type="spellEnd"/>
      <w:r w:rsidRPr="000B0755">
        <w:t xml:space="preserve"> setting at the intervention site. These visual observations are important because domestic environmental health is shaped not only by indoor conditions, but also by the physical form of the surrounding settlement, including building proximity, access corridors, and the overall spatial character of the residential environment.</w:t>
      </w:r>
    </w:p>
    <w:p w14:paraId="5040CA31" w14:textId="77777777" w:rsidR="000B0755" w:rsidRDefault="000B0755" w:rsidP="00601AAD">
      <w:pPr>
        <w:jc w:val="both"/>
      </w:pPr>
    </w:p>
    <w:p w14:paraId="541CBF42" w14:textId="63F799F3" w:rsidR="000B0755" w:rsidRDefault="000B0755" w:rsidP="00601AAD">
      <w:pPr>
        <w:jc w:val="both"/>
      </w:pPr>
      <w:r w:rsidRPr="000B0755">
        <w:rPr>
          <w:noProof/>
          <w:lang w:val="en-IN" w:eastAsia="en-IN"/>
        </w:rPr>
        <w:lastRenderedPageBreak/>
        <w:drawing>
          <wp:inline distT="0" distB="0" distL="0" distR="0" wp14:anchorId="6A909932" wp14:editId="0BACC66B">
            <wp:extent cx="5053263" cy="2753532"/>
            <wp:effectExtent l="0" t="0" r="1905" b="2540"/>
            <wp:docPr id="102910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10777" name=""/>
                    <pic:cNvPicPr/>
                  </pic:nvPicPr>
                  <pic:blipFill>
                    <a:blip r:embed="rId11"/>
                    <a:stretch>
                      <a:fillRect/>
                    </a:stretch>
                  </pic:blipFill>
                  <pic:spPr>
                    <a:xfrm>
                      <a:off x="0" y="0"/>
                      <a:ext cx="5142866" cy="2802357"/>
                    </a:xfrm>
                    <a:prstGeom prst="rect">
                      <a:avLst/>
                    </a:prstGeom>
                  </pic:spPr>
                </pic:pic>
              </a:graphicData>
            </a:graphic>
          </wp:inline>
        </w:drawing>
      </w:r>
      <w:r>
        <w:t xml:space="preserve"> </w:t>
      </w:r>
      <w:r w:rsidRPr="000B0755">
        <w:rPr>
          <w:noProof/>
          <w:lang w:val="en-IN" w:eastAsia="en-IN"/>
        </w:rPr>
        <w:drawing>
          <wp:inline distT="0" distB="0" distL="0" distR="0" wp14:anchorId="2CD9FBE2" wp14:editId="152E2772">
            <wp:extent cx="1659124" cy="2749483"/>
            <wp:effectExtent l="0" t="0" r="5080" b="0"/>
            <wp:docPr id="466449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449934" name=""/>
                    <pic:cNvPicPr/>
                  </pic:nvPicPr>
                  <pic:blipFill>
                    <a:blip r:embed="rId12"/>
                    <a:stretch>
                      <a:fillRect/>
                    </a:stretch>
                  </pic:blipFill>
                  <pic:spPr>
                    <a:xfrm>
                      <a:off x="0" y="0"/>
                      <a:ext cx="1698938" cy="2815463"/>
                    </a:xfrm>
                    <a:prstGeom prst="rect">
                      <a:avLst/>
                    </a:prstGeom>
                  </pic:spPr>
                </pic:pic>
              </a:graphicData>
            </a:graphic>
          </wp:inline>
        </w:drawing>
      </w:r>
    </w:p>
    <w:p w14:paraId="2E47FD09" w14:textId="383F43ED" w:rsidR="000B0755" w:rsidRDefault="000B0755" w:rsidP="00601AAD">
      <w:pPr>
        <w:jc w:val="both"/>
      </w:pPr>
      <w:r>
        <w:t xml:space="preserve">Figure 3. </w:t>
      </w:r>
      <w:r w:rsidRPr="000B0755">
        <w:t xml:space="preserve">External housing conditions and </w:t>
      </w:r>
      <w:proofErr w:type="spellStart"/>
      <w:r w:rsidRPr="000B0755">
        <w:t>neighborhood</w:t>
      </w:r>
      <w:proofErr w:type="spellEnd"/>
      <w:r w:rsidRPr="000B0755">
        <w:t xml:space="preserve"> setting of the migrant service-family settlement in Kuala Lumpur</w:t>
      </w:r>
    </w:p>
    <w:p w14:paraId="503E463E" w14:textId="77777777" w:rsidR="000B0755" w:rsidRDefault="000B0755" w:rsidP="00601AAD">
      <w:pPr>
        <w:jc w:val="both"/>
      </w:pPr>
    </w:p>
    <w:p w14:paraId="71ABD8F6" w14:textId="36C8D82F" w:rsidR="000B0755" w:rsidRPr="00601AAD" w:rsidRDefault="000B0755" w:rsidP="00601AAD">
      <w:pPr>
        <w:jc w:val="both"/>
      </w:pPr>
      <w:r w:rsidRPr="000B0755">
        <w:t xml:space="preserve">As shown in Figure 3, the domestic environments of participants were situated within a compact and closely built residential setting, where limited spatial separation between buildings could affect ventilation, daylight penetration, and movement within the </w:t>
      </w:r>
      <w:proofErr w:type="spellStart"/>
      <w:r w:rsidRPr="000B0755">
        <w:t>neighborhood</w:t>
      </w:r>
      <w:proofErr w:type="spellEnd"/>
      <w:r w:rsidRPr="000B0755">
        <w:t>. This broader physical context helps explain why indoor environmental problems such as humidity, constrained airflow, and restricted service-space quality were repeatedly observed during the fieldwork. The figure therefore supports the interpretation that domestic environmental health is shaped by both interior household conditions and the wider morphology of the surrounding settlement.</w:t>
      </w:r>
    </w:p>
    <w:p w14:paraId="55CC366C" w14:textId="4794E09C" w:rsidR="00601AAD" w:rsidRPr="00601AAD" w:rsidRDefault="00601AAD" w:rsidP="00601AAD">
      <w:pPr>
        <w:jc w:val="both"/>
      </w:pPr>
    </w:p>
    <w:p w14:paraId="1650B337" w14:textId="77777777" w:rsidR="00601AAD" w:rsidRPr="00601AAD" w:rsidRDefault="00601AAD" w:rsidP="00601AAD">
      <w:pPr>
        <w:jc w:val="both"/>
        <w:rPr>
          <w:b/>
          <w:bCs/>
        </w:rPr>
      </w:pPr>
      <w:r w:rsidRPr="00601AAD">
        <w:rPr>
          <w:b/>
          <w:bCs/>
        </w:rPr>
        <w:t>Sanitation, service areas, and domestic risk</w:t>
      </w:r>
    </w:p>
    <w:p w14:paraId="30F800A0" w14:textId="77777777" w:rsidR="00601AAD" w:rsidRDefault="00601AAD" w:rsidP="00601AAD">
      <w:pPr>
        <w:jc w:val="both"/>
      </w:pPr>
      <w:r w:rsidRPr="00601AAD">
        <w:t>Sanitation and service areas were frequently identified as constrained and functionally limited. Wet areas, kitchens, and circulation zones often lacked adequate ventilation and spatial separation, increasing potential health risks.</w:t>
      </w:r>
    </w:p>
    <w:p w14:paraId="16209A24" w14:textId="77777777" w:rsidR="00601AAD" w:rsidRPr="00601AAD" w:rsidRDefault="00601AAD" w:rsidP="00601AAD">
      <w:pPr>
        <w:jc w:val="both"/>
      </w:pPr>
    </w:p>
    <w:p w14:paraId="353CC415" w14:textId="77777777" w:rsidR="00601AAD" w:rsidRPr="00601AAD" w:rsidRDefault="00601AAD" w:rsidP="00601AAD">
      <w:pPr>
        <w:jc w:val="both"/>
      </w:pPr>
      <w:r w:rsidRPr="00601AAD">
        <w:t>The questionnaire results reinforce this observation. The very low level of correct responses regarding kitchen ventilation (23.3%) suggests that participants are exposed to respiratory risks without fully recognizing them. This highlights the importance of focusing not only on infrastructure but also on knowledge and daily practice.</w:t>
      </w:r>
    </w:p>
    <w:p w14:paraId="773B17D1" w14:textId="7E445406" w:rsidR="00601AAD" w:rsidRPr="00601AAD" w:rsidRDefault="00601AAD" w:rsidP="00601AAD">
      <w:pPr>
        <w:jc w:val="both"/>
      </w:pPr>
    </w:p>
    <w:p w14:paraId="310DA3FD" w14:textId="77777777" w:rsidR="00601AAD" w:rsidRPr="00601AAD" w:rsidRDefault="00601AAD" w:rsidP="00601AAD">
      <w:pPr>
        <w:jc w:val="both"/>
        <w:rPr>
          <w:b/>
          <w:bCs/>
        </w:rPr>
      </w:pPr>
      <w:r w:rsidRPr="00601AAD">
        <w:rPr>
          <w:b/>
          <w:bCs/>
        </w:rPr>
        <w:t>Recognition of housing-health relationships</w:t>
      </w:r>
    </w:p>
    <w:p w14:paraId="357641FF" w14:textId="3B7900A2" w:rsidR="00601AAD" w:rsidRPr="00601AAD" w:rsidRDefault="009D695E" w:rsidP="00601AAD">
      <w:pPr>
        <w:jc w:val="both"/>
      </w:pPr>
      <w:r w:rsidRPr="009D695E">
        <w:t>A major outcome of the program was the shift in how participants interpreted their living environments. Before the intervention, many domestic conditions were treated as ordinary parts of daily life rather than as environmental health risks. Through participatory discussion and practical explanation, participants began to connect ventilation, dampness, crowding, sanitation, and spatial organization with children’s health, family comfort, quality of rest, and emotional well-being. This indicates that the program did more than deliver information. It helped participants reframe the home as an active health environment and strengthened their ability to recognize risk in everyday domestic settings.</w:t>
      </w:r>
    </w:p>
    <w:p w14:paraId="14CE9667" w14:textId="54491702" w:rsidR="00601AAD" w:rsidRPr="00601AAD" w:rsidRDefault="00601AAD" w:rsidP="00601AAD">
      <w:pPr>
        <w:jc w:val="both"/>
      </w:pPr>
    </w:p>
    <w:p w14:paraId="546C9AD3" w14:textId="77777777" w:rsidR="00601AAD" w:rsidRPr="00601AAD" w:rsidRDefault="00601AAD" w:rsidP="00601AAD">
      <w:pPr>
        <w:jc w:val="both"/>
        <w:rPr>
          <w:b/>
          <w:bCs/>
        </w:rPr>
      </w:pPr>
      <w:r w:rsidRPr="00601AAD">
        <w:rPr>
          <w:b/>
          <w:bCs/>
        </w:rPr>
        <w:t>Low-cost improvement strategies and participant response</w:t>
      </w:r>
    </w:p>
    <w:p w14:paraId="717B7087" w14:textId="7BA4358F" w:rsidR="00601AAD" w:rsidRPr="00601AAD" w:rsidRDefault="009D695E" w:rsidP="00601AAD">
      <w:pPr>
        <w:jc w:val="both"/>
      </w:pPr>
      <w:r w:rsidRPr="009D695E">
        <w:t>Another important outcome was the strong acceptance of practical, low-cost improvement strategies. Participants responded positively to recommendations such as improving airflow, reducing clutter, reorganizing storage, maintaining drier surfaces, and making better use of available daylight. This response suggests that the main barrier was not unwillingness to act, but limited access to applicable environmental knowledge. Once the issues were explained in clear and relevant ways, participants were able to identify feasible changes within the constraints of rented or modest housing. This demonstrates the concrete value of the program in translating architectural and environmental knowledge into realistic household action.</w:t>
      </w:r>
    </w:p>
    <w:p w14:paraId="2798E7A7" w14:textId="443AFB6B" w:rsidR="00601AAD" w:rsidRPr="00601AAD" w:rsidRDefault="00601AAD" w:rsidP="00601AAD">
      <w:pPr>
        <w:jc w:val="both"/>
      </w:pPr>
    </w:p>
    <w:p w14:paraId="6931879D" w14:textId="77777777" w:rsidR="005C0BC9" w:rsidRDefault="005C0BC9" w:rsidP="00601AAD">
      <w:pPr>
        <w:jc w:val="both"/>
        <w:rPr>
          <w:b/>
          <w:bCs/>
        </w:rPr>
      </w:pPr>
    </w:p>
    <w:p w14:paraId="40CB6FAF" w14:textId="77777777" w:rsidR="005C0BC9" w:rsidRDefault="005C0BC9" w:rsidP="00601AAD">
      <w:pPr>
        <w:jc w:val="both"/>
        <w:rPr>
          <w:b/>
          <w:bCs/>
        </w:rPr>
      </w:pPr>
    </w:p>
    <w:p w14:paraId="2FFBA7D8" w14:textId="2C2C7684" w:rsidR="00601AAD" w:rsidRPr="00601AAD" w:rsidRDefault="00601AAD" w:rsidP="00601AAD">
      <w:pPr>
        <w:jc w:val="both"/>
        <w:rPr>
          <w:b/>
          <w:bCs/>
        </w:rPr>
      </w:pPr>
      <w:r w:rsidRPr="00601AAD">
        <w:rPr>
          <w:b/>
          <w:bCs/>
        </w:rPr>
        <w:t>Domestic environmental health and family resilience</w:t>
      </w:r>
    </w:p>
    <w:p w14:paraId="6462C975" w14:textId="77777777" w:rsidR="00601AAD" w:rsidRDefault="00601AAD" w:rsidP="00601AAD">
      <w:pPr>
        <w:jc w:val="both"/>
      </w:pPr>
      <w:r w:rsidRPr="00601AAD">
        <w:t>The findings also highlight the relationship between domestic environmental conditions and family resilience. Participants emphasized the role of the home as a space for rest, caregiving, and recovery from demanding work conditions.</w:t>
      </w:r>
    </w:p>
    <w:p w14:paraId="1E71C014" w14:textId="77777777" w:rsidR="00601AAD" w:rsidRPr="00601AAD" w:rsidRDefault="00601AAD" w:rsidP="00601AAD">
      <w:pPr>
        <w:jc w:val="both"/>
      </w:pPr>
    </w:p>
    <w:p w14:paraId="3CD76BFD" w14:textId="77777777" w:rsidR="00601AAD" w:rsidRPr="00601AAD" w:rsidRDefault="00601AAD" w:rsidP="00601AAD">
      <w:pPr>
        <w:jc w:val="both"/>
      </w:pPr>
      <w:r w:rsidRPr="00601AAD">
        <w:t>Where environmental conditions were poor, the cumulative burden on family life increased. Conversely, the introduction of simple improvement strategies enabled participants to envision more manageable and healthier living environments.</w:t>
      </w:r>
    </w:p>
    <w:p w14:paraId="2F56A4A0" w14:textId="71EA6ED0" w:rsidR="00601AAD" w:rsidRPr="00601AAD" w:rsidRDefault="00601AAD" w:rsidP="00601AAD">
      <w:pPr>
        <w:jc w:val="both"/>
      </w:pPr>
    </w:p>
    <w:p w14:paraId="29F64E31" w14:textId="77777777" w:rsidR="00601AAD" w:rsidRPr="00601AAD" w:rsidRDefault="00601AAD" w:rsidP="00601AAD">
      <w:pPr>
        <w:jc w:val="both"/>
        <w:rPr>
          <w:b/>
          <w:bCs/>
        </w:rPr>
      </w:pPr>
      <w:r w:rsidRPr="00601AAD">
        <w:rPr>
          <w:b/>
          <w:bCs/>
        </w:rPr>
        <w:t>Synthesis of results</w:t>
      </w:r>
    </w:p>
    <w:p w14:paraId="70F1FA02" w14:textId="058B9011" w:rsidR="00601AAD" w:rsidRDefault="009D695E" w:rsidP="00601AAD">
      <w:pPr>
        <w:jc w:val="both"/>
      </w:pPr>
      <w:r w:rsidRPr="009D695E">
        <w:t>Overall, the integration of pre-test data, field observation, and participatory engagement yields five main findings. First, migrant service-worker families experience recurring domestic environmental problems, particularly overcrowding, weak ventilation, insufficient lighting, sanitation constraints, and limited spatial organization. Second, baseline environmental health literacy was uneven, with the most serious gaps found in relation to dampness, kitchen smoke exposure, environmental noise, and overcrowding risks. Third, the questionnaire and field evidence showed a clear convergence between limited awareness and actual housing-related risk. Fourth, participatory and spatially grounded education improved participants’ ability to interpret domestic environments as health-related spaces. Fifth, the positive response to low-cost improvement strategies indicates that the program had practical relevance and immediate empowering value for the community. Taken together, these findings suggest that the intervention was not merely informative, but meaningfully supportive in helping migrant families recognize, reassess, and begin to improve their living environments.</w:t>
      </w:r>
    </w:p>
    <w:p w14:paraId="57B1C94C" w14:textId="77777777" w:rsidR="001E2F63" w:rsidRDefault="001E2F63" w:rsidP="00601AAD">
      <w:pPr>
        <w:jc w:val="both"/>
      </w:pPr>
    </w:p>
    <w:p w14:paraId="7B587902" w14:textId="5B030808" w:rsidR="001E2F63" w:rsidRDefault="001E2F63" w:rsidP="00601AAD">
      <w:pPr>
        <w:jc w:val="both"/>
      </w:pPr>
      <w:r w:rsidRPr="001E2F63">
        <w:t>To clarify the overall pattern of findings, the main results of the community service activity are synthesized visually in the following diagram. The figure integrates questionnaire responses, field observations, and participant engagement outcomes into five key findings that explain the domestic environmental challenges faced by migrant service-worker families and the practical significance of the intervention. Presenting these findings in diagrammatic form helps show the relationship between observed housing conditions, environmental health literacy, and the value of low-cost, context-sensitive guidance.</w:t>
      </w:r>
    </w:p>
    <w:p w14:paraId="69A52E7A" w14:textId="77777777" w:rsidR="001E2F63" w:rsidRDefault="001E2F63" w:rsidP="00601AAD">
      <w:pPr>
        <w:jc w:val="both"/>
      </w:pPr>
    </w:p>
    <w:p w14:paraId="4CCD664A" w14:textId="2A2668A3" w:rsidR="001E2F63" w:rsidRDefault="00D04F6D" w:rsidP="00601AAD">
      <w:pPr>
        <w:jc w:val="both"/>
      </w:pPr>
      <w:r>
        <w:rPr>
          <w:noProof/>
          <w:lang w:val="en-IN" w:eastAsia="en-IN"/>
          <w14:ligatures w14:val="standardContextual"/>
        </w:rPr>
        <w:drawing>
          <wp:inline distT="0" distB="0" distL="0" distR="0" wp14:anchorId="1E88F61B" wp14:editId="3F5377CE">
            <wp:extent cx="6787916" cy="3167270"/>
            <wp:effectExtent l="0" t="0" r="0" b="0"/>
            <wp:docPr id="20900586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058676" name="Picture 2090058676"/>
                    <pic:cNvPicPr/>
                  </pic:nvPicPr>
                  <pic:blipFill rotWithShape="1">
                    <a:blip r:embed="rId13">
                      <a:extLst>
                        <a:ext uri="{28A0092B-C50C-407E-A947-70E740481C1C}">
                          <a14:useLocalDpi xmlns:a14="http://schemas.microsoft.com/office/drawing/2010/main" val="0"/>
                        </a:ext>
                      </a:extLst>
                    </a:blip>
                    <a:srcRect t="11713" b="18300"/>
                    <a:stretch>
                      <a:fillRect/>
                    </a:stretch>
                  </pic:blipFill>
                  <pic:spPr bwMode="auto">
                    <a:xfrm>
                      <a:off x="0" y="0"/>
                      <a:ext cx="6787916" cy="3167270"/>
                    </a:xfrm>
                    <a:prstGeom prst="rect">
                      <a:avLst/>
                    </a:prstGeom>
                    <a:ln>
                      <a:noFill/>
                    </a:ln>
                    <a:extLst>
                      <a:ext uri="{53640926-AAD7-44D8-BBD7-CCE9431645EC}">
                        <a14:shadowObscured xmlns:a14="http://schemas.microsoft.com/office/drawing/2010/main"/>
                      </a:ext>
                    </a:extLst>
                  </pic:spPr>
                </pic:pic>
              </a:graphicData>
            </a:graphic>
          </wp:inline>
        </w:drawing>
      </w:r>
    </w:p>
    <w:p w14:paraId="594B537B" w14:textId="2100D472" w:rsidR="001E2F63" w:rsidRDefault="001E2F63" w:rsidP="00601AAD">
      <w:pPr>
        <w:jc w:val="both"/>
      </w:pPr>
      <w:r w:rsidRPr="001E2F63">
        <w:t xml:space="preserve">Figure </w:t>
      </w:r>
      <w:r w:rsidR="000B0755">
        <w:t>4</w:t>
      </w:r>
      <w:r w:rsidRPr="001E2F63">
        <w:t>. Synthesis of key results from the community service program on domestic environmental health</w:t>
      </w:r>
    </w:p>
    <w:p w14:paraId="35AAE8D4" w14:textId="77777777" w:rsidR="001E2F63" w:rsidRDefault="001E2F63" w:rsidP="00601AAD">
      <w:pPr>
        <w:jc w:val="both"/>
      </w:pPr>
    </w:p>
    <w:p w14:paraId="7B5B6D94" w14:textId="1663150B" w:rsidR="001E2F63" w:rsidRDefault="001E2F63" w:rsidP="00601AAD">
      <w:pPr>
        <w:jc w:val="both"/>
      </w:pPr>
      <w:r w:rsidRPr="001E2F63">
        <w:t xml:space="preserve">As shown in Figure </w:t>
      </w:r>
      <w:r w:rsidR="000B0755">
        <w:t>4</w:t>
      </w:r>
      <w:r w:rsidRPr="001E2F63">
        <w:t xml:space="preserve">, the results are interconnected rather than isolated. Recurrent domestic environmental problems were closely linked to limited environmental health understanding at the beginning of the program, while the educational and participatory components helped participants reinterpret their living environments as </w:t>
      </w:r>
      <w:r w:rsidRPr="001E2F63">
        <w:lastRenderedPageBreak/>
        <w:t>spaces that directly affect family well-being. The figure also demonstrates that low-cost and realistic interventions were not only well received, but also understood as feasible ways to improve domestic conditions. This synthesis reinforces the argument that architecture- and building engineering-based community service can make a meaningful contribution to healthier domestic environments in vulnerable migrant communities.</w:t>
      </w:r>
    </w:p>
    <w:p w14:paraId="3DA239E2" w14:textId="77777777" w:rsidR="009D695E" w:rsidRDefault="009D695E" w:rsidP="00601AAD">
      <w:pPr>
        <w:jc w:val="both"/>
      </w:pPr>
    </w:p>
    <w:p w14:paraId="1765C6A4" w14:textId="038852DB" w:rsidR="009D695E" w:rsidRPr="00601AAD" w:rsidRDefault="009D695E" w:rsidP="00601AAD">
      <w:pPr>
        <w:jc w:val="both"/>
      </w:pPr>
      <w:r w:rsidRPr="009D695E">
        <w:t>These findings suggest that the significance of the program lies not only in identifying domestic environmental problems, but also in demonstrating how knowledge gaps, everyday housing conditions, and practical intervention are closely interconnected. The following discussion interprets these relationships more broadly in relation to family resilience, migrant vulnerability, and the role of spatially grounded community service.</w:t>
      </w:r>
    </w:p>
    <w:p w14:paraId="4525E5F1" w14:textId="49AA10C1" w:rsidR="00407872" w:rsidRDefault="00407872" w:rsidP="001517BF">
      <w:pPr>
        <w:jc w:val="both"/>
      </w:pPr>
      <w:r w:rsidRPr="00407872">
        <w:t xml:space="preserve"> </w:t>
      </w:r>
    </w:p>
    <w:p w14:paraId="1C5A33E9" w14:textId="77777777" w:rsidR="00407872" w:rsidRPr="001517BF" w:rsidRDefault="00407872" w:rsidP="001517BF">
      <w:pPr>
        <w:jc w:val="both"/>
      </w:pPr>
    </w:p>
    <w:p w14:paraId="551FAE62" w14:textId="77777777" w:rsidR="001517BF" w:rsidRPr="001517BF" w:rsidRDefault="001517BF" w:rsidP="004E5210">
      <w:pPr>
        <w:pStyle w:val="Heading1"/>
      </w:pPr>
      <w:r w:rsidRPr="008D73FF">
        <w:t>DISCUSSION</w:t>
      </w:r>
    </w:p>
    <w:p w14:paraId="440BE275" w14:textId="77777777" w:rsidR="008D73FF" w:rsidRDefault="008D73FF" w:rsidP="008D73FF">
      <w:pPr>
        <w:jc w:val="both"/>
      </w:pPr>
    </w:p>
    <w:p w14:paraId="3FE24E69" w14:textId="4C5D7B66" w:rsidR="009D695E" w:rsidRDefault="009D695E" w:rsidP="008D73FF">
      <w:pPr>
        <w:jc w:val="both"/>
      </w:pPr>
      <w:r w:rsidRPr="009D695E">
        <w:t>Taken together, the discussion shows that domestic environmental health is central to how migrant families endure, recover, and maintain everyday well-being in constrained urban settings. These broader implications are summarized in the following conclusion.</w:t>
      </w:r>
    </w:p>
    <w:p w14:paraId="21FAA895" w14:textId="77777777" w:rsidR="009D695E" w:rsidRDefault="009D695E" w:rsidP="008D73FF">
      <w:pPr>
        <w:jc w:val="both"/>
      </w:pPr>
    </w:p>
    <w:p w14:paraId="126E4EA3" w14:textId="25D6E37F" w:rsidR="008D73FF" w:rsidRPr="008D73FF" w:rsidRDefault="008D73FF" w:rsidP="008D73FF">
      <w:pPr>
        <w:jc w:val="both"/>
      </w:pPr>
      <w:r w:rsidRPr="008D73FF">
        <w:t>The findings of this community service program confirm that domestic environmental health is not a secondary household issue, but a core component of family resilience among migrant service-worker families in Kuala Lumpur. In the present study, recurrent problems such as overcrowding, inadequate ventilation, limited lighting, sanitation constraints, and weak spatial organization were closely connected to participants’ everyday experiences of rest, caregiving, hygiene, and household manageability. This pattern is consistent with the broader housing-health literature, which argues that housing functions as a major social determinant of health and that healthy housing must be affordable, suitable, secure, dry, warm, and properly ventilated. Conversely, unhealthy domestic environments can negatively affect respiratory health, mental well-being, infectious disease transmission, and injury risk</w:t>
      </w:r>
      <w:r>
        <w:t xml:space="preserve"> </w:t>
      </w:r>
      <w:r>
        <w:fldChar w:fldCharType="begin"/>
      </w:r>
      <w:r>
        <w:instrText xml:space="preserve"> ADDIN ZOTERO_ITEM CSL_CITATION {"citationID":"mdXtT4n8","properties":{"formattedCitation":"(Rana et al., 2025)","plainCitation":"(Rana et al., 2025)","noteIndex":0},"citationItems":[{"id":20347,"uris":["http://zotero.org/users/1011003/items/I2G2Y4KB"],"itemData":{"id":20347,"type":"article-journal","abstract":"Background Migrant and refugee populations are disproportionately affected by the housing crises reportedly impacting high-income countries around the globe. However, the health implications of housing inequalities within these communities and contexts remain relatively understudied. This review aimed to synthesise the evidence on housing and health inequalities prevalent among migrant and refugee populations in high-income countries, and to identify the pathways linking housing inequalities and health outcomes. Methods This systematic review employed the Joanna Briggs Institute (JBI) methodology for mixed-methods systematic reviews using a convergent integrated approach to synthesis and integration. Electronic database searches were conducted using Medline (OVID), Web of Science (ISI), Embase (OVID), PsycInfo (OVID), Scopus, and CINAHL (EBSCO), supplemented by grey literature searches on Google Scholar, MedNar, and WHOLIS. Eligible studies included quantitative, qualitative, and mixed methods designs focused on understanding how housing inequalities are associated with physical and mental health outcomes. Results A total of 65 studies published between 1995 and 2024 were included in this review, comprising 38 quantitative and 27 qualitative studies. Substandard housing conditions, such as overcrowding and poor ventilation, were consistently associated with adverse physical and mental health outcomes, including respiratory illnesses and experiences of anxiety and depression. The type of housing tenure also impacted both physical and mental health, specifically living in inadequate rental housing as opposed to self-owned homes, was linked with poorer physical health and increased risk of mental health issues. Similarly, housing insecurity stemming from unstable housing situations and insecure tenancy, as well as neighbourhood conditions such as safety concerns and living in deprived neighbourhoods, led to the exacerbation of both physical and mental health issues. Furthermore, housing affordability challenges and decreased housing satisfaction were linked with poor mental health outcomes such as experiences of depression and psychological distress. Conclusions This review highlights the critical role of housing as a social determinant of health and wellbeing for migrant and refugee populations in high-income countries, along with highlighting the potential pathways through which housing inequalities impact physical and mental health outcomes. Ensuring access to adequate, affordable, and secure housing, while also improving neighbourhood conditions, is essential for improving the health and wellbeing of migrant and refugee populations.","container-title":"BMC Public Health","DOI":"10.1186/s12889-025-22186-5","ISSN":"1471-2458","issue":"1","language":"En","license":"2025 The Author(s)","page":"1098","publisher":"BioMed Central","source":"link.springer.com","title":"Housing inequalities and health outcomes among migrant and refugee populations in high-income countries: a mixed-methods systematic review","title-short":"Housing inequalities and health outcomes among migrant and refugee populations in high-income countries","URL":"https://link.springer.com/article/10.1186/s12889-025-22186-5","volume":"25","author":[{"family":"Rana","given":"Kritika"},{"family":"Kent","given":"Jennifer L."},{"family":"Page","given":"Andrew"}],"accessed":{"date-parts":[["2026",4,16]]},"issued":{"date-parts":[["2025",3,22]]}}}],"schema":"https://github.com/citation-style-language/schema/raw/master/csl-citation.json"} </w:instrText>
      </w:r>
      <w:r>
        <w:fldChar w:fldCharType="separate"/>
      </w:r>
      <w:r>
        <w:rPr>
          <w:noProof/>
        </w:rPr>
        <w:t>(Rana et al., 2025)</w:t>
      </w:r>
      <w:r>
        <w:fldChar w:fldCharType="end"/>
      </w:r>
      <w:r w:rsidRPr="008D73FF">
        <w:t xml:space="preserve">. </w:t>
      </w:r>
    </w:p>
    <w:p w14:paraId="495F67D2" w14:textId="77777777" w:rsidR="008D73FF" w:rsidRPr="008D73FF" w:rsidRDefault="008D73FF" w:rsidP="008D73FF">
      <w:pPr>
        <w:jc w:val="both"/>
      </w:pPr>
    </w:p>
    <w:p w14:paraId="2CCB9111" w14:textId="44C369E1" w:rsidR="008D73FF" w:rsidRPr="008D73FF" w:rsidRDefault="008D73FF" w:rsidP="008D73FF">
      <w:pPr>
        <w:jc w:val="both"/>
      </w:pPr>
      <w:r w:rsidRPr="008D73FF">
        <w:t>A key point emerging from this study is that environmental disadvantage had become normalized within daily family life. Participants frequently described poor airflow, dampness, constrained wet areas, and crowded living arrangements as ordinary rather than problematic. This normalization is significant because it helps explain why serious environmental risks may remain unaddressed even when they are repeatedly experienced. Recent review evidence on overcrowding shows that crowded housing can harm well-being through multiple pathways, including stress, disrupted routines, reduced privacy, and heightened difficulty in maintaining healthy domestic practices. When relocation is not feasible, small-scale improvements and supportive interventions become especially important</w:t>
      </w:r>
      <w:r>
        <w:t xml:space="preserve"> </w:t>
      </w:r>
      <w:r>
        <w:fldChar w:fldCharType="begin"/>
      </w:r>
      <w:r w:rsidR="00086746">
        <w:instrText xml:space="preserve"> ADDIN ZOTERO_ITEM CSL_CITATION {"citationID":"bVXK34ox","properties":{"formattedCitation":"(Akter &amp; Bhattacharjee, 2026)","plainCitation":"(Akter &amp; Bhattacharjee, 2026)","noteIndex":0},"citationItems":[{"id":20406,"uris":["http://zotero.org/users/1011003/items/TBG5FMPC"],"itemData":{"id":20406,"type":"article-journal","container-title":"Wellbeing, Space and Society","DOI":"10.1016/j.wss.2026.100384","ISSN":"26665581","journalAbbreviation":"Wellbeing, Space and Society","language":"en","page":"100384","source":"DOI.org (Crossref)","title":"Trauma-informed housing and wellbeing in resettlement: An actionable design model from refugee children’s perspectives and mothers’ photovoice","title-short":"Trauma-informed housing and wellbeing in resettlement","URL":"https://linkinghub.elsevier.com/retrieve/pii/S2666558126000424","volume":"10","author":[{"family":"Akter","given":"Salma"},{"family":"Bhattacharjee","given":"Suchismita"}],"accessed":{"date-parts":[["2026",4,20]]},"issued":{"date-parts":[["2026",6]]}}}],"schema":"https://github.com/citation-style-language/schema/raw/master/csl-citation.json"} </w:instrText>
      </w:r>
      <w:r>
        <w:fldChar w:fldCharType="separate"/>
      </w:r>
      <w:r w:rsidR="00086746">
        <w:rPr>
          <w:noProof/>
        </w:rPr>
        <w:t>(Akter &amp; Bhattacharjee, 2026)</w:t>
      </w:r>
      <w:r>
        <w:fldChar w:fldCharType="end"/>
      </w:r>
      <w:r w:rsidRPr="008D73FF">
        <w:t xml:space="preserve">. </w:t>
      </w:r>
    </w:p>
    <w:p w14:paraId="732D8271" w14:textId="77777777" w:rsidR="008D73FF" w:rsidRPr="008D73FF" w:rsidRDefault="008D73FF" w:rsidP="008D73FF">
      <w:pPr>
        <w:jc w:val="both"/>
      </w:pPr>
    </w:p>
    <w:p w14:paraId="18890874" w14:textId="0F49DA1A" w:rsidR="008D73FF" w:rsidRPr="008D73FF" w:rsidRDefault="008D73FF" w:rsidP="008D73FF">
      <w:pPr>
        <w:jc w:val="both"/>
      </w:pPr>
      <w:r w:rsidRPr="008D73FF">
        <w:t>The results also reinforce the argument that migrant vulnerability and urban housing conditions are deeply interconnected. The participating families contribute substantially to the functioning of the city through service work, construction, domestic labour, and informal urban services, yet their living environments often remain spatially constrained and environmentally disadvantaged. This reflects a wider pattern documented in migrant housing research, where insecure, inadequate, or unequal housing conditions are associated with poorer physical and mental health outcomes. Rana et al.’s systematic review is particularly relevant here because it identifies overcrowding, inadequate ventilation, poor rental conditions, and weak neighbourhood quality as recurring pathways linking housing inequality to poor migrant health outcomes</w:t>
      </w:r>
      <w:r w:rsidR="00086746">
        <w:t xml:space="preserve"> </w:t>
      </w:r>
      <w:r w:rsidRPr="008D73FF">
        <w:t xml:space="preserve">. </w:t>
      </w:r>
    </w:p>
    <w:p w14:paraId="694B5535" w14:textId="77777777" w:rsidR="008D73FF" w:rsidRPr="008D73FF" w:rsidRDefault="008D73FF" w:rsidP="008D73FF">
      <w:pPr>
        <w:jc w:val="both"/>
      </w:pPr>
    </w:p>
    <w:p w14:paraId="5C16045C" w14:textId="77777777" w:rsidR="008D73FF" w:rsidRPr="008D73FF" w:rsidRDefault="008D73FF" w:rsidP="008D73FF">
      <w:pPr>
        <w:jc w:val="both"/>
      </w:pPr>
      <w:r w:rsidRPr="008D73FF">
        <w:t xml:space="preserve">In this paper, the questionnaire findings strengthen that argument by showing that limited environmental health literacy coincided with real housing risk. Participants showed only partial understanding of ventilation, moisture, overcrowding, and kitchen air quality, while field observation identified precisely these as recurrent environmental problems. The significance of this convergence is that housing-related risk was not only material but also interpretive. Families were living in environments with genuine domestic health hazards, yet often lacked the conceptual tools to read those conditions as preventable risks. This finding resonates with indoor environmental quality research showing that air quality, moisture control, thermal conditions, and visual comfort are central to occupant well-being, not marginal technical issues. </w:t>
      </w:r>
    </w:p>
    <w:p w14:paraId="3F44A842" w14:textId="77777777" w:rsidR="008D73FF" w:rsidRPr="008D73FF" w:rsidRDefault="008D73FF" w:rsidP="008D73FF">
      <w:pPr>
        <w:jc w:val="both"/>
      </w:pPr>
    </w:p>
    <w:p w14:paraId="53B21C6E" w14:textId="5275ED63" w:rsidR="008D73FF" w:rsidRPr="008D73FF" w:rsidRDefault="008D73FF" w:rsidP="008D73FF">
      <w:pPr>
        <w:jc w:val="both"/>
      </w:pPr>
      <w:r w:rsidRPr="008D73FF">
        <w:t>Another important discussion point concerns sanitation and service areas as overlooked domestic health spaces. In the field setting, toilets, kitchens, wet areas, and circulation zones were often narrow, under-ventilated, and weakly separated from other household functions. These spaces are easily dismissed as routine or minor service areas, yet they are critical to hygiene, safety, and exposure control. The low questionnaire score on kitchen smoke exhaust is therefore not a trivial knowledge gap. It points to a broader issue in which high-risk domestic spaces are often used daily without adequate understanding of their health implications. This is consistent with recent work emphasizing that housing-based health interventions should address everyday domestic environments as socially useful sites for health promotion</w:t>
      </w:r>
      <w:r w:rsidR="000F4F32">
        <w:t xml:space="preserve"> </w:t>
      </w:r>
      <w:r w:rsidR="000F4F32">
        <w:fldChar w:fldCharType="begin"/>
      </w:r>
      <w:r w:rsidR="000F4F32">
        <w:instrText xml:space="preserve"> ADDIN ZOTERO_ITEM CSL_CITATION {"citationID":"xoKhXtAY","properties":{"formattedCitation":"(Bentley et al., 2025b)","plainCitation":"(Bentley et al., 2025b)","noteIndex":0},"citationItems":[{"id":20405,"uris":["http://zotero.org/users/1011003/items/7SFYRTTH"],"itemData":{"id":20405,"type":"article-journal","abstract":"Housing is a key social determinant of health. Healthy housing is affordable, suitable, and secure. It is characterised by warmth,\ndryness, and proper ventilation; free from hazards such as mould and toxins; accessible to occupants with functional limitations; and\nprovides foundational security. Conversely, exposure to unhealthy home environments can negatively affect respiratory and cardiovascular health, mental wellbeing, infectious disease transmission, and injury risk. Housing-focused health interventions and programmes offer a unique opportunity to bridge the gap between housing and health,\npotentially leading to improved population health outcomes across various domains. This Series paper integrates contemporary\nunderstanding of housing and housing systems into a social and\neconomic determinants framework. We illustrate how housing systems contribute to poor health outcomes and health inequalities, providing a foundation for exploring housing's potential to support health\nacross jurisdictions globally. Although our framework can be used to examine the relationship between specific housing hazards (eg, mould, cold, or heat) and health, its primary focus is on understanding how these hazards are generated and distributed through characteristics of the housing system (eg, building codes or housing finance). By\naddressing these housing system determinants, we propose an\nalternative approach to achieving healthier housing. This framework aims to support the strategic use of housing to promote good health for all populations.","container-title":"Lancet Public Health","DOI":"10.1016/S2468-2667(25)00142-2","title":"Housing as a social determinant of health: a contemporary framework.","author":[{"family":"Bentley","given":"R."},{"family":"Mason","given":"K."},{"family":"Jacobs","given":"David"},{"family":"Blakely","given":"T."},{"family":"Howden-Chapman","given":"Philippa"},{"family":"Li","given":"Ang"},{"family":"Adamkiewicz","given":"G."},{"family":"Reeves","given":"Aaron"}],"issued":{"date-parts":[["2025"]]}}}],"schema":"https://github.com/citation-style-language/schema/raw/master/csl-citation.json"} </w:instrText>
      </w:r>
      <w:r w:rsidR="000F4F32">
        <w:fldChar w:fldCharType="separate"/>
      </w:r>
      <w:r w:rsidR="000F4F32">
        <w:rPr>
          <w:noProof/>
        </w:rPr>
        <w:t>(Bentley et al., 2025)</w:t>
      </w:r>
      <w:r w:rsidR="000F4F32">
        <w:fldChar w:fldCharType="end"/>
      </w:r>
      <w:r w:rsidRPr="008D73FF">
        <w:t xml:space="preserve">. </w:t>
      </w:r>
    </w:p>
    <w:p w14:paraId="07305751" w14:textId="77777777" w:rsidR="008D73FF" w:rsidRPr="008D73FF" w:rsidRDefault="008D73FF" w:rsidP="008D73FF">
      <w:pPr>
        <w:jc w:val="both"/>
      </w:pPr>
    </w:p>
    <w:p w14:paraId="72F98E16" w14:textId="19ADB508" w:rsidR="008D73FF" w:rsidRPr="008D73FF" w:rsidRDefault="008D73FF" w:rsidP="008D73FF">
      <w:pPr>
        <w:jc w:val="both"/>
      </w:pPr>
      <w:r w:rsidRPr="008D73FF">
        <w:t>The findings further show the value of spatially grounded community service. The intervention did not rely on expensive redesign, advanced technology, or formal housing upgrading. Instead, it translated built-environment knowledge into practical household guidance on airflow, storage, dry surfaces, lighting use, clutter reduction, and safer circulation. This matters because the target families lived in rented or modest housing where ideal design solutions were unrealistic. The relevance of such incremental and context-sensitive action is supported by housing intervention scholarship, which argues that actionable, household-level improvements can produce meaningful health benefits when they address concrete everyday risks. It is also consistent with participatory health research with migrants, which emphasizes that interventions are stronger when knowledge is co-interpreted with communities rather than simply delivered to them</w:t>
      </w:r>
      <w:r w:rsidR="00A3251F">
        <w:t xml:space="preserve"> </w:t>
      </w:r>
      <w:r w:rsidR="00A3251F">
        <w:fldChar w:fldCharType="begin"/>
      </w:r>
      <w:r w:rsidR="00A3251F">
        <w:instrText xml:space="preserve"> ADDIN ZOTERO_ITEM CSL_CITATION {"citationID":"yMukZwaH","properties":{"formattedCitation":"(Di Fabrizio et al., 2025)","plainCitation":"(Di Fabrizio et al., 2025)","noteIndex":0},"citationItems":[{"id":20407,"uris":["http://zotero.org/users/1011003/items/YEWEGYPE"],"itemData":{"id":20407,"type":"article-journal","container-title":"Social Science &amp; Medicine","DOI":"10.1016/j.socscimed.2025.118470","ISSN":"02779536","journalAbbreviation":"Social Science &amp; Medicine","language":"en","page":"118470","source":"DOI.org (Crossref)","title":"Community-based interventions to improve the health of migrant children in high-income countries: a systematic review","title-short":"Community-based interventions to improve the health of migrant children in high-income countries","URL":"https://linkinghub.elsevier.com/retrieve/pii/S0277953625008019","volume":"383","author":[{"family":"Di Fabrizio","given":"Carolina"},{"family":"Gonçalves","given":"Judite"},{"family":"Martins","given":"Maria Do Rosário O."}],"accessed":{"date-parts":[["2026",4,20]]},"issued":{"date-parts":[["2025",10]]}}}],"schema":"https://github.com/citation-style-language/schema/raw/master/csl-citation.json"} </w:instrText>
      </w:r>
      <w:r w:rsidR="00A3251F">
        <w:fldChar w:fldCharType="separate"/>
      </w:r>
      <w:r w:rsidR="00A3251F">
        <w:rPr>
          <w:noProof/>
        </w:rPr>
        <w:t>(Di Fabrizio et al., 2025)</w:t>
      </w:r>
      <w:r w:rsidR="00A3251F">
        <w:fldChar w:fldCharType="end"/>
      </w:r>
      <w:r w:rsidRPr="008D73FF">
        <w:t xml:space="preserve">. </w:t>
      </w:r>
    </w:p>
    <w:p w14:paraId="628FCC6C" w14:textId="77777777" w:rsidR="008D73FF" w:rsidRPr="008D73FF" w:rsidRDefault="008D73FF" w:rsidP="008D73FF">
      <w:pPr>
        <w:jc w:val="both"/>
      </w:pPr>
    </w:p>
    <w:p w14:paraId="6ACCD1EF" w14:textId="77777777" w:rsidR="008D73FF" w:rsidRPr="008D73FF" w:rsidRDefault="008D73FF" w:rsidP="008D73FF">
      <w:pPr>
        <w:jc w:val="both"/>
      </w:pPr>
      <w:r w:rsidRPr="008D73FF">
        <w:t xml:space="preserve">This helps explain why participants responded positively to low-cost and feasible recommendations. Their engagement suggests that the central barrier was not indifference, but the lack of accessible, applicable environmental knowledge. Once domestic conditions were discussed as health-related spaces rather than as fixed constraints, participants were better able to identify realistic changes. This finding is especially important for PKM-based work in architecture and building engineering, because it shows that the discipline’s contribution can extend beyond physical construction toward environmental interpretation, spatial literacy, and family empowerment. In that sense, architecture operates here not only as form-making but also as a mode of public education grounded in lived space. </w:t>
      </w:r>
    </w:p>
    <w:p w14:paraId="07AE1676" w14:textId="77777777" w:rsidR="008D73FF" w:rsidRPr="008D73FF" w:rsidRDefault="008D73FF" w:rsidP="008D73FF">
      <w:pPr>
        <w:jc w:val="both"/>
      </w:pPr>
    </w:p>
    <w:p w14:paraId="4E9EA5E6" w14:textId="77777777" w:rsidR="008D73FF" w:rsidRPr="008D73FF" w:rsidRDefault="008D73FF" w:rsidP="008D73FF">
      <w:pPr>
        <w:jc w:val="both"/>
      </w:pPr>
      <w:r w:rsidRPr="008D73FF">
        <w:t xml:space="preserve">The study also has implications for how family resilience is conceptualized in migrant settings. Resilience in this context should not be understood only as psychological strength or economic persistence. It is also materially conditioned by whether the home can function as a place of recovery, care, sleep, cleanliness, and manageable daily routine. When domestic environments are overcrowded, damp, dim, or poorly organized, the burden on family life becomes cumulative. By contrast, even modest improvements in ventilation, organization, and environmental awareness can support a greater sense of control and stability. This interpretation aligns with recent work that frames housing as foundational to broader well-being and that links living conditions to social and health resilience across migrant and low-resource populations. </w:t>
      </w:r>
    </w:p>
    <w:p w14:paraId="7085B72A" w14:textId="77777777" w:rsidR="008D73FF" w:rsidRPr="008D73FF" w:rsidRDefault="008D73FF" w:rsidP="008D73FF">
      <w:pPr>
        <w:jc w:val="both"/>
      </w:pPr>
    </w:p>
    <w:p w14:paraId="374F4DEF" w14:textId="77777777" w:rsidR="008D73FF" w:rsidRDefault="008D73FF" w:rsidP="008D73FF">
      <w:pPr>
        <w:jc w:val="both"/>
      </w:pPr>
      <w:r w:rsidRPr="008D73FF">
        <w:t xml:space="preserve">From the perspective of scholarly contribution, this paper extends PKM discussion in two ways. First, it shifts the focus from general health education toward the domestic environmental dimension of family well-being. Second, it demonstrates how architecture and building engineering can contribute to migrant welfare through context-sensitive knowledge, rather than only through physical design output. This is a meaningful extension of existing literature because many studies document migrant housing disadvantage, but fewer show how community-based, spatially informed engagement can help families reinterpret and improve their own environments in practical ways. </w:t>
      </w:r>
    </w:p>
    <w:p w14:paraId="03EF777A" w14:textId="77777777" w:rsidR="00577995" w:rsidRDefault="00577995" w:rsidP="008D73FF">
      <w:pPr>
        <w:jc w:val="both"/>
      </w:pPr>
    </w:p>
    <w:p w14:paraId="3EF5D7E0" w14:textId="272F3A26" w:rsidR="00577995" w:rsidRDefault="00577995" w:rsidP="008D73FF">
      <w:pPr>
        <w:jc w:val="both"/>
      </w:pPr>
      <w:r w:rsidRPr="00577995">
        <w:t>To consolidate the main interpretive insights of the study, the following figure presents a visual synthesis of the relationship between domestic environmental health risks, limited environmental health literacy, and practical pathways toward family resilience. Unlike the earlier figures, which documented the field setting and observed housing conditions, this figure translates the study findings into an integrated conceptual summary that highlights both the hidden risks within migrant domestic environments and the practical value of low-cost, spatially grounded intervention.</w:t>
      </w:r>
    </w:p>
    <w:p w14:paraId="3B0690D7" w14:textId="4B11B826" w:rsidR="00577995" w:rsidRDefault="00577995" w:rsidP="008D73FF">
      <w:pPr>
        <w:jc w:val="both"/>
      </w:pPr>
      <w:r>
        <w:rPr>
          <w:noProof/>
          <w:lang w:val="en-IN" w:eastAsia="en-IN"/>
          <w14:ligatures w14:val="standardContextual"/>
        </w:rPr>
        <w:lastRenderedPageBreak/>
        <w:drawing>
          <wp:inline distT="0" distB="0" distL="0" distR="0" wp14:anchorId="01D25496" wp14:editId="3B09FD70">
            <wp:extent cx="6788150" cy="3789045"/>
            <wp:effectExtent l="0" t="0" r="6350" b="0"/>
            <wp:docPr id="16707089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708974" name="Picture 167070897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88150" cy="3789045"/>
                    </a:xfrm>
                    <a:prstGeom prst="rect">
                      <a:avLst/>
                    </a:prstGeom>
                  </pic:spPr>
                </pic:pic>
              </a:graphicData>
            </a:graphic>
          </wp:inline>
        </w:drawing>
      </w:r>
    </w:p>
    <w:p w14:paraId="58FAE95C" w14:textId="4E8347A4" w:rsidR="00577995" w:rsidRDefault="00577995" w:rsidP="008D73FF">
      <w:pPr>
        <w:jc w:val="both"/>
      </w:pPr>
      <w:r>
        <w:t xml:space="preserve">Figure 5. </w:t>
      </w:r>
      <w:r w:rsidRPr="00577995">
        <w:t>Visual synthesis of domestic environmental health risks and resilience pathways among migrant service-worker families in Kuala Lumpur</w:t>
      </w:r>
    </w:p>
    <w:p w14:paraId="5894C0AA" w14:textId="77777777" w:rsidR="00577995" w:rsidRDefault="00577995" w:rsidP="008D73FF">
      <w:pPr>
        <w:jc w:val="both"/>
      </w:pPr>
    </w:p>
    <w:p w14:paraId="49B5862E" w14:textId="22765097" w:rsidR="00577995" w:rsidRPr="008D73FF" w:rsidRDefault="00577995" w:rsidP="008D73FF">
      <w:pPr>
        <w:jc w:val="both"/>
      </w:pPr>
      <w:r w:rsidRPr="00577995">
        <w:t>As shown in Figure 5, the significance of the program lies not only in identifying material housing problems, but also in revealing how environmental risks are concealed within ordinary domestic routines and everyday assumptions. The visual synthesis demonstrates that resilience does not emerge from ideal housing conditions alone, but also from the ability of families to reinterpret and gradually improve their living environments through accessible knowledge and realistic action. In this sense, the figure reinforces the central argument of the paper: that architecture- and building engineering-based community service can support migrant family well-being by linking spatial understanding with practical empowerment.</w:t>
      </w:r>
    </w:p>
    <w:p w14:paraId="64413DBE" w14:textId="77777777" w:rsidR="008D73FF" w:rsidRPr="008D73FF" w:rsidRDefault="008D73FF" w:rsidP="008D73FF">
      <w:pPr>
        <w:jc w:val="both"/>
      </w:pPr>
    </w:p>
    <w:p w14:paraId="786D9A72" w14:textId="77777777" w:rsidR="008D73FF" w:rsidRPr="008D73FF" w:rsidRDefault="008D73FF" w:rsidP="008D73FF">
      <w:pPr>
        <w:jc w:val="both"/>
      </w:pPr>
      <w:r w:rsidRPr="008D73FF">
        <w:t xml:space="preserve">Overall, the discussion confirms five broader interpretations of the results. Domestic environmental health is central to migrant family resilience. Housing inequality operates as both a health issue and an equity issue. Environmental risk is often normalized when literacy is limited and constraints are long-term. Participatory, spatially grounded education can help families reinterpret ordinary domestic space as a health environment. Finally, practical low-cost interventions are especially relevant in constrained urban migrant settings because they align with the realities of rental housing, modest budgets, and incremental change. </w:t>
      </w:r>
    </w:p>
    <w:p w14:paraId="0640FE6E" w14:textId="77777777" w:rsidR="00577995" w:rsidRDefault="00577995" w:rsidP="009D695E"/>
    <w:p w14:paraId="30B21630" w14:textId="77777777" w:rsidR="00577995" w:rsidRDefault="00577995" w:rsidP="009D695E"/>
    <w:p w14:paraId="34450E9E" w14:textId="066D7870" w:rsidR="001517BF" w:rsidRPr="001517BF" w:rsidRDefault="001517BF" w:rsidP="004E5210">
      <w:pPr>
        <w:pStyle w:val="Heading1"/>
      </w:pPr>
      <w:r w:rsidRPr="001517BF">
        <w:t>CONCLUSION</w:t>
      </w:r>
    </w:p>
    <w:p w14:paraId="320B70DA" w14:textId="77777777" w:rsidR="000E08A7" w:rsidRDefault="000E08A7" w:rsidP="000E08A7">
      <w:pPr>
        <w:jc w:val="both"/>
      </w:pPr>
    </w:p>
    <w:p w14:paraId="53FC6A22" w14:textId="77777777" w:rsidR="000E08A7" w:rsidRDefault="000E08A7" w:rsidP="000E08A7">
      <w:pPr>
        <w:jc w:val="both"/>
      </w:pPr>
      <w:r w:rsidRPr="000E08A7">
        <w:t xml:space="preserve">This community service program demonstrates that domestic environmental health is a decisive yet often overlooked dimension of migrant family well-being in dense urban settings. Among migrant service-worker families in Kuala Lumpur, the home is not merely a shelter. It is the primary space for rest, caregiving, hygiene, recovery from work, and the everyday maintenance of family life. When that space is shaped by overcrowding, inadequate ventilation, limited lighting, sanitation constraints, and weak spatial organization, the burden extends beyond physical discomfort. It affects health awareness, household safety, emotional stability, and the overall resilience of the family. These conditions were consistently reflected in both the field observations and the pre-test results reported in the manuscript. </w:t>
      </w:r>
    </w:p>
    <w:p w14:paraId="005F58DB" w14:textId="77777777" w:rsidR="000E08A7" w:rsidRPr="000E08A7" w:rsidRDefault="000E08A7" w:rsidP="000E08A7">
      <w:pPr>
        <w:jc w:val="both"/>
      </w:pPr>
    </w:p>
    <w:p w14:paraId="15807C70" w14:textId="77777777" w:rsidR="000E08A7" w:rsidRDefault="000E08A7" w:rsidP="000E08A7">
      <w:pPr>
        <w:jc w:val="both"/>
      </w:pPr>
      <w:r w:rsidRPr="000E08A7">
        <w:t xml:space="preserve">A major contribution of this program lies in showing that the problem is not only material but also interpretive. Many participants had lived for years with environmental disadvantages that had become normalized within daily life. The intervention revealed that poor domestic conditions are often tolerated not because they are </w:t>
      </w:r>
      <w:r w:rsidRPr="000E08A7">
        <w:lastRenderedPageBreak/>
        <w:t xml:space="preserve">harmless, but because their health implications are not fully recognized. In this respect, the program confirms that environmental health literacy is essential for empowering migrant families to see their homes differently, not as fixed constraints, but as living environments that can be understood, managed, and improved. </w:t>
      </w:r>
    </w:p>
    <w:p w14:paraId="1396CF08" w14:textId="77777777" w:rsidR="000E08A7" w:rsidRPr="000E08A7" w:rsidRDefault="000E08A7" w:rsidP="000E08A7">
      <w:pPr>
        <w:jc w:val="both"/>
      </w:pPr>
    </w:p>
    <w:p w14:paraId="7D327F3E" w14:textId="77777777" w:rsidR="000E08A7" w:rsidRDefault="000E08A7" w:rsidP="000E08A7">
      <w:pPr>
        <w:jc w:val="both"/>
      </w:pPr>
      <w:r w:rsidRPr="000E08A7">
        <w:t xml:space="preserve">This paper also shows that architecture- and building engineering-based community service can make a concrete and meaningful contribution to social well-being. Its value does not depend only on physical construction or formal redesign. Equally important is the ability to translate spatial and environmental knowledge into practical, affordable, and context-sensitive guidance that families can apply within rented or modest housing. In the present case, simple strategies related to airflow, moisture control, storage, hygiene, lighting, and safer domestic circulation were not only relevant, but welcomed as realistic pathways toward healthier living. </w:t>
      </w:r>
    </w:p>
    <w:p w14:paraId="2A2583A7" w14:textId="77777777" w:rsidR="000E08A7" w:rsidRPr="000E08A7" w:rsidRDefault="000E08A7" w:rsidP="000E08A7">
      <w:pPr>
        <w:jc w:val="both"/>
      </w:pPr>
    </w:p>
    <w:p w14:paraId="17A33EF0" w14:textId="4AB99AD7" w:rsidR="000E08A7" w:rsidRPr="000E08A7" w:rsidRDefault="000E08A7" w:rsidP="000E08A7">
      <w:pPr>
        <w:jc w:val="both"/>
      </w:pPr>
      <w:r w:rsidRPr="000E08A7">
        <w:t>The broader significance of this study is that it repositions the domestic environment as a critical arena of migrant empowerment. Healthy housing should not be treated as a luxury or a secondary concern, but as a basic condition for dignity, health, and family resilience. For long-term migrant communities, strengthening domestic environmental health means strengthening their capacity to endure, care, recover, and build stability within the pressures of urban life.</w:t>
      </w:r>
      <w:r>
        <w:t xml:space="preserve"> T</w:t>
      </w:r>
      <w:r w:rsidRPr="000E08A7">
        <w:t>his paper affirms that community service grounded in spatial understanding can play a strategic role in improving the quality of life of vulnerable migrant families. Future programs should extend this work through follow-up mentoring, broader community partnerships, and replication in other migrant settlements, while also integrating healthy housing more explicitly into community empowerment agendas. By doing so, architecture and building engineering can move beyond technical service alone and become disciplines that actively support health equity, everyday dignity, and the lived resilience of migrant communities.</w:t>
      </w:r>
    </w:p>
    <w:p w14:paraId="7BF91B24" w14:textId="4D760F42" w:rsidR="001517BF" w:rsidRDefault="001517BF" w:rsidP="001517BF">
      <w:pPr>
        <w:jc w:val="both"/>
      </w:pPr>
      <w:r w:rsidRPr="001517BF">
        <w:t xml:space="preserve"> </w:t>
      </w:r>
    </w:p>
    <w:p w14:paraId="6661013B" w14:textId="77777777" w:rsidR="00E9430C" w:rsidRPr="001517BF" w:rsidRDefault="00E9430C" w:rsidP="001517BF">
      <w:pPr>
        <w:jc w:val="both"/>
      </w:pPr>
    </w:p>
    <w:p w14:paraId="1E931FD4" w14:textId="77777777" w:rsidR="001517BF" w:rsidRPr="001517BF" w:rsidRDefault="001517BF" w:rsidP="004E5210">
      <w:pPr>
        <w:pStyle w:val="Heading1"/>
      </w:pPr>
      <w:r w:rsidRPr="001517BF">
        <w:t>ACKNOWLEDGEMENTS</w:t>
      </w:r>
    </w:p>
    <w:p w14:paraId="129829F0" w14:textId="625E7DB0" w:rsidR="00E9430C" w:rsidRPr="00E9430C" w:rsidRDefault="00E9430C" w:rsidP="00E9430C">
      <w:pPr>
        <w:jc w:val="both"/>
        <w:rPr>
          <w:rFonts w:eastAsiaTheme="minorHAnsi"/>
          <w:b/>
          <w:bCs/>
          <w:kern w:val="2"/>
          <w14:ligatures w14:val="standardContextual"/>
        </w:rPr>
      </w:pPr>
    </w:p>
    <w:p w14:paraId="728D888B" w14:textId="77777777" w:rsidR="00E9430C" w:rsidRPr="00E9430C" w:rsidRDefault="00E9430C" w:rsidP="00E9430C">
      <w:pPr>
        <w:jc w:val="both"/>
        <w:rPr>
          <w:rFonts w:eastAsiaTheme="minorHAnsi"/>
          <w:kern w:val="2"/>
          <w14:ligatures w14:val="standardContextual"/>
        </w:rPr>
      </w:pPr>
      <w:r w:rsidRPr="00E9430C">
        <w:rPr>
          <w:rFonts w:eastAsiaTheme="minorHAnsi"/>
          <w:kern w:val="2"/>
          <w14:ligatures w14:val="standardContextual"/>
        </w:rPr>
        <w:t>The authors would like to express their sincere appreciation to all parties who contributed to the successful implementation of this community service program in Kuala Lumpur.</w:t>
      </w:r>
    </w:p>
    <w:p w14:paraId="3ABC2AB7" w14:textId="77777777" w:rsidR="00E9430C" w:rsidRDefault="00E9430C" w:rsidP="00E9430C">
      <w:pPr>
        <w:jc w:val="both"/>
        <w:rPr>
          <w:rFonts w:eastAsiaTheme="minorHAnsi"/>
          <w:kern w:val="2"/>
          <w14:ligatures w14:val="standardContextual"/>
        </w:rPr>
      </w:pPr>
      <w:r w:rsidRPr="00E9430C">
        <w:rPr>
          <w:rFonts w:eastAsiaTheme="minorHAnsi"/>
          <w:kern w:val="2"/>
          <w14:ligatures w14:val="standardContextual"/>
        </w:rPr>
        <w:t xml:space="preserve">Special gratitude is extended to </w:t>
      </w:r>
      <w:r w:rsidRPr="00E9430C">
        <w:rPr>
          <w:rFonts w:eastAsiaTheme="minorHAnsi"/>
          <w:b/>
          <w:bCs/>
          <w:kern w:val="2"/>
          <w14:ligatures w14:val="standardContextual"/>
        </w:rPr>
        <w:t xml:space="preserve">Dra. </w:t>
      </w:r>
      <w:proofErr w:type="spellStart"/>
      <w:r w:rsidRPr="00E9430C">
        <w:rPr>
          <w:rFonts w:eastAsiaTheme="minorHAnsi"/>
          <w:b/>
          <w:bCs/>
          <w:kern w:val="2"/>
          <w14:ligatures w14:val="standardContextual"/>
        </w:rPr>
        <w:t>Mimin</w:t>
      </w:r>
      <w:proofErr w:type="spellEnd"/>
      <w:r w:rsidRPr="00E9430C">
        <w:rPr>
          <w:rFonts w:eastAsiaTheme="minorHAnsi"/>
          <w:b/>
          <w:bCs/>
          <w:kern w:val="2"/>
          <w14:ligatures w14:val="standardContextual"/>
        </w:rPr>
        <w:t xml:space="preserve"> </w:t>
      </w:r>
      <w:proofErr w:type="spellStart"/>
      <w:r w:rsidRPr="00E9430C">
        <w:rPr>
          <w:rFonts w:eastAsiaTheme="minorHAnsi"/>
          <w:b/>
          <w:bCs/>
          <w:kern w:val="2"/>
          <w14:ligatures w14:val="standardContextual"/>
        </w:rPr>
        <w:t>Mintarsih</w:t>
      </w:r>
      <w:proofErr w:type="spellEnd"/>
      <w:r w:rsidRPr="00E9430C">
        <w:rPr>
          <w:rFonts w:eastAsiaTheme="minorHAnsi"/>
          <w:kern w:val="2"/>
          <w14:ligatures w14:val="standardContextual"/>
        </w:rPr>
        <w:t xml:space="preserve">, Chair of </w:t>
      </w:r>
      <w:proofErr w:type="spellStart"/>
      <w:r w:rsidRPr="00E9430C">
        <w:rPr>
          <w:rFonts w:eastAsiaTheme="minorHAnsi"/>
          <w:kern w:val="2"/>
          <w14:ligatures w14:val="standardContextual"/>
        </w:rPr>
        <w:t>Cabang</w:t>
      </w:r>
      <w:proofErr w:type="spellEnd"/>
      <w:r w:rsidRPr="00E9430C">
        <w:rPr>
          <w:rFonts w:eastAsiaTheme="minorHAnsi"/>
          <w:kern w:val="2"/>
          <w14:ligatures w14:val="standardContextual"/>
        </w:rPr>
        <w:t xml:space="preserve"> Istimewa </w:t>
      </w:r>
      <w:proofErr w:type="spellStart"/>
      <w:r w:rsidRPr="00E9430C">
        <w:rPr>
          <w:rFonts w:eastAsiaTheme="minorHAnsi"/>
          <w:kern w:val="2"/>
          <w14:ligatures w14:val="standardContextual"/>
        </w:rPr>
        <w:t>Muslimat</w:t>
      </w:r>
      <w:proofErr w:type="spellEnd"/>
      <w:r w:rsidRPr="00E9430C">
        <w:rPr>
          <w:rFonts w:eastAsiaTheme="minorHAnsi"/>
          <w:kern w:val="2"/>
          <w14:ligatures w14:val="standardContextual"/>
        </w:rPr>
        <w:t xml:space="preserve"> NU Malaysia, whose leadership, trust, and facilitation were instrumental in connecting the research team with migrant service-worker families and ensuring the program’s meaningful engagement within the community. Her commitment to community empowerment and social care provided an essential foundation for the program’s impact.</w:t>
      </w:r>
    </w:p>
    <w:p w14:paraId="0D003678" w14:textId="77777777" w:rsidR="00E9430C" w:rsidRPr="00E9430C" w:rsidRDefault="00E9430C" w:rsidP="00E9430C">
      <w:pPr>
        <w:jc w:val="both"/>
        <w:rPr>
          <w:rFonts w:eastAsiaTheme="minorHAnsi"/>
          <w:kern w:val="2"/>
          <w14:ligatures w14:val="standardContextual"/>
        </w:rPr>
      </w:pPr>
    </w:p>
    <w:p w14:paraId="5FBF8FD0" w14:textId="77777777" w:rsidR="00E9430C" w:rsidRDefault="00E9430C" w:rsidP="00E9430C">
      <w:pPr>
        <w:jc w:val="both"/>
        <w:rPr>
          <w:rFonts w:eastAsiaTheme="minorHAnsi"/>
          <w:kern w:val="2"/>
          <w14:ligatures w14:val="standardContextual"/>
        </w:rPr>
      </w:pPr>
      <w:r w:rsidRPr="00E9430C">
        <w:rPr>
          <w:rFonts w:eastAsiaTheme="minorHAnsi"/>
          <w:kern w:val="2"/>
          <w14:ligatures w14:val="standardContextual"/>
        </w:rPr>
        <w:t>The authors are deeply grateful to the participating migrant families, who generously shared their time, experiences, and openness throughout the activities. Their willingness to engage in discussion and reflection made it possible to ground this work in real-life domestic contexts and to develop practical, relevant insights into environmental health in everyday living conditions.</w:t>
      </w:r>
    </w:p>
    <w:p w14:paraId="28D30D40" w14:textId="77777777" w:rsidR="00E9430C" w:rsidRPr="00E9430C" w:rsidRDefault="00E9430C" w:rsidP="00E9430C">
      <w:pPr>
        <w:jc w:val="both"/>
        <w:rPr>
          <w:rFonts w:eastAsiaTheme="minorHAnsi"/>
          <w:kern w:val="2"/>
          <w14:ligatures w14:val="standardContextual"/>
        </w:rPr>
      </w:pPr>
    </w:p>
    <w:p w14:paraId="52FCF687" w14:textId="77777777" w:rsidR="00E9430C" w:rsidRDefault="00E9430C" w:rsidP="00E9430C">
      <w:pPr>
        <w:jc w:val="both"/>
        <w:rPr>
          <w:rFonts w:eastAsiaTheme="minorHAnsi"/>
          <w:kern w:val="2"/>
          <w14:ligatures w14:val="standardContextual"/>
        </w:rPr>
      </w:pPr>
      <w:r w:rsidRPr="00E9430C">
        <w:rPr>
          <w:rFonts w:eastAsiaTheme="minorHAnsi"/>
          <w:kern w:val="2"/>
          <w14:ligatures w14:val="standardContextual"/>
        </w:rPr>
        <w:t xml:space="preserve">This program was made possible through the collaboration of a multidisciplinary academic team. The authors acknowledge the institutional support from the Department of Architecture, University of 17 Agustus 1945 (UNTAG) Semarang, Indonesia; </w:t>
      </w:r>
      <w:proofErr w:type="spellStart"/>
      <w:r w:rsidRPr="00E9430C">
        <w:rPr>
          <w:rFonts w:eastAsiaTheme="minorHAnsi"/>
          <w:kern w:val="2"/>
          <w14:ligatures w14:val="standardContextual"/>
        </w:rPr>
        <w:t>Universiti</w:t>
      </w:r>
      <w:proofErr w:type="spellEnd"/>
      <w:r w:rsidRPr="00E9430C">
        <w:rPr>
          <w:rFonts w:eastAsiaTheme="minorHAnsi"/>
          <w:kern w:val="2"/>
          <w14:ligatures w14:val="standardContextual"/>
        </w:rPr>
        <w:t xml:space="preserve"> </w:t>
      </w:r>
      <w:proofErr w:type="spellStart"/>
      <w:r w:rsidRPr="00E9430C">
        <w:rPr>
          <w:rFonts w:eastAsiaTheme="minorHAnsi"/>
          <w:kern w:val="2"/>
          <w14:ligatures w14:val="standardContextual"/>
        </w:rPr>
        <w:t>Teknologi</w:t>
      </w:r>
      <w:proofErr w:type="spellEnd"/>
      <w:r w:rsidRPr="00E9430C">
        <w:rPr>
          <w:rFonts w:eastAsiaTheme="minorHAnsi"/>
          <w:kern w:val="2"/>
          <w14:ligatures w14:val="standardContextual"/>
        </w:rPr>
        <w:t xml:space="preserve"> MARA, Shah </w:t>
      </w:r>
      <w:proofErr w:type="spellStart"/>
      <w:r w:rsidRPr="00E9430C">
        <w:rPr>
          <w:rFonts w:eastAsiaTheme="minorHAnsi"/>
          <w:kern w:val="2"/>
          <w14:ligatures w14:val="standardContextual"/>
        </w:rPr>
        <w:t>Alam</w:t>
      </w:r>
      <w:proofErr w:type="spellEnd"/>
      <w:r w:rsidRPr="00E9430C">
        <w:rPr>
          <w:rFonts w:eastAsiaTheme="minorHAnsi"/>
          <w:kern w:val="2"/>
          <w14:ligatures w14:val="standardContextual"/>
        </w:rPr>
        <w:t xml:space="preserve">, Selangor, Malaysia; the Department of Machine Engineering, University of Islam Kalimantan MAB, Indonesia; the Department of Infrastructure and Environmental Engineering, </w:t>
      </w:r>
      <w:proofErr w:type="spellStart"/>
      <w:r w:rsidRPr="00E9430C">
        <w:rPr>
          <w:rFonts w:eastAsiaTheme="minorHAnsi"/>
          <w:kern w:val="2"/>
          <w14:ligatures w14:val="standardContextual"/>
        </w:rPr>
        <w:t>Panca</w:t>
      </w:r>
      <w:proofErr w:type="spellEnd"/>
      <w:r w:rsidRPr="00E9430C">
        <w:rPr>
          <w:rFonts w:eastAsiaTheme="minorHAnsi"/>
          <w:kern w:val="2"/>
          <w14:ligatures w14:val="standardContextual"/>
        </w:rPr>
        <w:t xml:space="preserve"> Bhakti University, Indonesia; the Department of Architecture, </w:t>
      </w:r>
      <w:proofErr w:type="spellStart"/>
      <w:r w:rsidRPr="00E9430C">
        <w:rPr>
          <w:rFonts w:eastAsiaTheme="minorHAnsi"/>
          <w:kern w:val="2"/>
          <w14:ligatures w14:val="standardContextual"/>
        </w:rPr>
        <w:t>Lambung</w:t>
      </w:r>
      <w:proofErr w:type="spellEnd"/>
      <w:r w:rsidRPr="00E9430C">
        <w:rPr>
          <w:rFonts w:eastAsiaTheme="minorHAnsi"/>
          <w:kern w:val="2"/>
          <w14:ligatures w14:val="standardContextual"/>
        </w:rPr>
        <w:t xml:space="preserve"> </w:t>
      </w:r>
      <w:proofErr w:type="spellStart"/>
      <w:r w:rsidRPr="00E9430C">
        <w:rPr>
          <w:rFonts w:eastAsiaTheme="minorHAnsi"/>
          <w:kern w:val="2"/>
          <w14:ligatures w14:val="standardContextual"/>
        </w:rPr>
        <w:t>Mangkurat</w:t>
      </w:r>
      <w:proofErr w:type="spellEnd"/>
      <w:r w:rsidRPr="00E9430C">
        <w:rPr>
          <w:rFonts w:eastAsiaTheme="minorHAnsi"/>
          <w:kern w:val="2"/>
          <w14:ligatures w14:val="standardContextual"/>
        </w:rPr>
        <w:t xml:space="preserve"> University, Indonesia; the Department of Civil Engineering, Muhammadiyah University of North Maluku, Indonesia; the Early Childhood Education Program, IVET University Semarang, Indonesia; and Aceh Barat State Community Academy, Indonesia.</w:t>
      </w:r>
    </w:p>
    <w:p w14:paraId="5451F3CF" w14:textId="77777777" w:rsidR="00E9430C" w:rsidRPr="00E9430C" w:rsidRDefault="00E9430C" w:rsidP="00E9430C">
      <w:pPr>
        <w:jc w:val="both"/>
        <w:rPr>
          <w:rFonts w:eastAsiaTheme="minorHAnsi"/>
          <w:kern w:val="2"/>
          <w14:ligatures w14:val="standardContextual"/>
        </w:rPr>
      </w:pPr>
    </w:p>
    <w:p w14:paraId="17E6C634" w14:textId="456C7913" w:rsidR="00A3251F" w:rsidRPr="000E08A7" w:rsidRDefault="00E9430C" w:rsidP="000E08A7">
      <w:pPr>
        <w:jc w:val="both"/>
        <w:rPr>
          <w:rFonts w:eastAsiaTheme="minorHAnsi"/>
          <w:kern w:val="2"/>
          <w14:ligatures w14:val="standardContextual"/>
        </w:rPr>
      </w:pPr>
      <w:r w:rsidRPr="00E9430C">
        <w:rPr>
          <w:rFonts w:eastAsiaTheme="minorHAnsi"/>
          <w:kern w:val="2"/>
          <w14:ligatures w14:val="standardContextual"/>
        </w:rPr>
        <w:t>The authors also acknowledge all local partners and informal community networks in Kuala Lumpur who provided logistical support, local knowledge, and a welcoming environment for the activities. Their contribution ensured that the program was not only implemented effectively but also aligned with the lived realities of migrant families.</w:t>
      </w:r>
      <w:r w:rsidR="001E2F63">
        <w:rPr>
          <w:rFonts w:eastAsiaTheme="minorHAnsi"/>
          <w:kern w:val="2"/>
          <w14:ligatures w14:val="standardContextual"/>
        </w:rPr>
        <w:t xml:space="preserve"> </w:t>
      </w:r>
      <w:r w:rsidRPr="00E9430C">
        <w:rPr>
          <w:rFonts w:eastAsiaTheme="minorHAnsi"/>
          <w:kern w:val="2"/>
          <w14:ligatures w14:val="standardContextual"/>
        </w:rPr>
        <w:t xml:space="preserve">Finally, the authors appreciate the collaborative spirit among all team members, </w:t>
      </w:r>
      <w:r w:rsidRPr="00E9430C">
        <w:rPr>
          <w:rFonts w:eastAsiaTheme="minorHAnsi"/>
          <w:kern w:val="2"/>
          <w14:ligatures w14:val="standardContextual"/>
        </w:rPr>
        <w:lastRenderedPageBreak/>
        <w:t>whose shared commitment to architecture, environmental health, and community empowerment made this program both meaningful and impactful.</w:t>
      </w:r>
    </w:p>
    <w:p w14:paraId="2A6258A8" w14:textId="554175B4" w:rsidR="001E342B" w:rsidRPr="001E342B" w:rsidRDefault="001E342B" w:rsidP="001E342B">
      <w:pPr>
        <w:pStyle w:val="Bibliography"/>
        <w:rPr>
          <w:rFonts w:eastAsiaTheme="minorHAnsi"/>
          <w:sz w:val="28"/>
          <w:lang w:val="en-US"/>
        </w:rPr>
      </w:pPr>
    </w:p>
    <w:p w14:paraId="3C1F856B" w14:textId="77777777" w:rsidR="007E0CD7" w:rsidRDefault="007E0CD7">
      <w:pPr>
        <w:rPr>
          <w:rFonts w:eastAsiaTheme="minorHAnsi"/>
          <w:b/>
          <w:bCs/>
          <w:kern w:val="2"/>
          <w:sz w:val="28"/>
          <w:szCs w:val="28"/>
          <w14:ligatures w14:val="standardContextual"/>
        </w:rPr>
      </w:pPr>
      <w:r>
        <w:br w:type="page"/>
      </w:r>
    </w:p>
    <w:p w14:paraId="0AF4B91D" w14:textId="434EABBF" w:rsidR="001517BF" w:rsidRDefault="001517BF" w:rsidP="00B6486A">
      <w:pPr>
        <w:pStyle w:val="Heading1"/>
      </w:pPr>
      <w:r w:rsidRPr="001517BF">
        <w:lastRenderedPageBreak/>
        <w:t>REFERENCES</w:t>
      </w:r>
    </w:p>
    <w:p w14:paraId="447F15A2" w14:textId="77777777" w:rsidR="000F4F32" w:rsidRPr="000F4F32" w:rsidRDefault="00A3251F" w:rsidP="00324EB2">
      <w:pPr>
        <w:pStyle w:val="Bibliography"/>
        <w:numPr>
          <w:ilvl w:val="0"/>
          <w:numId w:val="2"/>
        </w:numPr>
        <w:rPr>
          <w:rFonts w:eastAsiaTheme="minorHAnsi"/>
          <w:lang w:val="en-US"/>
        </w:rPr>
      </w:pPr>
      <w:r>
        <w:fldChar w:fldCharType="begin"/>
      </w:r>
      <w:r w:rsidR="000F4F32">
        <w:instrText xml:space="preserve"> ADDIN ZOTERO_BIBL {"uncited":[],"omitted":[],"custom":[]} CSL_BIBLIOGRAPHY </w:instrText>
      </w:r>
      <w:r>
        <w:fldChar w:fldCharType="separate"/>
      </w:r>
      <w:r w:rsidR="000F4F32" w:rsidRPr="000F4F32">
        <w:rPr>
          <w:rFonts w:eastAsiaTheme="minorHAnsi"/>
          <w:lang w:val="en-US"/>
        </w:rPr>
        <w:t xml:space="preserve">Akter, S., &amp; Bhattacharjee, S. (2026). Trauma-informed housing and wellbeing in resettlement: An actionable design model from refugee children’s perspectives and mothers’ photovoice. </w:t>
      </w:r>
      <w:r w:rsidR="000F4F32" w:rsidRPr="000F4F32">
        <w:rPr>
          <w:rFonts w:eastAsiaTheme="minorHAnsi"/>
          <w:i/>
          <w:iCs/>
          <w:lang w:val="en-US"/>
        </w:rPr>
        <w:t>Wellbeing, Space and Society</w:t>
      </w:r>
      <w:r w:rsidR="000F4F32" w:rsidRPr="000F4F32">
        <w:rPr>
          <w:rFonts w:eastAsiaTheme="minorHAnsi"/>
          <w:lang w:val="en-US"/>
        </w:rPr>
        <w:t xml:space="preserve">, </w:t>
      </w:r>
      <w:r w:rsidR="000F4F32" w:rsidRPr="000F4F32">
        <w:rPr>
          <w:rFonts w:eastAsiaTheme="minorHAnsi"/>
          <w:i/>
          <w:iCs/>
          <w:lang w:val="en-US"/>
        </w:rPr>
        <w:t>10</w:t>
      </w:r>
      <w:r w:rsidR="000F4F32" w:rsidRPr="000F4F32">
        <w:rPr>
          <w:rFonts w:eastAsiaTheme="minorHAnsi"/>
          <w:lang w:val="en-US"/>
        </w:rPr>
        <w:t>, 100384. https://doi.org/10.1016/j.wss.2026.100384</w:t>
      </w:r>
    </w:p>
    <w:p w14:paraId="5A6DBB18" w14:textId="77777777" w:rsidR="000F4F32" w:rsidRPr="000F4F32" w:rsidRDefault="000F4F32" w:rsidP="00324EB2">
      <w:pPr>
        <w:pStyle w:val="Bibliography"/>
        <w:numPr>
          <w:ilvl w:val="0"/>
          <w:numId w:val="2"/>
        </w:numPr>
        <w:rPr>
          <w:rFonts w:eastAsiaTheme="minorHAnsi"/>
          <w:lang w:val="en-US"/>
        </w:rPr>
      </w:pPr>
      <w:r w:rsidRPr="000F4F32">
        <w:rPr>
          <w:rFonts w:eastAsiaTheme="minorHAnsi"/>
          <w:lang w:val="en-US"/>
        </w:rPr>
        <w:t xml:space="preserve">Al horr, Y., Arif, M., Katafygiotou, M., Mazroei, A., Kaushik, A., &amp; Elsarrag, E. (2016). Impact of indoor environmental quality on occupant well-being and comfort: A review of the literature. </w:t>
      </w:r>
      <w:r w:rsidRPr="000F4F32">
        <w:rPr>
          <w:rFonts w:eastAsiaTheme="minorHAnsi"/>
          <w:i/>
          <w:iCs/>
          <w:lang w:val="en-US"/>
        </w:rPr>
        <w:t>International Journal of Sustainable Built Environment</w:t>
      </w:r>
      <w:r w:rsidRPr="000F4F32">
        <w:rPr>
          <w:rFonts w:eastAsiaTheme="minorHAnsi"/>
          <w:lang w:val="en-US"/>
        </w:rPr>
        <w:t xml:space="preserve">, </w:t>
      </w:r>
      <w:r w:rsidRPr="000F4F32">
        <w:rPr>
          <w:rFonts w:eastAsiaTheme="minorHAnsi"/>
          <w:i/>
          <w:iCs/>
          <w:lang w:val="en-US"/>
        </w:rPr>
        <w:t>5</w:t>
      </w:r>
      <w:r w:rsidRPr="000F4F32">
        <w:rPr>
          <w:rFonts w:eastAsiaTheme="minorHAnsi"/>
          <w:lang w:val="en-US"/>
        </w:rPr>
        <w:t>(1), 1–11. https://doi.org/10.1016/j.ijsbe.2016.03.006</w:t>
      </w:r>
    </w:p>
    <w:p w14:paraId="6DDBE777" w14:textId="77777777" w:rsidR="000F4F32" w:rsidRPr="000F4F32" w:rsidRDefault="000F4F32" w:rsidP="00324EB2">
      <w:pPr>
        <w:pStyle w:val="Bibliography"/>
        <w:numPr>
          <w:ilvl w:val="0"/>
          <w:numId w:val="2"/>
        </w:numPr>
        <w:rPr>
          <w:rFonts w:eastAsiaTheme="minorHAnsi"/>
          <w:lang w:val="en-US"/>
        </w:rPr>
      </w:pPr>
      <w:r w:rsidRPr="000F4F32">
        <w:rPr>
          <w:rFonts w:eastAsiaTheme="minorHAnsi"/>
          <w:lang w:val="en-US"/>
        </w:rPr>
        <w:t xml:space="preserve">Bentley, R., Mason, K., Jacobs, D., Blakely, T., Howden-Chapman, P., Li, A., Adamkiewicz, G., &amp; Reeves, A. (2025b). Housing as a social determinant of health: A contemporary framework. </w:t>
      </w:r>
      <w:r w:rsidRPr="000F4F32">
        <w:rPr>
          <w:rFonts w:eastAsiaTheme="minorHAnsi"/>
          <w:i/>
          <w:iCs/>
          <w:lang w:val="en-US"/>
        </w:rPr>
        <w:t>Lancet Public Health</w:t>
      </w:r>
      <w:r w:rsidRPr="000F4F32">
        <w:rPr>
          <w:rFonts w:eastAsiaTheme="minorHAnsi"/>
          <w:lang w:val="en-US"/>
        </w:rPr>
        <w:t>. https://doi.org/10.1016/S2468-2667(25)00142-2</w:t>
      </w:r>
    </w:p>
    <w:p w14:paraId="284BBA37" w14:textId="77777777" w:rsidR="000F4F32" w:rsidRPr="000F4F32" w:rsidRDefault="000F4F32" w:rsidP="00324EB2">
      <w:pPr>
        <w:pStyle w:val="Bibliography"/>
        <w:numPr>
          <w:ilvl w:val="0"/>
          <w:numId w:val="2"/>
        </w:numPr>
        <w:rPr>
          <w:rFonts w:eastAsiaTheme="minorHAnsi"/>
          <w:lang w:val="en-US"/>
        </w:rPr>
      </w:pPr>
      <w:r w:rsidRPr="000F4F32">
        <w:rPr>
          <w:rFonts w:eastAsiaTheme="minorHAnsi"/>
          <w:lang w:val="en-US"/>
        </w:rPr>
        <w:t xml:space="preserve">Di Fabrizio, C., Gonçalves, J., &amp; Martins, M. D. R. O. (2025). Community-based interventions to improve the health of migrant children in high-income countries: A systematic review. </w:t>
      </w:r>
      <w:r w:rsidRPr="000F4F32">
        <w:rPr>
          <w:rFonts w:eastAsiaTheme="minorHAnsi"/>
          <w:i/>
          <w:iCs/>
          <w:lang w:val="en-US"/>
        </w:rPr>
        <w:t>Social Science &amp; Medicine</w:t>
      </w:r>
      <w:r w:rsidRPr="000F4F32">
        <w:rPr>
          <w:rFonts w:eastAsiaTheme="minorHAnsi"/>
          <w:lang w:val="en-US"/>
        </w:rPr>
        <w:t xml:space="preserve">, </w:t>
      </w:r>
      <w:r w:rsidRPr="000F4F32">
        <w:rPr>
          <w:rFonts w:eastAsiaTheme="minorHAnsi"/>
          <w:i/>
          <w:iCs/>
          <w:lang w:val="en-US"/>
        </w:rPr>
        <w:t>383</w:t>
      </w:r>
      <w:r w:rsidRPr="000F4F32">
        <w:rPr>
          <w:rFonts w:eastAsiaTheme="minorHAnsi"/>
          <w:lang w:val="en-US"/>
        </w:rPr>
        <w:t>, 118470. https://doi.org/10.1016/j.socscimed.2025.118470</w:t>
      </w:r>
    </w:p>
    <w:p w14:paraId="7C339EBA" w14:textId="77777777" w:rsidR="000F4F32" w:rsidRPr="000F4F32" w:rsidRDefault="000F4F32" w:rsidP="00324EB2">
      <w:pPr>
        <w:pStyle w:val="Bibliography"/>
        <w:numPr>
          <w:ilvl w:val="0"/>
          <w:numId w:val="2"/>
        </w:numPr>
        <w:rPr>
          <w:rFonts w:eastAsiaTheme="minorHAnsi"/>
          <w:lang w:val="en-US"/>
        </w:rPr>
      </w:pPr>
      <w:r w:rsidRPr="000F4F32">
        <w:rPr>
          <w:rFonts w:eastAsiaTheme="minorHAnsi"/>
          <w:lang w:val="en-US"/>
        </w:rPr>
        <w:t xml:space="preserve">Hernández, D. (2019). Housing-Based Health Interventions: Harnessing the Social Utility of Housing to Promote Health. </w:t>
      </w:r>
      <w:r w:rsidRPr="000F4F32">
        <w:rPr>
          <w:rFonts w:eastAsiaTheme="minorHAnsi"/>
          <w:i/>
          <w:iCs/>
          <w:lang w:val="en-US"/>
        </w:rPr>
        <w:t>American Journal of Public Health</w:t>
      </w:r>
      <w:r w:rsidRPr="000F4F32">
        <w:rPr>
          <w:rFonts w:eastAsiaTheme="minorHAnsi"/>
          <w:lang w:val="en-US"/>
        </w:rPr>
        <w:t xml:space="preserve">, </w:t>
      </w:r>
      <w:r w:rsidRPr="000F4F32">
        <w:rPr>
          <w:rFonts w:eastAsiaTheme="minorHAnsi"/>
          <w:i/>
          <w:iCs/>
          <w:lang w:val="en-US"/>
        </w:rPr>
        <w:t>109</w:t>
      </w:r>
      <w:r w:rsidRPr="000F4F32">
        <w:rPr>
          <w:rFonts w:eastAsiaTheme="minorHAnsi"/>
          <w:lang w:val="en-US"/>
        </w:rPr>
        <w:t>(S2), S135–S136. https://doi.org/10.2105/AJPH.2018.304914</w:t>
      </w:r>
    </w:p>
    <w:p w14:paraId="635D4219" w14:textId="77777777" w:rsidR="000F4F32" w:rsidRPr="000F4F32" w:rsidRDefault="000F4F32" w:rsidP="00324EB2">
      <w:pPr>
        <w:pStyle w:val="Bibliography"/>
        <w:numPr>
          <w:ilvl w:val="0"/>
          <w:numId w:val="2"/>
        </w:numPr>
        <w:rPr>
          <w:rFonts w:eastAsiaTheme="minorHAnsi"/>
          <w:lang w:val="en-US"/>
        </w:rPr>
      </w:pPr>
      <w:r w:rsidRPr="000F4F32">
        <w:rPr>
          <w:rFonts w:eastAsiaTheme="minorHAnsi"/>
          <w:lang w:val="en-US"/>
        </w:rPr>
        <w:t xml:space="preserve">Li, J., &amp; Liu, Z. (2018). Housing stress and mental health of migrant populations in urban China. </w:t>
      </w:r>
      <w:r w:rsidRPr="000F4F32">
        <w:rPr>
          <w:rFonts w:eastAsiaTheme="minorHAnsi"/>
          <w:i/>
          <w:iCs/>
          <w:lang w:val="en-US"/>
        </w:rPr>
        <w:t>Cities</w:t>
      </w:r>
      <w:r w:rsidRPr="000F4F32">
        <w:rPr>
          <w:rFonts w:eastAsiaTheme="minorHAnsi"/>
          <w:lang w:val="en-US"/>
        </w:rPr>
        <w:t xml:space="preserve">, </w:t>
      </w:r>
      <w:r w:rsidRPr="000F4F32">
        <w:rPr>
          <w:rFonts w:eastAsiaTheme="minorHAnsi"/>
          <w:i/>
          <w:iCs/>
          <w:lang w:val="en-US"/>
        </w:rPr>
        <w:t>81</w:t>
      </w:r>
      <w:r w:rsidRPr="000F4F32">
        <w:rPr>
          <w:rFonts w:eastAsiaTheme="minorHAnsi"/>
          <w:lang w:val="en-US"/>
        </w:rPr>
        <w:t>, 172–179. https://doi.org/10.1016/j.cities.2018.04.006</w:t>
      </w:r>
    </w:p>
    <w:p w14:paraId="0BBDB4F1" w14:textId="77777777" w:rsidR="000F4F32" w:rsidRPr="000F4F32" w:rsidRDefault="000F4F32" w:rsidP="00324EB2">
      <w:pPr>
        <w:pStyle w:val="Bibliography"/>
        <w:numPr>
          <w:ilvl w:val="0"/>
          <w:numId w:val="2"/>
        </w:numPr>
        <w:rPr>
          <w:rFonts w:eastAsiaTheme="minorHAnsi"/>
          <w:lang w:val="en-US"/>
        </w:rPr>
      </w:pPr>
      <w:r w:rsidRPr="000F4F32">
        <w:rPr>
          <w:rFonts w:eastAsiaTheme="minorHAnsi"/>
          <w:lang w:val="en-US"/>
        </w:rPr>
        <w:t xml:space="preserve">Osibona, O., Solomon, B. D., &amp; Fecht, D. (2021). Lighting in the Home and Health: A Systematic Review. </w:t>
      </w:r>
      <w:r w:rsidRPr="000F4F32">
        <w:rPr>
          <w:rFonts w:eastAsiaTheme="minorHAnsi"/>
          <w:i/>
          <w:iCs/>
          <w:lang w:val="en-US"/>
        </w:rPr>
        <w:t>International Journal of Environmental Research and Public Health</w:t>
      </w:r>
      <w:r w:rsidRPr="000F4F32">
        <w:rPr>
          <w:rFonts w:eastAsiaTheme="minorHAnsi"/>
          <w:lang w:val="en-US"/>
        </w:rPr>
        <w:t xml:space="preserve">, </w:t>
      </w:r>
      <w:r w:rsidRPr="000F4F32">
        <w:rPr>
          <w:rFonts w:eastAsiaTheme="minorHAnsi"/>
          <w:i/>
          <w:iCs/>
          <w:lang w:val="en-US"/>
        </w:rPr>
        <w:t>18</w:t>
      </w:r>
      <w:r w:rsidRPr="000F4F32">
        <w:rPr>
          <w:rFonts w:eastAsiaTheme="minorHAnsi"/>
          <w:lang w:val="en-US"/>
        </w:rPr>
        <w:t>(2), 609. https://doi.org/10.3390/ijerph18020609</w:t>
      </w:r>
    </w:p>
    <w:p w14:paraId="07D33EB2" w14:textId="77777777" w:rsidR="000F4F32" w:rsidRPr="000F4F32" w:rsidRDefault="000F4F32" w:rsidP="00324EB2">
      <w:pPr>
        <w:pStyle w:val="Bibliography"/>
        <w:numPr>
          <w:ilvl w:val="0"/>
          <w:numId w:val="2"/>
        </w:numPr>
        <w:rPr>
          <w:rFonts w:eastAsiaTheme="minorHAnsi"/>
          <w:lang w:val="en-US"/>
        </w:rPr>
      </w:pPr>
      <w:r w:rsidRPr="000F4F32">
        <w:rPr>
          <w:rFonts w:eastAsiaTheme="minorHAnsi"/>
          <w:lang w:val="en-US"/>
        </w:rPr>
        <w:t xml:space="preserve">Rana, K., Kent, J. L., &amp; Page, A. (2025). Housing inequalities and health outcomes among migrant and refugee populations in high-income countries: A mixed-methods systematic review. </w:t>
      </w:r>
      <w:r w:rsidRPr="000F4F32">
        <w:rPr>
          <w:rFonts w:eastAsiaTheme="minorHAnsi"/>
          <w:i/>
          <w:iCs/>
          <w:lang w:val="en-US"/>
        </w:rPr>
        <w:t>BMC Public Health</w:t>
      </w:r>
      <w:r w:rsidRPr="000F4F32">
        <w:rPr>
          <w:rFonts w:eastAsiaTheme="minorHAnsi"/>
          <w:lang w:val="en-US"/>
        </w:rPr>
        <w:t xml:space="preserve">, </w:t>
      </w:r>
      <w:r w:rsidRPr="000F4F32">
        <w:rPr>
          <w:rFonts w:eastAsiaTheme="minorHAnsi"/>
          <w:i/>
          <w:iCs/>
          <w:lang w:val="en-US"/>
        </w:rPr>
        <w:t>25</w:t>
      </w:r>
      <w:r w:rsidRPr="000F4F32">
        <w:rPr>
          <w:rFonts w:eastAsiaTheme="minorHAnsi"/>
          <w:lang w:val="en-US"/>
        </w:rPr>
        <w:t>(1), 1098. https://doi.org/10.1186/s12889-025-22186-5</w:t>
      </w:r>
    </w:p>
    <w:p w14:paraId="4E18EE88" w14:textId="77777777" w:rsidR="000F4F32" w:rsidRPr="000F4F32" w:rsidRDefault="000F4F32" w:rsidP="00324EB2">
      <w:pPr>
        <w:pStyle w:val="Bibliography"/>
        <w:numPr>
          <w:ilvl w:val="0"/>
          <w:numId w:val="2"/>
        </w:numPr>
        <w:rPr>
          <w:rFonts w:eastAsiaTheme="minorHAnsi"/>
          <w:lang w:val="en-US"/>
        </w:rPr>
      </w:pPr>
      <w:r w:rsidRPr="000F4F32">
        <w:rPr>
          <w:rFonts w:eastAsiaTheme="minorHAnsi"/>
          <w:lang w:val="en-US"/>
        </w:rPr>
        <w:t xml:space="preserve">Roura, M., Dias, S., LeMaster, J. W., &amp; MacFarlane, A. (2021). Participatory health research with migrants: Opportunities, challenges, and way forwards. </w:t>
      </w:r>
      <w:r w:rsidRPr="000F4F32">
        <w:rPr>
          <w:rFonts w:eastAsiaTheme="minorHAnsi"/>
          <w:i/>
          <w:iCs/>
          <w:lang w:val="en-US"/>
        </w:rPr>
        <w:t>Health Expectations</w:t>
      </w:r>
      <w:r w:rsidRPr="000F4F32">
        <w:rPr>
          <w:rFonts w:eastAsiaTheme="minorHAnsi"/>
          <w:lang w:val="en-US"/>
        </w:rPr>
        <w:t xml:space="preserve">, </w:t>
      </w:r>
      <w:r w:rsidRPr="000F4F32">
        <w:rPr>
          <w:rFonts w:eastAsiaTheme="minorHAnsi"/>
          <w:i/>
          <w:iCs/>
          <w:lang w:val="en-US"/>
        </w:rPr>
        <w:t>24</w:t>
      </w:r>
      <w:r w:rsidRPr="000F4F32">
        <w:rPr>
          <w:rFonts w:eastAsiaTheme="minorHAnsi"/>
          <w:lang w:val="en-US"/>
        </w:rPr>
        <w:t>(2), 188–197. https://doi.org/10.1111/hex.13201</w:t>
      </w:r>
    </w:p>
    <w:p w14:paraId="2D83B644" w14:textId="77777777" w:rsidR="000F4F32" w:rsidRPr="000F4F32" w:rsidRDefault="000F4F32" w:rsidP="00324EB2">
      <w:pPr>
        <w:pStyle w:val="Bibliography"/>
        <w:numPr>
          <w:ilvl w:val="0"/>
          <w:numId w:val="2"/>
        </w:numPr>
        <w:rPr>
          <w:rFonts w:eastAsiaTheme="minorHAnsi"/>
          <w:lang w:val="en-US"/>
        </w:rPr>
      </w:pPr>
      <w:r w:rsidRPr="000F4F32">
        <w:rPr>
          <w:rFonts w:eastAsiaTheme="minorHAnsi"/>
          <w:lang w:val="en-US"/>
        </w:rPr>
        <w:t xml:space="preserve">Weiler, A. M., &amp; Caxaj, C. S. (2024). Housing, health equity, and global capitalist power: Migrant farmworkers in Canada. </w:t>
      </w:r>
      <w:r w:rsidRPr="000F4F32">
        <w:rPr>
          <w:rFonts w:eastAsiaTheme="minorHAnsi"/>
          <w:i/>
          <w:iCs/>
          <w:lang w:val="en-US"/>
        </w:rPr>
        <w:t>Social Science &amp; Medicine</w:t>
      </w:r>
      <w:r w:rsidRPr="000F4F32">
        <w:rPr>
          <w:rFonts w:eastAsiaTheme="minorHAnsi"/>
          <w:lang w:val="en-US"/>
        </w:rPr>
        <w:t xml:space="preserve">, </w:t>
      </w:r>
      <w:r w:rsidRPr="000F4F32">
        <w:rPr>
          <w:rFonts w:eastAsiaTheme="minorHAnsi"/>
          <w:i/>
          <w:iCs/>
          <w:lang w:val="en-US"/>
        </w:rPr>
        <w:t>354</w:t>
      </w:r>
      <w:r w:rsidRPr="000F4F32">
        <w:rPr>
          <w:rFonts w:eastAsiaTheme="minorHAnsi"/>
          <w:lang w:val="en-US"/>
        </w:rPr>
        <w:t>, 117067. https://doi.org/10.1016/j.socscimed.2024.117067</w:t>
      </w:r>
    </w:p>
    <w:p w14:paraId="63822E4A" w14:textId="30F426E5" w:rsidR="00A3251F" w:rsidRPr="00A3251F" w:rsidRDefault="00A3251F" w:rsidP="000F4F32">
      <w:pPr>
        <w:pStyle w:val="Bibliography"/>
      </w:pPr>
      <w:r>
        <w:fldChar w:fldCharType="end"/>
      </w:r>
    </w:p>
    <w:p w14:paraId="2680930E" w14:textId="77777777" w:rsidR="00203474" w:rsidRDefault="00203474" w:rsidP="00203474">
      <w:pPr>
        <w:jc w:val="both"/>
      </w:pPr>
    </w:p>
    <w:p w14:paraId="23B02D32" w14:textId="0ED2BB22" w:rsidR="00ED3676" w:rsidRPr="00D61DF5" w:rsidRDefault="00ED3676" w:rsidP="00086746">
      <w:pPr>
        <w:pStyle w:val="Bibliography"/>
      </w:pPr>
    </w:p>
    <w:sectPr w:rsidR="00ED3676" w:rsidRPr="00D61DF5" w:rsidSect="00FC5DB7">
      <w:pgSz w:w="11900" w:h="16840"/>
      <w:pgMar w:top="1080" w:right="605" w:bottom="605" w:left="605"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317D6E"/>
    <w:multiLevelType w:val="hybridMultilevel"/>
    <w:tmpl w:val="8C2E6C32"/>
    <w:lvl w:ilvl="0" w:tplc="7C52BAF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DE07C2E"/>
    <w:multiLevelType w:val="multilevel"/>
    <w:tmpl w:val="95844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DB7"/>
    <w:rsid w:val="000419F7"/>
    <w:rsid w:val="00083397"/>
    <w:rsid w:val="00086746"/>
    <w:rsid w:val="00087FFB"/>
    <w:rsid w:val="000B05FF"/>
    <w:rsid w:val="000B0755"/>
    <w:rsid w:val="000B19E1"/>
    <w:rsid w:val="000C2370"/>
    <w:rsid w:val="000E08A7"/>
    <w:rsid w:val="000F4F32"/>
    <w:rsid w:val="001517BF"/>
    <w:rsid w:val="001B3A62"/>
    <w:rsid w:val="001E2F63"/>
    <w:rsid w:val="001E342B"/>
    <w:rsid w:val="001F3AE7"/>
    <w:rsid w:val="001F6EC0"/>
    <w:rsid w:val="00203474"/>
    <w:rsid w:val="00212C71"/>
    <w:rsid w:val="00241146"/>
    <w:rsid w:val="002830A1"/>
    <w:rsid w:val="00285824"/>
    <w:rsid w:val="00324EB2"/>
    <w:rsid w:val="00345A70"/>
    <w:rsid w:val="003B57AE"/>
    <w:rsid w:val="003D53C0"/>
    <w:rsid w:val="00407872"/>
    <w:rsid w:val="00413DA9"/>
    <w:rsid w:val="004405E7"/>
    <w:rsid w:val="00467AE7"/>
    <w:rsid w:val="004864AE"/>
    <w:rsid w:val="00487251"/>
    <w:rsid w:val="004C2EA9"/>
    <w:rsid w:val="004E5210"/>
    <w:rsid w:val="004E5A14"/>
    <w:rsid w:val="004F03DD"/>
    <w:rsid w:val="00511212"/>
    <w:rsid w:val="005141E0"/>
    <w:rsid w:val="00527579"/>
    <w:rsid w:val="00562703"/>
    <w:rsid w:val="00577995"/>
    <w:rsid w:val="005B7CB6"/>
    <w:rsid w:val="005C0BC9"/>
    <w:rsid w:val="005D4EDD"/>
    <w:rsid w:val="005D5CEF"/>
    <w:rsid w:val="005E1209"/>
    <w:rsid w:val="00601AAD"/>
    <w:rsid w:val="006A7A41"/>
    <w:rsid w:val="007E0CD7"/>
    <w:rsid w:val="00802B12"/>
    <w:rsid w:val="00835870"/>
    <w:rsid w:val="00855347"/>
    <w:rsid w:val="00856A47"/>
    <w:rsid w:val="00880BFD"/>
    <w:rsid w:val="00885205"/>
    <w:rsid w:val="008B6041"/>
    <w:rsid w:val="008B71BA"/>
    <w:rsid w:val="008C0781"/>
    <w:rsid w:val="008C6C48"/>
    <w:rsid w:val="008D73FF"/>
    <w:rsid w:val="008E5F49"/>
    <w:rsid w:val="00990958"/>
    <w:rsid w:val="009B6F13"/>
    <w:rsid w:val="009D695E"/>
    <w:rsid w:val="00A1458B"/>
    <w:rsid w:val="00A3251F"/>
    <w:rsid w:val="00AA4BF7"/>
    <w:rsid w:val="00B14807"/>
    <w:rsid w:val="00B372FE"/>
    <w:rsid w:val="00B60086"/>
    <w:rsid w:val="00B6486A"/>
    <w:rsid w:val="00B707CA"/>
    <w:rsid w:val="00B81706"/>
    <w:rsid w:val="00B9735F"/>
    <w:rsid w:val="00BB19E7"/>
    <w:rsid w:val="00C178A0"/>
    <w:rsid w:val="00C938AB"/>
    <w:rsid w:val="00CF614A"/>
    <w:rsid w:val="00D00BCC"/>
    <w:rsid w:val="00D028D5"/>
    <w:rsid w:val="00D04F6D"/>
    <w:rsid w:val="00D45FC3"/>
    <w:rsid w:val="00D52077"/>
    <w:rsid w:val="00D61770"/>
    <w:rsid w:val="00D61DF5"/>
    <w:rsid w:val="00D63A54"/>
    <w:rsid w:val="00D74FAF"/>
    <w:rsid w:val="00DD470D"/>
    <w:rsid w:val="00DF6C3D"/>
    <w:rsid w:val="00E9430C"/>
    <w:rsid w:val="00ED1555"/>
    <w:rsid w:val="00ED3676"/>
    <w:rsid w:val="00EE4B82"/>
    <w:rsid w:val="00EE61CA"/>
    <w:rsid w:val="00F456BE"/>
    <w:rsid w:val="00F81441"/>
    <w:rsid w:val="00F82A9B"/>
    <w:rsid w:val="00FC5DB7"/>
    <w:rsid w:val="00FE28D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D3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ID"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qFormat="1"/>
    <w:lsdException w:name="TOC Heading" w:uiPriority="39" w:qFormat="1"/>
  </w:latentStyles>
  <w:style w:type="paragraph" w:default="1" w:styleId="Normal">
    <w:name w:val="Normal"/>
    <w:qFormat/>
    <w:rsid w:val="009D695E"/>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B6486A"/>
    <w:pPr>
      <w:jc w:val="both"/>
      <w:outlineLvl w:val="0"/>
    </w:pPr>
    <w:rPr>
      <w:rFonts w:eastAsiaTheme="minorHAnsi"/>
      <w:b/>
      <w:bCs/>
      <w:kern w:val="2"/>
      <w:sz w:val="28"/>
      <w:szCs w:val="28"/>
      <w14:ligatures w14:val="standardContextual"/>
    </w:rPr>
  </w:style>
  <w:style w:type="paragraph" w:styleId="Heading2">
    <w:name w:val="heading 2"/>
    <w:basedOn w:val="Normal"/>
    <w:next w:val="Normal"/>
    <w:link w:val="Heading2Char"/>
    <w:autoRedefine/>
    <w:semiHidden/>
    <w:unhideWhenUsed/>
    <w:qFormat/>
    <w:rsid w:val="008B6041"/>
    <w:pPr>
      <w:keepNext/>
      <w:keepLines/>
      <w:spacing w:before="40"/>
      <w:outlineLvl w:val="1"/>
    </w:pPr>
    <w:rPr>
      <w:rFonts w:asciiTheme="majorHAnsi" w:eastAsiaTheme="majorEastAsia" w:hAnsiTheme="majorHAnsi" w:cstheme="majorBidi"/>
      <w:color w:val="0F4761" w:themeColor="accent1" w:themeShade="BF"/>
      <w:kern w:val="2"/>
      <w:sz w:val="26"/>
      <w:szCs w:val="26"/>
      <w14:ligatures w14:val="standardContextual"/>
    </w:rPr>
  </w:style>
  <w:style w:type="paragraph" w:styleId="Heading3">
    <w:name w:val="heading 3"/>
    <w:basedOn w:val="Normal"/>
    <w:next w:val="Normal"/>
    <w:link w:val="Heading3Char"/>
    <w:uiPriority w:val="9"/>
    <w:semiHidden/>
    <w:unhideWhenUsed/>
    <w:qFormat/>
    <w:rsid w:val="00FC5DB7"/>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FC5DB7"/>
    <w:pPr>
      <w:keepNext/>
      <w:keepLines/>
      <w:spacing w:before="80" w:after="40"/>
      <w:outlineLvl w:val="3"/>
    </w:pPr>
    <w:rPr>
      <w:rFonts w:eastAsiaTheme="majorEastAsia"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FC5DB7"/>
    <w:pPr>
      <w:keepNext/>
      <w:keepLines/>
      <w:spacing w:before="80" w:after="40"/>
      <w:outlineLvl w:val="4"/>
    </w:pPr>
    <w:rPr>
      <w:rFonts w:eastAsiaTheme="majorEastAsia"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FC5DB7"/>
    <w:pPr>
      <w:keepNext/>
      <w:keepLines/>
      <w:spacing w:before="4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FC5DB7"/>
    <w:pPr>
      <w:keepNext/>
      <w:keepLines/>
      <w:spacing w:before="4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FC5DB7"/>
    <w:pPr>
      <w:keepNext/>
      <w:keepLines/>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FC5DB7"/>
    <w:pPr>
      <w:keepNext/>
      <w:keepLines/>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Bibliography"/>
    <w:qFormat/>
    <w:rsid w:val="00A1458B"/>
    <w:pPr>
      <w:spacing w:line="480" w:lineRule="atLeast"/>
    </w:pPr>
    <w:rPr>
      <w:rFonts w:eastAsia="Cambria" w:cs="Cambria"/>
      <w:b/>
    </w:rPr>
  </w:style>
  <w:style w:type="paragraph" w:styleId="Bibliography">
    <w:name w:val="Bibliography"/>
    <w:basedOn w:val="Normal"/>
    <w:next w:val="Normal"/>
    <w:uiPriority w:val="37"/>
    <w:unhideWhenUsed/>
    <w:rsid w:val="00EE4B82"/>
    <w:pPr>
      <w:tabs>
        <w:tab w:val="left" w:pos="380"/>
      </w:tabs>
      <w:ind w:left="720" w:hanging="720"/>
    </w:pPr>
  </w:style>
  <w:style w:type="paragraph" w:customStyle="1" w:styleId="Style2">
    <w:name w:val="Style2"/>
    <w:basedOn w:val="Bibliography"/>
    <w:autoRedefine/>
    <w:qFormat/>
    <w:rsid w:val="00A1458B"/>
    <w:rPr>
      <w:rFonts w:eastAsia="Cambria" w:cs="Cambria"/>
    </w:rPr>
  </w:style>
  <w:style w:type="character" w:styleId="Strong">
    <w:name w:val="Strong"/>
    <w:basedOn w:val="DefaultParagraphFont"/>
    <w:uiPriority w:val="22"/>
    <w:qFormat/>
    <w:rsid w:val="00AA4BF7"/>
    <w:rPr>
      <w:b/>
      <w:bCs/>
    </w:rPr>
  </w:style>
  <w:style w:type="character" w:customStyle="1" w:styleId="Heading2Char">
    <w:name w:val="Heading 2 Char"/>
    <w:basedOn w:val="DefaultParagraphFont"/>
    <w:link w:val="Heading2"/>
    <w:semiHidden/>
    <w:rsid w:val="008B6041"/>
    <w:rPr>
      <w:rFonts w:asciiTheme="majorHAnsi" w:eastAsiaTheme="majorEastAsia" w:hAnsiTheme="majorHAnsi" w:cstheme="majorBidi"/>
      <w:color w:val="0F4761" w:themeColor="accent1" w:themeShade="BF"/>
      <w:sz w:val="26"/>
      <w:szCs w:val="26"/>
    </w:rPr>
  </w:style>
  <w:style w:type="character" w:customStyle="1" w:styleId="Heading1Char">
    <w:name w:val="Heading 1 Char"/>
    <w:basedOn w:val="DefaultParagraphFont"/>
    <w:link w:val="Heading1"/>
    <w:uiPriority w:val="9"/>
    <w:rsid w:val="00B6486A"/>
    <w:rPr>
      <w:rFonts w:ascii="Times New Roman" w:hAnsi="Times New Roman" w:cs="Times New Roman"/>
      <w:b/>
      <w:bCs/>
      <w:sz w:val="28"/>
      <w:szCs w:val="28"/>
    </w:rPr>
  </w:style>
  <w:style w:type="character" w:customStyle="1" w:styleId="Heading3Char">
    <w:name w:val="Heading 3 Char"/>
    <w:basedOn w:val="DefaultParagraphFont"/>
    <w:link w:val="Heading3"/>
    <w:uiPriority w:val="9"/>
    <w:semiHidden/>
    <w:rsid w:val="00FC5D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C5D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C5D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C5D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C5D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C5D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C5DB7"/>
    <w:rPr>
      <w:rFonts w:eastAsiaTheme="majorEastAsia" w:cstheme="majorBidi"/>
      <w:color w:val="272727" w:themeColor="text1" w:themeTint="D8"/>
    </w:rPr>
  </w:style>
  <w:style w:type="paragraph" w:styleId="Title">
    <w:name w:val="Title"/>
    <w:basedOn w:val="Normal"/>
    <w:next w:val="Normal"/>
    <w:link w:val="TitleChar"/>
    <w:qFormat/>
    <w:rsid w:val="00FC5DB7"/>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rsid w:val="00FC5D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5DB7"/>
    <w:pPr>
      <w:numPr>
        <w:ilvl w:val="1"/>
      </w:numPr>
      <w:spacing w:after="160"/>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FC5D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C5DB7"/>
    <w:pPr>
      <w:spacing w:before="160" w:after="160"/>
      <w:jc w:val="center"/>
    </w:pPr>
    <w:rPr>
      <w:rFonts w:eastAsiaTheme="minorHAnsi"/>
      <w:i/>
      <w:iCs/>
      <w:color w:val="404040" w:themeColor="text1" w:themeTint="BF"/>
      <w:kern w:val="2"/>
      <w14:ligatures w14:val="standardContextual"/>
    </w:rPr>
  </w:style>
  <w:style w:type="character" w:customStyle="1" w:styleId="QuoteChar">
    <w:name w:val="Quote Char"/>
    <w:basedOn w:val="DefaultParagraphFont"/>
    <w:link w:val="Quote"/>
    <w:uiPriority w:val="29"/>
    <w:rsid w:val="00FC5DB7"/>
    <w:rPr>
      <w:i/>
      <w:iCs/>
      <w:color w:val="404040" w:themeColor="text1" w:themeTint="BF"/>
    </w:rPr>
  </w:style>
  <w:style w:type="paragraph" w:styleId="ListParagraph">
    <w:name w:val="List Paragraph"/>
    <w:basedOn w:val="Normal"/>
    <w:uiPriority w:val="34"/>
    <w:qFormat/>
    <w:rsid w:val="00FC5DB7"/>
    <w:pPr>
      <w:ind w:left="720"/>
      <w:contextualSpacing/>
    </w:pPr>
    <w:rPr>
      <w:rFonts w:eastAsiaTheme="minorHAnsi"/>
      <w:kern w:val="2"/>
      <w14:ligatures w14:val="standardContextual"/>
    </w:rPr>
  </w:style>
  <w:style w:type="character" w:styleId="IntenseEmphasis">
    <w:name w:val="Intense Emphasis"/>
    <w:basedOn w:val="DefaultParagraphFont"/>
    <w:uiPriority w:val="21"/>
    <w:qFormat/>
    <w:rsid w:val="00FC5DB7"/>
    <w:rPr>
      <w:i/>
      <w:iCs/>
      <w:color w:val="0F4761" w:themeColor="accent1" w:themeShade="BF"/>
    </w:rPr>
  </w:style>
  <w:style w:type="paragraph" w:styleId="IntenseQuote">
    <w:name w:val="Intense Quote"/>
    <w:basedOn w:val="Normal"/>
    <w:next w:val="Normal"/>
    <w:link w:val="IntenseQuoteChar"/>
    <w:uiPriority w:val="30"/>
    <w:qFormat/>
    <w:rsid w:val="00FC5DB7"/>
    <w:pPr>
      <w:pBdr>
        <w:top w:val="single" w:sz="4" w:space="10" w:color="0F4761" w:themeColor="accent1" w:themeShade="BF"/>
        <w:bottom w:val="single" w:sz="4" w:space="10" w:color="0F4761" w:themeColor="accent1" w:themeShade="BF"/>
      </w:pBdr>
      <w:spacing w:before="360" w:after="360"/>
      <w:ind w:left="864" w:right="864"/>
      <w:jc w:val="center"/>
    </w:pPr>
    <w:rPr>
      <w:rFonts w:eastAsiaTheme="minorHAns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FC5DB7"/>
    <w:rPr>
      <w:i/>
      <w:iCs/>
      <w:color w:val="0F4761" w:themeColor="accent1" w:themeShade="BF"/>
    </w:rPr>
  </w:style>
  <w:style w:type="character" w:styleId="IntenseReference">
    <w:name w:val="Intense Reference"/>
    <w:basedOn w:val="DefaultParagraphFont"/>
    <w:uiPriority w:val="32"/>
    <w:qFormat/>
    <w:rsid w:val="00FC5DB7"/>
    <w:rPr>
      <w:b/>
      <w:bCs/>
      <w:smallCaps/>
      <w:color w:val="0F4761" w:themeColor="accent1" w:themeShade="BF"/>
      <w:spacing w:val="5"/>
    </w:rPr>
  </w:style>
  <w:style w:type="paragraph" w:customStyle="1" w:styleId="Authors">
    <w:name w:val="Authors"/>
    <w:basedOn w:val="Normal"/>
    <w:next w:val="Normal"/>
    <w:rsid w:val="00FC5DB7"/>
    <w:pPr>
      <w:framePr w:w="9072" w:hSpace="187" w:vSpace="187" w:wrap="notBeside" w:vAnchor="text" w:hAnchor="page" w:xAlign="center" w:y="1"/>
      <w:autoSpaceDE w:val="0"/>
      <w:autoSpaceDN w:val="0"/>
      <w:spacing w:after="320"/>
      <w:jc w:val="center"/>
    </w:pPr>
    <w:rPr>
      <w:sz w:val="22"/>
      <w:szCs w:val="22"/>
      <w:lang w:val="en-US"/>
    </w:rPr>
  </w:style>
  <w:style w:type="character" w:styleId="Hyperlink">
    <w:name w:val="Hyperlink"/>
    <w:basedOn w:val="DefaultParagraphFont"/>
    <w:uiPriority w:val="99"/>
    <w:unhideWhenUsed/>
    <w:rsid w:val="00467AE7"/>
    <w:rPr>
      <w:color w:val="467886" w:themeColor="hyperlink"/>
      <w:u w:val="single"/>
    </w:rPr>
  </w:style>
  <w:style w:type="character" w:customStyle="1" w:styleId="UnresolvedMention">
    <w:name w:val="Unresolved Mention"/>
    <w:basedOn w:val="DefaultParagraphFont"/>
    <w:uiPriority w:val="99"/>
    <w:semiHidden/>
    <w:unhideWhenUsed/>
    <w:rsid w:val="00467AE7"/>
    <w:rPr>
      <w:color w:val="605E5C"/>
      <w:shd w:val="clear" w:color="auto" w:fill="E1DFDD"/>
    </w:rPr>
  </w:style>
  <w:style w:type="paragraph" w:styleId="Caption">
    <w:name w:val="caption"/>
    <w:basedOn w:val="Normal"/>
    <w:next w:val="Normal"/>
    <w:uiPriority w:val="35"/>
    <w:unhideWhenUsed/>
    <w:qFormat/>
    <w:rsid w:val="00087FFB"/>
    <w:pPr>
      <w:spacing w:after="200"/>
    </w:pPr>
    <w:rPr>
      <w:rFonts w:eastAsiaTheme="minorHAnsi"/>
      <w:i/>
      <w:iCs/>
      <w:color w:val="0E2841" w:themeColor="text2"/>
      <w:kern w:val="2"/>
      <w:sz w:val="18"/>
      <w:szCs w:val="18"/>
      <w14:ligatures w14:val="standardContextual"/>
    </w:rPr>
  </w:style>
  <w:style w:type="paragraph" w:styleId="NormalWeb">
    <w:name w:val="Normal (Web)"/>
    <w:basedOn w:val="Normal"/>
    <w:uiPriority w:val="99"/>
    <w:semiHidden/>
    <w:unhideWhenUsed/>
    <w:rsid w:val="00B81706"/>
    <w:rPr>
      <w:rFonts w:eastAsiaTheme="minorHAnsi"/>
      <w:kern w:val="2"/>
      <w14:ligatures w14:val="standardContextual"/>
    </w:rPr>
  </w:style>
  <w:style w:type="table" w:customStyle="1" w:styleId="PlainTable2">
    <w:name w:val="Plain Table 2"/>
    <w:basedOn w:val="TableNormal"/>
    <w:uiPriority w:val="42"/>
    <w:rsid w:val="009B6F13"/>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ID"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qFormat="1"/>
    <w:lsdException w:name="TOC Heading" w:uiPriority="39" w:qFormat="1"/>
  </w:latentStyles>
  <w:style w:type="paragraph" w:default="1" w:styleId="Normal">
    <w:name w:val="Normal"/>
    <w:qFormat/>
    <w:rsid w:val="009D695E"/>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B6486A"/>
    <w:pPr>
      <w:jc w:val="both"/>
      <w:outlineLvl w:val="0"/>
    </w:pPr>
    <w:rPr>
      <w:rFonts w:eastAsiaTheme="minorHAnsi"/>
      <w:b/>
      <w:bCs/>
      <w:kern w:val="2"/>
      <w:sz w:val="28"/>
      <w:szCs w:val="28"/>
      <w14:ligatures w14:val="standardContextual"/>
    </w:rPr>
  </w:style>
  <w:style w:type="paragraph" w:styleId="Heading2">
    <w:name w:val="heading 2"/>
    <w:basedOn w:val="Normal"/>
    <w:next w:val="Normal"/>
    <w:link w:val="Heading2Char"/>
    <w:autoRedefine/>
    <w:semiHidden/>
    <w:unhideWhenUsed/>
    <w:qFormat/>
    <w:rsid w:val="008B6041"/>
    <w:pPr>
      <w:keepNext/>
      <w:keepLines/>
      <w:spacing w:before="40"/>
      <w:outlineLvl w:val="1"/>
    </w:pPr>
    <w:rPr>
      <w:rFonts w:asciiTheme="majorHAnsi" w:eastAsiaTheme="majorEastAsia" w:hAnsiTheme="majorHAnsi" w:cstheme="majorBidi"/>
      <w:color w:val="0F4761" w:themeColor="accent1" w:themeShade="BF"/>
      <w:kern w:val="2"/>
      <w:sz w:val="26"/>
      <w:szCs w:val="26"/>
      <w14:ligatures w14:val="standardContextual"/>
    </w:rPr>
  </w:style>
  <w:style w:type="paragraph" w:styleId="Heading3">
    <w:name w:val="heading 3"/>
    <w:basedOn w:val="Normal"/>
    <w:next w:val="Normal"/>
    <w:link w:val="Heading3Char"/>
    <w:uiPriority w:val="9"/>
    <w:semiHidden/>
    <w:unhideWhenUsed/>
    <w:qFormat/>
    <w:rsid w:val="00FC5DB7"/>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FC5DB7"/>
    <w:pPr>
      <w:keepNext/>
      <w:keepLines/>
      <w:spacing w:before="80" w:after="40"/>
      <w:outlineLvl w:val="3"/>
    </w:pPr>
    <w:rPr>
      <w:rFonts w:eastAsiaTheme="majorEastAsia"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FC5DB7"/>
    <w:pPr>
      <w:keepNext/>
      <w:keepLines/>
      <w:spacing w:before="80" w:after="40"/>
      <w:outlineLvl w:val="4"/>
    </w:pPr>
    <w:rPr>
      <w:rFonts w:eastAsiaTheme="majorEastAsia"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FC5DB7"/>
    <w:pPr>
      <w:keepNext/>
      <w:keepLines/>
      <w:spacing w:before="4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FC5DB7"/>
    <w:pPr>
      <w:keepNext/>
      <w:keepLines/>
      <w:spacing w:before="4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FC5DB7"/>
    <w:pPr>
      <w:keepNext/>
      <w:keepLines/>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FC5DB7"/>
    <w:pPr>
      <w:keepNext/>
      <w:keepLines/>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Bibliography"/>
    <w:qFormat/>
    <w:rsid w:val="00A1458B"/>
    <w:pPr>
      <w:spacing w:line="480" w:lineRule="atLeast"/>
    </w:pPr>
    <w:rPr>
      <w:rFonts w:eastAsia="Cambria" w:cs="Cambria"/>
      <w:b/>
    </w:rPr>
  </w:style>
  <w:style w:type="paragraph" w:styleId="Bibliography">
    <w:name w:val="Bibliography"/>
    <w:basedOn w:val="Normal"/>
    <w:next w:val="Normal"/>
    <w:uiPriority w:val="37"/>
    <w:unhideWhenUsed/>
    <w:rsid w:val="00EE4B82"/>
    <w:pPr>
      <w:tabs>
        <w:tab w:val="left" w:pos="380"/>
      </w:tabs>
      <w:ind w:left="720" w:hanging="720"/>
    </w:pPr>
  </w:style>
  <w:style w:type="paragraph" w:customStyle="1" w:styleId="Style2">
    <w:name w:val="Style2"/>
    <w:basedOn w:val="Bibliography"/>
    <w:autoRedefine/>
    <w:qFormat/>
    <w:rsid w:val="00A1458B"/>
    <w:rPr>
      <w:rFonts w:eastAsia="Cambria" w:cs="Cambria"/>
    </w:rPr>
  </w:style>
  <w:style w:type="character" w:styleId="Strong">
    <w:name w:val="Strong"/>
    <w:basedOn w:val="DefaultParagraphFont"/>
    <w:uiPriority w:val="22"/>
    <w:qFormat/>
    <w:rsid w:val="00AA4BF7"/>
    <w:rPr>
      <w:b/>
      <w:bCs/>
    </w:rPr>
  </w:style>
  <w:style w:type="character" w:customStyle="1" w:styleId="Heading2Char">
    <w:name w:val="Heading 2 Char"/>
    <w:basedOn w:val="DefaultParagraphFont"/>
    <w:link w:val="Heading2"/>
    <w:semiHidden/>
    <w:rsid w:val="008B6041"/>
    <w:rPr>
      <w:rFonts w:asciiTheme="majorHAnsi" w:eastAsiaTheme="majorEastAsia" w:hAnsiTheme="majorHAnsi" w:cstheme="majorBidi"/>
      <w:color w:val="0F4761" w:themeColor="accent1" w:themeShade="BF"/>
      <w:sz w:val="26"/>
      <w:szCs w:val="26"/>
    </w:rPr>
  </w:style>
  <w:style w:type="character" w:customStyle="1" w:styleId="Heading1Char">
    <w:name w:val="Heading 1 Char"/>
    <w:basedOn w:val="DefaultParagraphFont"/>
    <w:link w:val="Heading1"/>
    <w:uiPriority w:val="9"/>
    <w:rsid w:val="00B6486A"/>
    <w:rPr>
      <w:rFonts w:ascii="Times New Roman" w:hAnsi="Times New Roman" w:cs="Times New Roman"/>
      <w:b/>
      <w:bCs/>
      <w:sz w:val="28"/>
      <w:szCs w:val="28"/>
    </w:rPr>
  </w:style>
  <w:style w:type="character" w:customStyle="1" w:styleId="Heading3Char">
    <w:name w:val="Heading 3 Char"/>
    <w:basedOn w:val="DefaultParagraphFont"/>
    <w:link w:val="Heading3"/>
    <w:uiPriority w:val="9"/>
    <w:semiHidden/>
    <w:rsid w:val="00FC5D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C5D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C5D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C5D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C5D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C5D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C5DB7"/>
    <w:rPr>
      <w:rFonts w:eastAsiaTheme="majorEastAsia" w:cstheme="majorBidi"/>
      <w:color w:val="272727" w:themeColor="text1" w:themeTint="D8"/>
    </w:rPr>
  </w:style>
  <w:style w:type="paragraph" w:styleId="Title">
    <w:name w:val="Title"/>
    <w:basedOn w:val="Normal"/>
    <w:next w:val="Normal"/>
    <w:link w:val="TitleChar"/>
    <w:qFormat/>
    <w:rsid w:val="00FC5DB7"/>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rsid w:val="00FC5D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5DB7"/>
    <w:pPr>
      <w:numPr>
        <w:ilvl w:val="1"/>
      </w:numPr>
      <w:spacing w:after="160"/>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FC5D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C5DB7"/>
    <w:pPr>
      <w:spacing w:before="160" w:after="160"/>
      <w:jc w:val="center"/>
    </w:pPr>
    <w:rPr>
      <w:rFonts w:eastAsiaTheme="minorHAnsi"/>
      <w:i/>
      <w:iCs/>
      <w:color w:val="404040" w:themeColor="text1" w:themeTint="BF"/>
      <w:kern w:val="2"/>
      <w14:ligatures w14:val="standardContextual"/>
    </w:rPr>
  </w:style>
  <w:style w:type="character" w:customStyle="1" w:styleId="QuoteChar">
    <w:name w:val="Quote Char"/>
    <w:basedOn w:val="DefaultParagraphFont"/>
    <w:link w:val="Quote"/>
    <w:uiPriority w:val="29"/>
    <w:rsid w:val="00FC5DB7"/>
    <w:rPr>
      <w:i/>
      <w:iCs/>
      <w:color w:val="404040" w:themeColor="text1" w:themeTint="BF"/>
    </w:rPr>
  </w:style>
  <w:style w:type="paragraph" w:styleId="ListParagraph">
    <w:name w:val="List Paragraph"/>
    <w:basedOn w:val="Normal"/>
    <w:uiPriority w:val="34"/>
    <w:qFormat/>
    <w:rsid w:val="00FC5DB7"/>
    <w:pPr>
      <w:ind w:left="720"/>
      <w:contextualSpacing/>
    </w:pPr>
    <w:rPr>
      <w:rFonts w:eastAsiaTheme="minorHAnsi"/>
      <w:kern w:val="2"/>
      <w14:ligatures w14:val="standardContextual"/>
    </w:rPr>
  </w:style>
  <w:style w:type="character" w:styleId="IntenseEmphasis">
    <w:name w:val="Intense Emphasis"/>
    <w:basedOn w:val="DefaultParagraphFont"/>
    <w:uiPriority w:val="21"/>
    <w:qFormat/>
    <w:rsid w:val="00FC5DB7"/>
    <w:rPr>
      <w:i/>
      <w:iCs/>
      <w:color w:val="0F4761" w:themeColor="accent1" w:themeShade="BF"/>
    </w:rPr>
  </w:style>
  <w:style w:type="paragraph" w:styleId="IntenseQuote">
    <w:name w:val="Intense Quote"/>
    <w:basedOn w:val="Normal"/>
    <w:next w:val="Normal"/>
    <w:link w:val="IntenseQuoteChar"/>
    <w:uiPriority w:val="30"/>
    <w:qFormat/>
    <w:rsid w:val="00FC5DB7"/>
    <w:pPr>
      <w:pBdr>
        <w:top w:val="single" w:sz="4" w:space="10" w:color="0F4761" w:themeColor="accent1" w:themeShade="BF"/>
        <w:bottom w:val="single" w:sz="4" w:space="10" w:color="0F4761" w:themeColor="accent1" w:themeShade="BF"/>
      </w:pBdr>
      <w:spacing w:before="360" w:after="360"/>
      <w:ind w:left="864" w:right="864"/>
      <w:jc w:val="center"/>
    </w:pPr>
    <w:rPr>
      <w:rFonts w:eastAsiaTheme="minorHAns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FC5DB7"/>
    <w:rPr>
      <w:i/>
      <w:iCs/>
      <w:color w:val="0F4761" w:themeColor="accent1" w:themeShade="BF"/>
    </w:rPr>
  </w:style>
  <w:style w:type="character" w:styleId="IntenseReference">
    <w:name w:val="Intense Reference"/>
    <w:basedOn w:val="DefaultParagraphFont"/>
    <w:uiPriority w:val="32"/>
    <w:qFormat/>
    <w:rsid w:val="00FC5DB7"/>
    <w:rPr>
      <w:b/>
      <w:bCs/>
      <w:smallCaps/>
      <w:color w:val="0F4761" w:themeColor="accent1" w:themeShade="BF"/>
      <w:spacing w:val="5"/>
    </w:rPr>
  </w:style>
  <w:style w:type="paragraph" w:customStyle="1" w:styleId="Authors">
    <w:name w:val="Authors"/>
    <w:basedOn w:val="Normal"/>
    <w:next w:val="Normal"/>
    <w:rsid w:val="00FC5DB7"/>
    <w:pPr>
      <w:framePr w:w="9072" w:hSpace="187" w:vSpace="187" w:wrap="notBeside" w:vAnchor="text" w:hAnchor="page" w:xAlign="center" w:y="1"/>
      <w:autoSpaceDE w:val="0"/>
      <w:autoSpaceDN w:val="0"/>
      <w:spacing w:after="320"/>
      <w:jc w:val="center"/>
    </w:pPr>
    <w:rPr>
      <w:sz w:val="22"/>
      <w:szCs w:val="22"/>
      <w:lang w:val="en-US"/>
    </w:rPr>
  </w:style>
  <w:style w:type="character" w:styleId="Hyperlink">
    <w:name w:val="Hyperlink"/>
    <w:basedOn w:val="DefaultParagraphFont"/>
    <w:uiPriority w:val="99"/>
    <w:unhideWhenUsed/>
    <w:rsid w:val="00467AE7"/>
    <w:rPr>
      <w:color w:val="467886" w:themeColor="hyperlink"/>
      <w:u w:val="single"/>
    </w:rPr>
  </w:style>
  <w:style w:type="character" w:customStyle="1" w:styleId="UnresolvedMention">
    <w:name w:val="Unresolved Mention"/>
    <w:basedOn w:val="DefaultParagraphFont"/>
    <w:uiPriority w:val="99"/>
    <w:semiHidden/>
    <w:unhideWhenUsed/>
    <w:rsid w:val="00467AE7"/>
    <w:rPr>
      <w:color w:val="605E5C"/>
      <w:shd w:val="clear" w:color="auto" w:fill="E1DFDD"/>
    </w:rPr>
  </w:style>
  <w:style w:type="paragraph" w:styleId="Caption">
    <w:name w:val="caption"/>
    <w:basedOn w:val="Normal"/>
    <w:next w:val="Normal"/>
    <w:uiPriority w:val="35"/>
    <w:unhideWhenUsed/>
    <w:qFormat/>
    <w:rsid w:val="00087FFB"/>
    <w:pPr>
      <w:spacing w:after="200"/>
    </w:pPr>
    <w:rPr>
      <w:rFonts w:eastAsiaTheme="minorHAnsi"/>
      <w:i/>
      <w:iCs/>
      <w:color w:val="0E2841" w:themeColor="text2"/>
      <w:kern w:val="2"/>
      <w:sz w:val="18"/>
      <w:szCs w:val="18"/>
      <w14:ligatures w14:val="standardContextual"/>
    </w:rPr>
  </w:style>
  <w:style w:type="paragraph" w:styleId="NormalWeb">
    <w:name w:val="Normal (Web)"/>
    <w:basedOn w:val="Normal"/>
    <w:uiPriority w:val="99"/>
    <w:semiHidden/>
    <w:unhideWhenUsed/>
    <w:rsid w:val="00B81706"/>
    <w:rPr>
      <w:rFonts w:eastAsiaTheme="minorHAnsi"/>
      <w:kern w:val="2"/>
      <w14:ligatures w14:val="standardContextual"/>
    </w:rPr>
  </w:style>
  <w:style w:type="table" w:customStyle="1" w:styleId="PlainTable2">
    <w:name w:val="Plain Table 2"/>
    <w:basedOn w:val="TableNormal"/>
    <w:uiPriority w:val="42"/>
    <w:rsid w:val="009B6F13"/>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27A564-AB14-4566-83D9-A60128FDA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14200</Words>
  <Characters>80940</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EKO NURSANTY</dc:creator>
  <cp:keywords/>
  <dc:description/>
  <cp:lastModifiedBy>qwert</cp:lastModifiedBy>
  <cp:revision>7</cp:revision>
  <cp:lastPrinted>2026-04-20T11:48:00Z</cp:lastPrinted>
  <dcterms:created xsi:type="dcterms:W3CDTF">2026-04-20T11:48:00Z</dcterms:created>
  <dcterms:modified xsi:type="dcterms:W3CDTF">2026-04-27T12:28:00Z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id="owZssxfv"/&gt;&lt;style id="http://www.zotero.org/styles/apa" locale="en-US" hasBibliography="1" bibliographyStyleHasBeenSet="1"/&gt;&lt;prefs&gt;&lt;pref name="fieldType" value="Field"/&gt;&lt;/prefs&gt;&lt;/data&gt;</vt:lpwstr>
  </property>
</Properties>
</file>