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E68783" w14:textId="6C08EBFB" w:rsidR="00724BB5" w:rsidRPr="006B2D37" w:rsidRDefault="009F1C8E" w:rsidP="006B2D37">
      <w:pPr>
        <w:pStyle w:val="Title"/>
        <w:ind w:firstLine="643"/>
        <w:rPr>
          <w:sz w:val="36"/>
          <w:szCs w:val="36"/>
        </w:rPr>
      </w:pPr>
      <w:r w:rsidRPr="006B2D37">
        <w:rPr>
          <w:sz w:val="36"/>
          <w:szCs w:val="36"/>
        </w:rPr>
        <w:t xml:space="preserve">The Effects </w:t>
      </w:r>
      <w:r w:rsidR="00492A00" w:rsidRPr="006B2D37">
        <w:rPr>
          <w:sz w:val="36"/>
          <w:szCs w:val="36"/>
        </w:rPr>
        <w:t>of</w:t>
      </w:r>
      <w:r w:rsidRPr="006B2D37">
        <w:rPr>
          <w:sz w:val="36"/>
          <w:szCs w:val="36"/>
        </w:rPr>
        <w:t xml:space="preserve"> Using Visual </w:t>
      </w:r>
      <w:r w:rsidR="00492A00" w:rsidRPr="006B2D37">
        <w:rPr>
          <w:sz w:val="36"/>
          <w:szCs w:val="36"/>
        </w:rPr>
        <w:t>and</w:t>
      </w:r>
      <w:r w:rsidRPr="006B2D37">
        <w:rPr>
          <w:sz w:val="36"/>
          <w:szCs w:val="36"/>
        </w:rPr>
        <w:t xml:space="preserve"> Podcast Technology Materials </w:t>
      </w:r>
      <w:r w:rsidR="00492A00" w:rsidRPr="006B2D37">
        <w:rPr>
          <w:sz w:val="36"/>
          <w:szCs w:val="36"/>
        </w:rPr>
        <w:t>in</w:t>
      </w:r>
      <w:r w:rsidRPr="006B2D37">
        <w:rPr>
          <w:sz w:val="36"/>
          <w:szCs w:val="36"/>
        </w:rPr>
        <w:t xml:space="preserve"> Teaching English</w:t>
      </w:r>
      <w:r w:rsidR="00DB6B20" w:rsidRPr="006B2D37">
        <w:rPr>
          <w:rFonts w:eastAsia="Times New Roman"/>
          <w:sz w:val="36"/>
          <w:szCs w:val="36"/>
        </w:rPr>
        <w:t xml:space="preserve"> </w:t>
      </w:r>
    </w:p>
    <w:p w14:paraId="57E98FF2" w14:textId="77777777" w:rsidR="00724BB5" w:rsidRDefault="00724BB5">
      <w:pPr>
        <w:jc w:val="center"/>
      </w:pPr>
    </w:p>
    <w:p w14:paraId="76C841D4" w14:textId="77777777" w:rsidR="00724BB5" w:rsidRDefault="00724BB5">
      <w:bookmarkStart w:id="0" w:name="_GoBack"/>
      <w:bookmarkEnd w:id="0"/>
    </w:p>
    <w:p w14:paraId="7B9246A4" w14:textId="123089B2" w:rsidR="00724BB5" w:rsidRDefault="006B2D37" w:rsidP="006B2D37">
      <w:pPr>
        <w:pStyle w:val="Heading1"/>
        <w:ind w:firstLine="0"/>
      </w:pPr>
      <w:r>
        <w:t>ABSTRACT</w:t>
      </w:r>
    </w:p>
    <w:p w14:paraId="75B828B7" w14:textId="456034A4" w:rsidR="00724BB5" w:rsidRDefault="00492A00" w:rsidP="006B2D37">
      <w:pPr>
        <w:spacing w:line="240" w:lineRule="auto"/>
        <w:ind w:left="397"/>
        <w:rPr>
          <w:szCs w:val="24"/>
        </w:rPr>
      </w:pPr>
      <w:r w:rsidRPr="00492A00">
        <w:rPr>
          <w:szCs w:val="24"/>
        </w:rPr>
        <w:t>This study assessed the academic performance of grade 4 learners in English using Visual and Podcast Technology Materials instruction in Alugan Elementary School, San Policarpo District, Eastern Samar Division, during the school year 2023-2024. Specifically, the study sought to answer the following questions: What is the pretest, and mean percentage scores of Grade 4 pupils before teaching English using visual and podcast technology materials instruction in both control and experimental groups? What is the posttest, and mean percentages of Grade 4 after teaching English using visual and podcast technology materials instruction in both controlled and experimental groups? Is there a significant difference between the pretest and posttest mean percentage scores of Grades 4 pupils in English between the control and experimental groups? Is there a significant difference that exists between the posttest mean score of Grade 4 learners in English of both experimental; and control groups? Is there a significant difference between the learning gain scores of Grade 4 learners in the English of both experimental and control groups? This study employed the quasi-experimental design using the pretest-posttest control group design. A total of 46 volunteer Grade 4 participants were used for this study, using purposive sampling. An adopted DepEd visual and podcast technology materials were utilized to present on Smart TV/Projector used for experimental study, while for controlled group using the self-learning material. Data were analyzed using mean, weighted mean, and standard deviation, and t-test. Result shows that the pre-test performance of the learners from two group of participants exposed to visual and podcast technology materials instruction and self-learning materials group are both interpreted as “Satisfactory” level of achievement based on DepEd Mastery of Learning Competencies. Both the control and experimental groups demonstrated significant and positive changes in their performance from pretest to posttest, with mean score shifting from “Satisfactory” to Outstanding” levels. Both groups' pretest and posttest scores are significant, this suggests that the intervention or treatment applied to the experimental group has led to a statistically significant change in the measured outcome when compared to the control group. Posttest scores of both control and experimental groups obtained a substantial difference in performance between learners exposed to both teaching models. Moreover, the impact of visual and podcast technology materials instruction on attitude towards the lesson is moderately effective when compared to traditional teaching methods using self-learning materials. Nevertheless, the results indicate that the overall learning gains in English performance for both groups are not statistically significant. It is recommended that English teachers can consider incorporating visual and podcast technology materials instruction as an alternative teaching strategy to enhance their students' academic performance.</w:t>
      </w:r>
    </w:p>
    <w:p w14:paraId="34FEFCDA" w14:textId="5BAF9BEB" w:rsidR="00724BB5" w:rsidRDefault="00DB6B20" w:rsidP="006B2D37">
      <w:pPr>
        <w:spacing w:line="240" w:lineRule="auto"/>
        <w:ind w:left="397"/>
        <w:jc w:val="left"/>
      </w:pPr>
      <w:r>
        <w:rPr>
          <w:rFonts w:eastAsia="Times New Roman"/>
          <w:b/>
          <w:bCs/>
          <w:szCs w:val="24"/>
        </w:rPr>
        <w:t>Keywords:</w:t>
      </w:r>
      <w:r>
        <w:rPr>
          <w:rFonts w:eastAsia="Times New Roman"/>
          <w:szCs w:val="24"/>
        </w:rPr>
        <w:t xml:space="preserve"> </w:t>
      </w:r>
      <w:r w:rsidR="00492A00" w:rsidRPr="00492A00">
        <w:t xml:space="preserve"> </w:t>
      </w:r>
      <w:r w:rsidR="00492A00" w:rsidRPr="00492A00">
        <w:rPr>
          <w:rFonts w:eastAsia="Times New Roman"/>
          <w:szCs w:val="24"/>
        </w:rPr>
        <w:t>Effects, Visual and podcast technology materials instruction, 21st Century Skills, performance, quasi-experimental</w:t>
      </w:r>
    </w:p>
    <w:p w14:paraId="35370127" w14:textId="77777777" w:rsidR="00724BB5" w:rsidRDefault="00724BB5" w:rsidP="006B2D37">
      <w:pPr>
        <w:spacing w:line="240" w:lineRule="auto"/>
        <w:rPr>
          <w:i/>
          <w:szCs w:val="24"/>
        </w:rPr>
      </w:pPr>
    </w:p>
    <w:p w14:paraId="1A33F35C" w14:textId="2581932F" w:rsidR="00724BB5" w:rsidRDefault="006B2D37" w:rsidP="006B2D37">
      <w:pPr>
        <w:pStyle w:val="Heading1"/>
        <w:ind w:firstLine="0"/>
      </w:pPr>
      <w:bookmarkStart w:id="1" w:name="_Hlk227995151"/>
      <w:r>
        <w:t>INTRODUCTION</w:t>
      </w:r>
    </w:p>
    <w:bookmarkEnd w:id="1"/>
    <w:p w14:paraId="7A29DDA7" w14:textId="43A79913" w:rsidR="00492A00" w:rsidRPr="00492A00" w:rsidRDefault="00492A00" w:rsidP="006B2D37">
      <w:pPr>
        <w:spacing w:line="240" w:lineRule="auto"/>
        <w:ind w:left="397"/>
        <w:rPr>
          <w:szCs w:val="24"/>
        </w:rPr>
      </w:pPr>
      <w:r w:rsidRPr="00492A00">
        <w:rPr>
          <w:szCs w:val="24"/>
        </w:rPr>
        <w:t xml:space="preserve">The global integration of information and communication technology (ICT) has become an important source of innovation and improvement has advanced   significantly   over   the   last   two decades (Belgar, &amp; Maligaya, 2022). In the education sector, particularly, the application of visual and podcast technology materials has become a critical part of the learning process for the students both outside and inside the classroom setting (Basri, et al., 2018). Research on visual and podcast technology materials utilization in the academic performance has been popular in recent years because of its pedagogical contributions. Teachers, policy makers, and education scholars believe that technology integration supports both the teachers’ pedagogical practices and the students’ learning improvement (Ulla, et al., 2020). For example, English language learning becomes exciting and motivating (Botero, et al., 2019) as technology offers various engaging instructional materials teachers can adapt and use. Likewise, technology use in the classroom promotes students’ active learning (Kieu, et al., 2021) caters to their needs and interests, makes them more engaged in language learning and provides opportunities for students to work together with their classmates (Gilakjani, 2017). Thus, there is no doubt that technology integration in classrooms has </w:t>
      </w:r>
      <w:r w:rsidRPr="00492A00">
        <w:rPr>
          <w:szCs w:val="24"/>
        </w:rPr>
        <w:lastRenderedPageBreak/>
        <w:t>now become a new, upward trend in language education. On the other hand, the development of visual and podcast technology materials brings changes to the process of implementing learning pedagogy. instructional supervision; thus, the use of visual and podcast technology materials in teaching and learning process plays a vital role in developing these lifelong skills needed by the learners as they go out of the school and face the reality of workplace. As stated in DO 78, S. 2020, the DepEd Computerization Program (DCP), which included instructions on its implementation that were published on June 10, 2010, aimed to equip public schools with the right technologies. This improved the teaching learning process and prepared them for the challenges of the twenty-first century. Thus, teachers were required to develop alternative learning materials and instructional devices to help facilitate teaching and learning processes (Ronda, 2020). In this new paradigm, students were expected to take charge of their own learning or in other words, they were targeted to develop autonomy in learning that they should be active in searching and show a lot of initiative in learning, in terms of what they would learn, how they would learn, and how they would assess their own learning (Nunan, 2018). According to Deslauriers, (2019), it is important to ensure that neither teachers nor students were fooled into thinking that lectures were the best learning option. By this, the students might not have any more responsibility for their own learning. They might become too dependent on what the teacher would be feeding them (Ekantini et al., 2017).</w:t>
      </w:r>
    </w:p>
    <w:p w14:paraId="33295079" w14:textId="77777777" w:rsidR="00492A00" w:rsidRPr="00492A00" w:rsidRDefault="00492A00" w:rsidP="006B2D37">
      <w:pPr>
        <w:spacing w:line="240" w:lineRule="auto"/>
        <w:ind w:left="397"/>
        <w:rPr>
          <w:szCs w:val="24"/>
        </w:rPr>
      </w:pPr>
      <w:r w:rsidRPr="00492A00">
        <w:rPr>
          <w:szCs w:val="24"/>
        </w:rPr>
        <w:t>However, using visual and podcast technology materials into the learning-teaching pedagogy is not that simple and easy as it seems, and certainly there are broader prerequisites of achieving classroom technological advancement (Guillo, &amp; Guillo, 2017). Findings from different studies identified barriers to the use of visual and podcast technology materials in teaching and learning process at present remains a challenging task on the part of teachers due to some reasons like: the ratio of student-computer and teacher-computer (Gaurino, &amp; Estrellado, 2023), lack of training's in using visual and podcast technology materials (Fajardo, &amp; Mendoza, 2021), lack of confidence and competence in visual and podcast technology materials, lack of technical support and lack of accessibility to visual and podcast technology resources (Briones, 2018).</w:t>
      </w:r>
    </w:p>
    <w:p w14:paraId="5300EEB9" w14:textId="77777777" w:rsidR="00492A00" w:rsidRPr="00492A00" w:rsidRDefault="00492A00" w:rsidP="006B2D37">
      <w:pPr>
        <w:spacing w:line="240" w:lineRule="auto"/>
        <w:ind w:left="397"/>
        <w:rPr>
          <w:szCs w:val="24"/>
        </w:rPr>
      </w:pPr>
      <w:r w:rsidRPr="00492A00">
        <w:rPr>
          <w:szCs w:val="24"/>
        </w:rPr>
        <w:t xml:space="preserve">Lastly, the evidences that show the prevalence of the quality problems in education are the results of learning assessment. The annual accomplishment report reveals that over the past years, the San Policarpo district’s performance in the examination specifically in English is consistently below the passing cut-off score of 75% as set by Department of Education. During the school year 2019-2020, the mean percentage score in the test was 60.79%. In school year 2020-2021, the mean score was 65.77 and 65.90% for the school year 2021-2022. During the first and second quarter of this school year 2021-2022, pupils got a mean percentage in English of 70.45% and 70.78% respectively. In this premise, the primary motivations are to determine whether the using of visual and podcast technology materials and resources can lead to improved learning outcomes in English language education. As an elementary teacher the researcher is driven to contribute to the ongoing improvement of English language education and better prepare pupils for the challenges and opportunities of the 21st century using the visual and podcast technology materials.Based on the identified research gaps and the problem statement, researcher felt a need to investigate the adoption of visual and podcast technology materials in basic education programs and examine its effects on the academic performance of the Grade 4 pupils in Alugan Elementary School, Eastern Samar Division during the school year 2023-2024.   </w:t>
      </w:r>
    </w:p>
    <w:p w14:paraId="39B65857" w14:textId="65D314F5" w:rsidR="002A07B7" w:rsidRDefault="00492A00" w:rsidP="006B2D37">
      <w:pPr>
        <w:spacing w:line="240" w:lineRule="auto"/>
        <w:ind w:left="397"/>
      </w:pPr>
      <w:r w:rsidRPr="00492A00">
        <w:rPr>
          <w:szCs w:val="24"/>
        </w:rPr>
        <w:t>The study aims to assess the effects of using visual and podcast technology materials and the academic achievement of Grade 4 pupils in Alugan Elementary School during the school year 2023-2024. Specifically, this study explored the following objectives. (1) What is the pretest, and mean percentage scores of Grades 4 pupils before teaching English using visual and podcast technology materials instruction in both control and experimental groups?  (2) What is the posttest, and mean percentages of Grade 4 after teaching English using visual and podcast technology materials instruction in both controlled and experimental groups? (3) Is there a significant difference between the pretest and posttest mean percentage scores of Grades 4 pupils in English between the control and experimental groups?  (4) Is there a significant difference that exists between the posttest mean score of Grade 4 learners in English of both experimental; and control groups? (5) Is there a significant difference between the learning gain scores of Grades 4 learners in the English of both experimental and control groups?</w:t>
      </w:r>
    </w:p>
    <w:p w14:paraId="2A19E6A1" w14:textId="77777777" w:rsidR="006B2D37" w:rsidRDefault="006B2D37" w:rsidP="006B2D37">
      <w:pPr>
        <w:spacing w:line="240" w:lineRule="auto"/>
        <w:ind w:firstLine="397"/>
        <w:rPr>
          <w:b/>
          <w:bCs/>
          <w:sz w:val="28"/>
          <w:szCs w:val="28"/>
        </w:rPr>
      </w:pPr>
    </w:p>
    <w:p w14:paraId="34F5F653" w14:textId="2B11F5C7" w:rsidR="002A07B7" w:rsidRPr="002A07B7" w:rsidRDefault="006B2D37" w:rsidP="006B2D37">
      <w:pPr>
        <w:spacing w:line="240" w:lineRule="auto"/>
        <w:ind w:firstLine="397"/>
        <w:rPr>
          <w:b/>
          <w:bCs/>
          <w:sz w:val="28"/>
          <w:szCs w:val="28"/>
        </w:rPr>
      </w:pPr>
      <w:r w:rsidRPr="002A07B7">
        <w:rPr>
          <w:b/>
          <w:bCs/>
          <w:sz w:val="28"/>
          <w:szCs w:val="28"/>
        </w:rPr>
        <w:t>METHOD</w:t>
      </w:r>
      <w:r>
        <w:rPr>
          <w:b/>
          <w:bCs/>
          <w:sz w:val="28"/>
          <w:szCs w:val="28"/>
        </w:rPr>
        <w:t>OLOGY</w:t>
      </w:r>
    </w:p>
    <w:p w14:paraId="470460F6" w14:textId="77777777" w:rsidR="002A07B7" w:rsidRDefault="00A137A6" w:rsidP="006B2D37">
      <w:pPr>
        <w:spacing w:line="240" w:lineRule="auto"/>
        <w:ind w:left="397"/>
      </w:pPr>
      <w:r w:rsidRPr="00A137A6">
        <w:rPr>
          <w:rFonts w:eastAsia="MS Mincho"/>
          <w:b/>
          <w:bCs/>
          <w:szCs w:val="24"/>
          <w:lang w:val="en-PH" w:eastAsia="en-US"/>
        </w:rPr>
        <w:t>Research Design</w:t>
      </w:r>
      <w:r w:rsidRPr="00A137A6">
        <w:rPr>
          <w:rFonts w:eastAsia="MS Mincho"/>
          <w:b/>
          <w:bCs/>
          <w:szCs w:val="24"/>
          <w:lang w:val="en-PH" w:eastAsia="en-US"/>
        </w:rPr>
        <w:tab/>
      </w:r>
    </w:p>
    <w:p w14:paraId="61B383EA" w14:textId="3B3D5910" w:rsidR="00492A00" w:rsidRPr="00492A00" w:rsidRDefault="00492A00" w:rsidP="006B2D37">
      <w:pPr>
        <w:spacing w:line="240" w:lineRule="auto"/>
        <w:ind w:left="397"/>
        <w:rPr>
          <w:rFonts w:eastAsia="MS Mincho"/>
          <w:szCs w:val="24"/>
          <w:lang w:val="en-PH" w:eastAsia="en-US"/>
        </w:rPr>
      </w:pPr>
      <w:r w:rsidRPr="00492A00">
        <w:rPr>
          <w:rFonts w:eastAsia="MS Mincho"/>
          <w:szCs w:val="24"/>
          <w:lang w:val="en-PH" w:eastAsia="en-US"/>
        </w:rPr>
        <w:lastRenderedPageBreak/>
        <w:t>The study employed a two-group quasi-experimental design to determine the effect of using visual and podcast technology materials on the academic performance of Grade 4 pupils in teaching English 4. The classes are assigned two groups based on non-random criteria appointed as control and experiment groups. The researcher opted to use this design because the subjects of the study are</w:t>
      </w:r>
    </w:p>
    <w:p w14:paraId="2184D1D5" w14:textId="3ED8981A" w:rsidR="002A07B7" w:rsidRDefault="00492A00" w:rsidP="006B2D37">
      <w:pPr>
        <w:spacing w:line="240" w:lineRule="auto"/>
        <w:ind w:left="397"/>
      </w:pPr>
      <w:r w:rsidRPr="00492A00">
        <w:rPr>
          <w:rFonts w:eastAsia="MS Mincho"/>
          <w:szCs w:val="24"/>
          <w:lang w:val="en-PH" w:eastAsia="en-US"/>
        </w:rPr>
        <w:t>an intact group of pupils. The intervention effectiveness was measured by the difference between the pretest-posttest mean score and the gain. The subjects were selected groups of Grade IV of Alugan Elementary School, San Policarpo District, Eastern Samar Division for SY: 2023-2024.</w:t>
      </w:r>
    </w:p>
    <w:p w14:paraId="2C9411BE" w14:textId="77777777" w:rsidR="002A07B7" w:rsidRDefault="00A137A6" w:rsidP="006B2D37">
      <w:pPr>
        <w:spacing w:line="240" w:lineRule="auto"/>
        <w:ind w:left="397"/>
      </w:pPr>
      <w:r w:rsidRPr="00A137A6">
        <w:rPr>
          <w:rFonts w:eastAsia="MS Mincho"/>
          <w:b/>
          <w:bCs/>
          <w:szCs w:val="24"/>
          <w:lang w:val="en-PH" w:eastAsia="en-US"/>
        </w:rPr>
        <w:t>Locale of the Study</w:t>
      </w:r>
    </w:p>
    <w:p w14:paraId="5336DD39" w14:textId="262AADE1" w:rsidR="002A07B7" w:rsidRDefault="00492A00" w:rsidP="006B2D37">
      <w:pPr>
        <w:spacing w:line="240" w:lineRule="auto"/>
        <w:ind w:left="397"/>
      </w:pPr>
      <w:r w:rsidRPr="00492A00">
        <w:rPr>
          <w:rFonts w:eastAsia="MS Mincho"/>
          <w:szCs w:val="24"/>
          <w:lang w:val="en-PH" w:eastAsia="en-US"/>
        </w:rPr>
        <w:t>This study was conducted at Alugan Elementary School, San Policarpo District, Eastern Samar Division. The school serves as a microcosm of the educational landscape in the Eastern Samar Division, providing insights into the challenges, strategies, and innovations in the local education system. This school offers a valuable and insightful research locale for investigating various aspects of the local education system, aiming to contribute to the improvement of educational practices and policies in the broader context of the Philippines. The aforementioned school acknowledged the heterogeneous sectioning.</w:t>
      </w:r>
    </w:p>
    <w:p w14:paraId="52CADA54" w14:textId="77777777" w:rsidR="002A07B7" w:rsidRDefault="00A137A6" w:rsidP="006B2D37">
      <w:pPr>
        <w:spacing w:line="240" w:lineRule="auto"/>
        <w:ind w:left="397"/>
      </w:pPr>
      <w:r w:rsidRPr="00A137A6">
        <w:rPr>
          <w:rFonts w:eastAsia="MS Mincho"/>
          <w:b/>
          <w:szCs w:val="24"/>
          <w:lang w:val="en-PH" w:eastAsia="en-US"/>
        </w:rPr>
        <w:t>Respondents of the Study</w:t>
      </w:r>
    </w:p>
    <w:p w14:paraId="18758B14" w14:textId="6B0E90F5" w:rsidR="00492A00" w:rsidRPr="006B2D37" w:rsidRDefault="00492A00" w:rsidP="006B2D37">
      <w:pPr>
        <w:spacing w:line="240" w:lineRule="auto"/>
        <w:ind w:left="397"/>
      </w:pPr>
      <w:r w:rsidRPr="00492A00">
        <w:rPr>
          <w:rFonts w:eastAsia="MS Mincho"/>
          <w:szCs w:val="24"/>
          <w:lang w:val="en-PH" w:eastAsia="en-US"/>
        </w:rPr>
        <w:t>This research was taken place at Alugan Elementary School, San Policarpo District, during the school year 2023-2024. The study participants were Grade 4 pupils, with sections that exhibit heterogeneous composition, leading to a diverse range of performance levels. To select participants, the study was used a non-random assignment approach. Employing a two-group design, the researcher were first group pupils homogeneously, based on their academic aptitude, as defined by McCarter (2014). The initial grading mean percentage scores in English 4 were sorted from highest to lowest, and then paired with two identical grades, each assigned to either the experimental or the control group. This process was continued until all pupils are allocated to one of the two groups. Consequently, the Experimental Group were consisted of 23 participants, and the Control Group were also included 23 participants.</w:t>
      </w:r>
    </w:p>
    <w:p w14:paraId="02A3029F" w14:textId="77777777" w:rsidR="00492A00" w:rsidRDefault="00A137A6" w:rsidP="006B2D37">
      <w:pPr>
        <w:spacing w:line="240" w:lineRule="auto"/>
        <w:ind w:left="397"/>
      </w:pPr>
      <w:r w:rsidRPr="00A137A6">
        <w:rPr>
          <w:rFonts w:eastAsia="MS Mincho"/>
          <w:b/>
          <w:szCs w:val="24"/>
          <w:lang w:val="en-PH" w:eastAsia="en-US"/>
        </w:rPr>
        <w:t>Sampling Procedure</w:t>
      </w:r>
    </w:p>
    <w:p w14:paraId="5FCED636" w14:textId="18FF143E" w:rsidR="00492A00" w:rsidRDefault="00492A00" w:rsidP="006B2D37">
      <w:pPr>
        <w:spacing w:line="240" w:lineRule="auto"/>
        <w:ind w:left="397"/>
      </w:pPr>
      <w:r w:rsidRPr="00492A00">
        <w:t>This study employed purposive sampling, which differs from random sampling as it focuses on selecting subjects who possess specific characteristics relevant to the research project's significance and complexity. Purposive sampling is deemed necessary for quasi-experimental educational research when cooperation between researchers and schools is required, as stated by Fraenkel, Wallen, and Hyun (2006). In such cases, groups of experimental units may need to be non-randomly assigned to treatment based on pre-organized, logistically viable criteria. In this study, purposive sampling with criterion-based selection were used to choose the subjects. The researcher also ensured that all participants were homogeneously grouped based on their ability in English 4 academic performance. The mean percentage scores (MPS) in English 4 from the first grading period were used for grouping, with scores arranged from highest to lowest. Subsequently, the scores were paired into two groups, assigned to the experimental group and the control group. To determine which pupils belonged to the experimental and control groups, random sampling was employed using the fishbowl method. The names of all subjects, along with their corresponding grades, were written on pieces of paper, placed in a box, and randomly drawn until both the experimental and control groups comprised 23 participants each. The experimental group consisted of 23 participants (10 boys and 13 girls), while the control group also comprised 23 participants (12 boys and 11 girls).In the experimental group, pupils were taught using activities that integrated podcast, while in the control group, pupils were taught using the modular approach (self-learning material).</w:t>
      </w:r>
    </w:p>
    <w:p w14:paraId="26F44804" w14:textId="77777777" w:rsidR="002A07B7" w:rsidRDefault="00A137A6" w:rsidP="006B2D37">
      <w:pPr>
        <w:spacing w:line="240" w:lineRule="auto"/>
        <w:ind w:left="397"/>
      </w:pPr>
      <w:r w:rsidRPr="00A137A6">
        <w:rPr>
          <w:rFonts w:eastAsia="MS Mincho"/>
          <w:b/>
          <w:szCs w:val="24"/>
          <w:lang w:val="en-PH" w:eastAsia="en-US"/>
        </w:rPr>
        <w:t xml:space="preserve">Research Instrument </w:t>
      </w:r>
    </w:p>
    <w:p w14:paraId="19D61653" w14:textId="02B80C54" w:rsidR="002A07B7" w:rsidRDefault="00492A00" w:rsidP="006B2D37">
      <w:pPr>
        <w:spacing w:line="240" w:lineRule="auto"/>
        <w:ind w:left="397"/>
      </w:pPr>
      <w:r w:rsidRPr="00492A00">
        <w:rPr>
          <w:rFonts w:eastAsia="MS Mincho"/>
          <w:szCs w:val="24"/>
          <w:lang w:eastAsia="en-US"/>
        </w:rPr>
        <w:t xml:space="preserve">The   contents of the instrument designed to draw the data needed to answer specific questions.  Some items were conceptualized based on the need of the participants and the teachers, guided by the evaluation by the Information Communication and Technology Centers. The instruments assessed the functionality of the three components of the extent of podcast utilization in teaching in terms of curriculum and assessment, pedagogy and basic ITC tools (hardware and software). This study was utilized the adopted Reading Technique Tool thru podcast software, which were used to measure the decoding proficiency of the Grade 4 pupils in English. This instrument can take many forms, including computer-based training program, web-based modules, interactive videos, or mobile applications. In this study, the adopted DepEd multimedia instructional packages (MPI) were utilized to presented on Smart TV/Projector which is downloaded from the DepEd portal for the Educational Learning Materials Packages system and included a combination of text, audio, still pictures, and motion video. The DepEd multimedia instructional </w:t>
      </w:r>
      <w:r w:rsidRPr="00492A00">
        <w:rPr>
          <w:rFonts w:eastAsia="MS Mincho"/>
          <w:szCs w:val="24"/>
          <w:lang w:eastAsia="en-US"/>
        </w:rPr>
        <w:lastRenderedPageBreak/>
        <w:t>packages (MPI) covered the same information provided during the service orientation sessions of Using Context Clues, Kinds of Nouns, Personal Pronouns, Adjectives and Simple Present Tense of Verbs in Sentences. Podcast intervention instruments was evaluated using a variety of methods, including pretest and posttest or observations of pupil’s interaction. This intervention was done for five-week treatment, that schedule every Monday at 8:00 – 8:40 AM class.</w:t>
      </w:r>
    </w:p>
    <w:p w14:paraId="179F9F03" w14:textId="77777777" w:rsidR="002A07B7" w:rsidRDefault="00A137A6" w:rsidP="006B2D37">
      <w:pPr>
        <w:spacing w:line="240" w:lineRule="auto"/>
        <w:ind w:left="397"/>
      </w:pPr>
      <w:r w:rsidRPr="00A137A6">
        <w:rPr>
          <w:rFonts w:eastAsia="MS Mincho"/>
          <w:b/>
          <w:szCs w:val="24"/>
          <w:lang w:val="en-PH" w:eastAsia="en-US"/>
        </w:rPr>
        <w:t>Data Gathering Procedure</w:t>
      </w:r>
    </w:p>
    <w:p w14:paraId="270BC989" w14:textId="621FC4BB" w:rsidR="002A07B7" w:rsidRDefault="00492A00" w:rsidP="006B2D37">
      <w:pPr>
        <w:spacing w:line="240" w:lineRule="auto"/>
        <w:ind w:left="397"/>
      </w:pPr>
      <w:r w:rsidRPr="00492A00">
        <w:t xml:space="preserve"> </w:t>
      </w:r>
      <w:r w:rsidRPr="00492A00">
        <w:rPr>
          <w:rFonts w:eastAsia="MS Mincho"/>
          <w:szCs w:val="24"/>
          <w:lang w:val="en-PH" w:eastAsia="en-US"/>
        </w:rPr>
        <w:t>Before commencing the study, the researcher obtained formal permission from the school principal of Alugan Elementary School, approved by the school division superintendent's office. The selection of participants for the two groups followed the appropriate protocol for sampling. A week before the study's commencement, the researcher met with the pupil participants to inform them about the experiment's nature and sole purpose. Pre-test inventories were conducted the day after the orientation. Following approval, the researcher closely monitored the study's conduct and observed the adherence to the framework, to ensure that any arising queries were promptly addressed. Every participant received respectful treatment during the study and was given the assurance that the data they submitted would be kept private and used only for research. Overall, the study followed a systematic approach, adhering to established protocols, and ensuring proper communication with participants, thereby establishing a clear and rigorous framework for conducting the research.</w:t>
      </w:r>
    </w:p>
    <w:p w14:paraId="1E737B5B" w14:textId="77777777" w:rsidR="00492A00" w:rsidRDefault="00A137A6" w:rsidP="006B2D37">
      <w:pPr>
        <w:spacing w:line="240" w:lineRule="auto"/>
        <w:ind w:left="397"/>
      </w:pPr>
      <w:r w:rsidRPr="00A137A6">
        <w:rPr>
          <w:rFonts w:eastAsia="MS Mincho"/>
          <w:b/>
          <w:szCs w:val="24"/>
          <w:lang w:val="en-PH" w:eastAsia="en-US"/>
        </w:rPr>
        <w:t>Analysis of Data</w:t>
      </w:r>
    </w:p>
    <w:p w14:paraId="35A48183" w14:textId="4455E437" w:rsidR="002A07B7" w:rsidRDefault="00492A00" w:rsidP="006B2D37">
      <w:pPr>
        <w:spacing w:line="240" w:lineRule="auto"/>
        <w:ind w:left="397"/>
      </w:pPr>
      <w:r w:rsidRPr="00492A00">
        <w:rPr>
          <w:rFonts w:eastAsia="MS Mincho"/>
          <w:szCs w:val="24"/>
          <w:lang w:val="en-PH" w:eastAsia="en-US"/>
        </w:rPr>
        <w:t>To analyze the pretest and posttest for the control and experimental group were summarized and presented using descriptive statistics such as arithmetic mean and standard deviation. The mean learning gains were determined through the difference between the mean of the pretest and post-test of the subjects using a t-test. Finally, to find out the difference between pre-test and post-test for control and experimental group, inferential analysis using two-tailed paired-sample t-test of means were used to show if there is a significant difference between the pre-test and post-test data using a 0.05 level of significance. All inferential tests were computed at 5% level of significance and 95% confidence level.</w:t>
      </w:r>
    </w:p>
    <w:p w14:paraId="66BB9F92" w14:textId="77777777" w:rsidR="002A07B7" w:rsidRDefault="00A137A6" w:rsidP="006B2D37">
      <w:pPr>
        <w:spacing w:line="240" w:lineRule="auto"/>
        <w:ind w:left="397"/>
      </w:pPr>
      <w:r w:rsidRPr="00A137A6">
        <w:rPr>
          <w:rFonts w:eastAsia="MS Mincho"/>
          <w:b/>
          <w:szCs w:val="24"/>
          <w:lang w:val="en-PH" w:eastAsia="en-US"/>
        </w:rPr>
        <w:t>Research Ethical Considerations</w:t>
      </w:r>
    </w:p>
    <w:p w14:paraId="183CB3BE" w14:textId="09591D34" w:rsidR="002A07B7" w:rsidRDefault="00492A00" w:rsidP="006B2D37">
      <w:pPr>
        <w:spacing w:line="240" w:lineRule="auto"/>
        <w:ind w:left="397"/>
        <w:rPr>
          <w:rFonts w:eastAsia="MS Mincho"/>
          <w:szCs w:val="24"/>
          <w:lang w:val="en-PH" w:eastAsia="en-US"/>
        </w:rPr>
      </w:pPr>
      <w:r w:rsidRPr="00492A00">
        <w:rPr>
          <w:rFonts w:eastAsia="MS Mincho"/>
          <w:szCs w:val="24"/>
          <w:lang w:val="en-PH" w:eastAsia="en-US"/>
        </w:rPr>
        <w:t>For the part of the study, all participants consented to participation using a consent form (see Appendix A). All personal and identifying information were removed at the time of utilization. This study is completely voluntary, and anyone wishing not to participate were have the option of removing themselves from the research study at any time. The study was submitted to the ESSU Ethics Review Committee for clearance and then to the school division superintendent for final approval. When the approval is granted, an informed consent letter was provided for both the parents and the pupils who would be participating in the research study to sign. This letter explained the research that would be conducted and asked for consent for their pupil to participate in the study and for the researcher to obtain and use the data they produce for the research study. The data privacy act of 2012 was also strictly adhered to regarding the handling, treatment, use, and storage of research data collected from participants.</w:t>
      </w:r>
    </w:p>
    <w:p w14:paraId="3AC20498" w14:textId="77777777" w:rsidR="0014522C" w:rsidRPr="0014522C" w:rsidRDefault="0014522C" w:rsidP="006B2D37">
      <w:pPr>
        <w:spacing w:line="240" w:lineRule="auto"/>
        <w:ind w:left="397"/>
        <w:rPr>
          <w:rFonts w:eastAsia="MS Mincho"/>
          <w:szCs w:val="24"/>
          <w:lang w:val="en-PH" w:eastAsia="en-US"/>
        </w:rPr>
      </w:pPr>
    </w:p>
    <w:p w14:paraId="2DE9C742" w14:textId="1C9C25A4" w:rsidR="002A07B7" w:rsidRPr="00E83EAF" w:rsidRDefault="006B2D37" w:rsidP="006B2D37">
      <w:pPr>
        <w:pStyle w:val="ListParagraph"/>
        <w:ind w:left="0" w:firstLine="397"/>
        <w:rPr>
          <w:b/>
          <w:color w:val="000000"/>
          <w:sz w:val="28"/>
          <w:szCs w:val="28"/>
          <w:lang w:val="en-US" w:eastAsia="ja-JP"/>
        </w:rPr>
      </w:pPr>
      <w:r w:rsidRPr="002A07B7">
        <w:rPr>
          <w:b/>
          <w:color w:val="000000"/>
          <w:sz w:val="28"/>
          <w:szCs w:val="28"/>
          <w:lang w:eastAsia="ja-JP"/>
        </w:rPr>
        <w:t>R</w:t>
      </w:r>
      <w:r>
        <w:rPr>
          <w:b/>
          <w:color w:val="000000"/>
          <w:sz w:val="28"/>
          <w:szCs w:val="28"/>
          <w:lang w:val="en-US" w:eastAsia="ja-JP"/>
        </w:rPr>
        <w:t>ESULTS</w:t>
      </w:r>
      <w:r w:rsidRPr="002A07B7">
        <w:rPr>
          <w:b/>
          <w:color w:val="000000"/>
          <w:sz w:val="28"/>
          <w:szCs w:val="28"/>
          <w:lang w:eastAsia="ja-JP"/>
        </w:rPr>
        <w:t xml:space="preserve"> </w:t>
      </w:r>
    </w:p>
    <w:p w14:paraId="23ED72A4" w14:textId="2D5CCF49" w:rsidR="008D2CFA" w:rsidRDefault="00A137A6" w:rsidP="006B2D37">
      <w:pPr>
        <w:spacing w:line="240" w:lineRule="auto"/>
        <w:ind w:left="397"/>
        <w:rPr>
          <w:rFonts w:eastAsia="MS Mincho"/>
          <w:bCs/>
          <w:color w:val="000000"/>
          <w:szCs w:val="24"/>
          <w:lang w:eastAsia="ja-JP"/>
        </w:rPr>
      </w:pPr>
      <w:r w:rsidRPr="002A07B7">
        <w:rPr>
          <w:rFonts w:eastAsia="MS Mincho"/>
          <w:bCs/>
          <w:color w:val="000000"/>
          <w:szCs w:val="24"/>
          <w:lang w:eastAsia="ja-JP"/>
        </w:rPr>
        <w:t>This section presents the results of the study based on the data gathered which were analyzed and interpreted using the appropriate statistical tools.</w:t>
      </w:r>
    </w:p>
    <w:p w14:paraId="5C88F1AB" w14:textId="77777777" w:rsidR="006B2D37" w:rsidRPr="008D2CFA" w:rsidRDefault="006B2D37" w:rsidP="006B2D37">
      <w:pPr>
        <w:spacing w:line="240" w:lineRule="auto"/>
        <w:ind w:left="397"/>
        <w:rPr>
          <w:rFonts w:eastAsia="MS Mincho"/>
          <w:bCs/>
          <w:color w:val="000000"/>
          <w:szCs w:val="24"/>
          <w:lang w:eastAsia="ja-JP"/>
        </w:rPr>
      </w:pPr>
    </w:p>
    <w:p w14:paraId="15505D21" w14:textId="2561C69E" w:rsidR="002A07B7" w:rsidRDefault="00492A00" w:rsidP="006B2D37">
      <w:pPr>
        <w:spacing w:line="240" w:lineRule="auto"/>
        <w:ind w:left="397"/>
        <w:rPr>
          <w:rFonts w:eastAsia="MS Mincho"/>
          <w:szCs w:val="24"/>
          <w:lang w:val="en-PH" w:eastAsia="en-US"/>
        </w:rPr>
      </w:pPr>
      <w:r w:rsidRPr="00492A00">
        <w:rPr>
          <w:rFonts w:eastAsia="Calibri"/>
          <w:b/>
          <w:szCs w:val="24"/>
          <w:lang w:eastAsia="en-US"/>
        </w:rPr>
        <w:t>Pretest, and mean percentage scores of Grade 4 pupils before teaching English using visual and podcast technology materials instruction in both control and experimental groups</w:t>
      </w:r>
      <w:r w:rsidR="008D2CFA">
        <w:rPr>
          <w:rFonts w:eastAsia="Calibri"/>
          <w:b/>
          <w:szCs w:val="24"/>
          <w:lang w:eastAsia="en-US"/>
        </w:rPr>
        <w:t>.</w:t>
      </w:r>
    </w:p>
    <w:p w14:paraId="00985AB7" w14:textId="69ED9E7D" w:rsidR="0014522C" w:rsidRPr="0014522C" w:rsidRDefault="00492A00" w:rsidP="006B2D37">
      <w:pPr>
        <w:spacing w:line="240" w:lineRule="auto"/>
        <w:ind w:left="397"/>
        <w:rPr>
          <w:rFonts w:eastAsia="Calibri"/>
          <w:bCs/>
          <w:szCs w:val="24"/>
          <w:lang w:eastAsia="en-US"/>
        </w:rPr>
      </w:pPr>
      <w:r w:rsidRPr="0014522C">
        <w:rPr>
          <w:rFonts w:eastAsia="Calibri"/>
          <w:bCs/>
          <w:szCs w:val="24"/>
          <w:lang w:eastAsia="en-US"/>
        </w:rPr>
        <w:t xml:space="preserve">Table 1 shows the results of the pre-test given to all respondents of the two groups. In the pretest, the control group has a mean score of 16.1, which falls in the “Satisfactory” range. The standard deviation of 4.87 indicates the degree of variability or dispersion in the scores around the mean. Meanwhile, the experimental group pretest obtained a mean score of 16.6 interpreted as “Satisfactory” achievement. The result suggests that both groups have relatively close standard deviation values, indicating that the scores within each group are somewhat dispersed. However, the visual and podcast technology materials instruction group has a slightly lower standard deviation (4.22) compared to the self-learning material group (4.87), suggesting that there may be somewhat less variability in scores among participants in the visual and podcast technology materials instruction group. This implied, that based on the provided information, it seems that the visual and podcast technology materials instruction group performed slightly better on average, and the scores in this group were somewhat more consistent.  This finding is supported </w:t>
      </w:r>
      <w:r w:rsidRPr="0014522C">
        <w:rPr>
          <w:rFonts w:eastAsia="Calibri"/>
          <w:bCs/>
          <w:szCs w:val="24"/>
          <w:lang w:eastAsia="en-US"/>
        </w:rPr>
        <w:lastRenderedPageBreak/>
        <w:t>with the study of Febriani and Hafifah (2019), have positive attitude toward the development of visual and podcast technology materials for language learning. The integration of technology in instruction has been associated with improved student engagement and outcomes.  Likewise, Gaurino, &amp; Estrellado, 2023), that developed multimedia-based instructional module and visual and podcast technology materials tools can provide a uniform learning experience for all participants.</w:t>
      </w:r>
    </w:p>
    <w:p w14:paraId="189D5409" w14:textId="77777777" w:rsidR="009F2BD3" w:rsidRPr="00626CAA" w:rsidRDefault="009F2BD3" w:rsidP="006B2D37">
      <w:pPr>
        <w:spacing w:line="240" w:lineRule="auto"/>
        <w:ind w:left="397"/>
        <w:rPr>
          <w:rFonts w:ascii="Arial" w:eastAsia="Calibri" w:hAnsi="Arial"/>
          <w:bCs/>
          <w:sz w:val="20"/>
          <w:lang w:eastAsia="en-US"/>
        </w:rPr>
      </w:pPr>
    </w:p>
    <w:tbl>
      <w:tblPr>
        <w:tblStyle w:val="TableGridLight4"/>
        <w:tblW w:w="102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544"/>
        <w:gridCol w:w="946"/>
        <w:gridCol w:w="750"/>
        <w:gridCol w:w="2211"/>
        <w:gridCol w:w="2258"/>
      </w:tblGrid>
      <w:tr w:rsidR="00492A00" w:rsidRPr="00492A00" w14:paraId="0070C04E" w14:textId="77777777" w:rsidTr="00C77CFF">
        <w:trPr>
          <w:trHeight w:val="242"/>
        </w:trPr>
        <w:tc>
          <w:tcPr>
            <w:tcW w:w="0" w:type="auto"/>
            <w:hideMark/>
          </w:tcPr>
          <w:p w14:paraId="5D3B4548"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Groups</w:t>
            </w:r>
          </w:p>
        </w:tc>
        <w:tc>
          <w:tcPr>
            <w:tcW w:w="0" w:type="auto"/>
            <w:hideMark/>
          </w:tcPr>
          <w:p w14:paraId="45DDB66B"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Frequency</w:t>
            </w:r>
          </w:p>
        </w:tc>
        <w:tc>
          <w:tcPr>
            <w:tcW w:w="0" w:type="auto"/>
            <w:hideMark/>
          </w:tcPr>
          <w:p w14:paraId="65AC09D9"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Mean</w:t>
            </w:r>
          </w:p>
        </w:tc>
        <w:tc>
          <w:tcPr>
            <w:tcW w:w="0" w:type="auto"/>
            <w:hideMark/>
          </w:tcPr>
          <w:p w14:paraId="1402C804"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SD</w:t>
            </w:r>
          </w:p>
        </w:tc>
        <w:tc>
          <w:tcPr>
            <w:tcW w:w="0" w:type="auto"/>
            <w:hideMark/>
          </w:tcPr>
          <w:p w14:paraId="49BFF06F"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Minimum Score</w:t>
            </w:r>
          </w:p>
        </w:tc>
        <w:tc>
          <w:tcPr>
            <w:tcW w:w="0" w:type="auto"/>
            <w:hideMark/>
          </w:tcPr>
          <w:p w14:paraId="6377A7E4"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Maximum Score</w:t>
            </w:r>
          </w:p>
        </w:tc>
      </w:tr>
      <w:tr w:rsidR="00492A00" w:rsidRPr="00492A00" w14:paraId="400F6D5B" w14:textId="77777777" w:rsidTr="00C77CFF">
        <w:trPr>
          <w:trHeight w:val="234"/>
        </w:trPr>
        <w:tc>
          <w:tcPr>
            <w:tcW w:w="0" w:type="auto"/>
            <w:hideMark/>
          </w:tcPr>
          <w:p w14:paraId="008E2816" w14:textId="77777777" w:rsidR="00492A00" w:rsidRPr="00492A00" w:rsidRDefault="00492A00" w:rsidP="006B2D37">
            <w:pPr>
              <w:spacing w:line="240" w:lineRule="auto"/>
              <w:jc w:val="left"/>
              <w:rPr>
                <w:rFonts w:ascii="Times New Roman" w:eastAsia="Times New Roman" w:hAnsi="Times New Roman"/>
                <w:szCs w:val="24"/>
                <w:lang w:eastAsia="en-PH"/>
              </w:rPr>
            </w:pPr>
            <w:r w:rsidRPr="00492A00">
              <w:rPr>
                <w:rFonts w:ascii="Times New Roman" w:eastAsia="Times New Roman" w:hAnsi="Times New Roman"/>
                <w:szCs w:val="24"/>
                <w:lang w:eastAsia="en-PH"/>
              </w:rPr>
              <w:t>Control Group</w:t>
            </w:r>
          </w:p>
        </w:tc>
        <w:tc>
          <w:tcPr>
            <w:tcW w:w="0" w:type="auto"/>
            <w:hideMark/>
          </w:tcPr>
          <w:p w14:paraId="68A48CDD"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23</w:t>
            </w:r>
          </w:p>
        </w:tc>
        <w:tc>
          <w:tcPr>
            <w:tcW w:w="0" w:type="auto"/>
            <w:hideMark/>
          </w:tcPr>
          <w:p w14:paraId="0BBCDA75"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16.1</w:t>
            </w:r>
          </w:p>
        </w:tc>
        <w:tc>
          <w:tcPr>
            <w:tcW w:w="0" w:type="auto"/>
            <w:hideMark/>
          </w:tcPr>
          <w:p w14:paraId="67156F67"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4.87</w:t>
            </w:r>
          </w:p>
        </w:tc>
        <w:tc>
          <w:tcPr>
            <w:tcW w:w="0" w:type="auto"/>
            <w:hideMark/>
          </w:tcPr>
          <w:p w14:paraId="3C5FA566"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7</w:t>
            </w:r>
          </w:p>
        </w:tc>
        <w:tc>
          <w:tcPr>
            <w:tcW w:w="0" w:type="auto"/>
            <w:hideMark/>
          </w:tcPr>
          <w:p w14:paraId="3C5911DF"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23</w:t>
            </w:r>
          </w:p>
        </w:tc>
      </w:tr>
      <w:tr w:rsidR="00492A00" w:rsidRPr="00492A00" w14:paraId="0CF0ACCC" w14:textId="77777777" w:rsidTr="00C77CFF">
        <w:trPr>
          <w:trHeight w:val="477"/>
        </w:trPr>
        <w:tc>
          <w:tcPr>
            <w:tcW w:w="0" w:type="auto"/>
            <w:hideMark/>
          </w:tcPr>
          <w:p w14:paraId="2AE311A1" w14:textId="77777777" w:rsidR="00492A00" w:rsidRPr="00492A00" w:rsidRDefault="00492A00" w:rsidP="006B2D37">
            <w:pPr>
              <w:spacing w:line="240" w:lineRule="auto"/>
              <w:jc w:val="left"/>
              <w:rPr>
                <w:rFonts w:ascii="Times New Roman" w:eastAsia="Times New Roman" w:hAnsi="Times New Roman"/>
                <w:szCs w:val="24"/>
                <w:lang w:eastAsia="en-PH"/>
              </w:rPr>
            </w:pPr>
            <w:r w:rsidRPr="00492A00">
              <w:rPr>
                <w:rFonts w:ascii="Times New Roman" w:eastAsia="Times New Roman" w:hAnsi="Times New Roman"/>
                <w:szCs w:val="24"/>
                <w:lang w:eastAsia="en-PH"/>
              </w:rPr>
              <w:t>Experimental Group</w:t>
            </w:r>
          </w:p>
        </w:tc>
        <w:tc>
          <w:tcPr>
            <w:tcW w:w="0" w:type="auto"/>
            <w:hideMark/>
          </w:tcPr>
          <w:p w14:paraId="62F1BA73" w14:textId="77777777" w:rsidR="00C07A4A" w:rsidRDefault="00C07A4A" w:rsidP="006B2D37">
            <w:pPr>
              <w:spacing w:line="240" w:lineRule="auto"/>
              <w:jc w:val="center"/>
              <w:rPr>
                <w:rFonts w:ascii="Times New Roman" w:eastAsia="Times New Roman" w:hAnsi="Times New Roman"/>
                <w:szCs w:val="24"/>
                <w:lang w:eastAsia="en-PH"/>
              </w:rPr>
            </w:pPr>
          </w:p>
          <w:p w14:paraId="64281199" w14:textId="36A7EB11"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23</w:t>
            </w:r>
          </w:p>
        </w:tc>
        <w:tc>
          <w:tcPr>
            <w:tcW w:w="0" w:type="auto"/>
            <w:hideMark/>
          </w:tcPr>
          <w:p w14:paraId="594FDE6E" w14:textId="77777777" w:rsidR="00C07A4A" w:rsidRDefault="00C07A4A" w:rsidP="006B2D37">
            <w:pPr>
              <w:spacing w:line="240" w:lineRule="auto"/>
              <w:jc w:val="center"/>
              <w:rPr>
                <w:rFonts w:ascii="Times New Roman" w:eastAsia="Times New Roman" w:hAnsi="Times New Roman"/>
                <w:szCs w:val="24"/>
                <w:lang w:eastAsia="en-PH"/>
              </w:rPr>
            </w:pPr>
          </w:p>
          <w:p w14:paraId="7037F8B0" w14:textId="6E8AAE5B"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16.6</w:t>
            </w:r>
          </w:p>
        </w:tc>
        <w:tc>
          <w:tcPr>
            <w:tcW w:w="0" w:type="auto"/>
            <w:hideMark/>
          </w:tcPr>
          <w:p w14:paraId="09E423F0" w14:textId="77777777" w:rsidR="00C07A4A" w:rsidRDefault="00C07A4A" w:rsidP="006B2D37">
            <w:pPr>
              <w:spacing w:line="240" w:lineRule="auto"/>
              <w:jc w:val="center"/>
              <w:rPr>
                <w:rFonts w:ascii="Times New Roman" w:eastAsia="Times New Roman" w:hAnsi="Times New Roman"/>
                <w:szCs w:val="24"/>
                <w:lang w:eastAsia="en-PH"/>
              </w:rPr>
            </w:pPr>
          </w:p>
          <w:p w14:paraId="2E4C7D89" w14:textId="68150816"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4.22</w:t>
            </w:r>
          </w:p>
        </w:tc>
        <w:tc>
          <w:tcPr>
            <w:tcW w:w="0" w:type="auto"/>
            <w:hideMark/>
          </w:tcPr>
          <w:p w14:paraId="358C7A72" w14:textId="77777777" w:rsidR="00C07A4A" w:rsidRDefault="00C07A4A" w:rsidP="006B2D37">
            <w:pPr>
              <w:spacing w:line="240" w:lineRule="auto"/>
              <w:jc w:val="center"/>
              <w:rPr>
                <w:rFonts w:ascii="Times New Roman" w:eastAsia="Times New Roman" w:hAnsi="Times New Roman"/>
                <w:szCs w:val="24"/>
                <w:lang w:eastAsia="en-PH"/>
              </w:rPr>
            </w:pPr>
          </w:p>
          <w:p w14:paraId="4778C583" w14:textId="61EF5493"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8</w:t>
            </w:r>
          </w:p>
        </w:tc>
        <w:tc>
          <w:tcPr>
            <w:tcW w:w="0" w:type="auto"/>
            <w:hideMark/>
          </w:tcPr>
          <w:p w14:paraId="2EE7DF9D" w14:textId="77777777" w:rsidR="00C07A4A" w:rsidRDefault="00C07A4A" w:rsidP="006B2D37">
            <w:pPr>
              <w:spacing w:line="240" w:lineRule="auto"/>
              <w:jc w:val="center"/>
              <w:rPr>
                <w:rFonts w:ascii="Times New Roman" w:eastAsia="Times New Roman" w:hAnsi="Times New Roman"/>
                <w:szCs w:val="24"/>
                <w:lang w:eastAsia="en-PH"/>
              </w:rPr>
            </w:pPr>
          </w:p>
          <w:p w14:paraId="7F3E1D22" w14:textId="69424898"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24</w:t>
            </w:r>
          </w:p>
        </w:tc>
      </w:tr>
    </w:tbl>
    <w:p w14:paraId="255E7140" w14:textId="647D476B" w:rsidR="002A07B7" w:rsidRDefault="00A137A6" w:rsidP="006B2D37">
      <w:pPr>
        <w:spacing w:line="240" w:lineRule="auto"/>
        <w:ind w:firstLine="397"/>
        <w:rPr>
          <w:rFonts w:eastAsia="MS Mincho"/>
          <w:szCs w:val="24"/>
          <w:lang w:val="en-PH" w:eastAsia="en-US"/>
        </w:rPr>
      </w:pPr>
      <w:r w:rsidRPr="00A137A6">
        <w:rPr>
          <w:rFonts w:eastAsia="Calibri"/>
          <w:i/>
          <w:iCs/>
          <w:szCs w:val="24"/>
          <w:lang w:val="en-PH" w:eastAsia="en-US"/>
        </w:rPr>
        <w:t xml:space="preserve">Table 1. </w:t>
      </w:r>
      <w:r w:rsidR="00492A00" w:rsidRPr="00492A00">
        <w:rPr>
          <w:rFonts w:eastAsia="Calibri"/>
          <w:i/>
          <w:iCs/>
          <w:szCs w:val="24"/>
          <w:lang w:val="en-PH" w:eastAsia="en-US"/>
        </w:rPr>
        <w:t xml:space="preserve"> Pretest Scores of Both Control and Experimental Groups</w:t>
      </w:r>
    </w:p>
    <w:p w14:paraId="2046B3C0" w14:textId="268C7074" w:rsidR="00492A00" w:rsidRDefault="00492A00" w:rsidP="006B2D37">
      <w:pPr>
        <w:spacing w:line="240" w:lineRule="auto"/>
        <w:rPr>
          <w:rFonts w:eastAsia="Calibri"/>
          <w:color w:val="000000"/>
          <w:szCs w:val="24"/>
          <w:lang w:eastAsia="en-US"/>
        </w:rPr>
      </w:pPr>
      <w:bookmarkStart w:id="2" w:name="_Hlk167596163"/>
      <w:bookmarkStart w:id="3" w:name="_Hlk167596237"/>
    </w:p>
    <w:p w14:paraId="74C2CA55" w14:textId="412209E7" w:rsidR="00492A00" w:rsidRPr="0014522C" w:rsidRDefault="0014522C" w:rsidP="006B2D37">
      <w:pPr>
        <w:spacing w:line="240" w:lineRule="auto"/>
        <w:ind w:left="397"/>
        <w:rPr>
          <w:rFonts w:eastAsia="Calibri"/>
          <w:b/>
          <w:bCs/>
          <w:color w:val="000000"/>
          <w:szCs w:val="24"/>
          <w:lang w:eastAsia="en-US"/>
        </w:rPr>
      </w:pPr>
      <w:r w:rsidRPr="0014522C">
        <w:rPr>
          <w:rFonts w:eastAsia="Calibri"/>
          <w:b/>
          <w:bCs/>
          <w:color w:val="000000"/>
          <w:szCs w:val="24"/>
          <w:lang w:eastAsia="en-US"/>
        </w:rPr>
        <w:t>Posttest, and mean percentages of Grade 4 after teaching English using visual and podcast technology materials instruction in both controlled and experimental groups.</w:t>
      </w:r>
    </w:p>
    <w:p w14:paraId="768AEEDE" w14:textId="071EDBD3" w:rsidR="00626CAA" w:rsidRDefault="0014522C" w:rsidP="006B2D37">
      <w:pPr>
        <w:spacing w:line="240" w:lineRule="auto"/>
        <w:ind w:left="397"/>
        <w:rPr>
          <w:rFonts w:eastAsia="MS Mincho"/>
          <w:szCs w:val="24"/>
          <w:lang w:val="en-PH" w:eastAsia="en-US"/>
        </w:rPr>
      </w:pPr>
      <w:r w:rsidRPr="0014522C">
        <w:rPr>
          <w:rFonts w:eastAsia="MS Mincho"/>
          <w:szCs w:val="24"/>
          <w:lang w:val="en-PH" w:eastAsia="en-US"/>
        </w:rPr>
        <w:t>Table 2 shows the results of the post-test given to all respondents of the two groups. The visual and podcast technology materials instruction group, with a higher mean score (M=26.8), suggests that, on average, this group performed slightly better than the self-learning material group (M=25.7), which is interpreted as “Outstanding” achievement. Likewise, the standard deviation values indicate the spread or variability of scores within each group. The lower SD in the self-learning material group (SD=3.0) implies that the scores in this group are more tightly clustered around the mean compared to the visual and podcast technology materials instruction group (SD=3.42). Meanwhile, the individual differences in learning preferences and styles may play a role in the observed outcomes. It implies, that some learners may benefit more from self-directed learning with materials, while others may thrive in a more structured visual and podcast technology materials instruction setting. This finding is consistent with the research conducted by Ali and Miraz (2018), which suggests that incorporating technology into the classroom fosters active student engagement, addresses individual needs and interests, enhances participation in language learning, and facilitates collaborative learning opportunities.  In support, Sun, and Bradley, (2021) highlight the importance of considering the effectiveness of different instructional methods in specific educational contexts. Hence, the successful integration of visual and podcast technology materials is a fundamental requirement, and educators need to approach it with careful consideration to guide learners in acquiring the mentioned skills, as outlined by Musico (2018).</w:t>
      </w:r>
    </w:p>
    <w:p w14:paraId="45E3ED0B" w14:textId="54098C19" w:rsidR="0014522C" w:rsidRDefault="0014522C" w:rsidP="006B2D37">
      <w:pPr>
        <w:spacing w:line="240" w:lineRule="auto"/>
        <w:ind w:left="397"/>
        <w:rPr>
          <w:rFonts w:eastAsia="MS Mincho"/>
          <w:szCs w:val="24"/>
          <w:lang w:val="en-PH" w:eastAsia="en-US"/>
        </w:rPr>
      </w:pPr>
    </w:p>
    <w:tbl>
      <w:tblPr>
        <w:tblStyle w:val="TableGridLight5"/>
        <w:tblW w:w="102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544"/>
        <w:gridCol w:w="946"/>
        <w:gridCol w:w="750"/>
        <w:gridCol w:w="2211"/>
        <w:gridCol w:w="2258"/>
      </w:tblGrid>
      <w:tr w:rsidR="00A03149" w:rsidRPr="00C07A4A" w14:paraId="3E0FEAE2" w14:textId="77777777" w:rsidTr="00C77CFF">
        <w:trPr>
          <w:trHeight w:val="230"/>
        </w:trPr>
        <w:tc>
          <w:tcPr>
            <w:tcW w:w="0" w:type="auto"/>
            <w:hideMark/>
          </w:tcPr>
          <w:p w14:paraId="39EB5006"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Groups</w:t>
            </w:r>
          </w:p>
        </w:tc>
        <w:tc>
          <w:tcPr>
            <w:tcW w:w="0" w:type="auto"/>
            <w:hideMark/>
          </w:tcPr>
          <w:p w14:paraId="1369B6FF"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Frequency</w:t>
            </w:r>
          </w:p>
        </w:tc>
        <w:tc>
          <w:tcPr>
            <w:tcW w:w="0" w:type="auto"/>
            <w:hideMark/>
          </w:tcPr>
          <w:p w14:paraId="599E0CAF"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Mean</w:t>
            </w:r>
          </w:p>
        </w:tc>
        <w:tc>
          <w:tcPr>
            <w:tcW w:w="0" w:type="auto"/>
            <w:hideMark/>
          </w:tcPr>
          <w:p w14:paraId="1F596A52"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SD</w:t>
            </w:r>
          </w:p>
        </w:tc>
        <w:tc>
          <w:tcPr>
            <w:tcW w:w="0" w:type="auto"/>
            <w:hideMark/>
          </w:tcPr>
          <w:p w14:paraId="44508FF9"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Minimum Score</w:t>
            </w:r>
          </w:p>
        </w:tc>
        <w:tc>
          <w:tcPr>
            <w:tcW w:w="0" w:type="auto"/>
            <w:hideMark/>
          </w:tcPr>
          <w:p w14:paraId="61B02889"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Maximum Score</w:t>
            </w:r>
          </w:p>
        </w:tc>
      </w:tr>
      <w:tr w:rsidR="00A03149" w:rsidRPr="00C07A4A" w14:paraId="23AC471A" w14:textId="77777777" w:rsidTr="00C77CFF">
        <w:trPr>
          <w:trHeight w:val="222"/>
        </w:trPr>
        <w:tc>
          <w:tcPr>
            <w:tcW w:w="0" w:type="auto"/>
            <w:hideMark/>
          </w:tcPr>
          <w:p w14:paraId="03B2B526" w14:textId="77777777" w:rsidR="00A03149" w:rsidRPr="00C07A4A" w:rsidRDefault="00A03149" w:rsidP="006B2D37">
            <w:pPr>
              <w:spacing w:line="240" w:lineRule="auto"/>
              <w:jc w:val="left"/>
              <w:rPr>
                <w:rFonts w:ascii="Times New Roman" w:eastAsia="Times New Roman" w:hAnsi="Times New Roman"/>
                <w:szCs w:val="24"/>
                <w:lang w:eastAsia="en-PH"/>
              </w:rPr>
            </w:pPr>
            <w:r w:rsidRPr="00C07A4A">
              <w:rPr>
                <w:rFonts w:ascii="Times New Roman" w:eastAsia="Times New Roman" w:hAnsi="Times New Roman"/>
                <w:szCs w:val="24"/>
                <w:lang w:eastAsia="en-PH"/>
              </w:rPr>
              <w:t>Control Group</w:t>
            </w:r>
          </w:p>
        </w:tc>
        <w:tc>
          <w:tcPr>
            <w:tcW w:w="0" w:type="auto"/>
            <w:hideMark/>
          </w:tcPr>
          <w:p w14:paraId="79DC2C7F"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23</w:t>
            </w:r>
          </w:p>
        </w:tc>
        <w:tc>
          <w:tcPr>
            <w:tcW w:w="0" w:type="auto"/>
            <w:hideMark/>
          </w:tcPr>
          <w:p w14:paraId="0EA3FF19"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25.7</w:t>
            </w:r>
          </w:p>
        </w:tc>
        <w:tc>
          <w:tcPr>
            <w:tcW w:w="0" w:type="auto"/>
            <w:hideMark/>
          </w:tcPr>
          <w:p w14:paraId="447E1868"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3.0</w:t>
            </w:r>
          </w:p>
        </w:tc>
        <w:tc>
          <w:tcPr>
            <w:tcW w:w="0" w:type="auto"/>
            <w:hideMark/>
          </w:tcPr>
          <w:p w14:paraId="347B1BB5"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18</w:t>
            </w:r>
          </w:p>
        </w:tc>
        <w:tc>
          <w:tcPr>
            <w:tcW w:w="0" w:type="auto"/>
            <w:hideMark/>
          </w:tcPr>
          <w:p w14:paraId="71E2C4FE"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30</w:t>
            </w:r>
          </w:p>
        </w:tc>
      </w:tr>
      <w:tr w:rsidR="00A03149" w:rsidRPr="00C07A4A" w14:paraId="70819607" w14:textId="77777777" w:rsidTr="00C77CFF">
        <w:trPr>
          <w:trHeight w:val="452"/>
        </w:trPr>
        <w:tc>
          <w:tcPr>
            <w:tcW w:w="0" w:type="auto"/>
            <w:hideMark/>
          </w:tcPr>
          <w:p w14:paraId="2330699E" w14:textId="77777777" w:rsidR="00A03149" w:rsidRPr="00C07A4A" w:rsidRDefault="00A03149" w:rsidP="006B2D37">
            <w:pPr>
              <w:spacing w:line="240" w:lineRule="auto"/>
              <w:jc w:val="left"/>
              <w:rPr>
                <w:rFonts w:ascii="Times New Roman" w:eastAsia="Times New Roman" w:hAnsi="Times New Roman"/>
                <w:szCs w:val="24"/>
                <w:lang w:eastAsia="en-PH"/>
              </w:rPr>
            </w:pPr>
            <w:r w:rsidRPr="00C07A4A">
              <w:rPr>
                <w:rFonts w:ascii="Times New Roman" w:eastAsia="Times New Roman" w:hAnsi="Times New Roman"/>
                <w:szCs w:val="24"/>
                <w:lang w:eastAsia="en-PH"/>
              </w:rPr>
              <w:t>Experimental Group</w:t>
            </w:r>
          </w:p>
        </w:tc>
        <w:tc>
          <w:tcPr>
            <w:tcW w:w="0" w:type="auto"/>
            <w:hideMark/>
          </w:tcPr>
          <w:p w14:paraId="725940AD" w14:textId="77777777" w:rsidR="00474257" w:rsidRDefault="00474257" w:rsidP="006B2D37">
            <w:pPr>
              <w:spacing w:line="240" w:lineRule="auto"/>
              <w:jc w:val="center"/>
              <w:rPr>
                <w:rFonts w:ascii="Times New Roman" w:eastAsia="Times New Roman" w:hAnsi="Times New Roman"/>
                <w:szCs w:val="24"/>
                <w:lang w:eastAsia="en-PH"/>
              </w:rPr>
            </w:pPr>
          </w:p>
          <w:p w14:paraId="13509C95" w14:textId="53E42481"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23</w:t>
            </w:r>
          </w:p>
        </w:tc>
        <w:tc>
          <w:tcPr>
            <w:tcW w:w="0" w:type="auto"/>
            <w:hideMark/>
          </w:tcPr>
          <w:p w14:paraId="2B07A53B" w14:textId="77777777" w:rsidR="00474257" w:rsidRDefault="00474257" w:rsidP="006B2D37">
            <w:pPr>
              <w:spacing w:line="240" w:lineRule="auto"/>
              <w:jc w:val="center"/>
              <w:rPr>
                <w:rFonts w:ascii="Times New Roman" w:eastAsia="Times New Roman" w:hAnsi="Times New Roman"/>
                <w:szCs w:val="24"/>
                <w:lang w:eastAsia="en-PH"/>
              </w:rPr>
            </w:pPr>
          </w:p>
          <w:p w14:paraId="1693ACDD" w14:textId="6513288D"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26.8</w:t>
            </w:r>
          </w:p>
        </w:tc>
        <w:tc>
          <w:tcPr>
            <w:tcW w:w="0" w:type="auto"/>
            <w:hideMark/>
          </w:tcPr>
          <w:p w14:paraId="30D9E294" w14:textId="77777777" w:rsidR="00474257" w:rsidRDefault="00474257" w:rsidP="006B2D37">
            <w:pPr>
              <w:spacing w:line="240" w:lineRule="auto"/>
              <w:jc w:val="center"/>
              <w:rPr>
                <w:rFonts w:ascii="Times New Roman" w:eastAsia="Times New Roman" w:hAnsi="Times New Roman"/>
                <w:szCs w:val="24"/>
                <w:lang w:eastAsia="en-PH"/>
              </w:rPr>
            </w:pPr>
          </w:p>
          <w:p w14:paraId="3A5B5E9F" w14:textId="5F5A9383"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3.42</w:t>
            </w:r>
          </w:p>
        </w:tc>
        <w:tc>
          <w:tcPr>
            <w:tcW w:w="0" w:type="auto"/>
            <w:hideMark/>
          </w:tcPr>
          <w:p w14:paraId="7FB15F05" w14:textId="77777777" w:rsidR="00474257" w:rsidRDefault="00474257" w:rsidP="006B2D37">
            <w:pPr>
              <w:spacing w:line="240" w:lineRule="auto"/>
              <w:jc w:val="center"/>
              <w:rPr>
                <w:rFonts w:ascii="Times New Roman" w:eastAsia="Times New Roman" w:hAnsi="Times New Roman"/>
                <w:szCs w:val="24"/>
                <w:lang w:eastAsia="en-PH"/>
              </w:rPr>
            </w:pPr>
          </w:p>
          <w:p w14:paraId="5E49C669" w14:textId="31D62760"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19</w:t>
            </w:r>
          </w:p>
        </w:tc>
        <w:tc>
          <w:tcPr>
            <w:tcW w:w="0" w:type="auto"/>
            <w:hideMark/>
          </w:tcPr>
          <w:p w14:paraId="0E521B65" w14:textId="77777777" w:rsidR="00474257" w:rsidRDefault="00474257" w:rsidP="006B2D37">
            <w:pPr>
              <w:spacing w:line="240" w:lineRule="auto"/>
              <w:jc w:val="center"/>
              <w:rPr>
                <w:rFonts w:ascii="Times New Roman" w:eastAsia="Times New Roman" w:hAnsi="Times New Roman"/>
                <w:szCs w:val="24"/>
                <w:lang w:eastAsia="en-PH"/>
              </w:rPr>
            </w:pPr>
          </w:p>
          <w:p w14:paraId="4F4DA361" w14:textId="5297382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30</w:t>
            </w:r>
          </w:p>
        </w:tc>
      </w:tr>
    </w:tbl>
    <w:p w14:paraId="0D507167" w14:textId="77777777" w:rsidR="0014522C" w:rsidRPr="00C07A4A" w:rsidRDefault="0014522C" w:rsidP="006B2D37">
      <w:pPr>
        <w:spacing w:line="240" w:lineRule="auto"/>
        <w:ind w:left="397"/>
        <w:rPr>
          <w:rFonts w:eastAsia="MS Mincho"/>
          <w:szCs w:val="24"/>
          <w:lang w:val="en-PH" w:eastAsia="en-US"/>
        </w:rPr>
      </w:pPr>
    </w:p>
    <w:p w14:paraId="0152B791" w14:textId="323FC26D" w:rsidR="00626CAA" w:rsidRPr="00626CAA" w:rsidRDefault="00A137A6" w:rsidP="006B2D37">
      <w:pPr>
        <w:spacing w:line="240" w:lineRule="auto"/>
        <w:ind w:left="397"/>
        <w:rPr>
          <w:rFonts w:eastAsia="MS Mincho"/>
          <w:szCs w:val="24"/>
          <w:lang w:val="en-PH" w:eastAsia="en-US"/>
        </w:rPr>
      </w:pPr>
      <w:r w:rsidRPr="00A137A6">
        <w:rPr>
          <w:rFonts w:eastAsia="Calibri"/>
          <w:i/>
          <w:iCs/>
          <w:szCs w:val="24"/>
          <w:lang w:val="en-PH" w:eastAsia="en-US"/>
        </w:rPr>
        <w:t xml:space="preserve">Table 2. </w:t>
      </w:r>
      <w:bookmarkEnd w:id="2"/>
      <w:bookmarkEnd w:id="3"/>
      <w:r w:rsidR="00A03149" w:rsidRPr="00A03149">
        <w:rPr>
          <w:rFonts w:eastAsia="Calibri"/>
          <w:i/>
          <w:iCs/>
          <w:szCs w:val="24"/>
          <w:lang w:val="en-PH" w:eastAsia="en-US"/>
        </w:rPr>
        <w:t>Posttest Scores of Both Control and Experimental Groups</w:t>
      </w:r>
    </w:p>
    <w:p w14:paraId="6C67E2ED" w14:textId="77777777" w:rsidR="00A03149" w:rsidRDefault="00A03149" w:rsidP="006B2D37">
      <w:pPr>
        <w:spacing w:line="240" w:lineRule="auto"/>
        <w:ind w:left="397"/>
        <w:rPr>
          <w:rFonts w:eastAsia="Calibri"/>
          <w:b/>
          <w:bCs/>
          <w:color w:val="000000"/>
          <w:szCs w:val="24"/>
          <w:lang w:val="en-PH" w:eastAsia="en-US"/>
        </w:rPr>
      </w:pPr>
    </w:p>
    <w:p w14:paraId="1C2C396E" w14:textId="4437A27F" w:rsidR="009F2BD3" w:rsidRPr="00A03149" w:rsidRDefault="00A03149" w:rsidP="006B2D37">
      <w:pPr>
        <w:spacing w:line="240" w:lineRule="auto"/>
        <w:ind w:left="397"/>
        <w:rPr>
          <w:rFonts w:eastAsia="Calibri"/>
          <w:b/>
          <w:bCs/>
          <w:color w:val="000000"/>
          <w:szCs w:val="24"/>
          <w:lang w:val="en-PH" w:eastAsia="en-US"/>
        </w:rPr>
      </w:pPr>
      <w:r w:rsidRPr="00A03149">
        <w:rPr>
          <w:rFonts w:eastAsia="Calibri"/>
          <w:b/>
          <w:bCs/>
          <w:color w:val="000000"/>
          <w:szCs w:val="24"/>
          <w:lang w:val="en-PH" w:eastAsia="en-US"/>
        </w:rPr>
        <w:t>Difference between the pretest and posttest mean percentage scores of Grades 4 learners in English between the control and experimental groups</w:t>
      </w:r>
      <w:r w:rsidR="008D2CFA">
        <w:rPr>
          <w:rFonts w:eastAsia="Calibri"/>
          <w:b/>
          <w:bCs/>
          <w:color w:val="000000"/>
          <w:szCs w:val="24"/>
          <w:lang w:val="en-PH" w:eastAsia="en-US"/>
        </w:rPr>
        <w:t>.</w:t>
      </w:r>
    </w:p>
    <w:p w14:paraId="3E0B7703" w14:textId="022ED695" w:rsidR="00626CAA" w:rsidRDefault="00A03149" w:rsidP="006B2D37">
      <w:pPr>
        <w:spacing w:line="240" w:lineRule="auto"/>
        <w:ind w:left="397"/>
        <w:rPr>
          <w:rFonts w:eastAsia="MS Mincho"/>
          <w:szCs w:val="24"/>
          <w:lang w:val="en-PH" w:eastAsia="en-US"/>
        </w:rPr>
      </w:pPr>
      <w:r w:rsidRPr="00A03149">
        <w:rPr>
          <w:rFonts w:eastAsia="MS Mincho"/>
          <w:szCs w:val="24"/>
          <w:lang w:val="en-PH" w:eastAsia="en-US"/>
        </w:rPr>
        <w:t>As indicated in Table 3, the academic performance of learners in the experimental and control groups demonstrates a similar trend. The pre-test scores for both groups, with performance level as a covariate, yielded a p-value of 0.001, which is below the th</w:t>
      </w:r>
      <w:r w:rsidRPr="00A03149">
        <w:rPr>
          <w:rFonts w:eastAsia="MS Mincho" w:hint="eastAsia"/>
          <w:szCs w:val="24"/>
          <w:lang w:val="en-PH" w:eastAsia="en-US"/>
        </w:rPr>
        <w:t xml:space="preserve">reshold of </w:t>
      </w:r>
      <w:r w:rsidRPr="00A03149">
        <w:rPr>
          <w:rFonts w:eastAsia="MS Mincho" w:hint="eastAsia"/>
          <w:szCs w:val="24"/>
          <w:lang w:val="en-PH" w:eastAsia="en-US"/>
        </w:rPr>
        <w:t>≤</w:t>
      </w:r>
      <w:r w:rsidRPr="00A03149">
        <w:rPr>
          <w:rFonts w:eastAsia="MS Mincho" w:hint="eastAsia"/>
          <w:szCs w:val="24"/>
          <w:lang w:val="en-PH" w:eastAsia="en-US"/>
        </w:rPr>
        <w:t>0.05. Similarly, the post-test scores, considering values education performance level as a covariate, also yielded a p-value of 0.001, indicating statistical significance. This suggests that visual and podcast technology materials instruction s</w:t>
      </w:r>
      <w:r w:rsidRPr="00A03149">
        <w:rPr>
          <w:rFonts w:eastAsia="MS Mincho"/>
          <w:szCs w:val="24"/>
          <w:lang w:val="en-PH" w:eastAsia="en-US"/>
        </w:rPr>
        <w:t xml:space="preserve">ignificantly influence the posttest mean scores for both the experimental and control groups. Moreover, Table 3 illustrates that the two lines depicting the visual and podcast technology materials instruction performance level of the experimental and control groups run parallel, signifying that both groups exhibit a comparable moderate level of academic performance. Similarly, for post-test scores, it suggests that the effect of visual and podcast technology materials instruction remains significant even when accounting for differences in self-learning material performance level. This leads to the rejects of the null hypothesis that there is a difference between the pretest and posttest score of the control and experimental group. The findings align with Hafifah (2020), who reported a positive impact of visual and podcast technology materials on student </w:t>
      </w:r>
      <w:r w:rsidRPr="00A03149">
        <w:rPr>
          <w:rFonts w:eastAsia="MS Mincho"/>
          <w:szCs w:val="24"/>
          <w:lang w:val="en-PH" w:eastAsia="en-US"/>
        </w:rPr>
        <w:lastRenderedPageBreak/>
        <w:t>achievement scores in language instruction. Likewise, Kieu et al. (2021) demonstrated that the use of visual and podcast technology materials in teaching and learning elevated students' achievement in English lessons. Additionally, Tomaro (2018) concluded that visual and podcast technology materials had a beneficial influence on students' achievement scores. Similarly, Usman et al. (2020) observed superior performance among students taught through visual and podcast technology materials compared to those instructed using conventional methods.</w:t>
      </w:r>
    </w:p>
    <w:p w14:paraId="59EABFE9" w14:textId="77777777" w:rsidR="008D2CFA" w:rsidRDefault="008D2CFA" w:rsidP="006B2D37">
      <w:pPr>
        <w:spacing w:line="240" w:lineRule="auto"/>
        <w:ind w:left="397"/>
        <w:rPr>
          <w:rFonts w:eastAsia="MS Mincho"/>
          <w:szCs w:val="24"/>
          <w:lang w:val="en-PH" w:eastAsia="en-US"/>
        </w:rPr>
      </w:pPr>
    </w:p>
    <w:tbl>
      <w:tblPr>
        <w:tblStyle w:val="TableGridLight6"/>
        <w:tblW w:w="1027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863"/>
        <w:gridCol w:w="1953"/>
        <w:gridCol w:w="1034"/>
        <w:gridCol w:w="1095"/>
        <w:gridCol w:w="1886"/>
      </w:tblGrid>
      <w:tr w:rsidR="00B04DB4" w:rsidRPr="00B04DB4" w14:paraId="0B35CF68" w14:textId="77777777" w:rsidTr="00C77CFF">
        <w:trPr>
          <w:trHeight w:val="253"/>
        </w:trPr>
        <w:tc>
          <w:tcPr>
            <w:tcW w:w="0" w:type="auto"/>
            <w:hideMark/>
          </w:tcPr>
          <w:p w14:paraId="26CCD495"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Group</w:t>
            </w:r>
          </w:p>
        </w:tc>
        <w:tc>
          <w:tcPr>
            <w:tcW w:w="0" w:type="auto"/>
            <w:hideMark/>
          </w:tcPr>
          <w:p w14:paraId="1B0422E9"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Pre-test Mean</w:t>
            </w:r>
          </w:p>
        </w:tc>
        <w:tc>
          <w:tcPr>
            <w:tcW w:w="0" w:type="auto"/>
            <w:hideMark/>
          </w:tcPr>
          <w:p w14:paraId="08BC02C4"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Post-test Mean</w:t>
            </w:r>
          </w:p>
        </w:tc>
        <w:tc>
          <w:tcPr>
            <w:tcW w:w="0" w:type="auto"/>
            <w:hideMark/>
          </w:tcPr>
          <w:p w14:paraId="2FC2BC92"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t-value</w:t>
            </w:r>
          </w:p>
        </w:tc>
        <w:tc>
          <w:tcPr>
            <w:tcW w:w="0" w:type="auto"/>
            <w:hideMark/>
          </w:tcPr>
          <w:p w14:paraId="5CC8FCB0"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p-value</w:t>
            </w:r>
          </w:p>
        </w:tc>
        <w:tc>
          <w:tcPr>
            <w:tcW w:w="0" w:type="auto"/>
            <w:hideMark/>
          </w:tcPr>
          <w:p w14:paraId="2592C900"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Interpretation</w:t>
            </w:r>
          </w:p>
        </w:tc>
      </w:tr>
      <w:tr w:rsidR="00C07A4A" w:rsidRPr="00B04DB4" w14:paraId="5902A7E2" w14:textId="77777777" w:rsidTr="00C77CFF">
        <w:trPr>
          <w:trHeight w:val="244"/>
        </w:trPr>
        <w:tc>
          <w:tcPr>
            <w:tcW w:w="0" w:type="auto"/>
            <w:hideMark/>
          </w:tcPr>
          <w:p w14:paraId="2A628A6C" w14:textId="54CE88A7" w:rsidR="00B04DB4" w:rsidRPr="00B04DB4" w:rsidRDefault="00B04DB4" w:rsidP="006B2D37">
            <w:pPr>
              <w:spacing w:line="240" w:lineRule="auto"/>
              <w:jc w:val="left"/>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C</w:t>
            </w:r>
            <w:r w:rsidR="00474257">
              <w:rPr>
                <w:rFonts w:ascii="Times New Roman" w:eastAsia="Times New Roman" w:hAnsi="Times New Roman"/>
                <w:color w:val="1F1F1F"/>
                <w:szCs w:val="24"/>
                <w:bdr w:val="none" w:sz="0" w:space="0" w:color="auto" w:frame="1"/>
                <w:lang w:eastAsia="en-PH"/>
              </w:rPr>
              <w:t>ontrol Group</w:t>
            </w:r>
          </w:p>
        </w:tc>
        <w:tc>
          <w:tcPr>
            <w:tcW w:w="0" w:type="auto"/>
            <w:hideMark/>
          </w:tcPr>
          <w:p w14:paraId="21650935"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16.1</w:t>
            </w:r>
          </w:p>
        </w:tc>
        <w:tc>
          <w:tcPr>
            <w:tcW w:w="0" w:type="auto"/>
            <w:hideMark/>
          </w:tcPr>
          <w:p w14:paraId="3C1F0408"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25.7</w:t>
            </w:r>
          </w:p>
        </w:tc>
        <w:tc>
          <w:tcPr>
            <w:tcW w:w="0" w:type="auto"/>
            <w:hideMark/>
          </w:tcPr>
          <w:p w14:paraId="0CEA6F37"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-11.3</w:t>
            </w:r>
          </w:p>
        </w:tc>
        <w:tc>
          <w:tcPr>
            <w:tcW w:w="0" w:type="auto"/>
            <w:hideMark/>
          </w:tcPr>
          <w:p w14:paraId="18B94F53"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.001</w:t>
            </w:r>
          </w:p>
        </w:tc>
        <w:tc>
          <w:tcPr>
            <w:tcW w:w="0" w:type="auto"/>
            <w:hideMark/>
          </w:tcPr>
          <w:p w14:paraId="1824DB6D"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Significant</w:t>
            </w:r>
          </w:p>
        </w:tc>
      </w:tr>
      <w:tr w:rsidR="00C07A4A" w:rsidRPr="00B04DB4" w14:paraId="66800ABD" w14:textId="77777777" w:rsidTr="00C77CFF">
        <w:trPr>
          <w:trHeight w:val="253"/>
        </w:trPr>
        <w:tc>
          <w:tcPr>
            <w:tcW w:w="0" w:type="auto"/>
            <w:hideMark/>
          </w:tcPr>
          <w:p w14:paraId="55EF6749" w14:textId="36B857D7" w:rsidR="00B04DB4" w:rsidRPr="00B04DB4" w:rsidRDefault="00474257" w:rsidP="006B2D37">
            <w:pPr>
              <w:spacing w:line="240" w:lineRule="auto"/>
              <w:jc w:val="left"/>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E</w:t>
            </w:r>
            <w:r>
              <w:rPr>
                <w:rFonts w:ascii="Times New Roman" w:eastAsia="Times New Roman" w:hAnsi="Times New Roman"/>
                <w:color w:val="1F1F1F"/>
                <w:szCs w:val="24"/>
                <w:bdr w:val="none" w:sz="0" w:space="0" w:color="auto" w:frame="1"/>
                <w:lang w:eastAsia="en-PH"/>
              </w:rPr>
              <w:t>xperimental Group</w:t>
            </w:r>
          </w:p>
        </w:tc>
        <w:tc>
          <w:tcPr>
            <w:tcW w:w="0" w:type="auto"/>
            <w:hideMark/>
          </w:tcPr>
          <w:p w14:paraId="5C5A41B8" w14:textId="169F99FD"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16.6</w:t>
            </w:r>
          </w:p>
        </w:tc>
        <w:tc>
          <w:tcPr>
            <w:tcW w:w="0" w:type="auto"/>
            <w:hideMark/>
          </w:tcPr>
          <w:p w14:paraId="0D9826C2" w14:textId="41DF45CC"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26.8</w:t>
            </w:r>
          </w:p>
        </w:tc>
        <w:tc>
          <w:tcPr>
            <w:tcW w:w="0" w:type="auto"/>
            <w:hideMark/>
          </w:tcPr>
          <w:p w14:paraId="21139E12" w14:textId="72A1C445"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-12.3</w:t>
            </w:r>
          </w:p>
        </w:tc>
        <w:tc>
          <w:tcPr>
            <w:tcW w:w="0" w:type="auto"/>
            <w:hideMark/>
          </w:tcPr>
          <w:p w14:paraId="08A3D7DB" w14:textId="1166E818"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.001</w:t>
            </w:r>
          </w:p>
        </w:tc>
        <w:tc>
          <w:tcPr>
            <w:tcW w:w="0" w:type="auto"/>
            <w:hideMark/>
          </w:tcPr>
          <w:p w14:paraId="109CB2B2" w14:textId="16EEAD3E"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Significant</w:t>
            </w:r>
          </w:p>
        </w:tc>
      </w:tr>
    </w:tbl>
    <w:p w14:paraId="37ACAC0D" w14:textId="78364E41" w:rsidR="00A03149" w:rsidRPr="00B66262" w:rsidRDefault="00B66262" w:rsidP="006B2D37">
      <w:pPr>
        <w:spacing w:line="240" w:lineRule="auto"/>
        <w:ind w:left="397"/>
        <w:rPr>
          <w:rFonts w:eastAsia="MS Mincho"/>
          <w:szCs w:val="24"/>
          <w:lang w:val="en-PH" w:eastAsia="en-US"/>
        </w:rPr>
      </w:pPr>
      <w:r w:rsidRPr="00B66262">
        <w:rPr>
          <w:rFonts w:eastAsia="Calibri"/>
          <w:i/>
          <w:iCs/>
          <w:szCs w:val="24"/>
          <w:lang w:val="en-PH" w:eastAsia="en-US"/>
        </w:rPr>
        <w:sym w:font="Symbol" w:char="F061"/>
      </w:r>
      <w:r w:rsidRPr="00B66262">
        <w:rPr>
          <w:rFonts w:eastAsia="Calibri"/>
          <w:i/>
          <w:iCs/>
          <w:szCs w:val="24"/>
          <w:lang w:val="en-PH" w:eastAsia="en-US"/>
        </w:rPr>
        <w:t>=.05</w:t>
      </w:r>
    </w:p>
    <w:p w14:paraId="25741611" w14:textId="0EA99A24" w:rsidR="00626CAA" w:rsidRDefault="00A137A6" w:rsidP="006B2D37">
      <w:pPr>
        <w:spacing w:line="240" w:lineRule="auto"/>
        <w:ind w:left="397"/>
        <w:rPr>
          <w:rFonts w:eastAsia="Calibri"/>
          <w:bCs/>
          <w:i/>
          <w:iCs/>
          <w:color w:val="000000"/>
          <w:szCs w:val="24"/>
          <w:lang w:eastAsia="en-US"/>
        </w:rPr>
      </w:pPr>
      <w:r w:rsidRPr="00A137A6">
        <w:rPr>
          <w:rFonts w:eastAsia="Calibri"/>
          <w:bCs/>
          <w:i/>
          <w:iCs/>
          <w:color w:val="000000"/>
          <w:szCs w:val="24"/>
          <w:lang w:val="en-PH" w:eastAsia="en-US"/>
        </w:rPr>
        <w:t xml:space="preserve">Table 3. </w:t>
      </w:r>
      <w:r w:rsidR="00B66262" w:rsidRPr="00B66262">
        <w:rPr>
          <w:rFonts w:eastAsia="Calibri"/>
          <w:bCs/>
          <w:i/>
          <w:iCs/>
          <w:color w:val="000000"/>
          <w:szCs w:val="24"/>
          <w:lang w:eastAsia="en-US"/>
        </w:rPr>
        <w:t>Difference between the pre-test and post-test mean scores of both groups of Grade 4 learners?</w:t>
      </w:r>
    </w:p>
    <w:p w14:paraId="1B8B0683" w14:textId="77777777" w:rsidR="00B66262" w:rsidRPr="00626CAA" w:rsidRDefault="00B66262" w:rsidP="006B2D37">
      <w:pPr>
        <w:spacing w:line="240" w:lineRule="auto"/>
        <w:ind w:left="397"/>
        <w:rPr>
          <w:rFonts w:eastAsia="MS Mincho"/>
          <w:szCs w:val="24"/>
          <w:lang w:val="en-PH" w:eastAsia="en-US"/>
        </w:rPr>
      </w:pPr>
    </w:p>
    <w:p w14:paraId="799242A6" w14:textId="22F24B18" w:rsidR="00B66262" w:rsidRDefault="00B66262" w:rsidP="006B2D37">
      <w:pPr>
        <w:spacing w:line="240" w:lineRule="auto"/>
        <w:ind w:left="397"/>
        <w:rPr>
          <w:rFonts w:eastAsia="MS Mincho"/>
          <w:b/>
          <w:bCs/>
          <w:szCs w:val="24"/>
          <w:lang w:val="en-PH" w:eastAsia="en-US"/>
        </w:rPr>
      </w:pPr>
      <w:r w:rsidRPr="00B66262">
        <w:rPr>
          <w:rFonts w:eastAsia="MS Mincho"/>
          <w:b/>
          <w:bCs/>
          <w:szCs w:val="24"/>
          <w:lang w:val="en-PH" w:eastAsia="en-US"/>
        </w:rPr>
        <w:t>Difference that exists between the posttest mean score of Grade 4 learners in English of both experimental and control groups</w:t>
      </w:r>
      <w:r w:rsidR="008D2CFA">
        <w:rPr>
          <w:rFonts w:eastAsia="MS Mincho"/>
          <w:b/>
          <w:bCs/>
          <w:szCs w:val="24"/>
          <w:lang w:val="en-PH" w:eastAsia="en-US"/>
        </w:rPr>
        <w:t>.</w:t>
      </w:r>
    </w:p>
    <w:p w14:paraId="36145CD9" w14:textId="56371D39" w:rsidR="00B66262" w:rsidRDefault="00B66262" w:rsidP="006B2D37">
      <w:pPr>
        <w:spacing w:line="240" w:lineRule="auto"/>
        <w:ind w:left="397"/>
        <w:rPr>
          <w:rFonts w:eastAsia="Calibri"/>
          <w:color w:val="000000"/>
          <w:szCs w:val="24"/>
          <w:lang w:val="en-PH" w:eastAsia="en-US"/>
        </w:rPr>
      </w:pPr>
      <w:r w:rsidRPr="00B66262">
        <w:rPr>
          <w:rFonts w:eastAsia="Calibri"/>
          <w:color w:val="000000"/>
          <w:szCs w:val="24"/>
          <w:lang w:val="en-PH" w:eastAsia="en-US"/>
        </w:rPr>
        <w:t>The researcher presented the related descriptive statistics before explaining the results of independent samples t-test on the posttest; the results of which are set forth in Table 4. It includes the mean scores and mean difference for the experimental group (M=26.8), and control group (M=25.7). The results of independent samples t-test that was performed comparing the English performance scores of the experimental and control groups on the posttest are laid out in the following table. According to the results of independent samples test shown in Table 4 below, the significance level of .001 associated with Levene's value is higher than the selected significance level of the study (.05) revealing that the data met the assumption of equality of variance.  Moreover, a substantial difference (t=1.455, df=22, p-value= 0.001) in performance emerged between learners exposed to both teaching models. This suggests a significant positive impact of visual and podcast technology materials instruction on learners compared to those exposed to self-learning materials. Despite a slight difference in mean scores, favoring visual and podcast technology materials instruction (M=26.8) over the control group (M=25.7), this discrepancy is noteworthy, indicating a marginally greater impact of visual and podcast technology materials instruction on English performance (Mean difference= 1.1). Consequently, the result was deemed significant, leading to the rejection of the hypothesis asserting no significant difference in posttest mean scores between the experimental and control groups. Furthermore, this outcome underscores the favorable advantages of teaching pedagogy rooted in visual and podcast technology materials instruction, particularly in the context of the new normal. Such approaches not only yield positive learning outcomes but also offer benefits for both educators and learners. The results are consistent with the findings of Gaurino, and Estrellado, (2023) who found that by using visual and podcast technology materials, students’ retention scores were better when contrasted with those who were instructed via conventional methods. The students of experimental group retained better than those of control group. Thus, this research affirms the results of the research that claim that learners learn and retain better when they are taught through visual and podcast technology materials. Likewise, Belgar, and Maligaya, (2022) found that there was significant relationship between visual and podcast technology materials and students’ academic performance.</w:t>
      </w:r>
    </w:p>
    <w:p w14:paraId="1B68EA54" w14:textId="77777777" w:rsidR="008D2CFA" w:rsidRPr="00B66262" w:rsidRDefault="008D2CFA" w:rsidP="006B2D37">
      <w:pPr>
        <w:spacing w:line="240" w:lineRule="auto"/>
        <w:ind w:left="397"/>
        <w:rPr>
          <w:rFonts w:eastAsia="MS Mincho"/>
          <w:b/>
          <w:bCs/>
          <w:szCs w:val="24"/>
          <w:lang w:val="en-PH" w:eastAsia="en-US"/>
        </w:rPr>
      </w:pPr>
    </w:p>
    <w:tbl>
      <w:tblPr>
        <w:tblStyle w:val="TableGridLight7"/>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78"/>
        <w:gridCol w:w="2178"/>
        <w:gridCol w:w="1485"/>
        <w:gridCol w:w="813"/>
        <w:gridCol w:w="456"/>
        <w:gridCol w:w="830"/>
        <w:gridCol w:w="1683"/>
      </w:tblGrid>
      <w:tr w:rsidR="008D2CFA" w:rsidRPr="008D2CFA" w14:paraId="78C90A00" w14:textId="77777777" w:rsidTr="00C77CFF">
        <w:tc>
          <w:tcPr>
            <w:tcW w:w="0" w:type="auto"/>
            <w:hideMark/>
          </w:tcPr>
          <w:p w14:paraId="736FB308"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Test Co</w:t>
            </w:r>
            <w:r w:rsidRPr="008D2CFA">
              <w:rPr>
                <w:rFonts w:ascii="Times New Roman" w:eastAsia="Times New Roman" w:hAnsi="Times New Roman"/>
                <w:b/>
                <w:bCs/>
                <w:color w:val="1F1F1F"/>
                <w:szCs w:val="24"/>
                <w:bdr w:val="none" w:sz="0" w:space="0" w:color="auto" w:frame="1"/>
                <w:lang w:eastAsia="en-PH"/>
              </w:rPr>
              <w:t>m</w:t>
            </w:r>
            <w:r w:rsidRPr="008D2CFA">
              <w:rPr>
                <w:rFonts w:ascii="Times New Roman" w:eastAsia="Times New Roman" w:hAnsi="Times New Roman"/>
                <w:b/>
                <w:bCs/>
                <w:color w:val="1F1F1F"/>
                <w:szCs w:val="24"/>
                <w:bdr w:val="none" w:sz="0" w:space="0" w:color="auto" w:frame="1"/>
                <w:lang w:eastAsia="en-PH"/>
              </w:rPr>
              <w:t>pared</w:t>
            </w:r>
          </w:p>
        </w:tc>
        <w:tc>
          <w:tcPr>
            <w:tcW w:w="0" w:type="auto"/>
            <w:hideMark/>
          </w:tcPr>
          <w:p w14:paraId="1F34274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Mean Score (Control)</w:t>
            </w:r>
          </w:p>
        </w:tc>
        <w:tc>
          <w:tcPr>
            <w:tcW w:w="0" w:type="auto"/>
            <w:hideMark/>
          </w:tcPr>
          <w:p w14:paraId="2ED4964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Mean Score (E</w:t>
            </w:r>
            <w:r w:rsidRPr="008D2CFA">
              <w:rPr>
                <w:rFonts w:ascii="Times New Roman" w:eastAsia="Times New Roman" w:hAnsi="Times New Roman"/>
                <w:b/>
                <w:bCs/>
                <w:color w:val="1F1F1F"/>
                <w:szCs w:val="24"/>
                <w:bdr w:val="none" w:sz="0" w:space="0" w:color="auto" w:frame="1"/>
                <w:lang w:eastAsia="en-PH"/>
              </w:rPr>
              <w:t>x</w:t>
            </w:r>
            <w:r w:rsidRPr="008D2CFA">
              <w:rPr>
                <w:rFonts w:ascii="Times New Roman" w:eastAsia="Times New Roman" w:hAnsi="Times New Roman"/>
                <w:b/>
                <w:bCs/>
                <w:color w:val="1F1F1F"/>
                <w:szCs w:val="24"/>
                <w:bdr w:val="none" w:sz="0" w:space="0" w:color="auto" w:frame="1"/>
                <w:lang w:eastAsia="en-PH"/>
              </w:rPr>
              <w:t>perimental)</w:t>
            </w:r>
          </w:p>
        </w:tc>
        <w:tc>
          <w:tcPr>
            <w:tcW w:w="0" w:type="auto"/>
            <w:hideMark/>
          </w:tcPr>
          <w:p w14:paraId="2C97064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Mean Di</w:t>
            </w:r>
            <w:r w:rsidRPr="008D2CFA">
              <w:rPr>
                <w:rFonts w:ascii="Times New Roman" w:eastAsia="Times New Roman" w:hAnsi="Times New Roman"/>
                <w:b/>
                <w:bCs/>
                <w:color w:val="1F1F1F"/>
                <w:szCs w:val="24"/>
                <w:bdr w:val="none" w:sz="0" w:space="0" w:color="auto" w:frame="1"/>
                <w:lang w:eastAsia="en-PH"/>
              </w:rPr>
              <w:t>f</w:t>
            </w:r>
            <w:r w:rsidRPr="008D2CFA">
              <w:rPr>
                <w:rFonts w:ascii="Times New Roman" w:eastAsia="Times New Roman" w:hAnsi="Times New Roman"/>
                <w:b/>
                <w:bCs/>
                <w:color w:val="1F1F1F"/>
                <w:szCs w:val="24"/>
                <w:bdr w:val="none" w:sz="0" w:space="0" w:color="auto" w:frame="1"/>
                <w:lang w:eastAsia="en-PH"/>
              </w:rPr>
              <w:t>ference</w:t>
            </w:r>
          </w:p>
        </w:tc>
        <w:tc>
          <w:tcPr>
            <w:tcW w:w="0" w:type="auto"/>
            <w:hideMark/>
          </w:tcPr>
          <w:p w14:paraId="38D99B41"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t-value</w:t>
            </w:r>
          </w:p>
        </w:tc>
        <w:tc>
          <w:tcPr>
            <w:tcW w:w="0" w:type="auto"/>
            <w:hideMark/>
          </w:tcPr>
          <w:p w14:paraId="0F25D9F1"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df</w:t>
            </w:r>
          </w:p>
        </w:tc>
        <w:tc>
          <w:tcPr>
            <w:tcW w:w="0" w:type="auto"/>
            <w:hideMark/>
          </w:tcPr>
          <w:p w14:paraId="3A26B769"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p-value</w:t>
            </w:r>
          </w:p>
        </w:tc>
        <w:tc>
          <w:tcPr>
            <w:tcW w:w="0" w:type="auto"/>
            <w:hideMark/>
          </w:tcPr>
          <w:p w14:paraId="7A570E35"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Interpretation</w:t>
            </w:r>
          </w:p>
        </w:tc>
      </w:tr>
      <w:tr w:rsidR="008D2CFA" w:rsidRPr="008D2CFA" w14:paraId="22192BC4" w14:textId="77777777" w:rsidTr="00C77CFF">
        <w:tc>
          <w:tcPr>
            <w:tcW w:w="0" w:type="auto"/>
            <w:hideMark/>
          </w:tcPr>
          <w:p w14:paraId="5391A0DA"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Posttest</w:t>
            </w:r>
          </w:p>
        </w:tc>
        <w:tc>
          <w:tcPr>
            <w:tcW w:w="0" w:type="auto"/>
            <w:hideMark/>
          </w:tcPr>
          <w:p w14:paraId="14D4B8F8"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25.7</w:t>
            </w:r>
          </w:p>
        </w:tc>
        <w:tc>
          <w:tcPr>
            <w:tcW w:w="0" w:type="auto"/>
            <w:hideMark/>
          </w:tcPr>
          <w:p w14:paraId="3FC8B98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26.8</w:t>
            </w:r>
          </w:p>
        </w:tc>
        <w:tc>
          <w:tcPr>
            <w:tcW w:w="0" w:type="auto"/>
            <w:hideMark/>
          </w:tcPr>
          <w:p w14:paraId="1282CCD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1.1</w:t>
            </w:r>
          </w:p>
        </w:tc>
        <w:tc>
          <w:tcPr>
            <w:tcW w:w="0" w:type="auto"/>
            <w:hideMark/>
          </w:tcPr>
          <w:p w14:paraId="3EF9D2B6"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1.455</w:t>
            </w:r>
          </w:p>
        </w:tc>
        <w:tc>
          <w:tcPr>
            <w:tcW w:w="0" w:type="auto"/>
            <w:hideMark/>
          </w:tcPr>
          <w:p w14:paraId="11157234"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22</w:t>
            </w:r>
          </w:p>
        </w:tc>
        <w:tc>
          <w:tcPr>
            <w:tcW w:w="0" w:type="auto"/>
            <w:hideMark/>
          </w:tcPr>
          <w:p w14:paraId="7ECADF72"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0.001</w:t>
            </w:r>
          </w:p>
        </w:tc>
        <w:tc>
          <w:tcPr>
            <w:tcW w:w="0" w:type="auto"/>
            <w:hideMark/>
          </w:tcPr>
          <w:p w14:paraId="47EB1F36"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Significant</w:t>
            </w:r>
          </w:p>
        </w:tc>
      </w:tr>
    </w:tbl>
    <w:p w14:paraId="39C0FBD6" w14:textId="14219D3F" w:rsidR="00E83EAF" w:rsidRPr="008D2CFA" w:rsidRDefault="008D2CFA" w:rsidP="006B2D37">
      <w:pPr>
        <w:spacing w:line="240" w:lineRule="auto"/>
        <w:ind w:firstLine="397"/>
        <w:rPr>
          <w:rFonts w:eastAsia="MS Mincho"/>
          <w:i/>
          <w:iCs/>
          <w:szCs w:val="24"/>
          <w:lang w:val="en-PH" w:eastAsia="en-US"/>
        </w:rPr>
      </w:pPr>
      <w:r w:rsidRPr="008D2CFA">
        <w:rPr>
          <w:rFonts w:eastAsia="MS Mincho"/>
          <w:i/>
          <w:iCs/>
          <w:szCs w:val="24"/>
          <w:lang w:val="en-PH" w:eastAsia="en-US"/>
        </w:rPr>
        <w:t>Level of significance is set at 0.05</w:t>
      </w:r>
    </w:p>
    <w:p w14:paraId="3900C902" w14:textId="0119ABCC" w:rsidR="00E83EAF" w:rsidRPr="00E83EAF" w:rsidRDefault="00A137A6" w:rsidP="006B2D37">
      <w:pPr>
        <w:spacing w:line="240" w:lineRule="auto"/>
        <w:ind w:left="397"/>
        <w:rPr>
          <w:rFonts w:eastAsia="MS Mincho"/>
          <w:szCs w:val="24"/>
          <w:lang w:val="en-PH" w:eastAsia="en-US"/>
        </w:rPr>
      </w:pPr>
      <w:r w:rsidRPr="00A137A6">
        <w:rPr>
          <w:rFonts w:eastAsia="Calibri"/>
          <w:i/>
          <w:iCs/>
          <w:color w:val="000000"/>
          <w:szCs w:val="24"/>
          <w:lang w:val="en-PH" w:eastAsia="en-US"/>
        </w:rPr>
        <w:t xml:space="preserve">Table 4. </w:t>
      </w:r>
      <w:r w:rsidR="008D2CFA" w:rsidRPr="008D2CFA">
        <w:rPr>
          <w:rFonts w:eastAsia="Calibri"/>
          <w:i/>
          <w:iCs/>
          <w:color w:val="000000"/>
          <w:szCs w:val="24"/>
          <w:lang w:val="en-PH" w:eastAsia="en-US"/>
        </w:rPr>
        <w:t>Test on significant difference between average post-test scores</w:t>
      </w:r>
    </w:p>
    <w:p w14:paraId="7C3B18AE" w14:textId="77777777" w:rsidR="008D2CFA" w:rsidRDefault="008D2CFA" w:rsidP="006B2D37">
      <w:pPr>
        <w:spacing w:line="240" w:lineRule="auto"/>
        <w:rPr>
          <w:rFonts w:eastAsia="Calibri"/>
          <w:b/>
          <w:color w:val="000000"/>
          <w:szCs w:val="24"/>
          <w:lang w:eastAsia="en-US"/>
        </w:rPr>
      </w:pPr>
    </w:p>
    <w:p w14:paraId="3337DCAD" w14:textId="77777777" w:rsidR="008D2CFA" w:rsidRDefault="008D2CFA" w:rsidP="006B2D37">
      <w:pPr>
        <w:spacing w:line="240" w:lineRule="auto"/>
        <w:ind w:left="397"/>
        <w:rPr>
          <w:rFonts w:eastAsia="Calibri"/>
          <w:color w:val="000000"/>
          <w:szCs w:val="24"/>
          <w:lang w:val="en-PH" w:eastAsia="en-US"/>
        </w:rPr>
      </w:pPr>
      <w:r w:rsidRPr="008D2CFA">
        <w:rPr>
          <w:rFonts w:eastAsia="Calibri"/>
          <w:b/>
          <w:color w:val="000000"/>
          <w:szCs w:val="24"/>
          <w:lang w:eastAsia="en-US"/>
        </w:rPr>
        <w:t>Difference between the learning gain scores of Grades 4 learners in the English of both experimental and control groups</w:t>
      </w:r>
      <w:r w:rsidR="00A137A6" w:rsidRPr="00A137A6">
        <w:rPr>
          <w:rFonts w:eastAsia="Calibri"/>
          <w:color w:val="000000"/>
          <w:szCs w:val="24"/>
          <w:lang w:val="en-PH" w:eastAsia="en-US"/>
        </w:rPr>
        <w:t xml:space="preserve">. </w:t>
      </w:r>
    </w:p>
    <w:p w14:paraId="74CAEC2E" w14:textId="4005D2E6" w:rsidR="008D2CFA" w:rsidRDefault="008D2CFA" w:rsidP="006B2D37">
      <w:pPr>
        <w:spacing w:line="240" w:lineRule="auto"/>
        <w:ind w:left="397"/>
        <w:rPr>
          <w:rFonts w:eastAsia="Calibri"/>
          <w:color w:val="000000"/>
          <w:szCs w:val="24"/>
          <w:lang w:eastAsia="en-US"/>
        </w:rPr>
      </w:pPr>
      <w:r w:rsidRPr="008D2CFA">
        <w:rPr>
          <w:rFonts w:eastAsia="Calibri"/>
          <w:color w:val="000000"/>
          <w:szCs w:val="24"/>
          <w:lang w:eastAsia="en-US"/>
        </w:rPr>
        <w:t xml:space="preserve">To validate if there is a significant difference on the main learning gains on the use of visual and podcast technology materials and modular instruction, t-test for independent samples was computed at 0.05 level of significance. As reflected in Table 5, result of the analysis made according to the learning gain scores, the average learning gain for control group was calculated as 9.60, and the experimental group was 10.2 for a standard error of 0.128 and a confidence interval of 95%. When statistical significance was </w:t>
      </w:r>
      <w:r w:rsidRPr="008D2CFA">
        <w:rPr>
          <w:rFonts w:eastAsia="Calibri"/>
          <w:color w:val="000000"/>
          <w:szCs w:val="24"/>
          <w:lang w:eastAsia="en-US"/>
        </w:rPr>
        <w:lastRenderedPageBreak/>
        <w:t>examined, it was found that p = 0.228, since it is higher than 0.05 revealed the insignificant differences between the two groups.  Hence, the hypotheses which states that there is no significant difference between the learning gain scores of Grade 4 learners in teaching English of both experimental and control groups were failed to reject. In addition, the fact that the mean learning gain for experimental group was higher performance shows that the effect of the prior knowledge was in favor in using the visual and podcast technology materials instruction. The results show that the overall learning gains of the two groups showed no significant difference, therefore the use of visual and podcast technology materials is as effective as the conventional method of teaching. This implies that the visual and podcast technology materials instruction is moderately effective on the attitude towards the lesson compared with the self-learning materials as traditional teaching method. The results diverge from Akram et al.'s (2021) study, which contradicts the strong correlations identified by Saleem and Zahra (2017) between secure learning environments and students' acquisition of visual and podcast technology materials resources in educational settings. Similarly, Mehmood et al. (2022) demonstrated that experienced language teachers exhibit greater engagement with visual and podcast technology materials compared to novice teachers, leading to the conclusion that there exists a positive and moderately robust connection between visual and podcast technology materials utilization and secondary-level students' academic performance.</w:t>
      </w:r>
    </w:p>
    <w:p w14:paraId="3A788E6F" w14:textId="77777777" w:rsidR="008D2CFA" w:rsidRPr="008D2CFA" w:rsidRDefault="008D2CFA" w:rsidP="006B2D37">
      <w:pPr>
        <w:spacing w:line="240" w:lineRule="auto"/>
        <w:ind w:left="397"/>
        <w:rPr>
          <w:rFonts w:eastAsia="Calibri"/>
          <w:color w:val="000000"/>
          <w:szCs w:val="24"/>
          <w:lang w:val="en-PH" w:eastAsia="en-US"/>
        </w:rPr>
      </w:pPr>
    </w:p>
    <w:tbl>
      <w:tblPr>
        <w:tblStyle w:val="TableGridLight8"/>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3050"/>
        <w:gridCol w:w="1766"/>
        <w:gridCol w:w="954"/>
        <w:gridCol w:w="1422"/>
        <w:gridCol w:w="1683"/>
      </w:tblGrid>
      <w:tr w:rsidR="00B42F9D" w:rsidRPr="008D2CFA" w14:paraId="3F53E582" w14:textId="77777777" w:rsidTr="00C77CFF">
        <w:tc>
          <w:tcPr>
            <w:tcW w:w="0" w:type="auto"/>
            <w:hideMark/>
          </w:tcPr>
          <w:p w14:paraId="10A3F0A4"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Group</w:t>
            </w:r>
          </w:p>
        </w:tc>
        <w:tc>
          <w:tcPr>
            <w:tcW w:w="0" w:type="auto"/>
            <w:hideMark/>
          </w:tcPr>
          <w:p w14:paraId="7C536FA2"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Average Learning Gain Score</w:t>
            </w:r>
          </w:p>
        </w:tc>
        <w:tc>
          <w:tcPr>
            <w:tcW w:w="0" w:type="auto"/>
            <w:hideMark/>
          </w:tcPr>
          <w:p w14:paraId="27EE9290"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Standard E</w:t>
            </w:r>
            <w:r w:rsidRPr="008D2CFA">
              <w:rPr>
                <w:rFonts w:ascii="Times New Roman" w:eastAsia="Times New Roman" w:hAnsi="Times New Roman"/>
                <w:b/>
                <w:bCs/>
                <w:color w:val="1F1F1F"/>
                <w:szCs w:val="24"/>
                <w:bdr w:val="none" w:sz="0" w:space="0" w:color="auto" w:frame="1"/>
                <w:lang w:eastAsia="en-PH"/>
              </w:rPr>
              <w:t>r</w:t>
            </w:r>
            <w:r w:rsidRPr="008D2CFA">
              <w:rPr>
                <w:rFonts w:ascii="Times New Roman" w:eastAsia="Times New Roman" w:hAnsi="Times New Roman"/>
                <w:b/>
                <w:bCs/>
                <w:color w:val="1F1F1F"/>
                <w:szCs w:val="24"/>
                <w:bdr w:val="none" w:sz="0" w:space="0" w:color="auto" w:frame="1"/>
                <w:lang w:eastAsia="en-PH"/>
              </w:rPr>
              <w:t>ror</w:t>
            </w:r>
          </w:p>
        </w:tc>
        <w:tc>
          <w:tcPr>
            <w:tcW w:w="0" w:type="auto"/>
            <w:hideMark/>
          </w:tcPr>
          <w:p w14:paraId="067969C5"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p-value</w:t>
            </w:r>
          </w:p>
        </w:tc>
        <w:tc>
          <w:tcPr>
            <w:tcW w:w="0" w:type="auto"/>
            <w:hideMark/>
          </w:tcPr>
          <w:p w14:paraId="7ADB5AA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Decision</w:t>
            </w:r>
          </w:p>
        </w:tc>
        <w:tc>
          <w:tcPr>
            <w:tcW w:w="0" w:type="auto"/>
            <w:hideMark/>
          </w:tcPr>
          <w:p w14:paraId="4C32437D"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Interpretation</w:t>
            </w:r>
          </w:p>
        </w:tc>
      </w:tr>
      <w:tr w:rsidR="00B42F9D" w:rsidRPr="008D2CFA" w14:paraId="6E3783A6" w14:textId="77777777" w:rsidTr="00C77CFF">
        <w:tc>
          <w:tcPr>
            <w:tcW w:w="0" w:type="auto"/>
            <w:hideMark/>
          </w:tcPr>
          <w:p w14:paraId="10987090"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Control</w:t>
            </w:r>
          </w:p>
        </w:tc>
        <w:tc>
          <w:tcPr>
            <w:tcW w:w="0" w:type="auto"/>
            <w:hideMark/>
          </w:tcPr>
          <w:p w14:paraId="432310F7"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9.60</w:t>
            </w:r>
          </w:p>
        </w:tc>
        <w:tc>
          <w:tcPr>
            <w:tcW w:w="0" w:type="auto"/>
            <w:hideMark/>
          </w:tcPr>
          <w:p w14:paraId="334EA69A"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0.128</w:t>
            </w:r>
          </w:p>
        </w:tc>
        <w:tc>
          <w:tcPr>
            <w:tcW w:w="0" w:type="auto"/>
            <w:hideMark/>
          </w:tcPr>
          <w:p w14:paraId="6B5A37B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.228</w:t>
            </w:r>
          </w:p>
        </w:tc>
        <w:tc>
          <w:tcPr>
            <w:tcW w:w="0" w:type="auto"/>
            <w:hideMark/>
          </w:tcPr>
          <w:p w14:paraId="7F1926A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reject $H_0$</w:t>
            </w:r>
          </w:p>
        </w:tc>
        <w:tc>
          <w:tcPr>
            <w:tcW w:w="0" w:type="auto"/>
            <w:hideMark/>
          </w:tcPr>
          <w:p w14:paraId="02ED8C99"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Not significant</w:t>
            </w:r>
          </w:p>
        </w:tc>
      </w:tr>
      <w:tr w:rsidR="00B42F9D" w:rsidRPr="008D2CFA" w14:paraId="5B06C0CB" w14:textId="77777777" w:rsidTr="00C77CFF">
        <w:tc>
          <w:tcPr>
            <w:tcW w:w="0" w:type="auto"/>
            <w:hideMark/>
          </w:tcPr>
          <w:p w14:paraId="62C26EB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Experimental</w:t>
            </w:r>
          </w:p>
        </w:tc>
        <w:tc>
          <w:tcPr>
            <w:tcW w:w="0" w:type="auto"/>
            <w:hideMark/>
          </w:tcPr>
          <w:p w14:paraId="581F4E1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10.2</w:t>
            </w:r>
          </w:p>
        </w:tc>
        <w:tc>
          <w:tcPr>
            <w:tcW w:w="0" w:type="auto"/>
            <w:hideMark/>
          </w:tcPr>
          <w:p w14:paraId="44044EE7"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0.128</w:t>
            </w:r>
          </w:p>
        </w:tc>
        <w:tc>
          <w:tcPr>
            <w:tcW w:w="0" w:type="auto"/>
            <w:hideMark/>
          </w:tcPr>
          <w:p w14:paraId="7453DFBD"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.228</w:t>
            </w:r>
          </w:p>
        </w:tc>
        <w:tc>
          <w:tcPr>
            <w:tcW w:w="0" w:type="auto"/>
            <w:hideMark/>
          </w:tcPr>
          <w:p w14:paraId="50BB3E1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reject $H_0$</w:t>
            </w:r>
          </w:p>
        </w:tc>
        <w:tc>
          <w:tcPr>
            <w:tcW w:w="0" w:type="auto"/>
            <w:hideMark/>
          </w:tcPr>
          <w:p w14:paraId="3A4A9A1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Not significant</w:t>
            </w:r>
          </w:p>
        </w:tc>
      </w:tr>
    </w:tbl>
    <w:p w14:paraId="6D7727B9" w14:textId="77777777" w:rsidR="00E83EAF" w:rsidRDefault="00E83EAF" w:rsidP="006B2D37">
      <w:pPr>
        <w:spacing w:line="240" w:lineRule="auto"/>
        <w:rPr>
          <w:rFonts w:eastAsia="MS Mincho"/>
          <w:szCs w:val="24"/>
          <w:lang w:val="en-PH" w:eastAsia="en-US"/>
        </w:rPr>
      </w:pPr>
    </w:p>
    <w:p w14:paraId="7AC263EF" w14:textId="3088CC6D" w:rsidR="00E83EAF" w:rsidRPr="00E83EAF" w:rsidRDefault="00A137A6" w:rsidP="006B2D37">
      <w:pPr>
        <w:spacing w:line="240" w:lineRule="auto"/>
        <w:ind w:left="397"/>
        <w:rPr>
          <w:rFonts w:eastAsia="MS Mincho"/>
          <w:szCs w:val="24"/>
          <w:lang w:val="en-PH" w:eastAsia="en-US"/>
        </w:rPr>
      </w:pPr>
      <w:r w:rsidRPr="00A137A6">
        <w:rPr>
          <w:rFonts w:eastAsia="Calibri"/>
          <w:i/>
          <w:iCs/>
          <w:color w:val="000000"/>
          <w:szCs w:val="24"/>
          <w:lang w:val="en-PH" w:eastAsia="en-US"/>
        </w:rPr>
        <w:t xml:space="preserve">Table 5. </w:t>
      </w:r>
      <w:r w:rsidR="00B42F9D" w:rsidRPr="00B42F9D">
        <w:rPr>
          <w:rFonts w:eastAsia="Calibri"/>
          <w:i/>
          <w:iCs/>
          <w:color w:val="000000"/>
          <w:szCs w:val="24"/>
          <w:lang w:val="en-PH" w:eastAsia="en-US"/>
        </w:rPr>
        <w:t>Test on significant difference between the learning gain scores</w:t>
      </w:r>
    </w:p>
    <w:p w14:paraId="3ED56AED" w14:textId="77777777" w:rsidR="00B42F9D" w:rsidRDefault="00B42F9D" w:rsidP="006B2D37">
      <w:pPr>
        <w:spacing w:line="240" w:lineRule="auto"/>
        <w:ind w:left="397"/>
        <w:rPr>
          <w:rFonts w:eastAsia="Calibri"/>
          <w:b/>
          <w:bCs/>
          <w:szCs w:val="24"/>
          <w:lang w:val="en-PH" w:eastAsia="en-US"/>
        </w:rPr>
      </w:pPr>
    </w:p>
    <w:p w14:paraId="708AC28A" w14:textId="32BC5542" w:rsidR="00064A3C" w:rsidRPr="00064A3C" w:rsidRDefault="006B2D37" w:rsidP="006B2D37">
      <w:pPr>
        <w:spacing w:line="240" w:lineRule="auto"/>
        <w:ind w:left="397"/>
        <w:rPr>
          <w:rFonts w:eastAsia="MS Mincho"/>
          <w:szCs w:val="24"/>
          <w:lang w:val="en-PH" w:eastAsia="en-US"/>
        </w:rPr>
      </w:pPr>
      <w:r w:rsidRPr="00A137A6">
        <w:rPr>
          <w:rFonts w:eastAsia="Calibri"/>
          <w:b/>
          <w:bCs/>
          <w:szCs w:val="24"/>
          <w:lang w:val="en-PH" w:eastAsia="en-US"/>
        </w:rPr>
        <w:t>DISCUSSION</w:t>
      </w:r>
    </w:p>
    <w:p w14:paraId="192C2A5A" w14:textId="58810B8F" w:rsidR="00B42F9D" w:rsidRPr="00B42F9D" w:rsidRDefault="00B42F9D" w:rsidP="006B2D37">
      <w:pPr>
        <w:spacing w:line="240" w:lineRule="auto"/>
        <w:ind w:left="397"/>
        <w:rPr>
          <w:rFonts w:eastAsia="Calibri"/>
          <w:szCs w:val="24"/>
          <w:lang w:val="en-PH" w:eastAsia="en-US"/>
        </w:rPr>
      </w:pPr>
      <w:bookmarkStart w:id="4" w:name="_Hlk212055760"/>
      <w:r w:rsidRPr="00B42F9D">
        <w:rPr>
          <w:rFonts w:eastAsia="Calibri"/>
          <w:szCs w:val="24"/>
          <w:lang w:val="en-PH" w:eastAsia="en-US"/>
        </w:rPr>
        <w:t>The findings of this study affirm that technology-driven instruction can significantly improve students’ academic performance, especially in the context of English language learning. Both the control and experimental groups demonstrated substantial improvement from “Satisfactory” to “Outstanding” achievement levels, indicating that exposure to visual and podcast technology materials had a meaningful influence on learners’ engagement and comprehension. This improvement can be attributed to the interactive nature of the visual and auditory stimuli, which enhance attention span and information retention. As supported by Aydin (2022), multimedia-enhanced instruction activates multiple sensory channels, leading to stronger cognitive processing and deeper learning outcomes. Similarly, Arora and Bhatti (2023) emphasized that digital tools that incorporate visuals and sounds promote long-term memory retention and improve linguistic competence among young learners.</w:t>
      </w:r>
    </w:p>
    <w:p w14:paraId="0C20AB41" w14:textId="69A55F5D"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In the context of 21st-century education, the results underscore the essential role of integrating technology into classroom instruction to develop critical thinking, communication, and collaboration skills. The study revealed that learners exposed to visual and podcast materials demonstrated higher levels of motivation and self-regulation compared to those who relied solely on self-learning materials. This aligns with the findings of Kim and Lee (2022), who reported that learner autonomy increases when students interact with technology-based materials that allow flexibility and personalization. In addition, Rahman et al. (2021) observed that podcasts serve as authentic language exposure tools, fostering listening comprehension and contextual understanding in ways traditional textbooks often cannot achieve. Thus, this study reinforces the notion that visual and auditory media are not mere supplements but integral components of meaningful language learning.</w:t>
      </w:r>
    </w:p>
    <w:p w14:paraId="7FEB33A3" w14:textId="0848661B"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 xml:space="preserve">Another noteworthy finding is that while both groups improved significantly, the experimental group’s performance advantage, although slight, suggests that visual and podcast technology materials provide a more inclusive and differentiated learning environment. Students learn differently—some process information better through auditory input, while others rely on visual cues. By combining both, teachers can cater to multiple learning preferences, leading to greater engagement and equity. Dela Cruz and Santos (2023) found that multimodal approaches address learning disparities and encourage active participation among diverse learners. Similarly, Sharma (2022) noted that blended or hybrid instruction enhances both </w:t>
      </w:r>
      <w:r w:rsidRPr="00B42F9D">
        <w:rPr>
          <w:rFonts w:eastAsia="Calibri"/>
          <w:szCs w:val="24"/>
          <w:lang w:val="en-PH" w:eastAsia="en-US"/>
        </w:rPr>
        <w:lastRenderedPageBreak/>
        <w:t>academic outcomes and student confidence, especially in foundational education. This supports the study’s implication that technology integration complements, rather than replaces, traditional methods.</w:t>
      </w:r>
    </w:p>
    <w:p w14:paraId="2549F4A9" w14:textId="5C81BBD3"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The results also reveal that while the overall learning gains between the experimental and control groups were not statistically significant, the positive attitudinal changes and improved engagement observed in the experimental group are pedagogically valuable. According to Epp (2023), affective engagement—students’ emotional investment and enthusiasm for learning—is a crucial determinant of long-term academic success. Learners who enjoy technology-enhanced lessons tend to display higher perseverance and willingness to explore beyond classroom boundaries. In this sense, the moderate effectiveness observed in the study reflects a meaningful shift toward active and joyful learning, which is consistent with UNESCO’s (2022) call for transforming education to foster creativity, resilience, and well-being.</w:t>
      </w:r>
    </w:p>
    <w:p w14:paraId="0B27E6E4" w14:textId="780F7952"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Equally important, the study highlights the indispensable role of teachers as facilitators of digital transformation. The positive results achieved by the experimental group can be attributed to the teacher’s competence in using DepEd multimedia instructional packages effectively. This underscores the need for continuous professional development to strengthen educators’ digital pedagogical skills. Navarro and Villanueva (2023) found that teachers’ digital competence directly influences students’ engagement and achievement in technology-mediated lessons. As the Department of Education continues to advance its Computerization Program (DepEd Order No. 78, s. 2010), teacher training must emphasize not only technical know-how but also creative pedagogical strategies that align technology use with learning objectives.</w:t>
      </w:r>
    </w:p>
    <w:p w14:paraId="427C6F44" w14:textId="04AE3FAB"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From a broader educational perspective, this study contributes to the growing body of evidence supporting technology integration in Philippine basic education. The findings demonstrate that even in resource-limited rural schools, meaningful learning can occur when accessible technologies like visual presentations and podcasts are strategically used. These innovations align with the Sustainable Development Goal 4 (Quality Education), which advocates for inclusive and equitable access to digital learning opportunities. As observed by UNESCO (2023), technology serves as a bridge for educational equity when used to enrich—not replace—human interaction. The Alugan Elementary School experience therefore exemplifies how contextualized, locally relevant innovations can drive 21st-century learning in public schools.</w:t>
      </w:r>
    </w:p>
    <w:p w14:paraId="3AC553A7" w14:textId="77777777"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In terms of pedagogical implications, the results suggest that schools should institutionalize the use of podcast-based and visual technology materials in English instruction to complement print-based modules. Teachers can design localized podcasts featuring familiar voices or contexts to make lessons more relatable and engaging. Moreover, visual materials can be optimized through community partnerships or DepEd open-source repositories, ensuring sustainability. As Liu and Park (2024) argue, digital storytelling and podcasting foster narrative thinking, empathy, and communicative competence—skills essential for holistic language learning.</w:t>
      </w:r>
    </w:p>
    <w:p w14:paraId="3F27003D" w14:textId="77777777" w:rsidR="00B42F9D" w:rsidRPr="00B42F9D" w:rsidRDefault="00B42F9D" w:rsidP="006B2D37">
      <w:pPr>
        <w:spacing w:line="240" w:lineRule="auto"/>
        <w:ind w:left="397"/>
        <w:rPr>
          <w:rFonts w:eastAsia="Calibri"/>
          <w:szCs w:val="24"/>
          <w:lang w:val="en-PH" w:eastAsia="en-US"/>
        </w:rPr>
      </w:pPr>
    </w:p>
    <w:p w14:paraId="17544C8D" w14:textId="2BCD46C8"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Finally, the findings underscore that the true impact of technology in education lies not only in test scores but also in cultivating learners’ curiosity, adaptability, and confidence. The use of visual and podcast technology materials in this study nurtured these qualities, showing that technology, when used purposefully, humanizes learning rather than mechanizes it. Moving forward, further research may explore long-term retention and attitude formation among learners exposed to multimedia instruction. By continually examining and refining these approaches, educators can ensure that the integration of technology remains both evidence-based and learner-centered—anchored on the goal of producing critical, compassionate, and future-ready citizens.</w:t>
      </w:r>
    </w:p>
    <w:p w14:paraId="35F5992B" w14:textId="7D23A110" w:rsidR="00064A3C" w:rsidRDefault="00B42F9D" w:rsidP="006B2D37">
      <w:pPr>
        <w:spacing w:line="240" w:lineRule="auto"/>
        <w:ind w:left="397"/>
        <w:rPr>
          <w:rFonts w:eastAsia="Calibri"/>
          <w:szCs w:val="24"/>
          <w:lang w:val="en-PH" w:eastAsia="en-US"/>
        </w:rPr>
      </w:pPr>
      <w:r w:rsidRPr="00B42F9D">
        <w:rPr>
          <w:rFonts w:eastAsia="Calibri"/>
          <w:szCs w:val="24"/>
          <w:lang w:val="en-PH" w:eastAsia="en-US"/>
        </w:rPr>
        <w:t xml:space="preserve">The pre-test performance of the learners from two group of participants exposed to visual and podcast technology materials instruction and self-learning materials group are both interpreted as “Satisfactory” level of achievement based on DepEd Mastery of Learning Competencies. Both the control and experimental groups demonstrated significant and positive changes in their performance from pretest to posttest, with mean score shifting from “Satisfactory” to Outstanding” levels. Both groups' pretest and posttest scores are significant, this suggest that the intervention or treatment applied to the experimental group has led to a statistically significant change in the measured outcome when compared to the control group. Posttest scores of both control and experimental groups obtained a substantial difference in performance emerged between learners exposed to both teaching models. Moreover, the impact of visual and podcast technology materials instruction on attitude towards the lesson is moderately effective when </w:t>
      </w:r>
      <w:r w:rsidRPr="00B42F9D">
        <w:rPr>
          <w:rFonts w:eastAsia="Calibri"/>
          <w:szCs w:val="24"/>
          <w:lang w:val="en-PH" w:eastAsia="en-US"/>
        </w:rPr>
        <w:lastRenderedPageBreak/>
        <w:t>compared to traditional teaching methods using self-learning materials. Nevertheless, the results indicate that the overall learning gains in English performance for both groups are not statistically significant.</w:t>
      </w:r>
    </w:p>
    <w:p w14:paraId="5AE6ED0E" w14:textId="77777777" w:rsidR="006B2D37" w:rsidRDefault="006B2D37" w:rsidP="006B2D37">
      <w:pPr>
        <w:spacing w:line="240" w:lineRule="auto"/>
        <w:ind w:left="397"/>
        <w:rPr>
          <w:rFonts w:eastAsia="MS Mincho"/>
          <w:szCs w:val="24"/>
          <w:lang w:val="en-PH" w:eastAsia="en-US"/>
        </w:rPr>
      </w:pPr>
    </w:p>
    <w:p w14:paraId="52A44DD1" w14:textId="52936F5A" w:rsidR="00064A3C" w:rsidRDefault="006B2D37" w:rsidP="006B2D37">
      <w:pPr>
        <w:spacing w:line="240" w:lineRule="auto"/>
        <w:ind w:firstLine="397"/>
        <w:rPr>
          <w:rFonts w:eastAsia="MS Mincho"/>
          <w:b/>
          <w:bCs/>
          <w:sz w:val="28"/>
          <w:szCs w:val="28"/>
          <w:lang w:val="en-PH" w:eastAsia="en-US"/>
        </w:rPr>
      </w:pPr>
      <w:r w:rsidRPr="00A137A6">
        <w:rPr>
          <w:rFonts w:eastAsia="MS Mincho"/>
          <w:b/>
          <w:bCs/>
          <w:color w:val="000000"/>
          <w:sz w:val="28"/>
          <w:szCs w:val="28"/>
          <w:lang w:eastAsia="ja-JP"/>
        </w:rPr>
        <w:t>C</w:t>
      </w:r>
      <w:bookmarkEnd w:id="4"/>
      <w:r>
        <w:rPr>
          <w:rFonts w:eastAsia="MS Mincho"/>
          <w:b/>
          <w:bCs/>
          <w:color w:val="000000"/>
          <w:sz w:val="28"/>
          <w:szCs w:val="28"/>
          <w:lang w:eastAsia="ja-JP"/>
        </w:rPr>
        <w:t>ONCLUSION</w:t>
      </w:r>
    </w:p>
    <w:p w14:paraId="1D928E34" w14:textId="77777777" w:rsidR="00B42F9D" w:rsidRDefault="00A137A6" w:rsidP="006B2D37">
      <w:pPr>
        <w:spacing w:line="240" w:lineRule="auto"/>
        <w:ind w:left="397"/>
        <w:rPr>
          <w:rFonts w:eastAsia="MS Mincho"/>
          <w:color w:val="000000"/>
          <w:szCs w:val="24"/>
          <w:lang w:eastAsia="en-US"/>
        </w:rPr>
      </w:pPr>
      <w:r w:rsidRPr="00A137A6">
        <w:rPr>
          <w:rFonts w:eastAsia="MS Mincho"/>
          <w:color w:val="000000"/>
          <w:szCs w:val="24"/>
          <w:lang w:eastAsia="en-US"/>
        </w:rPr>
        <w:t>As per the outcomes of the study, the researcher reaches the following conclusions:</w:t>
      </w:r>
    </w:p>
    <w:p w14:paraId="3989D385" w14:textId="77777777" w:rsidR="00B42F9D" w:rsidRDefault="00A137A6" w:rsidP="006B2D37">
      <w:pPr>
        <w:spacing w:line="240" w:lineRule="auto"/>
        <w:ind w:left="397"/>
        <w:rPr>
          <w:rFonts w:eastAsia="MS Mincho"/>
          <w:color w:val="000000"/>
          <w:szCs w:val="24"/>
          <w:lang w:eastAsia="en-US"/>
        </w:rPr>
      </w:pPr>
      <w:r w:rsidRPr="00A137A6">
        <w:rPr>
          <w:rFonts w:eastAsia="MS Mincho"/>
          <w:color w:val="000000"/>
          <w:szCs w:val="24"/>
          <w:lang w:val="x-none" w:eastAsia="x-none"/>
        </w:rPr>
        <w:t>1.</w:t>
      </w:r>
      <w:r w:rsidR="00B42F9D">
        <w:rPr>
          <w:rFonts w:eastAsia="MS Mincho"/>
          <w:color w:val="000000"/>
          <w:szCs w:val="24"/>
          <w:lang w:eastAsia="x-none"/>
        </w:rPr>
        <w:t xml:space="preserve"> </w:t>
      </w:r>
      <w:r w:rsidR="00B42F9D" w:rsidRPr="00B42F9D">
        <w:rPr>
          <w:rFonts w:eastAsia="MS Mincho"/>
          <w:color w:val="000000"/>
          <w:szCs w:val="24"/>
          <w:lang w:val="x-none" w:eastAsia="x-none"/>
        </w:rPr>
        <w:t xml:space="preserve">The level of performance of both groups are equal based on the post test results. </w:t>
      </w:r>
    </w:p>
    <w:p w14:paraId="148E545E" w14:textId="77777777" w:rsidR="00B42F9D" w:rsidRDefault="00B42F9D" w:rsidP="006B2D37">
      <w:pPr>
        <w:spacing w:line="240" w:lineRule="auto"/>
        <w:ind w:left="397"/>
        <w:rPr>
          <w:rFonts w:eastAsia="MS Mincho"/>
          <w:color w:val="000000"/>
          <w:szCs w:val="24"/>
          <w:lang w:eastAsia="en-US"/>
        </w:rPr>
      </w:pPr>
      <w:r w:rsidRPr="00B42F9D">
        <w:rPr>
          <w:rFonts w:eastAsia="MS Mincho"/>
          <w:color w:val="000000"/>
          <w:szCs w:val="24"/>
          <w:lang w:val="x-none" w:eastAsia="x-none"/>
        </w:rPr>
        <w:t>2</w:t>
      </w:r>
      <w:r>
        <w:rPr>
          <w:rFonts w:eastAsia="MS Mincho"/>
          <w:color w:val="000000"/>
          <w:szCs w:val="24"/>
          <w:lang w:eastAsia="x-none"/>
        </w:rPr>
        <w:t xml:space="preserve">. </w:t>
      </w:r>
      <w:r w:rsidRPr="00B42F9D">
        <w:rPr>
          <w:rFonts w:eastAsia="MS Mincho"/>
          <w:color w:val="000000"/>
          <w:szCs w:val="24"/>
          <w:lang w:val="x-none" w:eastAsia="x-none"/>
        </w:rPr>
        <w:t xml:space="preserve">Both the control and experimental groups showed substantial and positive improvements in their performance from the pretest to the posttest, with mean scores progressing from "Satisfactory" to "Outstanding" levels. </w:t>
      </w:r>
    </w:p>
    <w:p w14:paraId="3F86B7EC" w14:textId="77777777" w:rsidR="00B42F9D" w:rsidRDefault="00B42F9D" w:rsidP="006B2D37">
      <w:pPr>
        <w:spacing w:line="240" w:lineRule="auto"/>
        <w:ind w:left="397"/>
        <w:rPr>
          <w:rFonts w:eastAsia="MS Mincho"/>
          <w:color w:val="000000"/>
          <w:szCs w:val="24"/>
          <w:lang w:eastAsia="en-US"/>
        </w:rPr>
      </w:pPr>
      <w:r w:rsidRPr="00B42F9D">
        <w:rPr>
          <w:rFonts w:eastAsia="MS Mincho"/>
          <w:color w:val="000000"/>
          <w:szCs w:val="24"/>
          <w:lang w:val="x-none" w:eastAsia="x-none"/>
        </w:rPr>
        <w:t>3</w:t>
      </w:r>
      <w:r>
        <w:rPr>
          <w:rFonts w:eastAsia="MS Mincho"/>
          <w:color w:val="000000"/>
          <w:szCs w:val="24"/>
          <w:lang w:eastAsia="x-none"/>
        </w:rPr>
        <w:t xml:space="preserve">. </w:t>
      </w:r>
      <w:r w:rsidRPr="00B42F9D">
        <w:rPr>
          <w:rFonts w:eastAsia="MS Mincho"/>
          <w:color w:val="000000"/>
          <w:szCs w:val="24"/>
          <w:lang w:val="x-none" w:eastAsia="x-none"/>
        </w:rPr>
        <w:t xml:space="preserve">There is a significant difference in the performance of the experimental group in the pre-test and posttest scores. </w:t>
      </w:r>
    </w:p>
    <w:p w14:paraId="027FA65D" w14:textId="77777777" w:rsidR="00B42F9D" w:rsidRDefault="00B42F9D" w:rsidP="006B2D37">
      <w:pPr>
        <w:spacing w:line="240" w:lineRule="auto"/>
        <w:ind w:left="397"/>
        <w:rPr>
          <w:rFonts w:eastAsia="MS Mincho"/>
          <w:color w:val="000000"/>
          <w:szCs w:val="24"/>
          <w:lang w:eastAsia="en-US"/>
        </w:rPr>
      </w:pPr>
      <w:r w:rsidRPr="00B42F9D">
        <w:rPr>
          <w:rFonts w:eastAsia="MS Mincho"/>
          <w:color w:val="000000"/>
          <w:szCs w:val="24"/>
          <w:lang w:val="x-none" w:eastAsia="x-none"/>
        </w:rPr>
        <w:t>4</w:t>
      </w:r>
      <w:r>
        <w:rPr>
          <w:rFonts w:eastAsia="MS Mincho"/>
          <w:color w:val="000000"/>
          <w:szCs w:val="24"/>
          <w:lang w:eastAsia="x-none"/>
        </w:rPr>
        <w:t xml:space="preserve">. </w:t>
      </w:r>
      <w:r w:rsidRPr="00B42F9D">
        <w:rPr>
          <w:rFonts w:eastAsia="MS Mincho"/>
          <w:color w:val="000000"/>
          <w:szCs w:val="24"/>
          <w:lang w:val="x-none" w:eastAsia="x-none"/>
        </w:rPr>
        <w:t xml:space="preserve">There is a significant difference in the performance of the control and experimental group in the post-test. </w:t>
      </w:r>
    </w:p>
    <w:p w14:paraId="0E8374BF" w14:textId="51BDEA38" w:rsidR="00B42F9D" w:rsidRDefault="00B42F9D" w:rsidP="006B2D37">
      <w:pPr>
        <w:spacing w:line="240" w:lineRule="auto"/>
        <w:ind w:left="397"/>
        <w:rPr>
          <w:rFonts w:eastAsia="MS Mincho"/>
          <w:color w:val="000000"/>
          <w:szCs w:val="24"/>
          <w:lang w:val="x-none" w:eastAsia="x-none"/>
        </w:rPr>
      </w:pPr>
      <w:r w:rsidRPr="00B42F9D">
        <w:rPr>
          <w:rFonts w:eastAsia="MS Mincho"/>
          <w:color w:val="000000"/>
          <w:szCs w:val="24"/>
          <w:lang w:val="x-none" w:eastAsia="x-none"/>
        </w:rPr>
        <w:t>5</w:t>
      </w:r>
      <w:r>
        <w:rPr>
          <w:rFonts w:eastAsia="MS Mincho"/>
          <w:color w:val="000000"/>
          <w:szCs w:val="24"/>
          <w:lang w:eastAsia="x-none"/>
        </w:rPr>
        <w:t>.</w:t>
      </w:r>
      <w:r w:rsidRPr="00B42F9D">
        <w:rPr>
          <w:rFonts w:eastAsia="MS Mincho"/>
          <w:color w:val="000000"/>
          <w:szCs w:val="24"/>
          <w:lang w:val="x-none" w:eastAsia="x-none"/>
        </w:rPr>
        <w:t>There is no significant difference in the learning gain of the control group and the experimental group indicating, that the impact of prior knowledge favored the use of traditional instruction in performance.</w:t>
      </w:r>
    </w:p>
    <w:p w14:paraId="7DCF39CF" w14:textId="77777777" w:rsidR="006B2D37" w:rsidRDefault="006B2D37" w:rsidP="006B2D37">
      <w:pPr>
        <w:spacing w:line="240" w:lineRule="auto"/>
        <w:ind w:left="397"/>
        <w:rPr>
          <w:rFonts w:eastAsia="MS Mincho"/>
          <w:color w:val="000000"/>
          <w:szCs w:val="24"/>
          <w:lang w:eastAsia="en-US"/>
        </w:rPr>
      </w:pPr>
    </w:p>
    <w:p w14:paraId="5AE076CC" w14:textId="56C8003C" w:rsidR="00B42F9D" w:rsidRDefault="006B2D37" w:rsidP="006B2D37">
      <w:pPr>
        <w:spacing w:line="240" w:lineRule="auto"/>
        <w:ind w:firstLine="397"/>
        <w:rPr>
          <w:rFonts w:eastAsia="MS Mincho"/>
          <w:color w:val="000000"/>
          <w:szCs w:val="24"/>
          <w:lang w:eastAsia="en-US"/>
        </w:rPr>
      </w:pPr>
      <w:r w:rsidRPr="00A137A6">
        <w:rPr>
          <w:rFonts w:eastAsia="MS Mincho"/>
          <w:b/>
          <w:color w:val="000000"/>
          <w:sz w:val="28"/>
          <w:szCs w:val="28"/>
          <w:lang w:val="fi-FI" w:eastAsia="x-none" w:bidi="en-US"/>
        </w:rPr>
        <w:t>A</w:t>
      </w:r>
      <w:r>
        <w:rPr>
          <w:rFonts w:eastAsia="MS Mincho"/>
          <w:b/>
          <w:color w:val="000000"/>
          <w:sz w:val="28"/>
          <w:szCs w:val="28"/>
          <w:lang w:val="fi-FI" w:eastAsia="x-none" w:bidi="en-US"/>
        </w:rPr>
        <w:t xml:space="preserve">CKNOWLEGDEMENT </w:t>
      </w:r>
    </w:p>
    <w:p w14:paraId="63A15E4C" w14:textId="3EE339D7" w:rsidR="00C5217F" w:rsidRDefault="00B42F9D" w:rsidP="006B2D37">
      <w:pPr>
        <w:spacing w:line="240" w:lineRule="auto"/>
        <w:ind w:left="397"/>
        <w:rPr>
          <w:rFonts w:eastAsia="MS Mincho"/>
          <w:szCs w:val="24"/>
          <w:lang w:eastAsia="en-US"/>
        </w:rPr>
      </w:pPr>
      <w:r w:rsidRPr="00B42F9D">
        <w:rPr>
          <w:rFonts w:eastAsia="MS Mincho"/>
          <w:szCs w:val="24"/>
          <w:lang w:eastAsia="en-US"/>
        </w:rPr>
        <w:t>The researcher would like to express her sincerest gratitude to the following persons who have pushed her to reach this part of her dream. The researcher would like to express sincere gratitude to the individuals who have played a crucial role in helping her realize her dreams and complete this work. Their guidance, support, and contributions have been invaluable. First and foremost, the researcher extends heartfelt appreciation to Dr. Andres C. Pagatpatan Jr., President of Eastern Samar State University, and the thesis advisory committee chairman for providing the researcher with the opportunity to pursue this research. Their invaluable suggestions, input, and accommodations for thesis-related requests are deeply appreciated. Special thanks go to Dr. Sharon B. Singzon, Dean of the Graduate School and Chairman of the thesis Advisory Committee, for providing guidance and support throughout the entire process. The discussions, ideas, and feedback have been truly invaluable. The researcher would also like to express gratitude to Dr. Rowena P. Capada, the adviser, for the constant support, trust and guidance throughout the journey. The adviser’s assistance has been instrumental in making the researcher’s dreams a reality, and their shared experiences have provided invaluable insights. Dr. Helen C. Fuentes, the panel member, research coordinator of the graduate school, for proofreading, brilliant suggestions and abruptly answer queries online from the approval of the matrix, schedule of the proposal up to the completion of the study. Dr. Marivic I. Vetorico, a member of the thesis committee, deserves appreciation for her invaluable suggestions and advice provided from the proposal period to the final phase of the research have been greatly contributed to its improvement. Dr. Anbony D. Cuanico, deserves recognition for sharing expertise in the field of statistics, and in editing. The researcher is grateful for their acceptance of the researcher’s request within a short period of time, patience in processing the data, prompt responses to queries, and careful guidance. Their suggestions and insights have gratefully contributed to the improvement of the research. Dr. Gorgonio G. Diaz Jr., the Schools Division Superintendent, of Eastern Samar, for allowing the researcher to conduct her study at AES. Mr. Jessie P. Mengullo, the school head of AES, for his unwavering support on the conduct of data gathering and motivation to finish the researcher’s study. The researcher would also like to acknowledge the constant encouragement and support received from their AES faculty friends.To the Grade 4 respondents of AES for being cooperative and participative in the conduct of the study. To her husband, Christian, who supported her morally all the way to finish her study.To her children, Chris Lourence, Christine Louise, and Christial Louraine for being her source of strength and inspiration in life.To her parents and siblings for their love and moral support which paved the way in the completion of this study. Lastly, the researcher expresses deepest gratitude to the Almighty Father for providing everything and blessing them with good health to achieve this accomplishment.</w:t>
      </w:r>
    </w:p>
    <w:p w14:paraId="2E2EBF14" w14:textId="77777777" w:rsidR="00C77CFF" w:rsidRPr="00B42F9D" w:rsidRDefault="00C77CFF" w:rsidP="006B2D37">
      <w:pPr>
        <w:spacing w:line="240" w:lineRule="auto"/>
        <w:ind w:left="397"/>
        <w:rPr>
          <w:rFonts w:eastAsia="MS Mincho"/>
          <w:color w:val="000000"/>
          <w:szCs w:val="24"/>
          <w:lang w:eastAsia="en-US"/>
        </w:rPr>
      </w:pPr>
    </w:p>
    <w:p w14:paraId="563A4D08" w14:textId="77777777" w:rsidR="00C5217F" w:rsidRPr="006B2D37" w:rsidRDefault="00A137A6" w:rsidP="006B2D37">
      <w:pPr>
        <w:suppressAutoHyphens w:val="0"/>
        <w:spacing w:after="120" w:line="240" w:lineRule="auto"/>
        <w:ind w:left="284" w:firstLine="113"/>
        <w:contextualSpacing/>
        <w:rPr>
          <w:rFonts w:eastAsia="MS Mincho"/>
          <w:b/>
          <w:bCs/>
          <w:color w:val="000000"/>
          <w:szCs w:val="24"/>
          <w:lang w:val="x-none" w:eastAsia="x-none"/>
        </w:rPr>
      </w:pPr>
      <w:r w:rsidRPr="006B2D37">
        <w:rPr>
          <w:rFonts w:eastAsia="MS Mincho"/>
          <w:b/>
          <w:bCs/>
          <w:i/>
          <w:iCs/>
          <w:szCs w:val="24"/>
          <w:lang w:eastAsia="en-US"/>
        </w:rPr>
        <w:t>Disclosure of Conflict of Interest</w:t>
      </w:r>
    </w:p>
    <w:p w14:paraId="2D68DC16" w14:textId="77777777" w:rsidR="00C5217F" w:rsidRDefault="00A137A6" w:rsidP="006B2D37">
      <w:pPr>
        <w:suppressAutoHyphens w:val="0"/>
        <w:spacing w:after="120" w:line="240" w:lineRule="auto"/>
        <w:ind w:left="284" w:firstLine="113"/>
        <w:contextualSpacing/>
        <w:rPr>
          <w:rFonts w:eastAsia="MS Mincho"/>
          <w:color w:val="000000"/>
          <w:szCs w:val="24"/>
          <w:lang w:val="x-none" w:eastAsia="x-none"/>
        </w:rPr>
      </w:pPr>
      <w:r w:rsidRPr="00A137A6">
        <w:rPr>
          <w:rFonts w:eastAsia="MS Mincho"/>
          <w:szCs w:val="24"/>
          <w:lang w:eastAsia="en-US"/>
        </w:rPr>
        <w:t xml:space="preserve">The author declares no conflict of interest. </w:t>
      </w:r>
    </w:p>
    <w:p w14:paraId="10A53086" w14:textId="430D6930" w:rsidR="00C5217F" w:rsidRPr="006B2D37" w:rsidRDefault="00187F02" w:rsidP="006B2D37">
      <w:pPr>
        <w:suppressAutoHyphens w:val="0"/>
        <w:spacing w:after="120" w:line="240" w:lineRule="auto"/>
        <w:ind w:left="284" w:firstLine="113"/>
        <w:contextualSpacing/>
        <w:rPr>
          <w:rFonts w:eastAsia="MS Mincho"/>
          <w:b/>
          <w:bCs/>
          <w:color w:val="000000"/>
          <w:szCs w:val="24"/>
          <w:lang w:val="x-none" w:eastAsia="x-none"/>
        </w:rPr>
      </w:pPr>
      <w:r w:rsidRPr="006B2D37">
        <w:rPr>
          <w:rFonts w:eastAsia="MS Mincho"/>
          <w:b/>
          <w:bCs/>
          <w:i/>
          <w:iCs/>
          <w:szCs w:val="24"/>
          <w:lang w:eastAsia="en-US"/>
        </w:rPr>
        <w:t>Compliance</w:t>
      </w:r>
      <w:r w:rsidR="00A137A6" w:rsidRPr="006B2D37">
        <w:rPr>
          <w:rFonts w:eastAsia="MS Mincho"/>
          <w:b/>
          <w:bCs/>
          <w:i/>
          <w:iCs/>
          <w:szCs w:val="24"/>
          <w:lang w:eastAsia="en-US"/>
        </w:rPr>
        <w:t xml:space="preserve"> to Ethical Standards</w:t>
      </w:r>
    </w:p>
    <w:p w14:paraId="13F7D35E" w14:textId="77777777" w:rsidR="00C60A37" w:rsidRDefault="00A137A6" w:rsidP="006B2D37">
      <w:pPr>
        <w:suppressAutoHyphens w:val="0"/>
        <w:spacing w:after="120" w:line="240" w:lineRule="auto"/>
        <w:ind w:left="284" w:firstLine="113"/>
        <w:contextualSpacing/>
        <w:rPr>
          <w:rFonts w:eastAsia="MS Mincho"/>
          <w:szCs w:val="24"/>
          <w:lang w:eastAsia="en-US"/>
        </w:rPr>
      </w:pPr>
      <w:r w:rsidRPr="00A137A6">
        <w:rPr>
          <w:rFonts w:eastAsia="MS Mincho"/>
          <w:szCs w:val="24"/>
          <w:lang w:eastAsia="en-US"/>
        </w:rPr>
        <w:t>The author declares that the study was conducted in strict compliance to ethical considerations.</w:t>
      </w:r>
    </w:p>
    <w:p w14:paraId="1D597D0B" w14:textId="77777777" w:rsidR="00C60A37" w:rsidRDefault="00C60A37" w:rsidP="006B2D37">
      <w:pPr>
        <w:suppressAutoHyphens w:val="0"/>
        <w:spacing w:after="120" w:line="240" w:lineRule="auto"/>
        <w:contextualSpacing/>
        <w:rPr>
          <w:rFonts w:eastAsia="MS Mincho"/>
          <w:b/>
          <w:color w:val="000000"/>
          <w:sz w:val="28"/>
          <w:szCs w:val="28"/>
          <w:lang w:eastAsia="x-none"/>
        </w:rPr>
      </w:pPr>
    </w:p>
    <w:p w14:paraId="6E427664" w14:textId="10A2A935" w:rsidR="00C60A37" w:rsidRDefault="006B2D37" w:rsidP="006B2D37">
      <w:pPr>
        <w:suppressAutoHyphens w:val="0"/>
        <w:spacing w:after="120" w:line="240" w:lineRule="auto"/>
        <w:ind w:firstLine="284"/>
        <w:contextualSpacing/>
        <w:rPr>
          <w:rFonts w:eastAsia="MS Mincho"/>
          <w:b/>
          <w:color w:val="000000"/>
          <w:sz w:val="28"/>
          <w:szCs w:val="28"/>
          <w:lang w:eastAsia="x-none"/>
        </w:rPr>
      </w:pPr>
      <w:r w:rsidRPr="00A137A6">
        <w:rPr>
          <w:rFonts w:eastAsia="MS Mincho"/>
          <w:b/>
          <w:color w:val="000000"/>
          <w:sz w:val="28"/>
          <w:szCs w:val="28"/>
          <w:lang w:val="x-none" w:eastAsia="x-none"/>
        </w:rPr>
        <w:lastRenderedPageBreak/>
        <w:t>R</w:t>
      </w:r>
      <w:r>
        <w:rPr>
          <w:rFonts w:eastAsia="MS Mincho"/>
          <w:b/>
          <w:color w:val="000000"/>
          <w:sz w:val="28"/>
          <w:szCs w:val="28"/>
          <w:lang w:eastAsia="x-none"/>
        </w:rPr>
        <w:t xml:space="preserve">EFERENCES </w:t>
      </w:r>
    </w:p>
    <w:p w14:paraId="4B421A23" w14:textId="77777777" w:rsidR="00C77CFF" w:rsidRDefault="00C77CFF" w:rsidP="006B2D37">
      <w:pPr>
        <w:suppressAutoHyphens w:val="0"/>
        <w:spacing w:after="120" w:line="240" w:lineRule="auto"/>
        <w:ind w:firstLine="284"/>
        <w:contextualSpacing/>
        <w:rPr>
          <w:rFonts w:eastAsia="MS Mincho"/>
          <w:szCs w:val="24"/>
          <w:lang w:eastAsia="en-US"/>
        </w:rPr>
      </w:pPr>
    </w:p>
    <w:p w14:paraId="53629A36" w14:textId="16A3DD0B" w:rsidR="00C77CFF" w:rsidRPr="00C77CFF" w:rsidRDefault="00C60A37"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w:t>
      </w:r>
      <w:r w:rsidR="00C77CFF" w:rsidRPr="00C77CFF">
        <w:rPr>
          <w:rFonts w:eastAsia="Times New Roman"/>
          <w:lang w:val="en-PH" w:eastAsia="en-PH"/>
        </w:rPr>
        <w:t>Adlawan, L. L. and Quirap, E. A. (2022). ICT skills and teaching performance of east II, division of Cagayan De Oro city. International Journal of Advancements in Research &amp; Technology, Volume 1, Issue 1, ISSN 2278-7763</w:t>
      </w:r>
    </w:p>
    <w:p w14:paraId="08C2F0CC"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Ali, M., &amp; Miraz, S.K. (2018). Mobile assisted language learning (MALL) – A brief survey. Annals of Emerging Technologies in Computing, 2(2), 37-45. </w:t>
      </w:r>
    </w:p>
    <w:p w14:paraId="399C7A2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Akram, H., Yingxiu, Y., Al-Adwan, A. S., &amp; Alkhalifah, A. (2021). Technology Integration in Higher Education During COVID-19: An Assessment of Online Teaching Competencies Through Technological Pedagogical Content Knowledge Model. Frontiers in psychology, 12, 736522.</w:t>
      </w:r>
    </w:p>
    <w:p w14:paraId="4307254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Araiz, J. (2018). Profile and Level of Competence of     Information and Communications Techno</w:t>
      </w:r>
      <w:r w:rsidRPr="00C77CFF">
        <w:rPr>
          <w:rFonts w:eastAsia="Times New Roman"/>
          <w:lang w:val="en-PH" w:eastAsia="en-PH"/>
        </w:rPr>
        <w:t>l</w:t>
      </w:r>
      <w:r w:rsidRPr="00C77CFF">
        <w:rPr>
          <w:rFonts w:eastAsia="Times New Roman"/>
          <w:lang w:val="en-PH" w:eastAsia="en-PH"/>
        </w:rPr>
        <w:t>ogy (ICT) Coordinators among Secondary Schools in       the Division of Davao del Sur. JPAIR Multidisciplinary Research, 32(1), 124-148.</w:t>
      </w:r>
    </w:p>
    <w:p w14:paraId="042DD8F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Areza,J., A. (2018). Level of Competency of the Pupils in Technology and Livelihood Education 6      in Sorsogon City Division. Retrieved from: https://www.ijsr.net/archive/v9i7/SR20630125510.pdf</w:t>
      </w:r>
    </w:p>
    <w:p w14:paraId="6DE9D3E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Arora, S., &amp; Bhatti, M. (2023). Digital multimodal learning: Enhancing language acquisition through visual-audio integration. Journal of Educational Media and Practice, 14(2), 55–72. </w:t>
      </w:r>
    </w:p>
    <w:p w14:paraId="3E72F9A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Aydin, S. (2022). The impact of multimedia learning on students’ language acquisition and rete</w:t>
      </w:r>
      <w:r w:rsidRPr="00C77CFF">
        <w:rPr>
          <w:rFonts w:eastAsia="Times New Roman"/>
          <w:lang w:val="en-PH" w:eastAsia="en-PH"/>
        </w:rPr>
        <w:t>n</w:t>
      </w:r>
      <w:r w:rsidRPr="00C77CFF">
        <w:rPr>
          <w:rFonts w:eastAsia="Times New Roman"/>
          <w:lang w:val="en-PH" w:eastAsia="en-PH"/>
        </w:rPr>
        <w:t xml:space="preserve">tion. International Journal of Educational Technology in Higher Education, 19(1), 45–58. </w:t>
      </w:r>
    </w:p>
    <w:p w14:paraId="5BE0EA2A"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Basri, W. S., Alandejani, J. A., and Almadani, F. S. (2018). ICT Adoption Impact on Students’ Ac</w:t>
      </w:r>
      <w:r w:rsidRPr="00C77CFF">
        <w:rPr>
          <w:rFonts w:eastAsia="Times New Roman"/>
          <w:lang w:val="en-PH" w:eastAsia="en-PH"/>
        </w:rPr>
        <w:t>a</w:t>
      </w:r>
      <w:r w:rsidRPr="00C77CFF">
        <w:rPr>
          <w:rFonts w:eastAsia="Times New Roman"/>
          <w:lang w:val="en-PH" w:eastAsia="en-PH"/>
        </w:rPr>
        <w:t xml:space="preserve">demic Performance: Evidence from Saudi Universities. Educational Research International. </w:t>
      </w:r>
    </w:p>
    <w:p w14:paraId="5E842D5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Belgar, Mary &amp; Maligaya, Dennis. (2022). Utilization of Information and Communication Techno</w:t>
      </w:r>
      <w:r w:rsidRPr="00C77CFF">
        <w:rPr>
          <w:rFonts w:eastAsia="Times New Roman"/>
          <w:lang w:val="en-PH" w:eastAsia="en-PH"/>
        </w:rPr>
        <w:t>l</w:t>
      </w:r>
      <w:r w:rsidRPr="00C77CFF">
        <w:rPr>
          <w:rFonts w:eastAsia="Times New Roman"/>
          <w:lang w:val="en-PH" w:eastAsia="en-PH"/>
        </w:rPr>
        <w:t>ogy and Its Impact on Students’ Academic Performance in Pasig Diocesan School System (PaDSS). 10.13140/RG.2.2.12449.68967.</w:t>
      </w:r>
    </w:p>
    <w:p w14:paraId="0FCB510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Bonifacio, A. (n.d.). Developing Information Communication Technology (ICT) Curriculum Stan</w:t>
      </w:r>
      <w:r w:rsidRPr="00C77CFF">
        <w:rPr>
          <w:rFonts w:eastAsia="Times New Roman"/>
          <w:lang w:val="en-PH" w:eastAsia="en-PH"/>
        </w:rPr>
        <w:t>d</w:t>
      </w:r>
      <w:r w:rsidRPr="00C77CFF">
        <w:rPr>
          <w:rFonts w:eastAsia="Times New Roman"/>
          <w:lang w:val="en-PH" w:eastAsia="en-PH"/>
        </w:rPr>
        <w:t>ards for K-12 Schools in the Philippines.</w:t>
      </w:r>
    </w:p>
    <w:p w14:paraId="05F0096F"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Botero, G. G., Questier, F. &amp; Zhu, C. (2019). Self-directed language learning in a mobileassisted, out-of-class context: Do students walk the talk? Computer Assisted Language Learning, 32(1-2), 71-97. </w:t>
      </w:r>
    </w:p>
    <w:p w14:paraId="64A687E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Callao, M. B. (2021). Technology-Based Instructions. Elementary Education Online, Vol 20 (Issue 4): pp.  3437-3446 doi: 10.17051/ilkonline.2021.04.384 </w:t>
      </w:r>
    </w:p>
    <w:p w14:paraId="63B91CBC"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Çakmak, F. (2019). Mobile learning and mobile assisted language learning in focus. Language and Technology, 1(1), 30-48.  https://dergipark.org.tr/en/download/article-file/665969</w:t>
      </w:r>
    </w:p>
    <w:p w14:paraId="4F903462"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Catherine Bergonia Briones, (2018), “Teachers’ Competency on the Use of ICT in Teaching Physics in the Junior High School” in 4th International Research Conference on Higher Education, KnE S</w:t>
      </w:r>
      <w:r w:rsidRPr="00C77CFF">
        <w:rPr>
          <w:rFonts w:eastAsia="Times New Roman"/>
          <w:lang w:val="en-PH" w:eastAsia="en-PH"/>
        </w:rPr>
        <w:t>o</w:t>
      </w:r>
      <w:r w:rsidRPr="00C77CFF">
        <w:rPr>
          <w:rFonts w:eastAsia="Times New Roman"/>
          <w:lang w:val="en-PH" w:eastAsia="en-PH"/>
        </w:rPr>
        <w:t>cial Sciences, pages 177–204. DOI 10.18502/kss. v3i6.2380</w:t>
      </w:r>
    </w:p>
    <w:p w14:paraId="6A36768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Dela Cruz, M. L., &amp; Santos, J. P. (2023). Blended pedagogies in Philippine basic education: Insights from post-pandemic classrooms. Asia Pacific Education Review, 24(3), 411–427. </w:t>
      </w:r>
    </w:p>
    <w:p w14:paraId="466D2A13"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DepEd Order No. 42, s. 2017, otherwise known as National Adoption and Implementation of the Philippine Professional Standards for Teachers. www.deped.gov.ph</w:t>
      </w:r>
    </w:p>
    <w:p w14:paraId="64F3F45D"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DepEd Order No. 78, s. 2010. Guidelines on the implementation of the DepEd computerization pr</w:t>
      </w:r>
      <w:r w:rsidRPr="00C77CFF">
        <w:rPr>
          <w:rFonts w:eastAsia="Times New Roman"/>
          <w:lang w:val="en-PH" w:eastAsia="en-PH"/>
        </w:rPr>
        <w:t>o</w:t>
      </w:r>
      <w:r w:rsidRPr="00C77CFF">
        <w:rPr>
          <w:rFonts w:eastAsia="Times New Roman"/>
          <w:lang w:val="en-PH" w:eastAsia="en-PH"/>
        </w:rPr>
        <w:t>gram. DepEd Complex, MERALCO Avenue, Pasig City.</w:t>
      </w:r>
    </w:p>
    <w:p w14:paraId="7DF28F57"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Epp, J. (2023). Cognitive engagement through multimodal instruction: The role of visuals and sound in language classrooms. Educational Media International, 60(2), 121–138. </w:t>
      </w:r>
    </w:p>
    <w:p w14:paraId="5D71EA99"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Fajardo, M., L. and Mendoza, F., E. (2021). Pedagogical Approaches and Information and Comm</w:t>
      </w:r>
      <w:r w:rsidRPr="00C77CFF">
        <w:rPr>
          <w:rFonts w:eastAsia="Times New Roman"/>
          <w:lang w:val="en-PH" w:eastAsia="en-PH"/>
        </w:rPr>
        <w:t>u</w:t>
      </w:r>
      <w:r w:rsidRPr="00C77CFF">
        <w:rPr>
          <w:rFonts w:eastAsia="Times New Roman"/>
          <w:lang w:val="en-PH" w:eastAsia="en-PH"/>
        </w:rPr>
        <w:t>nication Technology (ICT) Skills of Teachers in the E-Learning. Retrieved from: https://www.academia.edu/49050056/Pedagogical Approac</w:t>
      </w:r>
      <w:r w:rsidRPr="00C77CFF">
        <w:rPr>
          <w:rFonts w:eastAsia="Times New Roman"/>
          <w:lang w:val="en-PH" w:eastAsia="en-PH"/>
        </w:rPr>
        <w:t>h</w:t>
      </w:r>
      <w:r w:rsidRPr="00C77CFF">
        <w:rPr>
          <w:rFonts w:eastAsia="Times New Roman"/>
          <w:lang w:val="en-PH" w:eastAsia="en-PH"/>
        </w:rPr>
        <w:t>es_and_Information_and_Communication_Technology_ICT_Skills_of_Teachers_in_the_ E_Learning\</w:t>
      </w:r>
    </w:p>
    <w:p w14:paraId="7641E24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Febriani, G. and Hafifah, G. N. (2019). TEACHERS’ BELIEFS AND PRACTICESOF USING YOUTUBE IN EFL CONTEXT IN MUHAMMADIYAH SENIORHIGH SCHOOLS OF SUR</w:t>
      </w:r>
      <w:r w:rsidRPr="00C77CFF">
        <w:rPr>
          <w:rFonts w:eastAsia="Times New Roman"/>
          <w:lang w:val="en-PH" w:eastAsia="en-PH"/>
        </w:rPr>
        <w:t>A</w:t>
      </w:r>
      <w:r w:rsidRPr="00C77CFF">
        <w:rPr>
          <w:rFonts w:eastAsia="Times New Roman"/>
          <w:lang w:val="en-PH" w:eastAsia="en-PH"/>
        </w:rPr>
        <w:t>BAYA.Humanities &amp; Social Sciences Reviews,7(3):389–397</w:t>
      </w:r>
    </w:p>
    <w:p w14:paraId="58935AF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lastRenderedPageBreak/>
        <w:t>Gaurino, J. B. and Estrellado, E. L. (2023). Performance Level of Grade Five Pupils in Information and Communication Technology. United International Journal for Research &amp; Technology. Volume 04, Issue 03. https://uijrt.com/articles/v4/i3/UIJRTV4I30008.pdf</w:t>
      </w:r>
    </w:p>
    <w:p w14:paraId="2815C28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Ghavifekr, S., Kunjappan, T., Ramasamy, L., &amp; Anthony, A. (2016). Teaching and Learning with ICT Tools: Issues and Challenges from Teachers' Perceptions. Malaysian Online Journal of Educ</w:t>
      </w:r>
      <w:r w:rsidRPr="00C77CFF">
        <w:rPr>
          <w:rFonts w:eastAsia="Times New Roman"/>
          <w:lang w:val="en-PH" w:eastAsia="en-PH"/>
        </w:rPr>
        <w:t>a</w:t>
      </w:r>
      <w:r w:rsidRPr="00C77CFF">
        <w:rPr>
          <w:rFonts w:eastAsia="Times New Roman"/>
          <w:lang w:val="en-PH" w:eastAsia="en-PH"/>
        </w:rPr>
        <w:t>tional Technology, 4(2), 38-57.</w:t>
      </w:r>
    </w:p>
    <w:p w14:paraId="65D44DC4"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Gilakjani, A. (2017). A review of the literature on the integration of technology into the learning and teaching of English language skills. International Journal of English Linguistics, 7(5), 95-106. </w:t>
      </w:r>
    </w:p>
    <w:p w14:paraId="66CE2355" w14:textId="785BC2C3"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Guillo, R., &amp; Guillo, R. (2017). Assessment of Information Communications Technology (ICT) Competency of Teachers and Students at Batangas State University. International Journal of Co</w:t>
      </w:r>
      <w:r w:rsidRPr="00C77CFF">
        <w:rPr>
          <w:rFonts w:eastAsia="Times New Roman"/>
          <w:lang w:val="en-PH" w:eastAsia="en-PH"/>
        </w:rPr>
        <w:t>n</w:t>
      </w:r>
      <w:r w:rsidRPr="00C77CFF">
        <w:rPr>
          <w:rFonts w:eastAsia="Times New Roman"/>
          <w:lang w:val="en-PH" w:eastAsia="en-PH"/>
        </w:rPr>
        <w:t>temporary Applied Sciences, 4(4)</w:t>
      </w:r>
    </w:p>
    <w:p w14:paraId="0D2E55D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Ismail, M. N. (2020). Instructional strategy in the teaching of computer programming:  A need    a</w:t>
      </w:r>
      <w:r w:rsidRPr="00C77CFF">
        <w:rPr>
          <w:rFonts w:eastAsia="Times New Roman"/>
          <w:lang w:val="en-PH" w:eastAsia="en-PH"/>
        </w:rPr>
        <w:t>s</w:t>
      </w:r>
      <w:r w:rsidRPr="00C77CFF">
        <w:rPr>
          <w:rFonts w:eastAsia="Times New Roman"/>
          <w:lang w:val="en-PH" w:eastAsia="en-PH"/>
        </w:rPr>
        <w:t>sessment analyses. Retrieved from: https://www.researchgate.net/publication/2287652 83_Instructional_strategy_in_the_teaching_of_computer_programming_A_need_assessment_analys es</w:t>
      </w:r>
    </w:p>
    <w:p w14:paraId="459ECF8C"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Hafifah, G. N. (2020). Teachers Perspectives of ICTIntegration in English LanguageTeaching: A Review of Literature. Eng. Educ. Society. 5:1 </w:t>
      </w:r>
    </w:p>
    <w:p w14:paraId="788D168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Hegelheimer, V., Li, Z. &amp; Dursun, A. (2018). CALL (computer-assisted language learning) r</w:t>
      </w:r>
      <w:r w:rsidRPr="00C77CFF">
        <w:rPr>
          <w:rFonts w:eastAsia="Times New Roman"/>
          <w:lang w:val="en-PH" w:eastAsia="en-PH"/>
        </w:rPr>
        <w:t>e</w:t>
      </w:r>
      <w:r w:rsidRPr="00C77CFF">
        <w:rPr>
          <w:rFonts w:eastAsia="Times New Roman"/>
          <w:lang w:val="en-PH" w:eastAsia="en-PH"/>
        </w:rPr>
        <w:t>search: Teaching and technology. In J. I. Liontas &amp; M. DelliCarpini (Eds.), The TESOL encyclop</w:t>
      </w:r>
      <w:r w:rsidRPr="00C77CFF">
        <w:rPr>
          <w:rFonts w:eastAsia="Times New Roman"/>
          <w:lang w:val="en-PH" w:eastAsia="en-PH"/>
        </w:rPr>
        <w:t>e</w:t>
      </w:r>
      <w:r w:rsidRPr="00C77CFF">
        <w:rPr>
          <w:rFonts w:eastAsia="Times New Roman"/>
          <w:lang w:val="en-PH" w:eastAsia="en-PH"/>
        </w:rPr>
        <w:t xml:space="preserve">dia of English language teaching. </w:t>
      </w:r>
    </w:p>
    <w:p w14:paraId="57A65617"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Javier, B. F. (2021). Practices of Filipino Public        High School Teachers on Digital Teaching and Learning Technologies during the COVID-19 Pandemic Basis for Learning Action Cell Sessions. Online Submission.</w:t>
      </w:r>
    </w:p>
    <w:p w14:paraId="2341A5C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Juario, T. (2022). Teachers’ Adherence to ICT Literacy and Performance: Challenges and Success. Misamis Oriental, Philippines.</w:t>
      </w:r>
    </w:p>
    <w:p w14:paraId="2881423F"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Kaarakainen, M. T., Kivinen, O., &amp; Vainio, T. (2018). Performance-based testing for ICT skills a</w:t>
      </w:r>
      <w:r w:rsidRPr="00C77CFF">
        <w:rPr>
          <w:rFonts w:eastAsia="Times New Roman"/>
          <w:lang w:val="en-PH" w:eastAsia="en-PH"/>
        </w:rPr>
        <w:t>s</w:t>
      </w:r>
      <w:r w:rsidRPr="00C77CFF">
        <w:rPr>
          <w:rFonts w:eastAsia="Times New Roman"/>
          <w:lang w:val="en-PH" w:eastAsia="en-PH"/>
        </w:rPr>
        <w:t xml:space="preserve">sessing: a case study of students and teachers’ ICT skills in Finnish schools. Universal Access in the Information Society, 1-12. </w:t>
      </w:r>
    </w:p>
    <w:p w14:paraId="01D72FE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Kamala, J. (2021). Tanzania: Govt Vows Support of ICT Tools Use in Teaching.</w:t>
      </w:r>
    </w:p>
    <w:p w14:paraId="37554932"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Kieu, V., Truc, D., Tran, P. &amp; Nga, V, (2021). The Effectiveness of Using Technology in Learning English. 2021. AsiaCALL Online Journal   Vol. 12, No. 2. Retreived from https://asiacall.info/acoj </w:t>
      </w:r>
    </w:p>
    <w:p w14:paraId="5DE5D74F"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Kim, H., &amp; Lee, J. (2022). Technology-supported learner autonomy in ESL classrooms: Effects on engagement and achievement. Computers &amp; Education, 182, 104464. </w:t>
      </w:r>
    </w:p>
    <w:p w14:paraId="5581E1DE"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Mackare, K. and Jansone, A. (2018). Recommended formatting parameters for E-study materials. International Journal of Lifelong Education and Leadership.</w:t>
      </w:r>
    </w:p>
    <w:p w14:paraId="72C2D843"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Mafuraga, M. and Moremi, M. (2017). Integrating Information and Communication Technology in English Language teaching: A case study of selected Junior Secondary Schools in Botswana. Inte</w:t>
      </w:r>
      <w:r w:rsidRPr="00C77CFF">
        <w:rPr>
          <w:rFonts w:eastAsia="Times New Roman"/>
          <w:lang w:val="en-PH" w:eastAsia="en-PH"/>
        </w:rPr>
        <w:t>r</w:t>
      </w:r>
      <w:r w:rsidRPr="00C77CFF">
        <w:rPr>
          <w:rFonts w:eastAsia="Times New Roman"/>
          <w:lang w:val="en-PH" w:eastAsia="en-PH"/>
        </w:rPr>
        <w:t>national Journal of Education and Develop-ment Using Information and Communication Technol</w:t>
      </w:r>
      <w:r w:rsidRPr="00C77CFF">
        <w:rPr>
          <w:rFonts w:eastAsia="Times New Roman"/>
          <w:lang w:val="en-PH" w:eastAsia="en-PH"/>
        </w:rPr>
        <w:t>o</w:t>
      </w:r>
      <w:r w:rsidRPr="00C77CFF">
        <w:rPr>
          <w:rFonts w:eastAsia="Times New Roman"/>
          <w:lang w:val="en-PH" w:eastAsia="en-PH"/>
        </w:rPr>
        <w:t>gy (IJEDICT), 13(1):142–152-</w:t>
      </w:r>
    </w:p>
    <w:p w14:paraId="37EF81A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Makki, T. W., O'Neal, L. J., Cotten, S. R., &amp; Rikard, R. V. (2018). When first-order barriers are high: A comparison of second-and third-order barriers to classroom computing integration. Compu</w:t>
      </w:r>
      <w:r w:rsidRPr="00C77CFF">
        <w:rPr>
          <w:rFonts w:eastAsia="Times New Roman"/>
          <w:lang w:val="en-PH" w:eastAsia="en-PH"/>
        </w:rPr>
        <w:t>t</w:t>
      </w:r>
      <w:r w:rsidRPr="00C77CFF">
        <w:rPr>
          <w:rFonts w:eastAsia="Times New Roman"/>
          <w:lang w:val="en-PH" w:eastAsia="en-PH"/>
        </w:rPr>
        <w:t xml:space="preserve">ers &amp; Education, 120, 90-97. </w:t>
      </w:r>
    </w:p>
    <w:p w14:paraId="7A4D61C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Mehmood, U., Mahnaz, W., Nadia Mehrukh, Waqas Shabbir (2022). Relationship Between Utiliz</w:t>
      </w:r>
      <w:r w:rsidRPr="00C77CFF">
        <w:rPr>
          <w:rFonts w:eastAsia="Times New Roman"/>
          <w:lang w:val="en-PH" w:eastAsia="en-PH"/>
        </w:rPr>
        <w:t>a</w:t>
      </w:r>
      <w:r w:rsidRPr="00C77CFF">
        <w:rPr>
          <w:rFonts w:eastAsia="Times New Roman"/>
          <w:lang w:val="en-PH" w:eastAsia="en-PH"/>
        </w:rPr>
        <w:t>tion of Ict and Academic Achievement of Students at Secondary Level-- Palarch’s Journal of A</w:t>
      </w:r>
      <w:r w:rsidRPr="00C77CFF">
        <w:rPr>
          <w:rFonts w:eastAsia="Times New Roman"/>
          <w:lang w:val="en-PH" w:eastAsia="en-PH"/>
        </w:rPr>
        <w:t>r</w:t>
      </w:r>
      <w:r w:rsidRPr="00C77CFF">
        <w:rPr>
          <w:rFonts w:eastAsia="Times New Roman"/>
          <w:lang w:val="en-PH" w:eastAsia="en-PH"/>
        </w:rPr>
        <w:t>chaeology of Egypt/Egyptology 19(2), 317-324. ISSN 1567-214x</w:t>
      </w:r>
    </w:p>
    <w:p w14:paraId="05AD9432"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Navarro, L. A., &amp; Villanueva, C. R. (2023). Digital competence and instructional performance of public school teachers in the Philippines. Philippine Journal of Educational Research and Develo</w:t>
      </w:r>
      <w:r w:rsidRPr="00C77CFF">
        <w:rPr>
          <w:rFonts w:eastAsia="Times New Roman"/>
          <w:lang w:val="en-PH" w:eastAsia="en-PH"/>
        </w:rPr>
        <w:t>p</w:t>
      </w:r>
      <w:r w:rsidRPr="00C77CFF">
        <w:rPr>
          <w:rFonts w:eastAsia="Times New Roman"/>
          <w:lang w:val="en-PH" w:eastAsia="en-PH"/>
        </w:rPr>
        <w:t>ment, 32(1), 89–105.</w:t>
      </w:r>
    </w:p>
    <w:p w14:paraId="6F1B07E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Nnamdi-Eruchalu, G. I. (2022). Integrating ICT in the Teaching and Learning of Oral Literature.  I</w:t>
      </w:r>
      <w:r w:rsidRPr="00C77CFF">
        <w:rPr>
          <w:rFonts w:eastAsia="Times New Roman"/>
          <w:lang w:val="en-PH" w:eastAsia="en-PH"/>
        </w:rPr>
        <w:t>n</w:t>
      </w:r>
      <w:r w:rsidRPr="00C77CFF">
        <w:rPr>
          <w:rFonts w:eastAsia="Times New Roman"/>
          <w:lang w:val="en-PH" w:eastAsia="en-PH"/>
        </w:rPr>
        <w:t>ternational Journal of Research and Innovation in Social Science (IJRISS) |Volume VI, Issue XI, ISSN 2454-6186.</w:t>
      </w:r>
    </w:p>
    <w:p w14:paraId="7B0BC6B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Nueva, MGC (2019). A Literature Review on the Current Technocology in Education:  An Exam</w:t>
      </w:r>
      <w:r w:rsidRPr="00C77CFF">
        <w:rPr>
          <w:rFonts w:eastAsia="Times New Roman"/>
          <w:lang w:val="en-PH" w:eastAsia="en-PH"/>
        </w:rPr>
        <w:t>i</w:t>
      </w:r>
      <w:r w:rsidRPr="00C77CFF">
        <w:rPr>
          <w:rFonts w:eastAsia="Times New Roman"/>
          <w:lang w:val="en-PH" w:eastAsia="en-PH"/>
        </w:rPr>
        <w:t xml:space="preserve">nation of Teachers Use of Technology and Its Association to Digital Inequality in School. Retrieved </w:t>
      </w:r>
      <w:r w:rsidRPr="00C77CFF">
        <w:rPr>
          <w:rFonts w:eastAsia="Times New Roman"/>
          <w:lang w:val="en-PH" w:eastAsia="en-PH"/>
        </w:rPr>
        <w:lastRenderedPageBreak/>
        <w:t>from https://www.dlsu.edu.ph/wp-content/uploads/pdf/conferences/arts-congress-proceedings/2019/CP-04.pdf</w:t>
      </w:r>
    </w:p>
    <w:p w14:paraId="0DD26C1D"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OECD. 2017. Available online: https://www.oecd-ilibrary.org/science-and-technology/information-and-communication-technology-ict/indicator-group/english_04df17c2-en (accessed on 2 March 2021).</w:t>
      </w:r>
    </w:p>
    <w:p w14:paraId="5C8A591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Omariba, A., Ayot, H. O., &amp; Ondigi, S. R. (2015). TEACHERS’PREPAREDNESS IN INTEGRA</w:t>
      </w:r>
      <w:r w:rsidRPr="00C77CFF">
        <w:rPr>
          <w:rFonts w:eastAsia="Times New Roman"/>
          <w:lang w:val="en-PH" w:eastAsia="en-PH"/>
        </w:rPr>
        <w:t>T</w:t>
      </w:r>
      <w:r w:rsidRPr="00C77CFF">
        <w:rPr>
          <w:rFonts w:eastAsia="Times New Roman"/>
          <w:lang w:val="en-PH" w:eastAsia="en-PH"/>
        </w:rPr>
        <w:t>ING INFORMATION COMMUNICATION TECHNOLOGIES IN PUBLIC PRIMARY TEAC</w:t>
      </w:r>
      <w:r w:rsidRPr="00C77CFF">
        <w:rPr>
          <w:rFonts w:eastAsia="Times New Roman"/>
          <w:lang w:val="en-PH" w:eastAsia="en-PH"/>
        </w:rPr>
        <w:t>H</w:t>
      </w:r>
      <w:r w:rsidRPr="00C77CFF">
        <w:rPr>
          <w:rFonts w:eastAsia="Times New Roman"/>
          <w:lang w:val="en-PH" w:eastAsia="en-PH"/>
        </w:rPr>
        <w:t>ER TRAINING COLLEGES IN KENYA. Building Capacity Through Quality Teacher Education Nairobi, Kenya July 14-16, 2015, 333. Retrieved from http://bit.ly/2C3aDMk</w:t>
      </w:r>
    </w:p>
    <w:p w14:paraId="4288CF47"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Payne, J., &amp; Dituri, P. (2019). Spreadsheets as an Effective Use of Technology in Mathematics Ed</w:t>
      </w:r>
      <w:r w:rsidRPr="00C77CFF">
        <w:rPr>
          <w:rFonts w:eastAsia="Times New Roman"/>
          <w:lang w:val="en-PH" w:eastAsia="en-PH"/>
        </w:rPr>
        <w:t>u</w:t>
      </w:r>
      <w:r w:rsidRPr="00C77CFF">
        <w:rPr>
          <w:rFonts w:eastAsia="Times New Roman"/>
          <w:lang w:val="en-PH" w:eastAsia="en-PH"/>
        </w:rPr>
        <w:t>cation. Spreadsheets in Education, 10138.</w:t>
      </w:r>
    </w:p>
    <w:p w14:paraId="15849D4E"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Pradhan, Rudra P., Girijasankar Mallik, and Tapan P. Bagchi. (2018). Information communication technology (ICT) infrastructure and economic growth: A causality evinced by cross-country panel dana. IIMB Management Review 30: 91–103.</w:t>
      </w:r>
    </w:p>
    <w:p w14:paraId="1B9369E4"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Rahman, M., Singh, S., &amp; Das, R. (2021). Using podcasts to enhance listening comprehension in primary ESL learners. Journal of Language and Education Innovation, 5(4), 66–78.</w:t>
      </w:r>
    </w:p>
    <w:p w14:paraId="01521E4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Rodrigo, (2019). Quantifying the Impact of Severe Weather Conditions on Online Learning During the COVID-19 Pandemic. www.researchgate.com</w:t>
      </w:r>
    </w:p>
    <w:p w14:paraId="46606A73"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Saleem, M. and Zahra, M. (2017). An effect of ICT on student’s learning at secondary level in pr</w:t>
      </w:r>
      <w:r w:rsidRPr="00C77CFF">
        <w:rPr>
          <w:rFonts w:eastAsia="Times New Roman"/>
          <w:lang w:val="en-PH" w:eastAsia="en-PH"/>
        </w:rPr>
        <w:t>i</w:t>
      </w:r>
      <w:r w:rsidRPr="00C77CFF">
        <w:rPr>
          <w:rFonts w:eastAsia="Times New Roman"/>
          <w:lang w:val="en-PH" w:eastAsia="en-PH"/>
        </w:rPr>
        <w:t>vate schools of the Punjab. International Journal of Distance Education and E- Learning (IJDEEL); 2(1):69-89</w:t>
      </w:r>
    </w:p>
    <w:p w14:paraId="7BE0A3C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Sharma, A. (2022). Hybrid learning effectiveness in foundational education: A comparative study. Education and Information Technologies, 27(5), 5673–5690.</w:t>
      </w:r>
    </w:p>
    <w:p w14:paraId="73F7109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Siahaan, M. and Sirait, M.  (2017). Development of       Student Activity Sheet (Worksheet) Based on      Guided Inquiry to Improve Student’s Critical Thinking Skills in Senior High School. Journal of Education and Practice, 8 (20), </w:t>
      </w:r>
    </w:p>
    <w:p w14:paraId="68440C8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Starkey, L., Sylvester, A., &amp; Johnstone, D. (2017). Negotiating digital divides: Perspectives from the New Zealand schooling system. Journal of Research on Technology in Education, 49(1-2), 31-42. </w:t>
      </w:r>
    </w:p>
    <w:p w14:paraId="15A08BC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Sun, L. and Bradley, K. D. (2021). School Computer Use and Academic Performance.  Retrieved from: https://www.uky.edu/~kdbrad2/MWERA_Letao.pdf</w:t>
      </w:r>
    </w:p>
    <w:p w14:paraId="4B1E2B4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Sutherland, C. (2020). “7 Reasons why Students Need Technology in the Classroom.”   Explorance. https://explorance.com/blog/7-reasons-students-need technology-classroom/</w:t>
      </w:r>
    </w:p>
    <w:p w14:paraId="5F6E22A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Tamban, E., Maningasb, O. B., Dichosoc, M. F., Navalesd, M. S. M. &amp; Annabelle M. Angeles, A. M. (2022). Integration of Information Communication Technology (ICT) in Teaching Intermediate Victorianism.  American Academic Scientific Research Journal for Engineering, Technology, and Sciences (ASRJETS) Volume 87, No 1, pp105-116</w:t>
      </w:r>
    </w:p>
    <w:p w14:paraId="1F34F3F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Teacher Vicky E. (n.d.).  Learn in English with. https://www.youtube.com/@TheVicebora/featured</w:t>
      </w:r>
    </w:p>
    <w:p w14:paraId="4D7FBED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Tomaro, Q. (2018). ICT integration in the educational system of the Philippines. www.researchgate.com</w:t>
      </w:r>
    </w:p>
    <w:p w14:paraId="38C8365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Ulla, M. B., William F. Perales, W. F., &amp; Tarrayo, V. N. (2020).  Integrating Internet-based applic</w:t>
      </w:r>
      <w:r w:rsidRPr="00C77CFF">
        <w:rPr>
          <w:rFonts w:eastAsia="Times New Roman"/>
          <w:lang w:val="en-PH" w:eastAsia="en-PH"/>
        </w:rPr>
        <w:t>a</w:t>
      </w:r>
      <w:r w:rsidRPr="00C77CFF">
        <w:rPr>
          <w:rFonts w:eastAsia="Times New Roman"/>
          <w:lang w:val="en-PH" w:eastAsia="en-PH"/>
        </w:rPr>
        <w:t>tions in English language teaching: Teacher practices in a Thai university. Issues in Educational R</w:t>
      </w:r>
      <w:r w:rsidRPr="00C77CFF">
        <w:rPr>
          <w:rFonts w:eastAsia="Times New Roman"/>
          <w:lang w:val="en-PH" w:eastAsia="en-PH"/>
        </w:rPr>
        <w:t>e</w:t>
      </w:r>
      <w:r w:rsidRPr="00C77CFF">
        <w:rPr>
          <w:rFonts w:eastAsia="Times New Roman"/>
          <w:lang w:val="en-PH" w:eastAsia="en-PH"/>
        </w:rPr>
        <w:t>search, 30(1), Retrieved from https://www.iier.org.au/iier30/ulla.pdf</w:t>
      </w:r>
    </w:p>
    <w:p w14:paraId="73D955FC" w14:textId="68D858C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Umar, A. D. and Iyere, J. M. (2021). The Teaching of Poetry through Information Technology Sy</w:t>
      </w:r>
      <w:r w:rsidRPr="00C77CFF">
        <w:rPr>
          <w:rFonts w:eastAsia="Times New Roman"/>
          <w:lang w:val="en-PH" w:eastAsia="en-PH"/>
        </w:rPr>
        <w:t>s</w:t>
      </w:r>
      <w:r w:rsidRPr="00C77CFF">
        <w:rPr>
          <w:rFonts w:eastAsia="Times New Roman"/>
          <w:lang w:val="en-PH" w:eastAsia="en-PH"/>
        </w:rPr>
        <w:t>tems in Secondary Schools. East African Scholars Journal of Education, Humanities and Literature. Vol 4 (12). 477- 483. DOI: 10.36349/easjehl. 2021. v04i12. 006.</w:t>
      </w:r>
    </w:p>
    <w:p w14:paraId="73C48F1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UNESCO. (2023). Technology in education: A tool on whose terms? UNESCO Publishing. https://unesdoc.unesco.org/ark:/48223/pf0000386141</w:t>
      </w:r>
    </w:p>
    <w:p w14:paraId="25CAEBBA" w14:textId="56B270F2" w:rsidR="00187F02"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Usman L. O., Ogunnaike, M. J., Muniyandi, R. C., and Adenubi, A.  (2020). The Teaching and Learning of Literature in Schools: The Pedagogical Enhancement Through Information and Co</w:t>
      </w:r>
      <w:r w:rsidRPr="00C77CFF">
        <w:rPr>
          <w:rFonts w:eastAsia="Times New Roman"/>
          <w:lang w:val="en-PH" w:eastAsia="en-PH"/>
        </w:rPr>
        <w:t>m</w:t>
      </w:r>
      <w:r w:rsidRPr="00C77CFF">
        <w:rPr>
          <w:rFonts w:eastAsia="Times New Roman"/>
          <w:lang w:val="en-PH" w:eastAsia="en-PH"/>
        </w:rPr>
        <w:t>munication Technology. Proceedings – Malaysia International Convention on Education Research &amp; Management (MICER) 1416, March. Bangi Resort Hotel, Bandar Baru Bangi, Malaysia.</w:t>
      </w:r>
    </w:p>
    <w:p w14:paraId="41A5DFD3" w14:textId="77777777" w:rsidR="00187F02" w:rsidRPr="00C77CFF" w:rsidRDefault="00187F02" w:rsidP="00C77CFF">
      <w:pPr>
        <w:suppressAutoHyphens w:val="0"/>
        <w:spacing w:after="120" w:line="240" w:lineRule="auto"/>
        <w:ind w:left="284"/>
        <w:contextualSpacing/>
        <w:rPr>
          <w:rFonts w:eastAsia="MS Mincho"/>
          <w:szCs w:val="24"/>
          <w:lang w:eastAsia="en-US"/>
        </w:rPr>
      </w:pPr>
    </w:p>
    <w:sectPr w:rsidR="00187F02" w:rsidRPr="00C77CFF" w:rsidSect="006B2D37">
      <w:headerReference w:type="default" r:id="rId8"/>
      <w:pgSz w:w="11906" w:h="16838"/>
      <w:pgMar w:top="1080" w:right="605" w:bottom="605" w:left="605" w:header="346" w:footer="40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70A4E" w14:textId="77777777" w:rsidR="00E95360" w:rsidRDefault="00E95360">
      <w:pPr>
        <w:spacing w:line="240" w:lineRule="auto"/>
      </w:pPr>
      <w:r>
        <w:separator/>
      </w:r>
    </w:p>
  </w:endnote>
  <w:endnote w:type="continuationSeparator" w:id="0">
    <w:p w14:paraId="5C11B45E" w14:textId="77777777" w:rsidR="00E95360" w:rsidRDefault="00E95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libri"/>
    <w:charset w:val="01"/>
    <w:family w:val="auto"/>
    <w:pitch w:val="variable"/>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21F5E" w14:textId="77777777" w:rsidR="00E95360" w:rsidRDefault="00E95360">
      <w:pPr>
        <w:spacing w:line="240" w:lineRule="auto"/>
      </w:pPr>
      <w:r>
        <w:separator/>
      </w:r>
    </w:p>
  </w:footnote>
  <w:footnote w:type="continuationSeparator" w:id="0">
    <w:p w14:paraId="62696204" w14:textId="77777777" w:rsidR="00E95360" w:rsidRDefault="00E953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F8579" w14:textId="77777777" w:rsidR="00724BB5" w:rsidRDefault="00724BB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0259"/>
    <w:multiLevelType w:val="multilevel"/>
    <w:tmpl w:val="96BE5E3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739E9"/>
    <w:multiLevelType w:val="multilevel"/>
    <w:tmpl w:val="C24C5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nsid w:val="4F146605"/>
    <w:multiLevelType w:val="hybridMultilevel"/>
    <w:tmpl w:val="4300E30E"/>
    <w:lvl w:ilvl="0" w:tplc="3409000F">
      <w:start w:val="1"/>
      <w:numFmt w:val="decimal"/>
      <w:lvlText w:val="%1."/>
      <w:lvlJc w:val="left"/>
      <w:pPr>
        <w:ind w:left="1004" w:hanging="360"/>
      </w:p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nsid w:val="59AD1E02"/>
    <w:multiLevelType w:val="hybridMultilevel"/>
    <w:tmpl w:val="B8C4B5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643"/>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B5"/>
    <w:rsid w:val="0001708D"/>
    <w:rsid w:val="00064A3C"/>
    <w:rsid w:val="00075730"/>
    <w:rsid w:val="0014522C"/>
    <w:rsid w:val="00187F02"/>
    <w:rsid w:val="001E5B87"/>
    <w:rsid w:val="00272D2A"/>
    <w:rsid w:val="002A07B7"/>
    <w:rsid w:val="00474257"/>
    <w:rsid w:val="00492A00"/>
    <w:rsid w:val="004B4197"/>
    <w:rsid w:val="00626CAA"/>
    <w:rsid w:val="006B2D37"/>
    <w:rsid w:val="006E39AC"/>
    <w:rsid w:val="007063A9"/>
    <w:rsid w:val="00724BB5"/>
    <w:rsid w:val="007C453C"/>
    <w:rsid w:val="007D08D8"/>
    <w:rsid w:val="00824AC3"/>
    <w:rsid w:val="008D2CFA"/>
    <w:rsid w:val="008F3EF2"/>
    <w:rsid w:val="009C40DD"/>
    <w:rsid w:val="009F1C8E"/>
    <w:rsid w:val="009F2BD3"/>
    <w:rsid w:val="00A03149"/>
    <w:rsid w:val="00A137A6"/>
    <w:rsid w:val="00A71E1A"/>
    <w:rsid w:val="00B04DB4"/>
    <w:rsid w:val="00B42F9D"/>
    <w:rsid w:val="00B66262"/>
    <w:rsid w:val="00BB1148"/>
    <w:rsid w:val="00BC1C58"/>
    <w:rsid w:val="00C07A4A"/>
    <w:rsid w:val="00C15F0C"/>
    <w:rsid w:val="00C5217F"/>
    <w:rsid w:val="00C54842"/>
    <w:rsid w:val="00C60A37"/>
    <w:rsid w:val="00C77CFF"/>
    <w:rsid w:val="00DB6B20"/>
    <w:rsid w:val="00DD2C91"/>
    <w:rsid w:val="00E0700B"/>
    <w:rsid w:val="00E74251"/>
    <w:rsid w:val="00E772A7"/>
    <w:rsid w:val="00E83EAF"/>
    <w:rsid w:val="00E95360"/>
    <w:rsid w:val="00EC4343"/>
    <w:rsid w:val="00FC4F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customStyle="1" w:styleId="UnresolvedMention">
    <w:name w:val="Unresolved Mention"/>
    <w:uiPriority w:val="99"/>
    <w:semiHidden/>
    <w:unhideWhenUsed/>
    <w:rsid w:val="00A137A6"/>
    <w:rPr>
      <w:color w:val="605E5C"/>
      <w:shd w:val="clear" w:color="auto" w:fill="E1DFDD"/>
    </w:rPr>
  </w:style>
  <w:style w:type="table" w:customStyle="1"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next w:val="GridTableLight"/>
    <w:uiPriority w:val="40"/>
    <w:rsid w:val="001E5B8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1E5B8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3">
    <w:name w:val="Table Grid Light3"/>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4">
    <w:name w:val="Table Grid Light4"/>
    <w:basedOn w:val="TableNormal"/>
    <w:next w:val="GridTableLight"/>
    <w:uiPriority w:val="40"/>
    <w:rsid w:val="00492A00"/>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5">
    <w:name w:val="Table Grid Light5"/>
    <w:basedOn w:val="TableNormal"/>
    <w:next w:val="GridTableLight"/>
    <w:uiPriority w:val="40"/>
    <w:rsid w:val="00A03149"/>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6">
    <w:name w:val="Table Grid Light6"/>
    <w:basedOn w:val="TableNormal"/>
    <w:next w:val="GridTableLight"/>
    <w:uiPriority w:val="40"/>
    <w:rsid w:val="00B04DB4"/>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7">
    <w:name w:val="Table Grid Light7"/>
    <w:basedOn w:val="TableNormal"/>
    <w:next w:val="GridTableLight"/>
    <w:uiPriority w:val="40"/>
    <w:rsid w:val="008D2CFA"/>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8">
    <w:name w:val="Table Grid Light8"/>
    <w:basedOn w:val="TableNormal"/>
    <w:next w:val="GridTableLight"/>
    <w:uiPriority w:val="40"/>
    <w:rsid w:val="008D2CFA"/>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customStyle="1" w:styleId="UnresolvedMention">
    <w:name w:val="Unresolved Mention"/>
    <w:uiPriority w:val="99"/>
    <w:semiHidden/>
    <w:unhideWhenUsed/>
    <w:rsid w:val="00A137A6"/>
    <w:rPr>
      <w:color w:val="605E5C"/>
      <w:shd w:val="clear" w:color="auto" w:fill="E1DFDD"/>
    </w:rPr>
  </w:style>
  <w:style w:type="table" w:customStyle="1"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next w:val="GridTableLight"/>
    <w:uiPriority w:val="40"/>
    <w:rsid w:val="001E5B8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1E5B8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3">
    <w:name w:val="Table Grid Light3"/>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4">
    <w:name w:val="Table Grid Light4"/>
    <w:basedOn w:val="TableNormal"/>
    <w:next w:val="GridTableLight"/>
    <w:uiPriority w:val="40"/>
    <w:rsid w:val="00492A00"/>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5">
    <w:name w:val="Table Grid Light5"/>
    <w:basedOn w:val="TableNormal"/>
    <w:next w:val="GridTableLight"/>
    <w:uiPriority w:val="40"/>
    <w:rsid w:val="00A03149"/>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6">
    <w:name w:val="Table Grid Light6"/>
    <w:basedOn w:val="TableNormal"/>
    <w:next w:val="GridTableLight"/>
    <w:uiPriority w:val="40"/>
    <w:rsid w:val="00B04DB4"/>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7">
    <w:name w:val="Table Grid Light7"/>
    <w:basedOn w:val="TableNormal"/>
    <w:next w:val="GridTableLight"/>
    <w:uiPriority w:val="40"/>
    <w:rsid w:val="008D2CFA"/>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8">
    <w:name w:val="Table Grid Light8"/>
    <w:basedOn w:val="TableNormal"/>
    <w:next w:val="GridTableLight"/>
    <w:uiPriority w:val="40"/>
    <w:rsid w:val="008D2CFA"/>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6178">
      <w:bodyDiv w:val="1"/>
      <w:marLeft w:val="0"/>
      <w:marRight w:val="0"/>
      <w:marTop w:val="0"/>
      <w:marBottom w:val="0"/>
      <w:divBdr>
        <w:top w:val="none" w:sz="0" w:space="0" w:color="auto"/>
        <w:left w:val="none" w:sz="0" w:space="0" w:color="auto"/>
        <w:bottom w:val="none" w:sz="0" w:space="0" w:color="auto"/>
        <w:right w:val="none" w:sz="0" w:space="0" w:color="auto"/>
      </w:divBdr>
    </w:div>
    <w:div w:id="161482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8147</Words>
  <Characters>46441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qwert</cp:lastModifiedBy>
  <cp:revision>11</cp:revision>
  <cp:lastPrinted>1900-12-31T18:30:00Z</cp:lastPrinted>
  <dcterms:created xsi:type="dcterms:W3CDTF">2026-04-26T12:35:00Z</dcterms:created>
  <dcterms:modified xsi:type="dcterms:W3CDTF">2026-04-28T11:10:00Z</dcterms:modified>
  <dc:language>en-US</dc:language>
</cp:coreProperties>
</file>