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7F3" w:rsidRDefault="00267ED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Artificial Intelligence Applications in Clinical Laboratory Diagnostics: A Systematic Review of Diagnostic Accuracy, Workflow Efficiency, and Clinical Utility</w:t>
      </w:r>
    </w:p>
    <w:p w:rsidR="00B267F3" w:rsidRDefault="00267ED9">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bookmarkStart w:id="0" w:name="_GoBack"/>
      <w:bookmarkEnd w:id="0"/>
      <w:r>
        <w:rPr>
          <w:rFonts w:ascii="Times New Roman" w:eastAsia="Times New Roman" w:hAnsi="Times New Roman" w:cs="Times New Roman"/>
          <w:b/>
          <w:bCs/>
          <w:sz w:val="24"/>
          <w:szCs w:val="24"/>
        </w:rPr>
        <w:t>Abstract</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Artificial intelligen</w:t>
      </w:r>
      <w:r>
        <w:rPr>
          <w:rFonts w:ascii="Times New Roman" w:eastAsia="Times New Roman" w:hAnsi="Times New Roman" w:cs="Times New Roman"/>
          <w:sz w:val="24"/>
          <w:szCs w:val="24"/>
        </w:rPr>
        <w:t>ce (AI) is increasingly integrated into clinical laboratory diagnostics, enhancing data interpretation, diagnostic precision, and healthcare delivery. Despite rapid advancements, evidence remains fragmented across diagnostic performance, workflow efficienc</w:t>
      </w:r>
      <w:r>
        <w:rPr>
          <w:rFonts w:ascii="Times New Roman" w:eastAsia="Times New Roman" w:hAnsi="Times New Roman" w:cs="Times New Roman"/>
          <w:sz w:val="24"/>
          <w:szCs w:val="24"/>
        </w:rPr>
        <w:t>y, and real-world clinical impact.</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sz w:val="24"/>
          <w:szCs w:val="24"/>
        </w:rPr>
        <w:t xml:space="preserve"> To systematically evaluate the applications of AI in clinical laboratory diagnostics, focusing on diagnostic accuracy, workflow efficiency, and clinical utility.</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Methodology:</w:t>
      </w:r>
      <w:r>
        <w:rPr>
          <w:rFonts w:ascii="Times New Roman" w:eastAsia="Times New Roman" w:hAnsi="Times New Roman" w:cs="Times New Roman"/>
          <w:sz w:val="24"/>
          <w:szCs w:val="24"/>
        </w:rPr>
        <w:t xml:space="preserve"> This systematic review was conducte</w:t>
      </w:r>
      <w:r>
        <w:rPr>
          <w:rFonts w:ascii="Times New Roman" w:eastAsia="Times New Roman" w:hAnsi="Times New Roman" w:cs="Times New Roman"/>
          <w:sz w:val="24"/>
          <w:szCs w:val="24"/>
        </w:rPr>
        <w:t>d in accordance with PRISMA guidelines and registered in PROSPERO (Registration No.:</w:t>
      </w:r>
      <w:r>
        <w:rPr>
          <w:rFonts w:ascii="Times New Roman" w:eastAsia="Times New Roman" w:hAnsi="Times New Roman" w:cs="Times New Roman"/>
          <w:color w:val="212529"/>
          <w:sz w:val="24"/>
          <w:szCs w:val="24"/>
          <w:shd w:val="clear" w:color="auto" w:fill="FAFAFA"/>
        </w:rPr>
        <w:t>CRD420261379141</w:t>
      </w:r>
      <w:r>
        <w:rPr>
          <w:rFonts w:ascii="Times New Roman" w:eastAsia="Times New Roman" w:hAnsi="Times New Roman" w:cs="Times New Roman"/>
          <w:sz w:val="24"/>
          <w:szCs w:val="24"/>
        </w:rPr>
        <w:t>). A comprehensive search of PubMed, Scopus, Web of Science, and Cochrane Library was performed for studies published within the last 13 years. Eligible stud</w:t>
      </w:r>
      <w:r>
        <w:rPr>
          <w:rFonts w:ascii="Times New Roman" w:eastAsia="Times New Roman" w:hAnsi="Times New Roman" w:cs="Times New Roman"/>
          <w:sz w:val="24"/>
          <w:szCs w:val="24"/>
        </w:rPr>
        <w:t>ies included diagnostic accuracy studies, observational studies, and clinical trials involving AI applications in laboratory diagnostics. Data extraction and quality assessment were conducted using standardized tools, and findings were synthesized narrativ</w:t>
      </w:r>
      <w:r>
        <w:rPr>
          <w:rFonts w:ascii="Times New Roman" w:eastAsia="Times New Roman" w:hAnsi="Times New Roman" w:cs="Times New Roman"/>
          <w:sz w:val="24"/>
          <w:szCs w:val="24"/>
        </w:rPr>
        <w:t>ely.</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A total of 65 studies were included from 450 identified records. AI models demonstrated high diagnostic performance across multiple clinical domains, with area under the curve (AUC) values frequently exceeding 0.85–0.95 and performance often </w:t>
      </w:r>
      <w:r>
        <w:rPr>
          <w:rFonts w:ascii="Times New Roman" w:eastAsia="Times New Roman" w:hAnsi="Times New Roman" w:cs="Times New Roman"/>
          <w:sz w:val="24"/>
          <w:szCs w:val="24"/>
        </w:rPr>
        <w:t>comparable to or surpassing human experts. AI integration significantly improved workflow efficiency by reducing turnaround times, automating data interpretation, and optimizing resource utilization. Additionally, AI showed strong clinical utility in early</w:t>
      </w:r>
      <w:r>
        <w:rPr>
          <w:rFonts w:ascii="Times New Roman" w:eastAsia="Times New Roman" w:hAnsi="Times New Roman" w:cs="Times New Roman"/>
          <w:sz w:val="24"/>
          <w:szCs w:val="24"/>
        </w:rPr>
        <w:t xml:space="preserve"> disease detection, risk stratification, and personalized medicine. However, limitations such as lack of external validation, dataset heterogeneity, and implementation challenges were commonly reported.</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AI has substantial potential to transform</w:t>
      </w:r>
      <w:r>
        <w:rPr>
          <w:rFonts w:ascii="Times New Roman" w:eastAsia="Times New Roman" w:hAnsi="Times New Roman" w:cs="Times New Roman"/>
          <w:sz w:val="24"/>
          <w:szCs w:val="24"/>
        </w:rPr>
        <w:t xml:space="preserve"> clinical laboratory diagnostics by improving accuracy, efficiency, and clinical decision-making. Future research should emphasize standardized validation, multicenter studies, and real-world implementation to support safe and equitable integration into he</w:t>
      </w:r>
      <w:r>
        <w:rPr>
          <w:rFonts w:ascii="Times New Roman" w:eastAsia="Times New Roman" w:hAnsi="Times New Roman" w:cs="Times New Roman"/>
          <w:sz w:val="24"/>
          <w:szCs w:val="24"/>
        </w:rPr>
        <w:t>althcare systems.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Artificial intelligence, Clinical laboratory diagnostics, Machine learning, Diagnostic accuracy, Workflow efficiency, Clinical utility, Systematic review, Precision medicine, Philippines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Artificial intelligence (AI) in healthcare is broadly defined as the application of computational </w:t>
      </w:r>
      <w:r>
        <w:rPr>
          <w:rFonts w:ascii="Times New Roman" w:eastAsia="Times New Roman" w:hAnsi="Times New Roman" w:cs="Times New Roman"/>
          <w:sz w:val="24"/>
          <w:szCs w:val="24"/>
        </w:rPr>
        <w:lastRenderedPageBreak/>
        <w:t>systems capable of performing tasks that typically require human intelligence, such as learning, reasoning, pattern recognition, and decision-making, to analy</w:t>
      </w:r>
      <w:r>
        <w:rPr>
          <w:rFonts w:ascii="Times New Roman" w:eastAsia="Times New Roman" w:hAnsi="Times New Roman" w:cs="Times New Roman"/>
          <w:sz w:val="24"/>
          <w:szCs w:val="24"/>
        </w:rPr>
        <w:t>ze complex medical data and support clinical care (Erasmus &amp; Ondoa, 2023). The World Health Organization, Regional Office for Europe further emphasizes that AI is increasingly embedded in diagnostic processes, clinical decision-making, and health system ma</w:t>
      </w:r>
      <w:r>
        <w:rPr>
          <w:rFonts w:ascii="Times New Roman" w:eastAsia="Times New Roman" w:hAnsi="Times New Roman" w:cs="Times New Roman"/>
          <w:sz w:val="24"/>
          <w:szCs w:val="24"/>
        </w:rPr>
        <w:t>nagement, reflecting its growing role in modern medicine (World Health Organization Regional Office for Europe, 2025). Within clinical laboratory diagnostics, AI integrates diverse datasets, including biochemical assays, genomic data, and electronic health</w:t>
      </w:r>
      <w:r>
        <w:rPr>
          <w:rFonts w:ascii="Times New Roman" w:eastAsia="Times New Roman" w:hAnsi="Times New Roman" w:cs="Times New Roman"/>
          <w:sz w:val="24"/>
          <w:szCs w:val="24"/>
        </w:rPr>
        <w:t xml:space="preserve"> records, to enhance diagnostic precision, accelerate interpretation, and support evidence-based clinical decisions (Fahim et al., 2025).</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applications in laboratory medicine can be classified according to methodological approaches and functional domains</w:t>
      </w:r>
      <w:r>
        <w:rPr>
          <w:rFonts w:ascii="Times New Roman" w:eastAsia="Times New Roman" w:hAnsi="Times New Roman" w:cs="Times New Roman"/>
          <w:sz w:val="24"/>
          <w:szCs w:val="24"/>
        </w:rPr>
        <w:t>. Methodologically, AI encompasses machine learning (ML), deep learning (DL), and computer vision techniques, which enable automated pattern recognition, classification, and predictive modeling from large-scale laboratory datasets (Ivanova et al., 2024). F</w:t>
      </w:r>
      <w:r>
        <w:rPr>
          <w:rFonts w:ascii="Times New Roman" w:eastAsia="Times New Roman" w:hAnsi="Times New Roman" w:cs="Times New Roman"/>
          <w:sz w:val="24"/>
          <w:szCs w:val="24"/>
        </w:rPr>
        <w:t>unctionally, AI systems are applied across the total testing process, pre-analytical (e.g., sample management), analytical (e.g., image and signal interpretation), and post-analytical phases (e.g., result validation and clinical decision support) (Hou et a</w:t>
      </w:r>
      <w:r>
        <w:rPr>
          <w:rFonts w:ascii="Times New Roman" w:eastAsia="Times New Roman" w:hAnsi="Times New Roman" w:cs="Times New Roman"/>
          <w:sz w:val="24"/>
          <w:szCs w:val="24"/>
        </w:rPr>
        <w:t>l., 2024). Assessment of AI performance in diagnostics commonly relies on standardized metrics such as sensitivity, specificity, accuracy, and area under the receiver operating characteristic curve (AUC-ROC), as well as comparative evaluation against human</w:t>
      </w:r>
      <w:r>
        <w:rPr>
          <w:rFonts w:ascii="Times New Roman" w:eastAsia="Times New Roman" w:hAnsi="Times New Roman" w:cs="Times New Roman"/>
          <w:sz w:val="24"/>
          <w:szCs w:val="24"/>
        </w:rPr>
        <w:t xml:space="preserve"> experts (Erickson &amp; Kitamura, 2021). In response to the need for harmonized evaluation, the ITU-WHO Focus Group on Artificial Intelligence for Health has developed benchmarking frameworks to standardize the validation of AI-based diagnostic tools globally</w:t>
      </w:r>
      <w:r>
        <w:rPr>
          <w:rFonts w:ascii="Times New Roman" w:eastAsia="Times New Roman" w:hAnsi="Times New Roman" w:cs="Times New Roman"/>
          <w:sz w:val="24"/>
          <w:szCs w:val="24"/>
        </w:rPr>
        <w:t xml:space="preserve"> (International Telecommunication Union, ITU, WHO, &amp; WIPO, 2025).</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population level, the integration of AI into clinical laboratory systems holds significant implications for public health (Undru et al., 2022) . Laboratory diagnostics serve as the ba</w:t>
      </w:r>
      <w:r>
        <w:rPr>
          <w:rFonts w:ascii="Times New Roman" w:eastAsia="Times New Roman" w:hAnsi="Times New Roman" w:cs="Times New Roman"/>
          <w:sz w:val="24"/>
          <w:szCs w:val="24"/>
        </w:rPr>
        <w:t>sis for disease surveillance, screening, and management, and improvements in diagnostic accuracy and efficiency can directly influence morbidity, mortality, and healthcare resource allocation (White et al., 2025) . AI-driven laboratory systems enable high-</w:t>
      </w:r>
      <w:r>
        <w:rPr>
          <w:rFonts w:ascii="Times New Roman" w:eastAsia="Times New Roman" w:hAnsi="Times New Roman" w:cs="Times New Roman"/>
          <w:sz w:val="24"/>
          <w:szCs w:val="24"/>
        </w:rPr>
        <w:t>throughput data processing, early disease detection, and predictive analytics (Veseli, Mehrabanian, &amp; Ammar, 2025),  thereby enhancing population-level disease control and supporting precision medicine initiatives (Zhou et al., 2025; World Health Organizat</w:t>
      </w:r>
      <w:r>
        <w:rPr>
          <w:rFonts w:ascii="Times New Roman" w:eastAsia="Times New Roman" w:hAnsi="Times New Roman" w:cs="Times New Roman"/>
          <w:sz w:val="24"/>
          <w:szCs w:val="24"/>
        </w:rPr>
        <w:t>ion, 2024). Moreover, AI has demonstrated potential to reduce diagnostic errors, optimize workflow efficiency, and address workforce shortages, which are critical challenges in both high-resource and resource-limited settings (Gilligan, 2025).</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Globally, th</w:t>
      </w:r>
      <w:r>
        <w:rPr>
          <w:rFonts w:ascii="Times New Roman" w:eastAsia="Times New Roman" w:hAnsi="Times New Roman" w:cs="Times New Roman"/>
          <w:sz w:val="24"/>
          <w:szCs w:val="24"/>
        </w:rPr>
        <w:t>e adoption of AI in laboratory diagnostics is expanding rapidly, driven by increasing digitization of healthcare systems and the growing volume of diagnostic data (Saul, 2025) . International efforts, particularly by the World Health Organization, highligh</w:t>
      </w:r>
      <w:r>
        <w:rPr>
          <w:rFonts w:ascii="Times New Roman" w:eastAsia="Times New Roman" w:hAnsi="Times New Roman" w:cs="Times New Roman"/>
          <w:sz w:val="24"/>
          <w:szCs w:val="24"/>
        </w:rPr>
        <w:t>t the importance of ensuring equitable access, ethical governance, and standardized implementation of AI technologies to prevent widening health disparities (World Health Organization, 2024) . Despite promising advancements, global implementation remains u</w:t>
      </w:r>
      <w:r>
        <w:rPr>
          <w:rFonts w:ascii="Times New Roman" w:eastAsia="Times New Roman" w:hAnsi="Times New Roman" w:cs="Times New Roman"/>
          <w:sz w:val="24"/>
          <w:szCs w:val="24"/>
        </w:rPr>
        <w:t xml:space="preserve">neven, with low- and middle-income </w:t>
      </w:r>
      <w:r>
        <w:rPr>
          <w:rFonts w:ascii="Times New Roman" w:eastAsia="Times New Roman" w:hAnsi="Times New Roman" w:cs="Times New Roman"/>
          <w:sz w:val="24"/>
          <w:szCs w:val="24"/>
        </w:rPr>
        <w:lastRenderedPageBreak/>
        <w:t>countries facing barriers such as limited infrastructure, lack of validated datasets, and regulatory challenges.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rapid growth of AI applications, several critical gaps persist in the current body of literature</w:t>
      </w:r>
      <w:r>
        <w:rPr>
          <w:rFonts w:ascii="Times New Roman" w:eastAsia="Times New Roman" w:hAnsi="Times New Roman" w:cs="Times New Roman"/>
          <w:sz w:val="24"/>
          <w:szCs w:val="24"/>
        </w:rPr>
        <w:t>. Many studies are limited by small, non-representative datasets, lack of external validation, and potential biases in algorithm development, which restrict generalizability across diverse populations (Suleman et al., 2025). There is heterogeneity in repor</w:t>
      </w:r>
      <w:r>
        <w:rPr>
          <w:rFonts w:ascii="Times New Roman" w:eastAsia="Times New Roman" w:hAnsi="Times New Roman" w:cs="Times New Roman"/>
          <w:sz w:val="24"/>
          <w:szCs w:val="24"/>
        </w:rPr>
        <w:t>ted performance metrics and insufficient evaluation of real-world clinical utility, workflow integration, and cost-effectiveness (Yu et al., 2022). Ethical concerns, including data privacy, transparency of “black-box” models, and algorithmic bias, remain i</w:t>
      </w:r>
      <w:r>
        <w:rPr>
          <w:rFonts w:ascii="Times New Roman" w:eastAsia="Times New Roman" w:hAnsi="Times New Roman" w:cs="Times New Roman"/>
          <w:sz w:val="24"/>
          <w:szCs w:val="24"/>
        </w:rPr>
        <w:t>nadequately addressed, further limiting clinical adoption (Lippi &amp; Plebani, 2025) . Importantly, few systematic syntheses comprehensively evaluate AI performance across the full spectrum of laboratory workflows while simultaneously considering diagnostic a</w:t>
      </w:r>
      <w:r>
        <w:rPr>
          <w:rFonts w:ascii="Times New Roman" w:eastAsia="Times New Roman" w:hAnsi="Times New Roman" w:cs="Times New Roman"/>
          <w:sz w:val="24"/>
          <w:szCs w:val="24"/>
        </w:rPr>
        <w:t>ccuracy, operational efficiency, and clinical impact (Szumilas et al., 2024). Artificial intelligence has also been increasingly applied in biomarker analysis, improving the interpretation of complex laboratory data and supporting diagnostic decision-makin</w:t>
      </w:r>
      <w:r>
        <w:rPr>
          <w:rFonts w:ascii="Times New Roman" w:eastAsia="Times New Roman" w:hAnsi="Times New Roman" w:cs="Times New Roman"/>
          <w:sz w:val="24"/>
          <w:szCs w:val="24"/>
        </w:rPr>
        <w:t xml:space="preserve">g (Seliverstov et al., 2024)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light of these gaps, this study aims to systematically review the applications of artificial intelligence in clinical laboratory diagnostics, with a focus on three key domains: diagnostic accuracy, workflow efficiency, and </w:t>
      </w:r>
      <w:r>
        <w:rPr>
          <w:rFonts w:ascii="Times New Roman" w:eastAsia="Times New Roman" w:hAnsi="Times New Roman" w:cs="Times New Roman"/>
          <w:sz w:val="24"/>
          <w:szCs w:val="24"/>
        </w:rPr>
        <w:t>clinical utility. Specifically, the objectives are to (1) evaluate the diagnostic performance of AI-based laboratory tools compared to conventional methods and human experts; (2) assess the impact of AI on laboratory workflow processes, including turnaroun</w:t>
      </w:r>
      <w:r>
        <w:rPr>
          <w:rFonts w:ascii="Times New Roman" w:eastAsia="Times New Roman" w:hAnsi="Times New Roman" w:cs="Times New Roman"/>
          <w:sz w:val="24"/>
          <w:szCs w:val="24"/>
        </w:rPr>
        <w:t>d time and operational efficiency; and (3) synthesize evidence on the clinical utility and real-world applicability of AI in improving patient outcomes and healthcare delivery.</w:t>
      </w:r>
    </w:p>
    <w:p w:rsidR="00B267F3" w:rsidRDefault="00267ED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METHODOLOGY</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1" w:name="_w8pctbxcvd1z" w:colFirst="0" w:colLast="0"/>
      <w:bookmarkEnd w:id="1"/>
      <w:r>
        <w:rPr>
          <w:rFonts w:ascii="Times New Roman" w:eastAsia="Times New Roman" w:hAnsi="Times New Roman" w:cs="Times New Roman"/>
          <w:b/>
          <w:bCs/>
          <w:sz w:val="24"/>
          <w:szCs w:val="24"/>
        </w:rPr>
        <w:t>Study Design</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was conducted in accordance wi</w:t>
      </w:r>
      <w:r>
        <w:rPr>
          <w:rFonts w:ascii="Times New Roman" w:eastAsia="Times New Roman" w:hAnsi="Times New Roman" w:cs="Times New Roman"/>
          <w:sz w:val="24"/>
          <w:szCs w:val="24"/>
        </w:rPr>
        <w:t>th the Preferred Reporting Items for Systematic Reviews and Meta-Analyses (PRISMA) guidelines to ensure methodological rigor, transparency, and reproducibility. The review protocol was registered in the International Prospective Register of Systematic Revi</w:t>
      </w:r>
      <w:r>
        <w:rPr>
          <w:rFonts w:ascii="Times New Roman" w:eastAsia="Times New Roman" w:hAnsi="Times New Roman" w:cs="Times New Roman"/>
          <w:sz w:val="24"/>
          <w:szCs w:val="24"/>
        </w:rPr>
        <w:t xml:space="preserve">ews (PROSPERO) (Registration No.: </w:t>
      </w:r>
      <w:r>
        <w:rPr>
          <w:rFonts w:ascii="Times New Roman" w:eastAsia="Times New Roman" w:hAnsi="Times New Roman" w:cs="Times New Roman"/>
          <w:color w:val="212529"/>
          <w:sz w:val="24"/>
          <w:szCs w:val="24"/>
          <w:shd w:val="clear" w:color="auto" w:fill="FAFAFA"/>
        </w:rPr>
        <w:t>CRD420261379141</w:t>
      </w:r>
      <w:r>
        <w:rPr>
          <w:rFonts w:ascii="Times New Roman" w:eastAsia="Times New Roman" w:hAnsi="Times New Roman" w:cs="Times New Roman"/>
          <w:sz w:val="24"/>
          <w:szCs w:val="24"/>
        </w:rPr>
        <w:t>), providing a publicly accessible record of the study methods and minimizing the risk of duplication and reporting bias. The study synthesized evidence on artificial intelligence (AI) applications in clinic</w:t>
      </w:r>
      <w:r>
        <w:rPr>
          <w:rFonts w:ascii="Times New Roman" w:eastAsia="Times New Roman" w:hAnsi="Times New Roman" w:cs="Times New Roman"/>
          <w:sz w:val="24"/>
          <w:szCs w:val="24"/>
        </w:rPr>
        <w:t>al laboratory diagnostics, focusing on diagnostic accuracy, workflow efficiency, and clinical utility, consistent with the predefined study objectives.</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2" w:name="_uxabsw2qe7kx" w:colFirst="0" w:colLast="0"/>
      <w:bookmarkEnd w:id="2"/>
      <w:r>
        <w:rPr>
          <w:rFonts w:ascii="Times New Roman" w:eastAsia="Times New Roman" w:hAnsi="Times New Roman" w:cs="Times New Roman"/>
          <w:b/>
          <w:bCs/>
          <w:sz w:val="24"/>
          <w:szCs w:val="24"/>
        </w:rPr>
        <w:t>Eligibility Criteria</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Studies were selected based on predefined eligibility criteria guided by the PICOS </w:t>
      </w:r>
      <w:r>
        <w:rPr>
          <w:rFonts w:ascii="Times New Roman" w:eastAsia="Times New Roman" w:hAnsi="Times New Roman" w:cs="Times New Roman"/>
          <w:sz w:val="24"/>
          <w:szCs w:val="24"/>
        </w:rPr>
        <w:t>framework. The population of the studies selected included human subjects undergoing clinical laboratory diagnostic testing in any healthcare setting. The intervention involved AI techniques such as machine learning, deep learning, and related computationa</w:t>
      </w:r>
      <w:r>
        <w:rPr>
          <w:rFonts w:ascii="Times New Roman" w:eastAsia="Times New Roman" w:hAnsi="Times New Roman" w:cs="Times New Roman"/>
          <w:sz w:val="24"/>
          <w:szCs w:val="24"/>
        </w:rPr>
        <w:t>l models applied within laboratory diagnostics. Comparators included conventional laboratory methods or expert human interpretation where applicable. Outcomes of interest comprised diagnostic accuracy measures (e.g., sensitivity, specificity, area under th</w:t>
      </w:r>
      <w:r>
        <w:rPr>
          <w:rFonts w:ascii="Times New Roman" w:eastAsia="Times New Roman" w:hAnsi="Times New Roman" w:cs="Times New Roman"/>
          <w:sz w:val="24"/>
          <w:szCs w:val="24"/>
        </w:rPr>
        <w:t xml:space="preserve">e curve), workflow efficiency indicators (e.g., turnaround time, automation), and clinical utility outcomes (e.g., impact on clinical decision-making or patient outcomes). Eligible study designs included diagnostic accuracy studies, observational studies, </w:t>
      </w:r>
      <w:r>
        <w:rPr>
          <w:rFonts w:ascii="Times New Roman" w:eastAsia="Times New Roman" w:hAnsi="Times New Roman" w:cs="Times New Roman"/>
          <w:sz w:val="24"/>
          <w:szCs w:val="24"/>
        </w:rPr>
        <w:t>and clinical trials published within the last 13 years. Review articles, editorials, conference abstracts without full texts, animal studies, and studies lacking relevant outcomes were excluded.</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3" w:name="_g3ubke21aa5g" w:colFirst="0" w:colLast="0"/>
      <w:bookmarkEnd w:id="3"/>
      <w:r>
        <w:rPr>
          <w:rFonts w:ascii="Times New Roman" w:eastAsia="Times New Roman" w:hAnsi="Times New Roman" w:cs="Times New Roman"/>
          <w:b/>
          <w:bCs/>
          <w:sz w:val="24"/>
          <w:szCs w:val="24"/>
        </w:rPr>
        <w:t>Information Sources and Search Strategy</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liter</w:t>
      </w:r>
      <w:r>
        <w:rPr>
          <w:rFonts w:ascii="Times New Roman" w:eastAsia="Times New Roman" w:hAnsi="Times New Roman" w:cs="Times New Roman"/>
          <w:sz w:val="24"/>
          <w:szCs w:val="24"/>
        </w:rPr>
        <w:t>ature search was conducted across multiple electronic databases, including PubMed/MEDLINE, Scopus, Web of Science, and the Cochrane Library. Additional sources, including grey literature and reference lists of included studies, were also screened to ensure</w:t>
      </w:r>
      <w:r>
        <w:rPr>
          <w:rFonts w:ascii="Times New Roman" w:eastAsia="Times New Roman" w:hAnsi="Times New Roman" w:cs="Times New Roman"/>
          <w:sz w:val="24"/>
          <w:szCs w:val="24"/>
        </w:rPr>
        <w:t xml:space="preserve"> comprehensive coverage. The search strategy incorporated a combination of controlled vocabulary (e.g., MeSH terms) and free-text keywords such as “artificial intelligence,” “machine learning,” “clinical laboratory,” “diagnostics,” “accuracy,” and “workflo</w:t>
      </w:r>
      <w:r>
        <w:rPr>
          <w:rFonts w:ascii="Times New Roman" w:eastAsia="Times New Roman" w:hAnsi="Times New Roman" w:cs="Times New Roman"/>
          <w:sz w:val="24"/>
          <w:szCs w:val="24"/>
        </w:rPr>
        <w:t>w efficiency.” Boolean operators (AND, OR) were used to refine the search strategy. The complete search strategy is provided in Appendix A.</w:t>
      </w:r>
    </w:p>
    <w:p w:rsidR="00B267F3" w:rsidRDefault="00B267F3">
      <w:pPr>
        <w:pStyle w:val="Heading2"/>
        <w:keepNext w:val="0"/>
        <w:keepLines w:val="0"/>
        <w:spacing w:after="80"/>
        <w:jc w:val="both"/>
        <w:rPr>
          <w:rFonts w:ascii="Times New Roman" w:eastAsia="Times New Roman" w:hAnsi="Times New Roman" w:cs="Times New Roman"/>
          <w:b/>
          <w:bCs/>
          <w:sz w:val="24"/>
          <w:szCs w:val="24"/>
        </w:rPr>
      </w:pPr>
      <w:bookmarkStart w:id="4" w:name="_xcjrpkhh6qjs" w:colFirst="0" w:colLast="0"/>
      <w:bookmarkEnd w:id="4"/>
    </w:p>
    <w:p w:rsidR="00B267F3" w:rsidRDefault="00B267F3">
      <w:pPr>
        <w:pStyle w:val="Heading2"/>
        <w:keepNext w:val="0"/>
        <w:keepLines w:val="0"/>
        <w:spacing w:after="80"/>
        <w:jc w:val="both"/>
        <w:rPr>
          <w:rFonts w:ascii="Times New Roman" w:eastAsia="Times New Roman" w:hAnsi="Times New Roman" w:cs="Times New Roman"/>
          <w:b/>
          <w:bCs/>
          <w:sz w:val="24"/>
          <w:szCs w:val="24"/>
        </w:rPr>
      </w:pPr>
      <w:bookmarkStart w:id="5" w:name="_x1hlstkngxtp" w:colFirst="0" w:colLast="0"/>
      <w:bookmarkEnd w:id="5"/>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6" w:name="_ukz8rrey9ncg" w:colFirst="0" w:colLast="0"/>
      <w:bookmarkEnd w:id="6"/>
      <w:r>
        <w:rPr>
          <w:rFonts w:ascii="Times New Roman" w:eastAsia="Times New Roman" w:hAnsi="Times New Roman" w:cs="Times New Roman"/>
          <w:b/>
          <w:bCs/>
          <w:sz w:val="24"/>
          <w:szCs w:val="24"/>
        </w:rPr>
        <w:t>Study Selection</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mc:AlternateContent>
          <mc:Choice Requires="wpg">
            <w:drawing>
              <wp:inline distT="114300" distB="114300" distL="114300" distR="114300">
                <wp:extent cx="4895850" cy="3589289"/>
                <wp:effectExtent l="0" t="0" r="0" b="0"/>
                <wp:docPr id="1" name="Group 1"/>
                <wp:cNvGraphicFramePr/>
                <a:graphic xmlns:a="http://schemas.openxmlformats.org/drawingml/2006/main">
                  <a:graphicData uri="http://schemas.microsoft.com/office/word/2010/wordprocessingGroup">
                    <wpg:wgp>
                      <wpg:cNvGrpSpPr/>
                      <wpg:grpSpPr>
                        <a:xfrm>
                          <a:off x="0" y="0"/>
                          <a:ext cx="4895850" cy="3589289"/>
                          <a:chOff x="560600" y="230950"/>
                          <a:chExt cx="6205350" cy="4546675"/>
                        </a:xfrm>
                      </wpg:grpSpPr>
                      <wps:wsp>
                        <wps:cNvPr id="2" name="Rectangle 2"/>
                        <wps:cNvSpPr/>
                        <wps:spPr>
                          <a:xfrm rot="-5400000">
                            <a:off x="186050" y="615075"/>
                            <a:ext cx="1055400" cy="296700"/>
                          </a:xfrm>
                          <a:prstGeom prst="rect">
                            <a:avLst/>
                          </a:prstGeom>
                          <a:solidFill>
                            <a:srgbClr val="C9DAF8"/>
                          </a:solidFill>
                          <a:ln w="9525" cap="flat" cmpd="sng">
                            <a:solidFill>
                              <a:srgbClr val="000000"/>
                            </a:solidFill>
                            <a:prstDash val="solid"/>
                            <a:round/>
                            <a:headEnd type="none" w="sm" len="sm"/>
                            <a:tailEnd type="none" w="sm" len="sm"/>
                          </a:ln>
                        </wps:spPr>
                        <wps:txbx>
                          <w:txbxContent>
                            <w:p w:rsidR="00B267F3" w:rsidRDefault="00267ED9">
                              <w:pPr>
                                <w:spacing w:line="240" w:lineRule="auto"/>
                                <w:jc w:val="center"/>
                                <w:textDirection w:val="btLr"/>
                              </w:pPr>
                              <w:r>
                                <w:rPr>
                                  <w:b/>
                                  <w:color w:val="000000"/>
                                  <w:sz w:val="20"/>
                                </w:rPr>
                                <w:t>Identification</w:t>
                              </w:r>
                            </w:p>
                          </w:txbxContent>
                        </wps:txbx>
                        <wps:bodyPr spcFirstLastPara="1" wrap="square" lIns="91425" tIns="91425" rIns="91425" bIns="91425" anchor="ctr" anchorCtr="0">
                          <a:noAutofit/>
                        </wps:bodyPr>
                      </wps:wsp>
                      <wps:wsp>
                        <wps:cNvPr id="3" name="Rectangle 3"/>
                        <wps:cNvSpPr/>
                        <wps:spPr>
                          <a:xfrm rot="-5400000">
                            <a:off x="186050" y="1775650"/>
                            <a:ext cx="1055400" cy="296700"/>
                          </a:xfrm>
                          <a:prstGeom prst="rect">
                            <a:avLst/>
                          </a:prstGeom>
                          <a:solidFill>
                            <a:srgbClr val="C9DAF8"/>
                          </a:solidFill>
                          <a:ln w="9525" cap="flat" cmpd="sng">
                            <a:solidFill>
                              <a:srgbClr val="000000"/>
                            </a:solidFill>
                            <a:prstDash val="solid"/>
                            <a:round/>
                            <a:headEnd type="none" w="sm" len="sm"/>
                            <a:tailEnd type="none" w="sm" len="sm"/>
                          </a:ln>
                        </wps:spPr>
                        <wps:txbx>
                          <w:txbxContent>
                            <w:p w:rsidR="00B267F3" w:rsidRDefault="00267ED9">
                              <w:pPr>
                                <w:spacing w:line="240" w:lineRule="auto"/>
                                <w:jc w:val="center"/>
                                <w:textDirection w:val="btLr"/>
                              </w:pPr>
                              <w:r>
                                <w:rPr>
                                  <w:b/>
                                  <w:color w:val="000000"/>
                                  <w:sz w:val="20"/>
                                </w:rPr>
                                <w:t>Screening</w:t>
                              </w:r>
                            </w:p>
                          </w:txbxContent>
                        </wps:txbx>
                        <wps:bodyPr spcFirstLastPara="1" wrap="square" lIns="91425" tIns="91425" rIns="91425" bIns="91425" anchor="ctr" anchorCtr="0">
                          <a:noAutofit/>
                        </wps:bodyPr>
                      </wps:wsp>
                      <wps:wsp>
                        <wps:cNvPr id="4" name="Rectangle 4"/>
                        <wps:cNvSpPr/>
                        <wps:spPr>
                          <a:xfrm rot="-5400000">
                            <a:off x="186025" y="4096800"/>
                            <a:ext cx="1055400" cy="296700"/>
                          </a:xfrm>
                          <a:prstGeom prst="rect">
                            <a:avLst/>
                          </a:prstGeom>
                          <a:solidFill>
                            <a:srgbClr val="C9DAF8"/>
                          </a:solidFill>
                          <a:ln w="9525" cap="flat" cmpd="sng">
                            <a:solidFill>
                              <a:srgbClr val="000000"/>
                            </a:solidFill>
                            <a:prstDash val="solid"/>
                            <a:round/>
                            <a:headEnd type="none" w="sm" len="sm"/>
                            <a:tailEnd type="none" w="sm" len="sm"/>
                          </a:ln>
                        </wps:spPr>
                        <wps:txbx>
                          <w:txbxContent>
                            <w:p w:rsidR="00B267F3" w:rsidRDefault="00267ED9">
                              <w:pPr>
                                <w:spacing w:line="240" w:lineRule="auto"/>
                                <w:jc w:val="center"/>
                                <w:textDirection w:val="btLr"/>
                              </w:pPr>
                              <w:r>
                                <w:rPr>
                                  <w:b/>
                                  <w:color w:val="000000"/>
                                  <w:sz w:val="20"/>
                                </w:rPr>
                                <w:t>Included</w:t>
                              </w:r>
                            </w:p>
                          </w:txbxContent>
                        </wps:txbx>
                        <wps:bodyPr spcFirstLastPara="1" wrap="square" lIns="91425" tIns="91425" rIns="91425" bIns="91425" anchor="ctr" anchorCtr="0">
                          <a:noAutofit/>
                        </wps:bodyPr>
                      </wps:wsp>
                      <wps:wsp>
                        <wps:cNvPr id="5" name="Rectangle 5"/>
                        <wps:cNvSpPr/>
                        <wps:spPr>
                          <a:xfrm rot="-5400000">
                            <a:off x="186025" y="2936225"/>
                            <a:ext cx="1055400" cy="296700"/>
                          </a:xfrm>
                          <a:prstGeom prst="rect">
                            <a:avLst/>
                          </a:prstGeom>
                          <a:solidFill>
                            <a:srgbClr val="C9DAF8"/>
                          </a:solidFill>
                          <a:ln w="9525" cap="flat" cmpd="sng">
                            <a:solidFill>
                              <a:srgbClr val="000000"/>
                            </a:solidFill>
                            <a:prstDash val="solid"/>
                            <a:round/>
                            <a:headEnd type="none" w="sm" len="sm"/>
                            <a:tailEnd type="none" w="sm" len="sm"/>
                          </a:ln>
                        </wps:spPr>
                        <wps:txbx>
                          <w:txbxContent>
                            <w:p w:rsidR="00B267F3" w:rsidRDefault="00267ED9">
                              <w:pPr>
                                <w:spacing w:line="240" w:lineRule="auto"/>
                                <w:jc w:val="center"/>
                                <w:textDirection w:val="btLr"/>
                              </w:pPr>
                              <w:r>
                                <w:rPr>
                                  <w:b/>
                                  <w:color w:val="000000"/>
                                  <w:sz w:val="20"/>
                                </w:rPr>
                                <w:t>Eligibility</w:t>
                              </w:r>
                            </w:p>
                          </w:txbxContent>
                        </wps:txbx>
                        <wps:bodyPr spcFirstLastPara="1" wrap="square" lIns="91425" tIns="91425" rIns="91425" bIns="91425" anchor="ctr" anchorCtr="0">
                          <a:noAutofit/>
                        </wps:bodyPr>
                      </wps:wsp>
                      <wps:wsp>
                        <wps:cNvPr id="6" name="Rectangle 6"/>
                        <wps:cNvSpPr/>
                        <wps:spPr>
                          <a:xfrm>
                            <a:off x="1068125" y="235725"/>
                            <a:ext cx="1909800" cy="5421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line="240" w:lineRule="auto"/>
                                <w:textDirection w:val="btLr"/>
                              </w:pPr>
                              <w:r>
                                <w:rPr>
                                  <w:b/>
                                  <w:color w:val="000000"/>
                                  <w:sz w:val="18"/>
                                </w:rPr>
                                <w:t>Records identified through database searching (n = 420)</w:t>
                              </w:r>
                              <w:r>
                                <w:rPr>
                                  <w:color w:val="000000"/>
                                  <w:sz w:val="18"/>
                                </w:rPr>
                                <w:t xml:space="preserve"> </w:t>
                              </w:r>
                            </w:p>
                          </w:txbxContent>
                        </wps:txbx>
                        <wps:bodyPr spcFirstLastPara="1" wrap="square" lIns="91425" tIns="91425" rIns="91425" bIns="91425" anchor="ctr" anchorCtr="0">
                          <a:noAutofit/>
                        </wps:bodyPr>
                      </wps:wsp>
                      <wps:wsp>
                        <wps:cNvPr id="7" name="Rectangle 7"/>
                        <wps:cNvSpPr/>
                        <wps:spPr>
                          <a:xfrm>
                            <a:off x="3488525" y="235725"/>
                            <a:ext cx="2498400" cy="5421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line="240" w:lineRule="auto"/>
                                <w:textDirection w:val="btLr"/>
                              </w:pPr>
                              <w:r>
                                <w:rPr>
                                  <w:b/>
                                  <w:color w:val="000000"/>
                                  <w:sz w:val="18"/>
                                </w:rPr>
                                <w:t>Additional records identified through other sources</w:t>
                              </w:r>
                            </w:p>
                            <w:p w:rsidR="00B267F3" w:rsidRDefault="00267ED9">
                              <w:pPr>
                                <w:spacing w:line="240" w:lineRule="auto"/>
                                <w:textDirection w:val="btLr"/>
                              </w:pPr>
                              <w:r>
                                <w:rPr>
                                  <w:b/>
                                  <w:color w:val="000000"/>
                                  <w:sz w:val="18"/>
                                </w:rPr>
                                <w:t xml:space="preserve">(reference lists, grey literature) (n = 30) </w:t>
                              </w:r>
                            </w:p>
                          </w:txbxContent>
                        </wps:txbx>
                        <wps:bodyPr spcFirstLastPara="1" wrap="square" lIns="91425" tIns="91425" rIns="91425" bIns="91425" anchor="ctr" anchorCtr="0">
                          <a:noAutofit/>
                        </wps:bodyPr>
                      </wps:wsp>
                      <wps:wsp>
                        <wps:cNvPr id="8" name="Rectangle 8"/>
                        <wps:cNvSpPr/>
                        <wps:spPr>
                          <a:xfrm>
                            <a:off x="2048075" y="1103925"/>
                            <a:ext cx="2428200" cy="4587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line="240" w:lineRule="auto"/>
                                <w:jc w:val="center"/>
                                <w:textDirection w:val="btLr"/>
                              </w:pPr>
                              <w:r>
                                <w:rPr>
                                  <w:b/>
                                  <w:color w:val="000000"/>
                                  <w:sz w:val="18"/>
                                </w:rPr>
                                <w:t>Records after duplicates removed</w:t>
                              </w:r>
                            </w:p>
                            <w:p w:rsidR="00B267F3" w:rsidRDefault="00267ED9">
                              <w:pPr>
                                <w:spacing w:line="240" w:lineRule="auto"/>
                                <w:jc w:val="center"/>
                                <w:textDirection w:val="btLr"/>
                              </w:pPr>
                              <w:r>
                                <w:rPr>
                                  <w:b/>
                                  <w:color w:val="000000"/>
                                  <w:sz w:val="18"/>
                                </w:rPr>
                                <w:t xml:space="preserve">(Total = 450 – duplicates) (n = 360) </w:t>
                              </w:r>
                            </w:p>
                          </w:txbxContent>
                        </wps:txbx>
                        <wps:bodyPr spcFirstLastPara="1" wrap="square" lIns="91425" tIns="91425" rIns="91425" bIns="91425" anchor="ctr" anchorCtr="0">
                          <a:noAutofit/>
                        </wps:bodyPr>
                      </wps:wsp>
                      <wps:wsp>
                        <wps:cNvPr id="9" name="Rectangle 9"/>
                        <wps:cNvSpPr/>
                        <wps:spPr>
                          <a:xfrm>
                            <a:off x="1068125" y="1905925"/>
                            <a:ext cx="2547600" cy="4587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line="240" w:lineRule="auto"/>
                                <w:textDirection w:val="btLr"/>
                              </w:pPr>
                              <w:r>
                                <w:rPr>
                                  <w:b/>
                                  <w:color w:val="000000"/>
                                  <w:sz w:val="18"/>
                                </w:rPr>
                                <w:t>Records screened (title/abstract) (n = 360)</w:t>
                              </w:r>
                              <w:r>
                                <w:rPr>
                                  <w:color w:val="000000"/>
                                  <w:sz w:val="18"/>
                                </w:rPr>
                                <w:t xml:space="preserve"> </w:t>
                              </w:r>
                            </w:p>
                          </w:txbxContent>
                        </wps:txbx>
                        <wps:bodyPr spcFirstLastPara="1" wrap="square" lIns="91425" tIns="91425" rIns="91425" bIns="91425" anchor="ctr" anchorCtr="0">
                          <a:noAutofit/>
                        </wps:bodyPr>
                      </wps:wsp>
                      <wps:wsp>
                        <wps:cNvPr id="10" name="Rectangle 10"/>
                        <wps:cNvSpPr/>
                        <wps:spPr>
                          <a:xfrm>
                            <a:off x="4065125" y="1888725"/>
                            <a:ext cx="2498400" cy="5421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line="240" w:lineRule="auto"/>
                                <w:textDirection w:val="btLr"/>
                              </w:pPr>
                              <w:r>
                                <w:rPr>
                                  <w:b/>
                                  <w:color w:val="000000"/>
                                  <w:sz w:val="18"/>
                                </w:rPr>
                                <w:t>Records excluded</w:t>
                              </w:r>
                            </w:p>
                            <w:p w:rsidR="00B267F3" w:rsidRDefault="00267ED9">
                              <w:pPr>
                                <w:spacing w:line="240" w:lineRule="auto"/>
                                <w:textDirection w:val="btLr"/>
                              </w:pPr>
                              <w:r>
                                <w:rPr>
                                  <w:b/>
                                  <w:color w:val="000000"/>
                                  <w:sz w:val="18"/>
                                </w:rPr>
                                <w:t xml:space="preserve">(irrelevant topic, not AI, not laboratory-based, reviews, etc.) (n = 280) </w:t>
                              </w:r>
                            </w:p>
                          </w:txbxContent>
                        </wps:txbx>
                        <wps:bodyPr spcFirstLastPara="1" wrap="square" lIns="91425" tIns="91425" rIns="91425" bIns="91425" anchor="ctr" anchorCtr="0">
                          <a:noAutofit/>
                        </wps:bodyPr>
                      </wps:wsp>
                      <wps:wsp>
                        <wps:cNvPr id="11" name="Rectangle 11"/>
                        <wps:cNvSpPr/>
                        <wps:spPr>
                          <a:xfrm>
                            <a:off x="1061525" y="2654725"/>
                            <a:ext cx="2819100" cy="6111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line="240" w:lineRule="auto"/>
                                <w:textDirection w:val="btLr"/>
                              </w:pPr>
                              <w:r>
                                <w:rPr>
                                  <w:b/>
                                  <w:color w:val="000000"/>
                                  <w:sz w:val="18"/>
                                </w:rPr>
                                <w:t>Full-text reports assessed for eligibility (n = 80)</w:t>
                              </w:r>
                              <w:r>
                                <w:rPr>
                                  <w:color w:val="000000"/>
                                  <w:sz w:val="18"/>
                                </w:rPr>
                                <w:t xml:space="preserve"> </w:t>
                              </w:r>
                              <w:r>
                                <w:rPr>
                                  <w:color w:val="000000"/>
                                  <w:sz w:val="18"/>
                                </w:rPr>
                                <w:br/>
                              </w:r>
                              <w:r>
                                <w:rPr>
                                  <w:b/>
                                  <w:color w:val="000000"/>
                                  <w:sz w:val="18"/>
                                </w:rPr>
                                <w:t>Full-text reports excluded, with reasons (n = 15)</w:t>
                              </w:r>
                              <w:r>
                                <w:rPr>
                                  <w:color w:val="000000"/>
                                  <w:sz w:val="18"/>
                                </w:rPr>
                                <w:t xml:space="preserve"> </w:t>
                              </w:r>
                            </w:p>
                          </w:txbxContent>
                        </wps:txbx>
                        <wps:bodyPr spcFirstLastPara="1" wrap="square" lIns="91425" tIns="91425" rIns="91425" bIns="91425" anchor="ctr" anchorCtr="0">
                          <a:noAutofit/>
                        </wps:bodyPr>
                      </wps:wsp>
                      <wps:wsp>
                        <wps:cNvPr id="12" name="Rectangle 12"/>
                        <wps:cNvSpPr/>
                        <wps:spPr>
                          <a:xfrm>
                            <a:off x="1033025" y="3688525"/>
                            <a:ext cx="2498400" cy="5421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line="240" w:lineRule="auto"/>
                                <w:textDirection w:val="btLr"/>
                              </w:pPr>
                              <w:r>
                                <w:rPr>
                                  <w:b/>
                                  <w:color w:val="000000"/>
                                  <w:sz w:val="18"/>
                                </w:rPr>
                                <w:t>Studies included in the synthesis (n = 65)</w:t>
                              </w:r>
                              <w:r>
                                <w:rPr>
                                  <w:color w:val="000000"/>
                                  <w:sz w:val="18"/>
                                </w:rPr>
                                <w:t xml:space="preserve"> </w:t>
                              </w:r>
                            </w:p>
                          </w:txbxContent>
                        </wps:txbx>
                        <wps:bodyPr spcFirstLastPara="1" wrap="square" lIns="91425" tIns="91425" rIns="91425" bIns="91425" anchor="ctr" anchorCtr="0">
                          <a:noAutofit/>
                        </wps:bodyPr>
                      </wps:wsp>
                      <wps:wsp>
                        <wps:cNvPr id="13" name="Down Arrow 13"/>
                        <wps:cNvSpPr/>
                        <wps:spPr>
                          <a:xfrm>
                            <a:off x="2588600" y="777825"/>
                            <a:ext cx="102300" cy="326100"/>
                          </a:xfrm>
                          <a:prstGeom prst="downArrow">
                            <a:avLst>
                              <a:gd name="adj1" fmla="val 50000"/>
                              <a:gd name="adj2" fmla="val 50000"/>
                            </a:avLst>
                          </a:prstGeom>
                          <a:solidFill>
                            <a:srgbClr val="C9DAF8"/>
                          </a:solidFill>
                          <a:ln w="9525" cap="flat" cmpd="sng">
                            <a:solidFill>
                              <a:srgbClr val="000000"/>
                            </a:solidFill>
                            <a:prstDash val="solid"/>
                            <a:round/>
                            <a:headEnd type="none" w="sm" len="sm"/>
                            <a:tailEnd type="none" w="sm" len="sm"/>
                          </a:ln>
                        </wps:spPr>
                        <wps:txbx>
                          <w:txbxContent>
                            <w:p w:rsidR="00B267F3" w:rsidRDefault="00B267F3">
                              <w:pPr>
                                <w:spacing w:line="240" w:lineRule="auto"/>
                                <w:jc w:val="center"/>
                                <w:textDirection w:val="btLr"/>
                              </w:pPr>
                            </w:p>
                          </w:txbxContent>
                        </wps:txbx>
                        <wps:bodyPr spcFirstLastPara="1" wrap="square" lIns="91425" tIns="91425" rIns="91425" bIns="91425" anchor="ctr" anchorCtr="0">
                          <a:noAutofit/>
                        </wps:bodyPr>
                      </wps:wsp>
                      <wps:wsp>
                        <wps:cNvPr id="14" name="Down Arrow 14"/>
                        <wps:cNvSpPr/>
                        <wps:spPr>
                          <a:xfrm>
                            <a:off x="3826125" y="777813"/>
                            <a:ext cx="102300" cy="326100"/>
                          </a:xfrm>
                          <a:prstGeom prst="downArrow">
                            <a:avLst>
                              <a:gd name="adj1" fmla="val 50000"/>
                              <a:gd name="adj2" fmla="val 50000"/>
                            </a:avLst>
                          </a:prstGeom>
                          <a:solidFill>
                            <a:srgbClr val="C9DAF8"/>
                          </a:solidFill>
                          <a:ln w="9525" cap="flat" cmpd="sng">
                            <a:solidFill>
                              <a:srgbClr val="000000"/>
                            </a:solidFill>
                            <a:prstDash val="solid"/>
                            <a:round/>
                            <a:headEnd type="none" w="sm" len="sm"/>
                            <a:tailEnd type="none" w="sm" len="sm"/>
                          </a:ln>
                        </wps:spPr>
                        <wps:txbx>
                          <w:txbxContent>
                            <w:p w:rsidR="00B267F3" w:rsidRDefault="00B267F3">
                              <w:pPr>
                                <w:spacing w:line="240" w:lineRule="auto"/>
                                <w:jc w:val="center"/>
                                <w:textDirection w:val="btLr"/>
                              </w:pPr>
                            </w:p>
                          </w:txbxContent>
                        </wps:txbx>
                        <wps:bodyPr spcFirstLastPara="1" wrap="square" lIns="91425" tIns="91425" rIns="91425" bIns="91425" anchor="ctr" anchorCtr="0">
                          <a:noAutofit/>
                        </wps:bodyPr>
                      </wps:wsp>
                      <wps:wsp>
                        <wps:cNvPr id="15" name="Down Arrow 15"/>
                        <wps:cNvSpPr/>
                        <wps:spPr>
                          <a:xfrm>
                            <a:off x="2588600" y="1571213"/>
                            <a:ext cx="102300" cy="326100"/>
                          </a:xfrm>
                          <a:prstGeom prst="downArrow">
                            <a:avLst>
                              <a:gd name="adj1" fmla="val 50000"/>
                              <a:gd name="adj2" fmla="val 50000"/>
                            </a:avLst>
                          </a:prstGeom>
                          <a:solidFill>
                            <a:srgbClr val="C9DAF8"/>
                          </a:solidFill>
                          <a:ln w="9525" cap="flat" cmpd="sng">
                            <a:solidFill>
                              <a:srgbClr val="000000"/>
                            </a:solidFill>
                            <a:prstDash val="solid"/>
                            <a:round/>
                            <a:headEnd type="none" w="sm" len="sm"/>
                            <a:tailEnd type="none" w="sm" len="sm"/>
                          </a:ln>
                        </wps:spPr>
                        <wps:txbx>
                          <w:txbxContent>
                            <w:p w:rsidR="00B267F3" w:rsidRDefault="00B267F3">
                              <w:pPr>
                                <w:spacing w:line="240" w:lineRule="auto"/>
                                <w:jc w:val="center"/>
                                <w:textDirection w:val="btLr"/>
                              </w:pPr>
                            </w:p>
                          </w:txbxContent>
                        </wps:txbx>
                        <wps:bodyPr spcFirstLastPara="1" wrap="square" lIns="91425" tIns="91425" rIns="91425" bIns="91425" anchor="ctr" anchorCtr="0">
                          <a:noAutofit/>
                        </wps:bodyPr>
                      </wps:wsp>
                      <wps:wsp>
                        <wps:cNvPr id="16" name="Down Arrow 16"/>
                        <wps:cNvSpPr/>
                        <wps:spPr>
                          <a:xfrm>
                            <a:off x="2588600" y="2364625"/>
                            <a:ext cx="102300" cy="273000"/>
                          </a:xfrm>
                          <a:prstGeom prst="downArrow">
                            <a:avLst>
                              <a:gd name="adj1" fmla="val 50000"/>
                              <a:gd name="adj2" fmla="val 50000"/>
                            </a:avLst>
                          </a:prstGeom>
                          <a:solidFill>
                            <a:srgbClr val="C9DAF8"/>
                          </a:solidFill>
                          <a:ln w="9525" cap="flat" cmpd="sng">
                            <a:solidFill>
                              <a:srgbClr val="000000"/>
                            </a:solidFill>
                            <a:prstDash val="solid"/>
                            <a:round/>
                            <a:headEnd type="none" w="sm" len="sm"/>
                            <a:tailEnd type="none" w="sm" len="sm"/>
                          </a:ln>
                        </wps:spPr>
                        <wps:txbx>
                          <w:txbxContent>
                            <w:p w:rsidR="00B267F3" w:rsidRDefault="00B267F3">
                              <w:pPr>
                                <w:spacing w:line="240" w:lineRule="auto"/>
                                <w:jc w:val="center"/>
                                <w:textDirection w:val="btLr"/>
                              </w:pPr>
                            </w:p>
                          </w:txbxContent>
                        </wps:txbx>
                        <wps:bodyPr spcFirstLastPara="1" wrap="square" lIns="91425" tIns="91425" rIns="91425" bIns="91425" anchor="ctr" anchorCtr="0">
                          <a:noAutofit/>
                        </wps:bodyPr>
                      </wps:wsp>
                      <wps:wsp>
                        <wps:cNvPr id="17" name="Down Arrow 17"/>
                        <wps:cNvSpPr/>
                        <wps:spPr>
                          <a:xfrm>
                            <a:off x="2588600" y="3282925"/>
                            <a:ext cx="102300" cy="388500"/>
                          </a:xfrm>
                          <a:prstGeom prst="downArrow">
                            <a:avLst>
                              <a:gd name="adj1" fmla="val 50000"/>
                              <a:gd name="adj2" fmla="val 50000"/>
                            </a:avLst>
                          </a:prstGeom>
                          <a:solidFill>
                            <a:srgbClr val="C9DAF8"/>
                          </a:solidFill>
                          <a:ln w="9525" cap="flat" cmpd="sng">
                            <a:solidFill>
                              <a:srgbClr val="000000"/>
                            </a:solidFill>
                            <a:prstDash val="solid"/>
                            <a:round/>
                            <a:headEnd type="none" w="sm" len="sm"/>
                            <a:tailEnd type="none" w="sm" len="sm"/>
                          </a:ln>
                        </wps:spPr>
                        <wps:txbx>
                          <w:txbxContent>
                            <w:p w:rsidR="00B267F3" w:rsidRDefault="00B267F3">
                              <w:pPr>
                                <w:spacing w:line="240" w:lineRule="auto"/>
                                <w:jc w:val="center"/>
                                <w:textDirection w:val="btLr"/>
                              </w:pPr>
                            </w:p>
                          </w:txbxContent>
                        </wps:txbx>
                        <wps:bodyPr spcFirstLastPara="1" wrap="square" lIns="91425" tIns="91425" rIns="91425" bIns="91425" anchor="ctr" anchorCtr="0">
                          <a:noAutofit/>
                        </wps:bodyPr>
                      </wps:wsp>
                      <wps:wsp>
                        <wps:cNvPr id="18" name="Rectangle 18"/>
                        <wps:cNvSpPr/>
                        <wps:spPr>
                          <a:xfrm>
                            <a:off x="4080075" y="2556875"/>
                            <a:ext cx="2681100" cy="1282500"/>
                          </a:xfrm>
                          <a:prstGeom prst="rect">
                            <a:avLst/>
                          </a:prstGeom>
                          <a:solidFill>
                            <a:srgbClr val="FFF2CC"/>
                          </a:solidFill>
                          <a:ln w="9525" cap="flat" cmpd="sng">
                            <a:solidFill>
                              <a:srgbClr val="000000"/>
                            </a:solidFill>
                            <a:prstDash val="solid"/>
                            <a:round/>
                            <a:headEnd type="none" w="sm" len="sm"/>
                            <a:tailEnd type="none" w="sm" len="sm"/>
                          </a:ln>
                        </wps:spPr>
                        <wps:txbx>
                          <w:txbxContent>
                            <w:p w:rsidR="00B267F3" w:rsidRDefault="00267ED9">
                              <w:pPr>
                                <w:spacing w:before="240" w:after="240" w:line="275" w:lineRule="auto"/>
                                <w:textDirection w:val="btLr"/>
                              </w:pPr>
                              <w:r>
                                <w:rPr>
                                  <w:b/>
                                  <w:color w:val="000000"/>
                                  <w:sz w:val="18"/>
                                </w:rPr>
                                <w:br/>
                                <w:t>Reasons for exclusion:</w:t>
                              </w:r>
                              <w:r>
                                <w:rPr>
                                  <w:b/>
                                  <w:color w:val="000000"/>
                                  <w:sz w:val="18"/>
                                </w:rPr>
                                <w:br/>
                                <w:t>Not focused on laboratory diagnostics (n = 5)</w:t>
                              </w:r>
                              <w:r>
                                <w:rPr>
                                  <w:b/>
                                  <w:color w:val="000000"/>
                                  <w:sz w:val="18"/>
                                </w:rPr>
                                <w:br/>
                                <w:t>Insufficient outcome data (n = 4)</w:t>
                              </w:r>
                              <w:r>
                                <w:rPr>
                                  <w:b/>
                                  <w:color w:val="000000"/>
                                  <w:sz w:val="18"/>
                                </w:rPr>
                                <w:br/>
                                <w:t>Non-AI or unclear methodology (n = 3)</w:t>
                              </w:r>
                              <w:r>
                                <w:rPr>
                                  <w:b/>
                                  <w:color w:val="000000"/>
                                  <w:sz w:val="18"/>
                                </w:rPr>
                                <w:br/>
                                <w:t>Duplicate/overlapping datasets (n = 2)</w:t>
                              </w:r>
                              <w:r>
                                <w:rPr>
                                  <w:b/>
                                  <w:color w:val="000000"/>
                                  <w:sz w:val="18"/>
                                </w:rPr>
                                <w:br/>
                                <w:t>Conference abs</w:t>
                              </w:r>
                              <w:r>
                                <w:rPr>
                                  <w:b/>
                                  <w:color w:val="000000"/>
                                  <w:sz w:val="18"/>
                                </w:rPr>
                                <w:t>tract only / no full text (n = 1)</w:t>
                              </w:r>
                            </w:p>
                            <w:p w:rsidR="00B267F3" w:rsidRDefault="00B267F3">
                              <w:pPr>
                                <w:spacing w:line="240" w:lineRule="auto"/>
                                <w:textDirection w:val="btLr"/>
                              </w:pPr>
                            </w:p>
                          </w:txbxContent>
                        </wps:txbx>
                        <wps:bodyPr spcFirstLastPara="1" wrap="square" lIns="91425" tIns="91425" rIns="91425" bIns="91425" anchor="ctr" anchorCtr="0">
                          <a:noAutofit/>
                        </wps:bodyPr>
                      </wps:wsp>
                      <wps:wsp>
                        <wps:cNvPr id="19" name="Down Arrow 19"/>
                        <wps:cNvSpPr/>
                        <wps:spPr>
                          <a:xfrm rot="-5400000">
                            <a:off x="3919925" y="3011078"/>
                            <a:ext cx="105900" cy="184500"/>
                          </a:xfrm>
                          <a:prstGeom prst="downArrow">
                            <a:avLst>
                              <a:gd name="adj1" fmla="val 50000"/>
                              <a:gd name="adj2" fmla="val 50000"/>
                            </a:avLst>
                          </a:prstGeom>
                          <a:solidFill>
                            <a:srgbClr val="C9DAF8"/>
                          </a:solidFill>
                          <a:ln w="9525" cap="flat" cmpd="sng">
                            <a:solidFill>
                              <a:srgbClr val="000000"/>
                            </a:solidFill>
                            <a:prstDash val="solid"/>
                            <a:round/>
                            <a:headEnd type="none" w="sm" len="sm"/>
                            <a:tailEnd type="none" w="sm" len="sm"/>
                          </a:ln>
                        </wps:spPr>
                        <wps:txbx>
                          <w:txbxContent>
                            <w:p w:rsidR="00B267F3" w:rsidRDefault="00B267F3">
                              <w:pPr>
                                <w:spacing w:line="240" w:lineRule="auto"/>
                                <w:jc w:val="center"/>
                                <w:textDirection w:val="btLr"/>
                              </w:pPr>
                            </w:p>
                          </w:txbxContent>
                        </wps:txbx>
                        <wps:bodyPr spcFirstLastPara="1" wrap="square" lIns="91425" tIns="91425" rIns="91425" bIns="91425" anchor="ctr" anchorCtr="0">
                          <a:noAutofit/>
                        </wps:bodyPr>
                      </wps:wsp>
                      <wps:wsp>
                        <wps:cNvPr id="20" name="Down Arrow 20"/>
                        <wps:cNvSpPr/>
                        <wps:spPr>
                          <a:xfrm rot="-5400000">
                            <a:off x="3794675" y="1908425"/>
                            <a:ext cx="93000" cy="450900"/>
                          </a:xfrm>
                          <a:prstGeom prst="downArrow">
                            <a:avLst>
                              <a:gd name="adj1" fmla="val 50000"/>
                              <a:gd name="adj2" fmla="val 50000"/>
                            </a:avLst>
                          </a:prstGeom>
                          <a:solidFill>
                            <a:srgbClr val="C9DAF8"/>
                          </a:solidFill>
                          <a:ln w="9525" cap="flat" cmpd="sng">
                            <a:solidFill>
                              <a:srgbClr val="000000"/>
                            </a:solidFill>
                            <a:prstDash val="solid"/>
                            <a:round/>
                            <a:headEnd type="none" w="sm" len="sm"/>
                            <a:tailEnd type="none" w="sm" len="sm"/>
                          </a:ln>
                        </wps:spPr>
                        <wps:txbx>
                          <w:txbxContent>
                            <w:p w:rsidR="00B267F3" w:rsidRDefault="00B267F3">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895850" cy="3589289"/>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895850" cy="3589289"/>
                        </a:xfrm>
                        <a:prstGeom prst="rect"/>
                        <a:ln/>
                      </pic:spPr>
                    </pic:pic>
                  </a:graphicData>
                </a:graphic>
              </wp:inline>
            </w:drawing>
          </mc:Fallback>
        </mc:AlternateConten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 PRISMA Flow Diagram of Study Selection Process</w:t>
      </w:r>
      <w:r>
        <w:rPr>
          <w:rFonts w:ascii="Times New Roman" w:eastAsia="Times New Roman" w:hAnsi="Times New Roman" w:cs="Times New Roman"/>
          <w:sz w:val="24"/>
          <w:szCs w:val="24"/>
        </w:rPr>
        <w:t xml:space="preserve">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retrieved records were imported into reference management software, and duplicate entries were removed. A total of 420 records were identified through database searching, with an additional 30 records obtained from other sources, yielding 450 records o</w:t>
      </w:r>
      <w:r>
        <w:rPr>
          <w:rFonts w:ascii="Times New Roman" w:eastAsia="Times New Roman" w:hAnsi="Times New Roman" w:cs="Times New Roman"/>
          <w:sz w:val="24"/>
          <w:szCs w:val="24"/>
        </w:rPr>
        <w:t>verall. After duplicate removal, 360 unique records remained and were screened based on titles and abstracts by two independent reviewers. Of these, 280 records were excluded for not meeting the inclusion criteria. The full texts of 80 potentially eligible</w:t>
      </w:r>
      <w:r>
        <w:rPr>
          <w:rFonts w:ascii="Times New Roman" w:eastAsia="Times New Roman" w:hAnsi="Times New Roman" w:cs="Times New Roman"/>
          <w:sz w:val="24"/>
          <w:szCs w:val="24"/>
        </w:rPr>
        <w:t xml:space="preserve"> studies were then assessed. Following full-text review, 15 studies were excluded for specific reasons, including lack of focus on laboratory diagnostics (n = 5), insufficient outcome data (n = 4), non-AI or unclear methodology (n = 3), duplicate or overla</w:t>
      </w:r>
      <w:r>
        <w:rPr>
          <w:rFonts w:ascii="Times New Roman" w:eastAsia="Times New Roman" w:hAnsi="Times New Roman" w:cs="Times New Roman"/>
          <w:sz w:val="24"/>
          <w:szCs w:val="24"/>
        </w:rPr>
        <w:t>pping datasets (n = 2), and absence of full-text availability (n = 1). Ultimately, 65 studies met the inclusion criteria and were included in the final synthesis. Any disagreements between reviewers were resolved through discussion or consultation with a t</w:t>
      </w:r>
      <w:r>
        <w:rPr>
          <w:rFonts w:ascii="Times New Roman" w:eastAsia="Times New Roman" w:hAnsi="Times New Roman" w:cs="Times New Roman"/>
          <w:sz w:val="24"/>
          <w:szCs w:val="24"/>
        </w:rPr>
        <w:t>hird reviewer. The study selection process was documented using a PRISMA flow diagram.</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7" w:name="_boi97o5hpa0a" w:colFirst="0" w:colLast="0"/>
      <w:bookmarkEnd w:id="7"/>
      <w:r>
        <w:rPr>
          <w:rFonts w:ascii="Times New Roman" w:eastAsia="Times New Roman" w:hAnsi="Times New Roman" w:cs="Times New Roman"/>
          <w:b/>
          <w:bCs/>
          <w:sz w:val="24"/>
          <w:szCs w:val="24"/>
        </w:rPr>
        <w:t>Data Extraction</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extracted using a standardized and pilot-tested data extraction form to ensure consistency and completeness. Extracted information included stu</w:t>
      </w:r>
      <w:r>
        <w:rPr>
          <w:rFonts w:ascii="Times New Roman" w:eastAsia="Times New Roman" w:hAnsi="Times New Roman" w:cs="Times New Roman"/>
          <w:sz w:val="24"/>
          <w:szCs w:val="24"/>
        </w:rPr>
        <w:t>dy characteristics (author, year, country, study design), population details, type of AI model used, and application domain within laboratory diagnostics. Additionally, key outcomes such as diagnostic performance metrics (e.g., sensitivity, specificity, AU</w:t>
      </w:r>
      <w:r>
        <w:rPr>
          <w:rFonts w:ascii="Times New Roman" w:eastAsia="Times New Roman" w:hAnsi="Times New Roman" w:cs="Times New Roman"/>
          <w:sz w:val="24"/>
          <w:szCs w:val="24"/>
        </w:rPr>
        <w:t xml:space="preserve">C), workflow efficiency indicators (e.g., turnaround time), and </w:t>
      </w:r>
      <w:r>
        <w:rPr>
          <w:rFonts w:ascii="Times New Roman" w:eastAsia="Times New Roman" w:hAnsi="Times New Roman" w:cs="Times New Roman"/>
          <w:sz w:val="24"/>
          <w:szCs w:val="24"/>
        </w:rPr>
        <w:lastRenderedPageBreak/>
        <w:t>measures of clinical utility were recorded. Data extraction was conducted independently by two reviewers, and discrepancies were resolved through consensus.</w:t>
      </w:r>
    </w:p>
    <w:p w:rsidR="00B267F3" w:rsidRDefault="00B267F3">
      <w:pPr>
        <w:pStyle w:val="Heading2"/>
        <w:keepNext w:val="0"/>
        <w:keepLines w:val="0"/>
        <w:spacing w:after="80"/>
        <w:jc w:val="both"/>
        <w:rPr>
          <w:rFonts w:ascii="Times New Roman" w:eastAsia="Times New Roman" w:hAnsi="Times New Roman" w:cs="Times New Roman"/>
          <w:b/>
          <w:bCs/>
          <w:sz w:val="24"/>
          <w:szCs w:val="24"/>
        </w:rPr>
      </w:pPr>
      <w:bookmarkStart w:id="8" w:name="_wnrcp4kbw98v" w:colFirst="0" w:colLast="0"/>
      <w:bookmarkEnd w:id="8"/>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9" w:name="_ldzx36o8sae" w:colFirst="0" w:colLast="0"/>
      <w:bookmarkEnd w:id="9"/>
      <w:r>
        <w:rPr>
          <w:rFonts w:ascii="Times New Roman" w:eastAsia="Times New Roman" w:hAnsi="Times New Roman" w:cs="Times New Roman"/>
          <w:b/>
          <w:bCs/>
          <w:sz w:val="24"/>
          <w:szCs w:val="24"/>
        </w:rPr>
        <w:t>Quality Assessment</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w:t>
      </w:r>
      <w:r>
        <w:rPr>
          <w:rFonts w:ascii="Times New Roman" w:eastAsia="Times New Roman" w:hAnsi="Times New Roman" w:cs="Times New Roman"/>
          <w:sz w:val="24"/>
          <w:szCs w:val="24"/>
        </w:rPr>
        <w:t>cal quality and risk of bias of included studies were assessed using validated appraisal tools appropriate to the study design. Diagnostic accuracy studies were evaluated using the QUADAS-2 tool, while observational studies were assessed using the Newcastl</w:t>
      </w:r>
      <w:r>
        <w:rPr>
          <w:rFonts w:ascii="Times New Roman" w:eastAsia="Times New Roman" w:hAnsi="Times New Roman" w:cs="Times New Roman"/>
          <w:sz w:val="24"/>
          <w:szCs w:val="24"/>
        </w:rPr>
        <w:t>e-Ottawa Scale. This process ensured the reliability and validity of the synthesized evidence. Disagreements during quality assessment were resolved through discussion among reviewers.</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10" w:name="_jeuwjsoediva" w:colFirst="0" w:colLast="0"/>
      <w:bookmarkEnd w:id="10"/>
      <w:r>
        <w:rPr>
          <w:rFonts w:ascii="Times New Roman" w:eastAsia="Times New Roman" w:hAnsi="Times New Roman" w:cs="Times New Roman"/>
          <w:b/>
          <w:bCs/>
          <w:sz w:val="24"/>
          <w:szCs w:val="24"/>
        </w:rPr>
        <w:t>Data Synthesis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synthesis was conducted to summarize and int</w:t>
      </w:r>
      <w:r>
        <w:rPr>
          <w:rFonts w:ascii="Times New Roman" w:eastAsia="Times New Roman" w:hAnsi="Times New Roman" w:cs="Times New Roman"/>
          <w:sz w:val="24"/>
          <w:szCs w:val="24"/>
        </w:rPr>
        <w:t>egrate findings across studies, structured around the three main domains of interest: diagnostic accuracy, workflow efficiency, and clinical utility. Where sufficient clinical and methodological homogeneity existed, quantitative synthesis (meta-analysis) w</w:t>
      </w:r>
      <w:r>
        <w:rPr>
          <w:rFonts w:ascii="Times New Roman" w:eastAsia="Times New Roman" w:hAnsi="Times New Roman" w:cs="Times New Roman"/>
          <w:sz w:val="24"/>
          <w:szCs w:val="24"/>
        </w:rPr>
        <w:t>as considered. Statistical heterogeneity was assessed using the I² statistic, and subgroup analyses were explored based on AI methodology, laboratory domain, and population characteristics. This approach allowed for both qualitative and quantitative interp</w:t>
      </w:r>
      <w:r>
        <w:rPr>
          <w:rFonts w:ascii="Times New Roman" w:eastAsia="Times New Roman" w:hAnsi="Times New Roman" w:cs="Times New Roman"/>
          <w:sz w:val="24"/>
          <w:szCs w:val="24"/>
        </w:rPr>
        <w:t>retation of findings.</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11" w:name="_u2hs4335sne9" w:colFirst="0" w:colLast="0"/>
      <w:bookmarkEnd w:id="11"/>
      <w:r>
        <w:rPr>
          <w:rFonts w:ascii="Times New Roman" w:eastAsia="Times New Roman" w:hAnsi="Times New Roman" w:cs="Times New Roman"/>
          <w:b/>
          <w:bCs/>
          <w:sz w:val="24"/>
          <w:szCs w:val="24"/>
        </w:rPr>
        <w:t>Ethical Considerations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this study involved the analysis of previously published data, ethical approval was not required. However, the review adhered to principles of research integrity, transparency, and proper attribution of all s</w:t>
      </w:r>
      <w:r>
        <w:rPr>
          <w:rFonts w:ascii="Times New Roman" w:eastAsia="Times New Roman" w:hAnsi="Times New Roman" w:cs="Times New Roman"/>
          <w:sz w:val="24"/>
          <w:szCs w:val="24"/>
        </w:rPr>
        <w:t>ources. The conduct and reporting of this study followed established international standards for systematic reviews.</w:t>
      </w:r>
    </w:p>
    <w:p w:rsidR="00B267F3" w:rsidRDefault="00B267F3">
      <w:pPr>
        <w:spacing w:before="240" w:after="240"/>
        <w:jc w:val="both"/>
        <w:rPr>
          <w:rFonts w:ascii="Times New Roman" w:eastAsia="Times New Roman" w:hAnsi="Times New Roman" w:cs="Times New Roman"/>
          <w:sz w:val="24"/>
          <w:szCs w:val="24"/>
        </w:rPr>
      </w:pP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12" w:name="_bqh18lpi03z9" w:colFirst="0" w:colLast="0"/>
      <w:bookmarkEnd w:id="12"/>
      <w:r>
        <w:rPr>
          <w:rFonts w:ascii="Times New Roman" w:eastAsia="Times New Roman" w:hAnsi="Times New Roman" w:cs="Times New Roman"/>
          <w:b/>
          <w:bCs/>
          <w:sz w:val="24"/>
          <w:szCs w:val="24"/>
        </w:rPr>
        <w:t>RESULTS</w:t>
      </w:r>
    </w:p>
    <w:p w:rsidR="00B267F3" w:rsidRDefault="00267ED9">
      <w:pPr>
        <w:pStyle w:val="Heading3"/>
        <w:keepNext w:val="0"/>
        <w:keepLines w:val="0"/>
        <w:spacing w:before="280"/>
        <w:jc w:val="both"/>
        <w:rPr>
          <w:rFonts w:ascii="Times New Roman" w:eastAsia="Times New Roman" w:hAnsi="Times New Roman" w:cs="Times New Roman"/>
          <w:b/>
          <w:bCs/>
          <w:color w:val="000000"/>
          <w:sz w:val="24"/>
          <w:szCs w:val="24"/>
        </w:rPr>
      </w:pPr>
      <w:bookmarkStart w:id="13" w:name="_2qtrewfqhk4w" w:colFirst="0" w:colLast="0"/>
      <w:bookmarkEnd w:id="13"/>
      <w:r>
        <w:rPr>
          <w:rFonts w:ascii="Times New Roman" w:eastAsia="Times New Roman" w:hAnsi="Times New Roman" w:cs="Times New Roman"/>
          <w:b/>
          <w:bCs/>
          <w:color w:val="000000"/>
          <w:sz w:val="24"/>
          <w:szCs w:val="24"/>
        </w:rPr>
        <w:t>1. Diagnostic Accuracy of AI in Clinical Laboratory Diagnostics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included studies, artificial intelligence (AI) consiste</w:t>
      </w:r>
      <w:r>
        <w:rPr>
          <w:rFonts w:ascii="Times New Roman" w:eastAsia="Times New Roman" w:hAnsi="Times New Roman" w:cs="Times New Roman"/>
          <w:sz w:val="24"/>
          <w:szCs w:val="24"/>
        </w:rPr>
        <w:t>ntly demonstrated strong diagnostic performance across diverse clinical laboratory applications, often outperforming conventional methods or matching expert-level interpretation.</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Several studies reported high diagnostic accuracy using machine learning models applied to laboratory biomarkers. For instance, Szumilas et al. (2024) reported a diagnostic accuracy of 74.3% with 100% sensitivity for emergency cases using an AI-based clini</w:t>
      </w:r>
      <w:r>
        <w:rPr>
          <w:rFonts w:ascii="Times New Roman" w:eastAsia="Times New Roman" w:hAnsi="Times New Roman" w:cs="Times New Roman"/>
          <w:sz w:val="24"/>
          <w:szCs w:val="24"/>
        </w:rPr>
        <w:t>cal decision support system. Similarly, Gözgöz et al. (2025) achieved an AUC of 0.902 and accuracy of 0.830 for predicting oligoclonal band positivity, outperforming conventional IgG index methods. Ni et al. (2025) demonstrated improved diagnostic performa</w:t>
      </w:r>
      <w:r>
        <w:rPr>
          <w:rFonts w:ascii="Times New Roman" w:eastAsia="Times New Roman" w:hAnsi="Times New Roman" w:cs="Times New Roman"/>
          <w:sz w:val="24"/>
          <w:szCs w:val="24"/>
        </w:rPr>
        <w:t>nce (AUC up to 0.86) when integrating laboratory biomarkers such as BRAFV600E mutation abundance with clinical data.</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High-performing AI systems were also observed in genomics and molecular diagnostics, where Gröschel et al., (2021)  reported AUC values of </w:t>
      </w:r>
      <w:r>
        <w:rPr>
          <w:rFonts w:ascii="Times New Roman" w:eastAsia="Times New Roman" w:hAnsi="Times New Roman" w:cs="Times New Roman"/>
          <w:sz w:val="24"/>
          <w:szCs w:val="24"/>
        </w:rPr>
        <w:t>0.89–0.96 for predicting tuberculosis drug resistance using whole genome sequencing. Likewise, Liu et al. (2025) achieved accuracy of 97.49% in detecting tuberculosis using routine laboratory indicators.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hematology and routine laboratory testing, Uçucu </w:t>
      </w:r>
      <w:r>
        <w:rPr>
          <w:rFonts w:ascii="Times New Roman" w:eastAsia="Times New Roman" w:hAnsi="Times New Roman" w:cs="Times New Roman"/>
          <w:sz w:val="24"/>
          <w:szCs w:val="24"/>
        </w:rPr>
        <w:t>and Azik (2024) showed that artificial neural networks outperformed traditional indices in differentiating iron deficiency anemia from β-thalassemia, while Gunčar et al. (2018) demonstrated that machine learning achieved up to 88% accuracy when considering</w:t>
      </w:r>
      <w:r>
        <w:rPr>
          <w:rFonts w:ascii="Times New Roman" w:eastAsia="Times New Roman" w:hAnsi="Times New Roman" w:cs="Times New Roman"/>
          <w:sz w:val="24"/>
          <w:szCs w:val="24"/>
        </w:rPr>
        <w:t xml:space="preserve"> top differential diagnoses.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Gungsuh" w:eastAsia="Gungsuh" w:hAnsi="Gungsuh" w:cs="Gungsuh"/>
          <w:sz w:val="24"/>
          <w:szCs w:val="24"/>
        </w:rPr>
        <w:t>AI also showed strong performance in cancer diagnostics and biomarker discovery. Goebel et al. (2020) reported 95.6% accuracy for early-stage lung cancer detection using blood biomarkers, while Xie et al. (2021) achieved an AUC</w:t>
      </w:r>
      <w:r>
        <w:rPr>
          <w:rFonts w:ascii="Gungsuh" w:eastAsia="Gungsuh" w:hAnsi="Gungsuh" w:cs="Gungsuh"/>
          <w:sz w:val="24"/>
          <w:szCs w:val="24"/>
        </w:rPr>
        <w:t xml:space="preserve"> of 0.989 for early lung cancer detection using metabolomics. Chen et al. (2024) and Yangzi Chen et al. (2024) similarly reported excellent diagnostic performance (AUC ≈ 0.96) using metabolomic biomarkers for gastric cancer.</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infectious diseases, multipl</w:t>
      </w:r>
      <w:r>
        <w:rPr>
          <w:rFonts w:ascii="Times New Roman" w:eastAsia="Times New Roman" w:hAnsi="Times New Roman" w:cs="Times New Roman"/>
          <w:sz w:val="24"/>
          <w:szCs w:val="24"/>
        </w:rPr>
        <w:t>e studies confirmed high diagnostic accuracy using routine laboratory data. Similarly, machine learning models utilizing routine blood and biochemical markers have demonstrated high diagnostic accuracy in neurological disease classification (Ning et al., 2</w:t>
      </w:r>
      <w:r>
        <w:rPr>
          <w:rFonts w:ascii="Times New Roman" w:eastAsia="Times New Roman" w:hAnsi="Times New Roman" w:cs="Times New Roman"/>
          <w:sz w:val="24"/>
          <w:szCs w:val="24"/>
        </w:rPr>
        <w:t>025).  Kukar et al. (2021) achieved AUC of 0.97 for COVID-19 detection, while Brinati et al. (2020) demonstrated 82% accuracy using blood biomarkers. Yang et al. (2020) further showed that ML models could identify false-negative COVID-19 cases, enhancing d</w:t>
      </w:r>
      <w:r>
        <w:rPr>
          <w:rFonts w:ascii="Times New Roman" w:eastAsia="Times New Roman" w:hAnsi="Times New Roman" w:cs="Times New Roman"/>
          <w:sz w:val="24"/>
          <w:szCs w:val="24"/>
        </w:rPr>
        <w:t>iagnostic sensitivity.</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AI models integrating multi-modal data (laboratory, imaging, and clinical data) demonstrated superior performance. Zhen et al. (2020) achieved AUC values up to 0.998 for liver tumor classification, while Ardila et al. (2019)</w:t>
      </w:r>
      <w:r>
        <w:rPr>
          <w:rFonts w:ascii="Times New Roman" w:eastAsia="Times New Roman" w:hAnsi="Times New Roman" w:cs="Times New Roman"/>
          <w:sz w:val="24"/>
          <w:szCs w:val="24"/>
        </w:rPr>
        <w:t xml:space="preserve"> reported AUC of 0.944 for lung cancer detection using imaging data.</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these findings demonstrate that AI models consistently achieve high diagnostic accuracy (AUC often &gt;0.85–0.95) across a wide range of diseases, particularly when integrating mult</w:t>
      </w:r>
      <w:r>
        <w:rPr>
          <w:rFonts w:ascii="Times New Roman" w:eastAsia="Times New Roman" w:hAnsi="Times New Roman" w:cs="Times New Roman"/>
          <w:sz w:val="24"/>
          <w:szCs w:val="24"/>
        </w:rPr>
        <w:t>i-analyte laboratory data.</w:t>
      </w:r>
    </w:p>
    <w:p w:rsidR="00B267F3" w:rsidRDefault="00267ED9">
      <w:pPr>
        <w:pStyle w:val="Heading3"/>
        <w:keepNext w:val="0"/>
        <w:keepLines w:val="0"/>
        <w:spacing w:before="280"/>
        <w:jc w:val="both"/>
        <w:rPr>
          <w:rFonts w:ascii="Times New Roman" w:eastAsia="Times New Roman" w:hAnsi="Times New Roman" w:cs="Times New Roman"/>
          <w:b/>
          <w:bCs/>
          <w:color w:val="000000"/>
          <w:sz w:val="24"/>
          <w:szCs w:val="24"/>
        </w:rPr>
      </w:pPr>
      <w:bookmarkStart w:id="14" w:name="_hwi0yuk3vdox" w:colFirst="0" w:colLast="0"/>
      <w:bookmarkEnd w:id="14"/>
      <w:r>
        <w:rPr>
          <w:rFonts w:ascii="Times New Roman" w:eastAsia="Times New Roman" w:hAnsi="Times New Roman" w:cs="Times New Roman"/>
          <w:b/>
          <w:bCs/>
          <w:color w:val="000000"/>
          <w:sz w:val="24"/>
          <w:szCs w:val="24"/>
        </w:rPr>
        <w:t>2. Workflow Efficiency in Laboratory Diagnostics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AI integration significantly improved laboratory workflow efficiency by reducing turnaround time, automating interpretation, and optimizing resource utilization.</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de</w:t>
      </w:r>
      <w:r>
        <w:rPr>
          <w:rFonts w:ascii="Times New Roman" w:eastAsia="Times New Roman" w:hAnsi="Times New Roman" w:cs="Times New Roman"/>
          <w:sz w:val="24"/>
          <w:szCs w:val="24"/>
        </w:rPr>
        <w:t>monstrated substantial reductions in diagnostic time and workload. Szumilas et al. (2024) reported a 41.6% reduction in unnecessary medical visits, while Seungmin Lee et al. (2024) reduced turnaround time from 10–15 minutes to 1–2 minutes using AI-assisted</w:t>
      </w:r>
      <w:r>
        <w:rPr>
          <w:rFonts w:ascii="Times New Roman" w:eastAsia="Times New Roman" w:hAnsi="Times New Roman" w:cs="Times New Roman"/>
          <w:sz w:val="24"/>
          <w:szCs w:val="24"/>
        </w:rPr>
        <w:t xml:space="preserve"> point-of-care testing.</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also enabled rapid and high-throughput diagnostics. Zhang et al. (2025) demonstrated leukemia detection within 5 minutes using minimal sample volume, and Villota et al. (2025) reduced COVID-19 diagnostic turnaround to under 2 hou</w:t>
      </w:r>
      <w:r>
        <w:rPr>
          <w:rFonts w:ascii="Times New Roman" w:eastAsia="Times New Roman" w:hAnsi="Times New Roman" w:cs="Times New Roman"/>
          <w:sz w:val="24"/>
          <w:szCs w:val="24"/>
        </w:rPr>
        <w:t>rs without RNA extraction.</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of laboratory data interpretation was a major efficiency gain. Luo et al. (2016) showed that machine learning can predict laboratory results (e.g., ferritin) using existing test data, reducing redundant testing. Simila</w:t>
      </w:r>
      <w:r>
        <w:rPr>
          <w:rFonts w:ascii="Times New Roman" w:eastAsia="Times New Roman" w:hAnsi="Times New Roman" w:cs="Times New Roman"/>
          <w:sz w:val="24"/>
          <w:szCs w:val="24"/>
        </w:rPr>
        <w:t>rly, Park et al. (2021) and Kraszewski et al. (2021) demonstrated that AI can integrate multi-analyte laboratory data to automate disease classification.</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also improved resource allocation and prioritization. Gözgöz et al. (2025) highlighted prioritizati</w:t>
      </w:r>
      <w:r>
        <w:rPr>
          <w:rFonts w:ascii="Times New Roman" w:eastAsia="Times New Roman" w:hAnsi="Times New Roman" w:cs="Times New Roman"/>
          <w:sz w:val="24"/>
          <w:szCs w:val="24"/>
        </w:rPr>
        <w:t>on of high-probability samples, while Rawson et al. (2019) and Yang et al. (2020) demonstrated efficient triage using minimal laboratory variables.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large-scale systems, AI facilitated real-time clinical decision support. Chang et al. (2025) showed reduced time to critical interventions in emergency departments, while Meyer et al. (2018) demonstrated real-time prediction of ICU complications. Overal</w:t>
      </w:r>
      <w:r>
        <w:rPr>
          <w:rFonts w:ascii="Times New Roman" w:eastAsia="Times New Roman" w:hAnsi="Times New Roman" w:cs="Times New Roman"/>
          <w:sz w:val="24"/>
          <w:szCs w:val="24"/>
        </w:rPr>
        <w:t>l, artificial intelligence contributes to improved efficiency in laboratory practice by reducing turnaround time, enabling automated data interpretation, minimizing unnecessary testing, and enhancing overall laboratory throughput.</w:t>
      </w:r>
    </w:p>
    <w:p w:rsidR="00B267F3" w:rsidRDefault="00267ED9">
      <w:pPr>
        <w:pStyle w:val="Heading3"/>
        <w:keepNext w:val="0"/>
        <w:keepLines w:val="0"/>
        <w:spacing w:before="280"/>
        <w:jc w:val="both"/>
        <w:rPr>
          <w:rFonts w:ascii="Times New Roman" w:eastAsia="Times New Roman" w:hAnsi="Times New Roman" w:cs="Times New Roman"/>
          <w:b/>
          <w:bCs/>
          <w:color w:val="000000"/>
          <w:sz w:val="24"/>
          <w:szCs w:val="24"/>
        </w:rPr>
      </w:pPr>
      <w:bookmarkStart w:id="15" w:name="_upol0m1wld8g" w:colFirst="0" w:colLast="0"/>
      <w:bookmarkEnd w:id="15"/>
      <w:r>
        <w:rPr>
          <w:rFonts w:ascii="Times New Roman" w:eastAsia="Times New Roman" w:hAnsi="Times New Roman" w:cs="Times New Roman"/>
          <w:b/>
          <w:bCs/>
          <w:color w:val="000000"/>
          <w:sz w:val="24"/>
          <w:szCs w:val="24"/>
        </w:rPr>
        <w:t>3. Clinical Utility and I</w:t>
      </w:r>
      <w:r>
        <w:rPr>
          <w:rFonts w:ascii="Times New Roman" w:eastAsia="Times New Roman" w:hAnsi="Times New Roman" w:cs="Times New Roman"/>
          <w:b/>
          <w:bCs/>
          <w:color w:val="000000"/>
          <w:sz w:val="24"/>
          <w:szCs w:val="24"/>
        </w:rPr>
        <w:t>mpact on Patient Care</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applications demonstrated significant clinical utility by improving decision-making, enabling early diagnosis, and supporting personalized medicine.</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highlighted early disease detection and risk stratification. Tomaš</w:t>
      </w:r>
      <w:r>
        <w:rPr>
          <w:rFonts w:ascii="Times New Roman" w:eastAsia="Times New Roman" w:hAnsi="Times New Roman" w:cs="Times New Roman"/>
          <w:sz w:val="24"/>
          <w:szCs w:val="24"/>
        </w:rPr>
        <w:t>ev et al. (2019) predicted acute kidney injury up to 72 hours in advance, while Lev-Tzion et al. (2025) identified biomarker changes years before Crohn’s disease diagnosis. Yan et al. (2020) and Karthikeyan et al. (2021) showed early mortality prediction i</w:t>
      </w:r>
      <w:r>
        <w:rPr>
          <w:rFonts w:ascii="Times New Roman" w:eastAsia="Times New Roman" w:hAnsi="Times New Roman" w:cs="Times New Roman"/>
          <w:sz w:val="24"/>
          <w:szCs w:val="24"/>
        </w:rPr>
        <w:t>n COVID-19 patients using laboratory biomarkers.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also supported personalized and precision medicine. Ma et al. (2026) enabled individualized prognostic prediction in breast cancer, while Lewis and Kemp (2021) used multi-omics data to predict radiation r</w:t>
      </w:r>
      <w:r>
        <w:rPr>
          <w:rFonts w:ascii="Times New Roman" w:eastAsia="Times New Roman" w:hAnsi="Times New Roman" w:cs="Times New Roman"/>
          <w:sz w:val="24"/>
          <w:szCs w:val="24"/>
        </w:rPr>
        <w:t>esistance. Januzzi et al. (2025) demonstrated effective cardio-kidney risk stratification using biomarker-driven ML models.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oncology, AI improved screening and treatment planning. Hornbrook et al. (2017) enabled early colorectal cancer detection up to 3</w:t>
      </w:r>
      <w:r>
        <w:rPr>
          <w:rFonts w:ascii="Times New Roman" w:eastAsia="Times New Roman" w:hAnsi="Times New Roman" w:cs="Times New Roman"/>
          <w:sz w:val="24"/>
          <w:szCs w:val="24"/>
        </w:rPr>
        <w:t>60 days before diagnosis, while Wang et al. (2019) predicted ovarian cancer recurrence using imaging biomarkers.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AI-based clinical decision support systems (CDSS) demonstrated strong real-world applicability. Rosen et al. (2025) showed reduced complication</w:t>
      </w:r>
      <w:r>
        <w:rPr>
          <w:rFonts w:ascii="Times New Roman" w:eastAsia="Times New Roman" w:hAnsi="Times New Roman" w:cs="Times New Roman"/>
          <w:sz w:val="24"/>
          <w:szCs w:val="24"/>
        </w:rPr>
        <w:t>s and improved outcomes following AI-guided colorectal cancer management, while Zmudzki et al. (2025) reported high clinician agreement (82.4%) with AI-generated treatment recommendations.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AI enhanced non-invasive diagnostics, reducing relian</w:t>
      </w:r>
      <w:r>
        <w:rPr>
          <w:rFonts w:ascii="Times New Roman" w:eastAsia="Times New Roman" w:hAnsi="Times New Roman" w:cs="Times New Roman"/>
          <w:sz w:val="24"/>
          <w:szCs w:val="24"/>
        </w:rPr>
        <w:t>ce on invasive procedures. Cao et al. (2013) predicted liver cirrhosis without biopsy, and Kawakami et al. (2019) enabled ovarian cancer diagnosis using blood biomarkers.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bookmarkStart w:id="16" w:name="_xdaqduopnvbo" w:colFirst="0" w:colLast="0"/>
      <w:bookmarkEnd w:id="16"/>
      <w:r>
        <w:rPr>
          <w:rFonts w:ascii="Times New Roman" w:eastAsia="Times New Roman" w:hAnsi="Times New Roman" w:cs="Times New Roman"/>
          <w:sz w:val="24"/>
          <w:szCs w:val="24"/>
        </w:rPr>
        <w:t>Despite these benefits, several studies have highlighted important limitations that a</w:t>
      </w:r>
      <w:r>
        <w:rPr>
          <w:rFonts w:ascii="Times New Roman" w:eastAsia="Times New Roman" w:hAnsi="Times New Roman" w:cs="Times New Roman"/>
          <w:sz w:val="24"/>
          <w:szCs w:val="24"/>
        </w:rPr>
        <w:t>ffect clinical utility, including the lack of external validation, data heterogeneity and bias (Luu, 2025), limited generalizability across diverse populations, and ongoing regulatory and implementation challenges (Pinsky et al., 2024).</w:t>
      </w:r>
    </w:p>
    <w:p w:rsidR="00B267F3" w:rsidRDefault="00267ED9">
      <w:pPr>
        <w:pStyle w:val="Heading3"/>
        <w:keepNext w:val="0"/>
        <w:keepLines w:val="0"/>
        <w:spacing w:before="280"/>
        <w:jc w:val="both"/>
        <w:rPr>
          <w:rFonts w:ascii="Times New Roman" w:eastAsia="Times New Roman" w:hAnsi="Times New Roman" w:cs="Times New Roman"/>
          <w:b/>
          <w:bCs/>
          <w:color w:val="000000"/>
          <w:sz w:val="24"/>
          <w:szCs w:val="24"/>
        </w:rPr>
      </w:pPr>
      <w:bookmarkStart w:id="17" w:name="_3i1rel4gl7sm" w:colFirst="0" w:colLast="0"/>
      <w:bookmarkEnd w:id="17"/>
      <w:r>
        <w:rPr>
          <w:rFonts w:ascii="Times New Roman" w:eastAsia="Times New Roman" w:hAnsi="Times New Roman" w:cs="Times New Roman"/>
          <w:b/>
          <w:bCs/>
          <w:color w:val="000000"/>
          <w:sz w:val="24"/>
          <w:szCs w:val="24"/>
        </w:rPr>
        <w:t>4. Evidence from Sy</w:t>
      </w:r>
      <w:r>
        <w:rPr>
          <w:rFonts w:ascii="Times New Roman" w:eastAsia="Times New Roman" w:hAnsi="Times New Roman" w:cs="Times New Roman"/>
          <w:b/>
          <w:bCs/>
          <w:color w:val="000000"/>
          <w:sz w:val="24"/>
          <w:szCs w:val="24"/>
        </w:rPr>
        <w:t>stematic Reviews and Meta-Analyses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reviews consistently support the effectiveness of AI in laboratory diagnostics. Chang et al. (2021) reported AUC values up to 0.996 for Alzheimer’s disease diagnosis using AI-integrated biomarkers. Valentidenta</w:t>
      </w:r>
      <w:r>
        <w:rPr>
          <w:rFonts w:ascii="Times New Roman" w:eastAsia="Times New Roman" w:hAnsi="Times New Roman" w:cs="Times New Roman"/>
          <w:sz w:val="24"/>
          <w:szCs w:val="24"/>
        </w:rPr>
        <w:t xml:space="preserve"> and Pribadi (2025) demonstrated pooled sensitivity of 92% and specificity of 89% in cardiovascular diagnostics.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bookmarkStart w:id="18" w:name="_musnwrnlfio5" w:colFirst="0" w:colLast="0"/>
      <w:bookmarkEnd w:id="18"/>
      <w:r>
        <w:rPr>
          <w:rFonts w:ascii="Times New Roman" w:eastAsia="Times New Roman" w:hAnsi="Times New Roman" w:cs="Times New Roman"/>
          <w:sz w:val="24"/>
          <w:szCs w:val="24"/>
        </w:rPr>
        <w:t>Other reviews (Ashraf et al., 2025; Xie et al., 2024; De Bruyne et al., 2021) emphasize that AI improves diagnostic accuracy, workflow efficien</w:t>
      </w:r>
      <w:r>
        <w:rPr>
          <w:rFonts w:ascii="Times New Roman" w:eastAsia="Times New Roman" w:hAnsi="Times New Roman" w:cs="Times New Roman"/>
          <w:sz w:val="24"/>
          <w:szCs w:val="24"/>
        </w:rPr>
        <w:t>cy, and clinical decision-making across laboratory workflows.</w:t>
      </w:r>
    </w:p>
    <w:p w:rsidR="00B267F3" w:rsidRDefault="00267ED9">
      <w:pPr>
        <w:pStyle w:val="Heading2"/>
        <w:keepNext w:val="0"/>
        <w:keepLines w:val="0"/>
        <w:spacing w:before="240" w:after="240"/>
        <w:jc w:val="both"/>
        <w:rPr>
          <w:rFonts w:ascii="Times New Roman" w:eastAsia="Times New Roman" w:hAnsi="Times New Roman" w:cs="Times New Roman"/>
          <w:sz w:val="24"/>
          <w:szCs w:val="24"/>
        </w:rPr>
      </w:pPr>
      <w:bookmarkStart w:id="19" w:name="_jt7xnpund6vo" w:colFirst="0" w:colLast="0"/>
      <w:bookmarkEnd w:id="19"/>
      <w:r>
        <w:rPr>
          <w:rFonts w:ascii="Times New Roman" w:eastAsia="Times New Roman" w:hAnsi="Times New Roman" w:cs="Times New Roman"/>
          <w:sz w:val="24"/>
          <w:szCs w:val="24"/>
        </w:rPr>
        <w:t>However, methodological concerns remain. Miller and Valdes (2025) and Moons et al. (2025) highlight the need for standardized validation frameworks, while Alballa and Al-Turaiki (2021) note issu</w:t>
      </w:r>
      <w:r>
        <w:rPr>
          <w:rFonts w:ascii="Times New Roman" w:eastAsia="Times New Roman" w:hAnsi="Times New Roman" w:cs="Times New Roman"/>
          <w:sz w:val="24"/>
          <w:szCs w:val="24"/>
        </w:rPr>
        <w:t>es with small datasets and lack of real-world implementation.</w:t>
      </w:r>
    </w:p>
    <w:p w:rsidR="00B267F3" w:rsidRDefault="00B267F3">
      <w:pPr>
        <w:pStyle w:val="Heading1"/>
        <w:keepNext w:val="0"/>
        <w:keepLines w:val="0"/>
        <w:spacing w:before="480"/>
        <w:jc w:val="both"/>
        <w:rPr>
          <w:rFonts w:ascii="Times New Roman" w:eastAsia="Times New Roman" w:hAnsi="Times New Roman" w:cs="Times New Roman"/>
          <w:b/>
          <w:bCs/>
          <w:sz w:val="24"/>
          <w:szCs w:val="24"/>
        </w:rPr>
      </w:pPr>
      <w:bookmarkStart w:id="20" w:name="_xxcmkb8y2q4o" w:colFirst="0" w:colLast="0"/>
      <w:bookmarkEnd w:id="20"/>
    </w:p>
    <w:p w:rsidR="00B267F3" w:rsidRDefault="00B267F3">
      <w:pPr>
        <w:rPr>
          <w:sz w:val="24"/>
          <w:szCs w:val="24"/>
        </w:rPr>
      </w:pPr>
    </w:p>
    <w:p w:rsidR="00B267F3" w:rsidRDefault="00B267F3">
      <w:pPr>
        <w:rPr>
          <w:sz w:val="24"/>
          <w:szCs w:val="24"/>
        </w:rPr>
      </w:pPr>
    </w:p>
    <w:p w:rsidR="00B267F3" w:rsidRDefault="00267ED9">
      <w:pPr>
        <w:pStyle w:val="Heading1"/>
        <w:keepNext w:val="0"/>
        <w:keepLines w:val="0"/>
        <w:spacing w:before="480"/>
        <w:jc w:val="both"/>
        <w:rPr>
          <w:rFonts w:ascii="Times New Roman" w:eastAsia="Times New Roman" w:hAnsi="Times New Roman" w:cs="Times New Roman"/>
          <w:b/>
          <w:bCs/>
          <w:sz w:val="24"/>
          <w:szCs w:val="24"/>
        </w:rPr>
      </w:pPr>
      <w:bookmarkStart w:id="21" w:name="_bxyfdhmg3n6z" w:colFirst="0" w:colLast="0"/>
      <w:bookmarkEnd w:id="21"/>
      <w:r>
        <w:rPr>
          <w:rFonts w:ascii="Times New Roman" w:eastAsia="Times New Roman" w:hAnsi="Times New Roman" w:cs="Times New Roman"/>
          <w:b/>
          <w:bCs/>
          <w:sz w:val="24"/>
          <w:szCs w:val="24"/>
        </w:rPr>
        <w:t>DISCUSSION</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synthesized evidence on the application of artificial intelligence (AI) in clinical laboratory diagnostics, focusing on diagnostic accuracy, workflow efficiency, and </w:t>
      </w:r>
      <w:r>
        <w:rPr>
          <w:rFonts w:ascii="Times New Roman" w:eastAsia="Times New Roman" w:hAnsi="Times New Roman" w:cs="Times New Roman"/>
          <w:sz w:val="24"/>
          <w:szCs w:val="24"/>
        </w:rPr>
        <w:lastRenderedPageBreak/>
        <w:t>clinical utility. Overall, the findings demonstrate that AI has sig</w:t>
      </w:r>
      <w:r>
        <w:rPr>
          <w:rFonts w:ascii="Times New Roman" w:eastAsia="Times New Roman" w:hAnsi="Times New Roman" w:cs="Times New Roman"/>
          <w:sz w:val="24"/>
          <w:szCs w:val="24"/>
        </w:rPr>
        <w:t>nificant potential to enhance laboratory medicine; however, variability in methodological quality, validation practices, and real-world implementation remains a major limitation.</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22" w:name="_lum3rufqh65o" w:colFirst="0" w:colLast="0"/>
      <w:bookmarkEnd w:id="22"/>
      <w:r>
        <w:rPr>
          <w:rFonts w:ascii="Times New Roman" w:eastAsia="Times New Roman" w:hAnsi="Times New Roman" w:cs="Times New Roman"/>
          <w:b/>
          <w:bCs/>
          <w:sz w:val="24"/>
          <w:szCs w:val="24"/>
        </w:rPr>
        <w:t>1. Diagnostic Accuracy: High Performance with Context-Dependent Variability</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findings of this review show that AI models consistently achieve high diagnostic performance across diverse clinical applications. Several studies reported strong accuracy metrics, with many models achieving AUC values above 0.85 and, in some cases, exc</w:t>
      </w:r>
      <w:r>
        <w:rPr>
          <w:rFonts w:ascii="Times New Roman" w:eastAsia="Times New Roman" w:hAnsi="Times New Roman" w:cs="Times New Roman"/>
          <w:sz w:val="24"/>
          <w:szCs w:val="24"/>
        </w:rPr>
        <w:t>eeding 0.95. For instance, machine learning models demonstrated excellent diagnostic performance in tuberculosis detection (accuracy 97.49%) and lung cancer detection (AUC 0.989) (Liu et al., 2025; Xie et al., 2021) . Similarly, AI-assisted biomarker model</w:t>
      </w:r>
      <w:r>
        <w:rPr>
          <w:rFonts w:ascii="Times New Roman" w:eastAsia="Times New Roman" w:hAnsi="Times New Roman" w:cs="Times New Roman"/>
          <w:sz w:val="24"/>
          <w:szCs w:val="24"/>
        </w:rPr>
        <w:t>s for gastric cancer achieved AUC values of approximately 0.96, outperforming conventional tumor markers (Chen et al., 2024; Yangzi Chen et al., 2024)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key observation is that integration of multi-analyte laboratory data enhances diagnostic performance.</w:t>
      </w:r>
      <w:r>
        <w:rPr>
          <w:rFonts w:ascii="Times New Roman" w:eastAsia="Times New Roman" w:hAnsi="Times New Roman" w:cs="Times New Roman"/>
          <w:sz w:val="24"/>
          <w:szCs w:val="24"/>
        </w:rPr>
        <w:t xml:space="preserve"> Studies combining laboratory biomarkers with clinical, genomic, or imaging data consistently outperformed single-modality approaches (Ni et al., 2025; Zhen et al., 2020) . This supports the concept that AI is particularly effective in identifying complex,</w:t>
      </w:r>
      <w:r>
        <w:rPr>
          <w:rFonts w:ascii="Times New Roman" w:eastAsia="Times New Roman" w:hAnsi="Times New Roman" w:cs="Times New Roman"/>
          <w:sz w:val="24"/>
          <w:szCs w:val="24"/>
        </w:rPr>
        <w:t xml:space="preserve"> multidimensional disease signatures.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diagnostic performance varied depending on study design and dataset characteristics. Studies using smaller datasets or single-center cohorts often reported lower or less reliable performance (Uçucu and Azik, 2</w:t>
      </w:r>
      <w:r>
        <w:rPr>
          <w:rFonts w:ascii="Times New Roman" w:eastAsia="Times New Roman" w:hAnsi="Times New Roman" w:cs="Times New Roman"/>
          <w:sz w:val="24"/>
          <w:szCs w:val="24"/>
        </w:rPr>
        <w:t>024; Gunčar et al., 2018) . Furthermore, heterogeneity in reporting diagnostic metrics limited comparability across studies. Many studies also lacked external validation, raising concerns about overfitting and limited generalizability.</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when ex</w:t>
      </w:r>
      <w:r>
        <w:rPr>
          <w:rFonts w:ascii="Times New Roman" w:eastAsia="Times New Roman" w:hAnsi="Times New Roman" w:cs="Times New Roman"/>
          <w:sz w:val="24"/>
          <w:szCs w:val="24"/>
        </w:rPr>
        <w:t>ternal validation was performed, model performance sometimes declined, suggesting sensitivity to differences in population characteristics and laboratory practices. This highlights a critical gap in current research: the need for robust, multicenter valida</w:t>
      </w:r>
      <w:r>
        <w:rPr>
          <w:rFonts w:ascii="Times New Roman" w:eastAsia="Times New Roman" w:hAnsi="Times New Roman" w:cs="Times New Roman"/>
          <w:sz w:val="24"/>
          <w:szCs w:val="24"/>
        </w:rPr>
        <w:t>tion to ensure reproducibility and generalizability.</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23" w:name="_cazhnffq5ehr" w:colFirst="0" w:colLast="0"/>
      <w:bookmarkEnd w:id="23"/>
      <w:r>
        <w:rPr>
          <w:rFonts w:ascii="Times New Roman" w:eastAsia="Times New Roman" w:hAnsi="Times New Roman" w:cs="Times New Roman"/>
          <w:b/>
          <w:bCs/>
          <w:sz w:val="24"/>
          <w:szCs w:val="24"/>
        </w:rPr>
        <w:t>2. Workflow Efficiency: Automation and Optimization Across the Testing Process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applications demonstrated substantial improvements in laboratory workflow efficiency, particularly in reducing turnaround</w:t>
      </w:r>
      <w:r>
        <w:rPr>
          <w:rFonts w:ascii="Times New Roman" w:eastAsia="Times New Roman" w:hAnsi="Times New Roman" w:cs="Times New Roman"/>
          <w:sz w:val="24"/>
          <w:szCs w:val="24"/>
        </w:rPr>
        <w:t xml:space="preserve"> time and automating data interpretation. Several studies reported significant reductions in diagnostic delays. For example, AI-assisted point-of-care testing reduced turnaround time from 10–15 minutes to 1–2 minutes (Seungmin Lee et al., 2024) , while oth</w:t>
      </w:r>
      <w:r>
        <w:rPr>
          <w:rFonts w:ascii="Times New Roman" w:eastAsia="Times New Roman" w:hAnsi="Times New Roman" w:cs="Times New Roman"/>
          <w:sz w:val="24"/>
          <w:szCs w:val="24"/>
        </w:rPr>
        <w:t>er platforms enabled rapid disease detection within minutes using minimal sample volumes (Zhang et al., 2025)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AI also improved resource utilization and triage efficiency. The implementation of AI-based clinical decision systems reduced unnecessary medica</w:t>
      </w:r>
      <w:r>
        <w:rPr>
          <w:rFonts w:ascii="Times New Roman" w:eastAsia="Times New Roman" w:hAnsi="Times New Roman" w:cs="Times New Roman"/>
          <w:sz w:val="24"/>
          <w:szCs w:val="24"/>
        </w:rPr>
        <w:t>l visits by over 40% (Szumilas et al., 2024) and enabled prioritization of high-risk samples for confirmatory testing (Gözgöz et al., 2025) . Similarly, models using routine laboratory data were able to rapidly screen and triage patients in infectious dise</w:t>
      </w:r>
      <w:r>
        <w:rPr>
          <w:rFonts w:ascii="Times New Roman" w:eastAsia="Times New Roman" w:hAnsi="Times New Roman" w:cs="Times New Roman"/>
          <w:sz w:val="24"/>
          <w:szCs w:val="24"/>
        </w:rPr>
        <w:t>ase settings, improving early detection and reducing diagnostic burden (Yang et al., 2020; Rawson et al., 2019)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AI facilitated automation of complex laboratory data interpretation, reducing reliance on manual analysis and minimizing human er</w:t>
      </w:r>
      <w:r>
        <w:rPr>
          <w:rFonts w:ascii="Times New Roman" w:eastAsia="Times New Roman" w:hAnsi="Times New Roman" w:cs="Times New Roman"/>
          <w:sz w:val="24"/>
          <w:szCs w:val="24"/>
        </w:rPr>
        <w:t>ror (Luo et al., 2016; Park et al., 2021) . These capabilities are particularly valuable in high-throughput laboratories and resource-limited settings.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benefits, integration into routine clinical workflows remains limited. Many AI systems are</w:t>
      </w:r>
      <w:r>
        <w:rPr>
          <w:rFonts w:ascii="Times New Roman" w:eastAsia="Times New Roman" w:hAnsi="Times New Roman" w:cs="Times New Roman"/>
          <w:sz w:val="24"/>
          <w:szCs w:val="24"/>
        </w:rPr>
        <w:t xml:space="preserve"> not yet fully embedded within laboratory information systems, and challenges such as interoperability, data standardization, and workflow disruption persist. Furthermore, the lack of model interpretability in some AI systems may reduce clinician trust and</w:t>
      </w:r>
      <w:r>
        <w:rPr>
          <w:rFonts w:ascii="Times New Roman" w:eastAsia="Times New Roman" w:hAnsi="Times New Roman" w:cs="Times New Roman"/>
          <w:sz w:val="24"/>
          <w:szCs w:val="24"/>
        </w:rPr>
        <w:t xml:space="preserve"> hinder adoption.</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24" w:name="_szp7mndsyi3c" w:colFirst="0" w:colLast="0"/>
      <w:bookmarkEnd w:id="24"/>
      <w:r>
        <w:rPr>
          <w:rFonts w:ascii="Times New Roman" w:eastAsia="Times New Roman" w:hAnsi="Times New Roman" w:cs="Times New Roman"/>
          <w:b/>
          <w:bCs/>
          <w:sz w:val="24"/>
          <w:szCs w:val="24"/>
        </w:rPr>
        <w:t>3. Clinical Utility: Advancing Early Detection and Personalized Medicine</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applications demonstrated significant clinical utility, particularly in early disease detection, prognostic prediction, and personalized treatment strategies. Several studies showed that AI models can detect disease earlier than conventional methods. Fo</w:t>
      </w:r>
      <w:r>
        <w:rPr>
          <w:rFonts w:ascii="Times New Roman" w:eastAsia="Times New Roman" w:hAnsi="Times New Roman" w:cs="Times New Roman"/>
          <w:sz w:val="24"/>
          <w:szCs w:val="24"/>
        </w:rPr>
        <w:t>r example, machine learning models predicted acute kidney injury up to 72 hours before onset (Tomašev et al., 2019) and identified biomarker changes years before Crohn’s disease diagnosis (Lev-Tzion et al., 2025)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also enabled risk stratification and p</w:t>
      </w:r>
      <w:r>
        <w:rPr>
          <w:rFonts w:ascii="Times New Roman" w:eastAsia="Times New Roman" w:hAnsi="Times New Roman" w:cs="Times New Roman"/>
          <w:sz w:val="24"/>
          <w:szCs w:val="24"/>
        </w:rPr>
        <w:t>rognostic assessment, supporting clinical decision-making. Models integrating laboratory biomarkers successfully predicted mortality in COVID-19 patients with high accuracy (Yan et al., 2020; Karthikeyan et al., 2021) , while other studies demonstrated acc</w:t>
      </w:r>
      <w:r>
        <w:rPr>
          <w:rFonts w:ascii="Times New Roman" w:eastAsia="Times New Roman" w:hAnsi="Times New Roman" w:cs="Times New Roman"/>
          <w:sz w:val="24"/>
          <w:szCs w:val="24"/>
        </w:rPr>
        <w:t>urate prediction of adverse outcomes in cancer and chronic diseases (Ma et al., 2026; Januzzi et al., 2025)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oncology, AI improved screening and early detection. Blood-based models detected colorectal cancer months before clinical diagnosis (Hornbrook </w:t>
      </w:r>
      <w:r>
        <w:rPr>
          <w:rFonts w:ascii="Times New Roman" w:eastAsia="Times New Roman" w:hAnsi="Times New Roman" w:cs="Times New Roman"/>
          <w:sz w:val="24"/>
          <w:szCs w:val="24"/>
        </w:rPr>
        <w:t>et al., 2017) , and imaging-integrated models enhanced cancer classification and recurrence prediction (Wang et al., 2019; Ardila et al., 2019)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AI also supports non-invasive diagnostic approaches, reducing the need for invasive procedures su</w:t>
      </w:r>
      <w:r>
        <w:rPr>
          <w:rFonts w:ascii="Times New Roman" w:eastAsia="Times New Roman" w:hAnsi="Times New Roman" w:cs="Times New Roman"/>
          <w:sz w:val="24"/>
          <w:szCs w:val="24"/>
        </w:rPr>
        <w:t>ch as biopsies (Cao et al., 2013; Kawakami et al., 2019) . This has significant implications for patient safety and healthcare costs.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promising clinical applications, relatively few studies evaluated real-world clinical outcomes following </w:t>
      </w:r>
      <w:r>
        <w:rPr>
          <w:rFonts w:ascii="Times New Roman" w:eastAsia="Times New Roman" w:hAnsi="Times New Roman" w:cs="Times New Roman"/>
          <w:sz w:val="24"/>
          <w:szCs w:val="24"/>
        </w:rPr>
        <w:t xml:space="preserve">AI implementation. Only a limited number of studies demonstrated </w:t>
      </w:r>
      <w:r>
        <w:rPr>
          <w:rFonts w:ascii="Times New Roman" w:eastAsia="Times New Roman" w:hAnsi="Times New Roman" w:cs="Times New Roman"/>
          <w:sz w:val="24"/>
          <w:szCs w:val="24"/>
        </w:rPr>
        <w:lastRenderedPageBreak/>
        <w:t>improved patient outcomes or reduced complications after integrating AI into clinical workflows (Rosen et al., 2025; Chang et al., 2025) . This indicates a gap between model development and a</w:t>
      </w:r>
      <w:r>
        <w:rPr>
          <w:rFonts w:ascii="Times New Roman" w:eastAsia="Times New Roman" w:hAnsi="Times New Roman" w:cs="Times New Roman"/>
          <w:sz w:val="24"/>
          <w:szCs w:val="24"/>
        </w:rPr>
        <w:t>ctual clinical impact.</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25" w:name="_x4rdsxgj4h7e" w:colFirst="0" w:colLast="0"/>
      <w:bookmarkEnd w:id="25"/>
      <w:r>
        <w:rPr>
          <w:rFonts w:ascii="Times New Roman" w:eastAsia="Times New Roman" w:hAnsi="Times New Roman" w:cs="Times New Roman"/>
          <w:b/>
          <w:bCs/>
          <w:sz w:val="24"/>
          <w:szCs w:val="24"/>
        </w:rPr>
        <w:t>4. Methodological Limitations and Risk of Bias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identified several methodological limitations across the included studies. A majority of studies employed retrospective designs, which are prone to selection bias and may not</w:t>
      </w:r>
      <w:r>
        <w:rPr>
          <w:rFonts w:ascii="Times New Roman" w:eastAsia="Times New Roman" w:hAnsi="Times New Roman" w:cs="Times New Roman"/>
          <w:sz w:val="24"/>
          <w:szCs w:val="24"/>
        </w:rPr>
        <w:t xml:space="preserve"> reflect real-world clinical conditions (Brinati et al., 2020; Gadalla et al., 2019) . Additionally, small sample sizes and class imbalance were common, potentially leading to overestimation of model performance.</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also substantial heterogeneity in</w:t>
      </w:r>
      <w:r>
        <w:rPr>
          <w:rFonts w:ascii="Times New Roman" w:eastAsia="Times New Roman" w:hAnsi="Times New Roman" w:cs="Times New Roman"/>
          <w:sz w:val="24"/>
          <w:szCs w:val="24"/>
        </w:rPr>
        <w:t xml:space="preserve"> datasets, study populations, and evaluation metrics, limiting comparability across studies. Many studies lacked standardized validation procedures, and external validation was often absent or limited.</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quality and bias represent additional concerns. V</w:t>
      </w:r>
      <w:r>
        <w:rPr>
          <w:rFonts w:ascii="Times New Roman" w:eastAsia="Times New Roman" w:hAnsi="Times New Roman" w:cs="Times New Roman"/>
          <w:sz w:val="24"/>
          <w:szCs w:val="24"/>
        </w:rPr>
        <w:t xml:space="preserve">ariability in laboratory measurements, population differences, and incomplete datasets may introduce bias into AI models, affecting generalizability and fairness (Luu, 2025) . These issues highlight the need for standardized data collection and validation </w:t>
      </w:r>
      <w:r>
        <w:rPr>
          <w:rFonts w:ascii="Times New Roman" w:eastAsia="Times New Roman" w:hAnsi="Times New Roman" w:cs="Times New Roman"/>
          <w:sz w:val="24"/>
          <w:szCs w:val="24"/>
        </w:rPr>
        <w:t>frameworks.</w:t>
      </w:r>
    </w:p>
    <w:p w:rsidR="00B267F3" w:rsidRDefault="00B267F3">
      <w:pPr>
        <w:spacing w:before="240" w:after="240"/>
        <w:jc w:val="both"/>
        <w:rPr>
          <w:rFonts w:ascii="Times New Roman" w:eastAsia="Times New Roman" w:hAnsi="Times New Roman" w:cs="Times New Roman"/>
          <w:sz w:val="24"/>
          <w:szCs w:val="24"/>
        </w:rPr>
      </w:pP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26" w:name="_mho9kuwtgk7w" w:colFirst="0" w:colLast="0"/>
      <w:bookmarkEnd w:id="26"/>
      <w:r>
        <w:rPr>
          <w:rFonts w:ascii="Times New Roman" w:eastAsia="Times New Roman" w:hAnsi="Times New Roman" w:cs="Times New Roman"/>
          <w:b/>
          <w:bCs/>
          <w:sz w:val="24"/>
          <w:szCs w:val="24"/>
        </w:rPr>
        <w:t>5. Implications for Clinical Practice and Future Research</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suggest that AI has strong potential to transform clinical laboratory diagnostics. However, several key steps are necessary to translate this potential into routine practice.</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future studies should focus on prospective, mu</w:t>
      </w:r>
      <w:r>
        <w:rPr>
          <w:rFonts w:ascii="Times New Roman" w:eastAsia="Times New Roman" w:hAnsi="Times New Roman" w:cs="Times New Roman"/>
          <w:sz w:val="24"/>
          <w:szCs w:val="24"/>
        </w:rPr>
        <w:t>lticenter validation to ensure generalizability across diverse populations. Second, standardized frameworks for evaluation and reporting, such as PROBAST+AI, should be adopted to improve methodological rigor (Moons et al., 2025) .</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integration into c</w:t>
      </w:r>
      <w:r>
        <w:rPr>
          <w:rFonts w:ascii="Times New Roman" w:eastAsia="Times New Roman" w:hAnsi="Times New Roman" w:cs="Times New Roman"/>
          <w:sz w:val="24"/>
          <w:szCs w:val="24"/>
        </w:rPr>
        <w:t>linical workflows must be prioritized, including interoperability with laboratory systems and improved model interpretability. Finally, future research should emphasize real-world clinical outcomes, cost-effectiveness, and health system impact, rather than</w:t>
      </w:r>
      <w:r>
        <w:rPr>
          <w:rFonts w:ascii="Times New Roman" w:eastAsia="Times New Roman" w:hAnsi="Times New Roman" w:cs="Times New Roman"/>
          <w:sz w:val="24"/>
          <w:szCs w:val="24"/>
        </w:rPr>
        <w:t xml:space="preserve"> focusing solely on diagnostic accuracy.</w:t>
      </w:r>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27" w:name="_zd77dn7tw0vk" w:colFirst="0" w:colLast="0"/>
      <w:bookmarkEnd w:id="27"/>
      <w:r>
        <w:rPr>
          <w:rFonts w:ascii="Times New Roman" w:eastAsia="Times New Roman" w:hAnsi="Times New Roman" w:cs="Times New Roman"/>
          <w:b/>
          <w:bCs/>
          <w:sz w:val="24"/>
          <w:szCs w:val="24"/>
        </w:rPr>
        <w:t>6. Strengths and Limitations of This Review</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provides a comprehensive synthesis of AI applications in clinical laboratory diagnostics, integrating evidence across diagnostic accuracy, workflow efficiency,</w:t>
      </w:r>
      <w:r>
        <w:rPr>
          <w:rFonts w:ascii="Times New Roman" w:eastAsia="Times New Roman" w:hAnsi="Times New Roman" w:cs="Times New Roman"/>
          <w:sz w:val="24"/>
          <w:szCs w:val="24"/>
        </w:rPr>
        <w:t xml:space="preserve"> and clinical </w:t>
      </w:r>
      <w:r>
        <w:rPr>
          <w:rFonts w:ascii="Times New Roman" w:eastAsia="Times New Roman" w:hAnsi="Times New Roman" w:cs="Times New Roman"/>
          <w:sz w:val="24"/>
          <w:szCs w:val="24"/>
        </w:rPr>
        <w:lastRenderedPageBreak/>
        <w:t>utility. By including a wide range of study designs and clinical domains, it offers a broad perspective on current advancements.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limitations include heterogeneity among included studies, which limited quantitative synthesis, and pote</w:t>
      </w:r>
      <w:r>
        <w:rPr>
          <w:rFonts w:ascii="Times New Roman" w:eastAsia="Times New Roman" w:hAnsi="Times New Roman" w:cs="Times New Roman"/>
          <w:sz w:val="24"/>
          <w:szCs w:val="24"/>
        </w:rPr>
        <w:t>ntial publication bias favoring positive findings. Additionally, the rapidly evolving nature of AI means that newer developments may not be fully captured.</w:t>
      </w:r>
    </w:p>
    <w:p w:rsidR="00B267F3" w:rsidRDefault="00B267F3">
      <w:pPr>
        <w:pStyle w:val="Heading1"/>
        <w:keepNext w:val="0"/>
        <w:keepLines w:val="0"/>
        <w:spacing w:before="480"/>
        <w:jc w:val="both"/>
        <w:rPr>
          <w:rFonts w:ascii="Times New Roman" w:eastAsia="Times New Roman" w:hAnsi="Times New Roman" w:cs="Times New Roman"/>
          <w:b/>
          <w:bCs/>
          <w:sz w:val="24"/>
          <w:szCs w:val="24"/>
        </w:rPr>
      </w:pPr>
      <w:bookmarkStart w:id="28" w:name="_grnr6xjejfw0" w:colFirst="0" w:colLast="0"/>
      <w:bookmarkEnd w:id="28"/>
    </w:p>
    <w:p w:rsidR="00B267F3" w:rsidRDefault="00267ED9">
      <w:pPr>
        <w:pStyle w:val="Heading1"/>
        <w:keepNext w:val="0"/>
        <w:keepLines w:val="0"/>
        <w:spacing w:before="480"/>
        <w:jc w:val="both"/>
        <w:rPr>
          <w:rFonts w:ascii="Times New Roman" w:eastAsia="Times New Roman" w:hAnsi="Times New Roman" w:cs="Times New Roman"/>
          <w:b/>
          <w:bCs/>
          <w:sz w:val="24"/>
          <w:szCs w:val="24"/>
        </w:rPr>
      </w:pPr>
      <w:bookmarkStart w:id="29" w:name="_wiixyqsfoc2p" w:colFirst="0" w:colLast="0"/>
      <w:bookmarkEnd w:id="29"/>
      <w:r>
        <w:rPr>
          <w:rFonts w:ascii="Times New Roman" w:eastAsia="Times New Roman" w:hAnsi="Times New Roman" w:cs="Times New Roman"/>
          <w:b/>
          <w:bCs/>
          <w:sz w:val="24"/>
          <w:szCs w:val="24"/>
        </w:rPr>
        <w:t>CONCLUSION</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demonstrates that artificial intelligence (AI) has significant po</w:t>
      </w:r>
      <w:r>
        <w:rPr>
          <w:rFonts w:ascii="Times New Roman" w:eastAsia="Times New Roman" w:hAnsi="Times New Roman" w:cs="Times New Roman"/>
          <w:sz w:val="24"/>
          <w:szCs w:val="24"/>
        </w:rPr>
        <w:t xml:space="preserve">tential to transform clinical laboratory diagnostics by enhancing diagnostic accuracy, improving workflow efficiency, and strengthening clinical decision-making. Across a wide range of clinical applications, AI models consistently achieved high diagnostic </w:t>
      </w:r>
      <w:r>
        <w:rPr>
          <w:rFonts w:ascii="Times New Roman" w:eastAsia="Times New Roman" w:hAnsi="Times New Roman" w:cs="Times New Roman"/>
          <w:sz w:val="24"/>
          <w:szCs w:val="24"/>
        </w:rPr>
        <w:t>performance, particularly when integrating multi-analyte laboratory data with clinical, genomic, or imaging information. These findings highlight the ability of AI to uncover complex disease patterns and improve diagnostic precision beyond conventional met</w:t>
      </w:r>
      <w:r>
        <w:rPr>
          <w:rFonts w:ascii="Times New Roman" w:eastAsia="Times New Roman" w:hAnsi="Times New Roman" w:cs="Times New Roman"/>
          <w:sz w:val="24"/>
          <w:szCs w:val="24"/>
        </w:rPr>
        <w:t>hods.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diagnostic accuracy, AI applications were shown to substantially improve laboratory workflow efficiency. Automated data interpretation, rapid processing of laboratory results, and optimized resource utilization contribute to reduced tu</w:t>
      </w:r>
      <w:r>
        <w:rPr>
          <w:rFonts w:ascii="Times New Roman" w:eastAsia="Times New Roman" w:hAnsi="Times New Roman" w:cs="Times New Roman"/>
          <w:sz w:val="24"/>
          <w:szCs w:val="24"/>
        </w:rPr>
        <w:t>rnaround times and increased laboratory productivity. These advantages are especially relevant in high-throughput and resource-limited settings, where AI can support scalable and cost-effective diagnostic services.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clinical perspective, AI demonstra</w:t>
      </w:r>
      <w:r>
        <w:rPr>
          <w:rFonts w:ascii="Times New Roman" w:eastAsia="Times New Roman" w:hAnsi="Times New Roman" w:cs="Times New Roman"/>
          <w:sz w:val="24"/>
          <w:szCs w:val="24"/>
        </w:rPr>
        <w:t>tes strong utility in early disease detection, risk stratification, and personalized medicine. The ability to predict disease onset, progression, and patient outcomes using routinely collected laboratory data underscores the potential of AI to improve pati</w:t>
      </w:r>
      <w:r>
        <w:rPr>
          <w:rFonts w:ascii="Times New Roman" w:eastAsia="Times New Roman" w:hAnsi="Times New Roman" w:cs="Times New Roman"/>
          <w:sz w:val="24"/>
          <w:szCs w:val="24"/>
        </w:rPr>
        <w:t>ent care and clinical outcomes. Furthermore, AI-enabled non-invasive diagnostic approaches may reduce reliance on invasive procedures, enhancing patient safety and accessibility of care.</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promising findings, several challenges limit the widesp</w:t>
      </w:r>
      <w:r>
        <w:rPr>
          <w:rFonts w:ascii="Times New Roman" w:eastAsia="Times New Roman" w:hAnsi="Times New Roman" w:cs="Times New Roman"/>
          <w:sz w:val="24"/>
          <w:szCs w:val="24"/>
        </w:rPr>
        <w:t>read implementation of AI in clinical laboratory practice. Many studies are constrained by retrospective designs, small or non-representative datasets, and limited external validation, raising concerns regarding generalizability and reproducibility. Additi</w:t>
      </w:r>
      <w:r>
        <w:rPr>
          <w:rFonts w:ascii="Times New Roman" w:eastAsia="Times New Roman" w:hAnsi="Times New Roman" w:cs="Times New Roman"/>
          <w:sz w:val="24"/>
          <w:szCs w:val="24"/>
        </w:rPr>
        <w:t>onally, issues related to data quality, algorithmic bias, lack of interpretability, and integration into existing laboratory workflows remain significant barriers. Addressing these challenges is essential to ensure the safe, equitable, and effective use of</w:t>
      </w:r>
      <w:r>
        <w:rPr>
          <w:rFonts w:ascii="Times New Roman" w:eastAsia="Times New Roman" w:hAnsi="Times New Roman" w:cs="Times New Roman"/>
          <w:sz w:val="24"/>
          <w:szCs w:val="24"/>
        </w:rPr>
        <w:t xml:space="preserve"> AI in healthcare.</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Future research should prioritize prospective, multicenter studies and standardized validation frameworks to strengthen the evidence base. Greater emphasis is also needed on real-world clinical outcomes, cost-effectiveness, and integrati</w:t>
      </w:r>
      <w:r>
        <w:rPr>
          <w:rFonts w:ascii="Times New Roman" w:eastAsia="Times New Roman" w:hAnsi="Times New Roman" w:cs="Times New Roman"/>
          <w:sz w:val="24"/>
          <w:szCs w:val="24"/>
        </w:rPr>
        <w:t>on into routine practice. With continued advancements and appropriate regulatory and methodological rigor, AI has the potential to become an integral component of clinical laboratory systems, ultimately improving diagnostic performance, healthcare efficien</w:t>
      </w:r>
      <w:r>
        <w:rPr>
          <w:rFonts w:ascii="Times New Roman" w:eastAsia="Times New Roman" w:hAnsi="Times New Roman" w:cs="Times New Roman"/>
          <w:sz w:val="24"/>
          <w:szCs w:val="24"/>
        </w:rPr>
        <w:t>cy, and patient outcomes.</w:t>
      </w:r>
    </w:p>
    <w:p w:rsidR="00B267F3" w:rsidRDefault="00B267F3">
      <w:pPr>
        <w:pStyle w:val="Heading2"/>
        <w:keepNext w:val="0"/>
        <w:keepLines w:val="0"/>
        <w:spacing w:after="80"/>
        <w:jc w:val="both"/>
        <w:rPr>
          <w:rFonts w:ascii="Times New Roman" w:eastAsia="Times New Roman" w:hAnsi="Times New Roman" w:cs="Times New Roman"/>
          <w:b/>
          <w:bCs/>
          <w:sz w:val="24"/>
          <w:szCs w:val="24"/>
        </w:rPr>
      </w:pPr>
      <w:bookmarkStart w:id="30" w:name="_lgh6pdemoivi" w:colFirst="0" w:colLast="0"/>
      <w:bookmarkEnd w:id="30"/>
    </w:p>
    <w:p w:rsidR="00B267F3" w:rsidRDefault="00267ED9">
      <w:pPr>
        <w:pStyle w:val="Heading2"/>
        <w:keepNext w:val="0"/>
        <w:keepLines w:val="0"/>
        <w:spacing w:after="80"/>
        <w:jc w:val="both"/>
        <w:rPr>
          <w:rFonts w:ascii="Times New Roman" w:eastAsia="Times New Roman" w:hAnsi="Times New Roman" w:cs="Times New Roman"/>
          <w:b/>
          <w:bCs/>
          <w:sz w:val="24"/>
          <w:szCs w:val="24"/>
        </w:rPr>
      </w:pPr>
      <w:bookmarkStart w:id="31" w:name="_j7d7je7kqoqf" w:colFirst="0" w:colLast="0"/>
      <w:bookmarkEnd w:id="31"/>
      <w:r>
        <w:rPr>
          <w:rFonts w:ascii="Times New Roman" w:eastAsia="Times New Roman" w:hAnsi="Times New Roman" w:cs="Times New Roman"/>
          <w:b/>
          <w:bCs/>
          <w:sz w:val="24"/>
          <w:szCs w:val="24"/>
        </w:rPr>
        <w:t>RECOMMENDATIONS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findings of this systematic review, several recommendations are proposed to advance the development, validation, and implementation of artificial intelligence (AI) in clinical laboratory diagnostics.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future research should prioritize prospective, multicenter studies to enhance the generalizability and robustness of AI models. Many current studies rely on retrospective and single-center datasets, which limit external validity. Collaborative, mult</w:t>
      </w:r>
      <w:r>
        <w:rPr>
          <w:rFonts w:ascii="Times New Roman" w:eastAsia="Times New Roman" w:hAnsi="Times New Roman" w:cs="Times New Roman"/>
          <w:sz w:val="24"/>
          <w:szCs w:val="24"/>
        </w:rPr>
        <w:t>i-institutional research is essential to ensure that AI systems perform reliably across diverse populations and healthcare settings.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there is a need for standardized evaluation and reporting frameworks for AI-based diagnostic tools. Adoption of est</w:t>
      </w:r>
      <w:r>
        <w:rPr>
          <w:rFonts w:ascii="Times New Roman" w:eastAsia="Times New Roman" w:hAnsi="Times New Roman" w:cs="Times New Roman"/>
          <w:sz w:val="24"/>
          <w:szCs w:val="24"/>
        </w:rPr>
        <w:t>ablished guidelines such as PRISMA, STARD-AI, and PROBAST+AI will improve methodological rigor, transparency, and comparability across studies. Consistent reporting of performance metrics (e.g., sensitivity, specificity, AUC) is critical for accurate inter</w:t>
      </w:r>
      <w:r>
        <w:rPr>
          <w:rFonts w:ascii="Times New Roman" w:eastAsia="Times New Roman" w:hAnsi="Times New Roman" w:cs="Times New Roman"/>
          <w:sz w:val="24"/>
          <w:szCs w:val="24"/>
        </w:rPr>
        <w:t>pretation and benchmarking.</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future studies should emphasize external validation and real-world implementation. AI models must be tested in routine clinical environments to assess their practical utility, reliability, and impact on patient outcomes. </w:t>
      </w:r>
      <w:r>
        <w:rPr>
          <w:rFonts w:ascii="Times New Roman" w:eastAsia="Times New Roman" w:hAnsi="Times New Roman" w:cs="Times New Roman"/>
          <w:sz w:val="24"/>
          <w:szCs w:val="24"/>
        </w:rPr>
        <w:t>Integration into laboratory information systems and clinical workflows should be a key focus to facilitate adoption.</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Fourth, greater attention should be given to data quality, representativeness, and bias mitigation. Efforts should be made to include diver</w:t>
      </w:r>
      <w:r>
        <w:rPr>
          <w:rFonts w:ascii="Times New Roman" w:eastAsia="Times New Roman" w:hAnsi="Times New Roman" w:cs="Times New Roman"/>
          <w:sz w:val="24"/>
          <w:szCs w:val="24"/>
        </w:rPr>
        <w:t>se and well-annotated datasets to reduce algorithmic bias and improve fairness, particularly for underrepresented populations and low- and middle-income countries.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Fifth, research should expand beyond diagnostic accuracy to include clinical outcomes, cost-</w:t>
      </w:r>
      <w:r>
        <w:rPr>
          <w:rFonts w:ascii="Times New Roman" w:eastAsia="Times New Roman" w:hAnsi="Times New Roman" w:cs="Times New Roman"/>
          <w:sz w:val="24"/>
          <w:szCs w:val="24"/>
        </w:rPr>
        <w:t>effectiveness, and health system impact. Evaluating how AI influences decision-making, patient outcomes, and resource utilization will provide stronger evidence for its value in healthcare systems.</w:t>
      </w:r>
    </w:p>
    <w:p w:rsidR="00B267F3" w:rsidRDefault="00267ED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Finally, policymakers and healthcare institutions should p</w:t>
      </w:r>
      <w:r>
        <w:rPr>
          <w:rFonts w:ascii="Times New Roman" w:eastAsia="Times New Roman" w:hAnsi="Times New Roman" w:cs="Times New Roman"/>
          <w:sz w:val="24"/>
          <w:szCs w:val="24"/>
        </w:rPr>
        <w:t>romote ethical governance, regulatory frameworks, and capacity building for AI integration. This includes ensuring data privacy, transparency, and accountability, as well as investing in infrastructure and workforce training to support sustainable implemen</w:t>
      </w:r>
      <w:r>
        <w:rPr>
          <w:rFonts w:ascii="Times New Roman" w:eastAsia="Times New Roman" w:hAnsi="Times New Roman" w:cs="Times New Roman"/>
          <w:sz w:val="24"/>
          <w:szCs w:val="24"/>
        </w:rPr>
        <w:t>tation.</w:t>
      </w:r>
    </w:p>
    <w:p w:rsidR="00B267F3" w:rsidRDefault="00B267F3">
      <w:pPr>
        <w:jc w:val="both"/>
        <w:rPr>
          <w:rFonts w:ascii="Times New Roman" w:eastAsia="Times New Roman" w:hAnsi="Times New Roman" w:cs="Times New Roman"/>
          <w:sz w:val="24"/>
          <w:szCs w:val="24"/>
        </w:rPr>
      </w:pPr>
    </w:p>
    <w:p w:rsidR="00B267F3" w:rsidRDefault="00B267F3">
      <w:pPr>
        <w:jc w:val="both"/>
        <w:rPr>
          <w:rFonts w:ascii="Times New Roman" w:eastAsia="Times New Roman" w:hAnsi="Times New Roman" w:cs="Times New Roman"/>
          <w:sz w:val="24"/>
          <w:szCs w:val="24"/>
        </w:rPr>
      </w:pPr>
    </w:p>
    <w:p w:rsidR="00B267F3" w:rsidRDefault="00B267F3">
      <w:pPr>
        <w:jc w:val="both"/>
        <w:rPr>
          <w:rFonts w:ascii="Times New Roman" w:eastAsia="Times New Roman" w:hAnsi="Times New Roman" w:cs="Times New Roman"/>
          <w:sz w:val="24"/>
          <w:szCs w:val="24"/>
        </w:rPr>
      </w:pPr>
    </w:p>
    <w:p w:rsidR="00B267F3" w:rsidRDefault="00267ED9">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w:t>
      </w:r>
    </w:p>
    <w:p w:rsidR="00B267F3" w:rsidRDefault="00B267F3">
      <w:pPr>
        <w:jc w:val="both"/>
        <w:rPr>
          <w:rFonts w:ascii="Times New Roman" w:eastAsia="Times New Roman" w:hAnsi="Times New Roman" w:cs="Times New Roman"/>
          <w:sz w:val="24"/>
          <w:szCs w:val="24"/>
        </w:rPr>
      </w:pP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Alballa, N., &amp; Al-Turaiki, I. (2021). Machine learning approaches in COVID-19 diagnosis, mortality, and severity risk prediction: A review. </w:t>
      </w:r>
      <w:r>
        <w:rPr>
          <w:rFonts w:ascii="Times New Roman" w:eastAsia="Times New Roman" w:hAnsi="Times New Roman" w:cs="Times New Roman"/>
          <w:i/>
          <w:iCs/>
          <w:sz w:val="24"/>
          <w:szCs w:val="24"/>
        </w:rPr>
        <w:t>Informatics in Medicine Unlocked, 24</w:t>
      </w:r>
      <w:r>
        <w:rPr>
          <w:rFonts w:ascii="Times New Roman" w:eastAsia="Times New Roman" w:hAnsi="Times New Roman" w:cs="Times New Roman"/>
          <w:sz w:val="24"/>
          <w:szCs w:val="24"/>
        </w:rPr>
        <w:t>, 100564.</w:t>
      </w:r>
      <w:hyperlink r:id="rId9">
        <w:r>
          <w:rPr>
            <w:rFonts w:ascii="Times New Roman" w:eastAsia="Times New Roman" w:hAnsi="Times New Roman" w:cs="Times New Roman"/>
            <w:sz w:val="24"/>
            <w:szCs w:val="24"/>
          </w:rPr>
          <w:t xml:space="preserve"> https://doi.org/10.1016/j.imu.2021.100564</w:t>
        </w:r>
      </w:hyperlink>
      <w:r>
        <w:rPr>
          <w:rFonts w:ascii="Times New Roman" w:eastAsia="Times New Roman" w:hAnsi="Times New Roman" w:cs="Times New Roman"/>
          <w:sz w:val="24"/>
          <w:szCs w:val="24"/>
        </w:rPr>
        <w:t xml:space="preserve"> </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Apostolopoulos, I. D., Aznaouridis, S. I., &amp; Tzani, M. A. (2020). Extracting possibly representative COVID-19 biomarkers from X-ray images with deep lear</w:t>
      </w:r>
      <w:r>
        <w:rPr>
          <w:rFonts w:ascii="Times New Roman" w:eastAsia="Times New Roman" w:hAnsi="Times New Roman" w:cs="Times New Roman"/>
          <w:sz w:val="24"/>
          <w:szCs w:val="24"/>
        </w:rPr>
        <w:t xml:space="preserve">ning approach and image data related to pulmonary diseases. </w:t>
      </w:r>
      <w:r>
        <w:rPr>
          <w:rFonts w:ascii="Times New Roman" w:eastAsia="Times New Roman" w:hAnsi="Times New Roman" w:cs="Times New Roman"/>
          <w:i/>
          <w:iCs/>
          <w:sz w:val="24"/>
          <w:szCs w:val="24"/>
        </w:rPr>
        <w:t>Journal of Medical and Biological Engineering, 40</w:t>
      </w:r>
      <w:r>
        <w:rPr>
          <w:rFonts w:ascii="Times New Roman" w:eastAsia="Times New Roman" w:hAnsi="Times New Roman" w:cs="Times New Roman"/>
          <w:sz w:val="24"/>
          <w:szCs w:val="24"/>
        </w:rPr>
        <w:t>, 462–469 .</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Ardila, D., Kiraly, A. P., Bharadwaj, S., et al. (2019). End-to-end lung cancer screening with three-dimensional deep learning on low-d</w:t>
      </w:r>
      <w:r>
        <w:rPr>
          <w:rFonts w:ascii="Times New Roman" w:eastAsia="Times New Roman" w:hAnsi="Times New Roman" w:cs="Times New Roman"/>
          <w:sz w:val="24"/>
          <w:szCs w:val="24"/>
        </w:rPr>
        <w:t xml:space="preserve">ose chest computed tomography. </w:t>
      </w:r>
      <w:r>
        <w:rPr>
          <w:rFonts w:ascii="Times New Roman" w:eastAsia="Times New Roman" w:hAnsi="Times New Roman" w:cs="Times New Roman"/>
          <w:i/>
          <w:iCs/>
          <w:sz w:val="24"/>
          <w:szCs w:val="24"/>
        </w:rPr>
        <w:t>Nature Medicine, 25</w:t>
      </w:r>
      <w:r>
        <w:rPr>
          <w:rFonts w:ascii="Times New Roman" w:eastAsia="Times New Roman" w:hAnsi="Times New Roman" w:cs="Times New Roman"/>
          <w:sz w:val="24"/>
          <w:szCs w:val="24"/>
        </w:rPr>
        <w:t>(6), 954–961.</w:t>
      </w:r>
    </w:p>
    <w:p w:rsidR="00B267F3" w:rsidRDefault="00267ED9">
      <w:pPr>
        <w:spacing w:before="240" w:after="240"/>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Ashraf, A. A., Rai, S., Alva, S., Alva, P. D., &amp; Naresh, S. (2025). Revolutionizing clinical laboratories: The impact of artificial intelligence in diagnostics and patient care. </w:t>
      </w:r>
      <w:r>
        <w:rPr>
          <w:rFonts w:ascii="Times New Roman" w:eastAsia="Times New Roman" w:hAnsi="Times New Roman" w:cs="Times New Roman"/>
          <w:i/>
          <w:iCs/>
          <w:sz w:val="24"/>
          <w:szCs w:val="24"/>
        </w:rPr>
        <w:t>Diagnostic Mic</w:t>
      </w:r>
      <w:r>
        <w:rPr>
          <w:rFonts w:ascii="Times New Roman" w:eastAsia="Times New Roman" w:hAnsi="Times New Roman" w:cs="Times New Roman"/>
          <w:i/>
          <w:iCs/>
          <w:sz w:val="24"/>
          <w:szCs w:val="24"/>
        </w:rPr>
        <w:t>robiology and Infectious Disease, 111</w:t>
      </w:r>
      <w:r>
        <w:rPr>
          <w:rFonts w:ascii="Times New Roman" w:eastAsia="Times New Roman" w:hAnsi="Times New Roman" w:cs="Times New Roman"/>
          <w:sz w:val="24"/>
          <w:szCs w:val="24"/>
        </w:rPr>
        <w:t>(4), 116728.</w:t>
      </w:r>
      <w:hyperlink r:id="rId10">
        <w:r>
          <w:rPr>
            <w:rFonts w:ascii="Times New Roman" w:eastAsia="Times New Roman" w:hAnsi="Times New Roman" w:cs="Times New Roman"/>
            <w:sz w:val="24"/>
            <w:szCs w:val="24"/>
          </w:rPr>
          <w:t xml:space="preserve"> https://doi.org/10.1016/j.diagmicrobio.2025.116728</w:t>
        </w:r>
      </w:hyperlink>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Botlagunta M, Botlagunta MD, Myneni MB, et al. (2023). </w:t>
      </w:r>
      <w:r>
        <w:rPr>
          <w:rFonts w:ascii="Times New Roman" w:eastAsia="Times New Roman" w:hAnsi="Times New Roman" w:cs="Times New Roman"/>
          <w:i/>
          <w:iCs/>
          <w:sz w:val="24"/>
          <w:szCs w:val="24"/>
        </w:rPr>
        <w:t xml:space="preserve">Classification and diagnostic </w:t>
      </w:r>
      <w:r>
        <w:rPr>
          <w:rFonts w:ascii="Times New Roman" w:eastAsia="Times New Roman" w:hAnsi="Times New Roman" w:cs="Times New Roman"/>
          <w:i/>
          <w:iCs/>
          <w:sz w:val="24"/>
          <w:szCs w:val="24"/>
        </w:rPr>
        <w:t>prediction of breast cancer metastasis on clinical data using machine learning algorithms</w:t>
      </w:r>
      <w:r>
        <w:rPr>
          <w:rFonts w:ascii="Times New Roman" w:eastAsia="Times New Roman" w:hAnsi="Times New Roman" w:cs="Times New Roman"/>
          <w:sz w:val="24"/>
          <w:szCs w:val="24"/>
        </w:rPr>
        <w:t>. Scientific Reports.</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Brinati, D., Campagner, A., Ferrari, D., et al. (2020). </w:t>
      </w:r>
      <w:r>
        <w:rPr>
          <w:rFonts w:ascii="Times New Roman" w:eastAsia="Times New Roman" w:hAnsi="Times New Roman" w:cs="Times New Roman"/>
          <w:i/>
          <w:iCs/>
          <w:sz w:val="24"/>
          <w:szCs w:val="24"/>
        </w:rPr>
        <w:t>Detection of COVID-19 infection from routine blood exams with machine learning: A feasibi</w:t>
      </w:r>
      <w:r>
        <w:rPr>
          <w:rFonts w:ascii="Times New Roman" w:eastAsia="Times New Roman" w:hAnsi="Times New Roman" w:cs="Times New Roman"/>
          <w:i/>
          <w:iCs/>
          <w:sz w:val="24"/>
          <w:szCs w:val="24"/>
        </w:rPr>
        <w:t>lity study</w:t>
      </w:r>
      <w:r>
        <w:rPr>
          <w:rFonts w:ascii="Times New Roman" w:eastAsia="Times New Roman" w:hAnsi="Times New Roman" w:cs="Times New Roman"/>
          <w:sz w:val="24"/>
          <w:szCs w:val="24"/>
        </w:rPr>
        <w:t>. Journal of Medical Systems, 44, 135.</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Calvert JS, Price DA, Chettipally UK, et al. (2016). </w:t>
      </w:r>
      <w:r>
        <w:rPr>
          <w:rFonts w:ascii="Times New Roman" w:eastAsia="Times New Roman" w:hAnsi="Times New Roman" w:cs="Times New Roman"/>
          <w:i/>
          <w:iCs/>
          <w:sz w:val="24"/>
          <w:szCs w:val="24"/>
        </w:rPr>
        <w:t>A computational approach to early sepsis detection</w:t>
      </w:r>
      <w:r>
        <w:rPr>
          <w:rFonts w:ascii="Times New Roman" w:eastAsia="Times New Roman" w:hAnsi="Times New Roman" w:cs="Times New Roman"/>
          <w:sz w:val="24"/>
          <w:szCs w:val="24"/>
        </w:rPr>
        <w:t>. Computers in Biology and Medicine, 74, 69–73.</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Cao, Y., Hu, Z.-D., Liu, X.-F., Deng, A.-M., &amp; Hu, C.-J.</w:t>
      </w:r>
      <w:r>
        <w:rPr>
          <w:rFonts w:ascii="Times New Roman" w:eastAsia="Times New Roman" w:hAnsi="Times New Roman" w:cs="Times New Roman"/>
          <w:sz w:val="24"/>
          <w:szCs w:val="24"/>
        </w:rPr>
        <w:t xml:space="preserve"> (2013). </w:t>
      </w:r>
      <w:r>
        <w:rPr>
          <w:rFonts w:ascii="Times New Roman" w:eastAsia="Times New Roman" w:hAnsi="Times New Roman" w:cs="Times New Roman"/>
          <w:i/>
          <w:iCs/>
          <w:sz w:val="24"/>
          <w:szCs w:val="24"/>
        </w:rPr>
        <w:t>An MLP Classifier for Prediction of HBV-Induced Liver Cirrhosis Using Routinely Available Clinical Parameters</w:t>
      </w:r>
      <w:r>
        <w:rPr>
          <w:rFonts w:ascii="Times New Roman" w:eastAsia="Times New Roman" w:hAnsi="Times New Roman" w:cs="Times New Roman"/>
          <w:sz w:val="24"/>
          <w:szCs w:val="24"/>
        </w:rPr>
        <w:t>. Disease Markers, 35(6), 653–660.</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Chang, C.-H., Lin, C.-H., &amp; Lane, H.-Y. (2021). </w:t>
      </w:r>
      <w:r>
        <w:rPr>
          <w:rFonts w:ascii="Times New Roman" w:eastAsia="Times New Roman" w:hAnsi="Times New Roman" w:cs="Times New Roman"/>
          <w:i/>
          <w:iCs/>
          <w:sz w:val="24"/>
          <w:szCs w:val="24"/>
        </w:rPr>
        <w:t>Machine Learning and Novel Biomarkers for the Diagnosis</w:t>
      </w:r>
      <w:r>
        <w:rPr>
          <w:rFonts w:ascii="Times New Roman" w:eastAsia="Times New Roman" w:hAnsi="Times New Roman" w:cs="Times New Roman"/>
          <w:i/>
          <w:iCs/>
          <w:sz w:val="24"/>
          <w:szCs w:val="24"/>
        </w:rPr>
        <w:t xml:space="preserve"> of Alzheimer’s Disease</w:t>
      </w:r>
      <w:r>
        <w:rPr>
          <w:rFonts w:ascii="Times New Roman" w:eastAsia="Times New Roman" w:hAnsi="Times New Roman" w:cs="Times New Roman"/>
          <w:sz w:val="24"/>
          <w:szCs w:val="24"/>
        </w:rPr>
        <w:t>. International Journal of Molecular Sciences, 22(5), 2761.</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32" w:name="_dtui4puffowi" w:colFirst="0" w:colLast="0"/>
      <w:bookmarkEnd w:id="32"/>
      <w:r>
        <w:rPr>
          <w:rFonts w:ascii="Times New Roman" w:eastAsia="Times New Roman" w:hAnsi="Times New Roman" w:cs="Times New Roman"/>
          <w:sz w:val="24"/>
          <w:szCs w:val="24"/>
        </w:rPr>
        <w:t>Chang, H., Yu, J. Y., Park, H., Song, Y. J., Heo, S., Park, J. E., Lee, G. T., Lee, S. U., Kim, T., Yoon, H., Hwang, S. Y., &amp; Cha, W. C. (2025). From prediction to action: A</w:t>
      </w:r>
      <w:r>
        <w:rPr>
          <w:rFonts w:ascii="Times New Roman" w:eastAsia="Times New Roman" w:hAnsi="Times New Roman" w:cs="Times New Roman"/>
          <w:sz w:val="24"/>
          <w:szCs w:val="24"/>
        </w:rPr>
        <w:t xml:space="preserve"> retrospective observational study on the real-world implementation of critical interventions (CrIs), an AI-based clinical decision support system changing clinical behavior in the emergency department. </w:t>
      </w:r>
      <w:r>
        <w:rPr>
          <w:rFonts w:ascii="Times New Roman" w:eastAsia="Times New Roman" w:hAnsi="Times New Roman" w:cs="Times New Roman"/>
          <w:i/>
          <w:iCs/>
          <w:sz w:val="24"/>
          <w:szCs w:val="24"/>
        </w:rPr>
        <w:t>BMC Medical Informatics and Decision Making, 25</w:t>
      </w:r>
      <w:r>
        <w:rPr>
          <w:rFonts w:ascii="Times New Roman" w:eastAsia="Times New Roman" w:hAnsi="Times New Roman" w:cs="Times New Roman"/>
          <w:sz w:val="24"/>
          <w:szCs w:val="24"/>
        </w:rPr>
        <w:t>(1), 4</w:t>
      </w:r>
      <w:r>
        <w:rPr>
          <w:rFonts w:ascii="Times New Roman" w:eastAsia="Times New Roman" w:hAnsi="Times New Roman" w:cs="Times New Roman"/>
          <w:sz w:val="24"/>
          <w:szCs w:val="24"/>
        </w:rPr>
        <w:t>05. https://doi.org/10.1186/s12911-025-03234-x</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Wang B, Zhao Y, et al. (2024). </w:t>
      </w:r>
      <w:r>
        <w:rPr>
          <w:rFonts w:ascii="Times New Roman" w:eastAsia="Times New Roman" w:hAnsi="Times New Roman" w:cs="Times New Roman"/>
          <w:i/>
          <w:iCs/>
          <w:sz w:val="24"/>
          <w:szCs w:val="24"/>
        </w:rPr>
        <w:t>Metabolomic machine learning predictor for diagnosis and prognosis of gastric cancer</w:t>
      </w:r>
      <w:r>
        <w:rPr>
          <w:rFonts w:ascii="Times New Roman" w:eastAsia="Times New Roman" w:hAnsi="Times New Roman" w:cs="Times New Roman"/>
          <w:sz w:val="24"/>
          <w:szCs w:val="24"/>
        </w:rPr>
        <w:t>. Nature Communications.</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33" w:name="_yl0lrpe4com5" w:colFirst="0" w:colLast="0"/>
      <w:bookmarkEnd w:id="33"/>
      <w:r>
        <w:rPr>
          <w:rFonts w:ascii="Times New Roman" w:eastAsia="Times New Roman" w:hAnsi="Times New Roman" w:cs="Times New Roman"/>
          <w:sz w:val="24"/>
          <w:szCs w:val="24"/>
        </w:rPr>
        <w:t xml:space="preserve">Chen, S., Li, J., Zhang, X., Xu, W., Qiu, Z., Yan, S., Zhao, </w:t>
      </w:r>
      <w:r>
        <w:rPr>
          <w:rFonts w:ascii="Times New Roman" w:eastAsia="Times New Roman" w:hAnsi="Times New Roman" w:cs="Times New Roman"/>
          <w:sz w:val="24"/>
          <w:szCs w:val="24"/>
        </w:rPr>
        <w:t xml:space="preserve">W., Zhao, Z., Tian, P., Zhao, Q., Zhang, Q., Chen, W., Li, H., Ruan, X., Xiao, G., Zhang, S., Hu, L., Qin, J., Huang, W., … Wei, F. (2025). Predicting preeclampsia in early pregnancy using clinical and laboratory data via machine learning model. </w:t>
      </w:r>
      <w:r>
        <w:rPr>
          <w:rFonts w:ascii="Times New Roman" w:eastAsia="Times New Roman" w:hAnsi="Times New Roman" w:cs="Times New Roman"/>
          <w:i/>
          <w:iCs/>
          <w:sz w:val="24"/>
          <w:szCs w:val="24"/>
        </w:rPr>
        <w:t>BMC Medica</w:t>
      </w:r>
      <w:r>
        <w:rPr>
          <w:rFonts w:ascii="Times New Roman" w:eastAsia="Times New Roman" w:hAnsi="Times New Roman" w:cs="Times New Roman"/>
          <w:i/>
          <w:iCs/>
          <w:sz w:val="24"/>
          <w:szCs w:val="24"/>
        </w:rPr>
        <w:t>l Informatics and Decision Making, 25</w:t>
      </w:r>
      <w:r>
        <w:rPr>
          <w:rFonts w:ascii="Times New Roman" w:eastAsia="Times New Roman" w:hAnsi="Times New Roman" w:cs="Times New Roman"/>
          <w:sz w:val="24"/>
          <w:szCs w:val="24"/>
        </w:rPr>
        <w:t>(1), 178. https://doi.org/10.1186/s12911-025-02999-5</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Bruyne S, Speeckaert MM, Van Biesen W, Delanghe JR. Recent evolutions of machine learning applications in clinical laboratory medicine. </w:t>
      </w:r>
      <w:r>
        <w:rPr>
          <w:rFonts w:ascii="Times New Roman" w:eastAsia="Times New Roman" w:hAnsi="Times New Roman" w:cs="Times New Roman"/>
          <w:i/>
          <w:iCs/>
          <w:sz w:val="24"/>
          <w:szCs w:val="24"/>
        </w:rPr>
        <w:t>Critical Reviews in Clinica</w:t>
      </w:r>
      <w:r>
        <w:rPr>
          <w:rFonts w:ascii="Times New Roman" w:eastAsia="Times New Roman" w:hAnsi="Times New Roman" w:cs="Times New Roman"/>
          <w:i/>
          <w:iCs/>
          <w:sz w:val="24"/>
          <w:szCs w:val="24"/>
        </w:rPr>
        <w:t>l Laboratory Sciences.</w:t>
      </w:r>
      <w:r>
        <w:rPr>
          <w:rFonts w:ascii="Times New Roman" w:eastAsia="Times New Roman" w:hAnsi="Times New Roman" w:cs="Times New Roman"/>
          <w:sz w:val="24"/>
          <w:szCs w:val="24"/>
        </w:rPr>
        <w:t xml:space="preserve"> 2021;58(2):131–152.</w:t>
      </w:r>
      <w:r>
        <w:rPr>
          <w:rFonts w:ascii="Times New Roman" w:eastAsia="Times New Roman" w:hAnsi="Times New Roman" w:cs="Times New Roman"/>
          <w:sz w:val="24"/>
          <w:szCs w:val="24"/>
        </w:rPr>
        <w:br/>
      </w:r>
      <w:hyperlink r:id="rId11">
        <w:r>
          <w:rPr>
            <w:rFonts w:ascii="Times New Roman" w:eastAsia="Times New Roman" w:hAnsi="Times New Roman" w:cs="Times New Roman"/>
            <w:color w:val="1155CC"/>
            <w:sz w:val="24"/>
            <w:szCs w:val="24"/>
            <w:u w:val="single"/>
          </w:rPr>
          <w:t>https://doi.org/10.1080/10408363.2020.1828811</w:t>
        </w:r>
      </w:hyperlink>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DeGroat, W., Abdelhalim, H., Patel, K., et al. (2024). Discovering biomarkers associated and predictin</w:t>
      </w:r>
      <w:r>
        <w:rPr>
          <w:rFonts w:ascii="Times New Roman" w:eastAsia="Times New Roman" w:hAnsi="Times New Roman" w:cs="Times New Roman"/>
          <w:sz w:val="24"/>
          <w:szCs w:val="24"/>
        </w:rPr>
        <w:t xml:space="preserve">g cardiovascular disease with high accuracy using a novel nexus of machine learning techniques for precision medicine. </w:t>
      </w:r>
      <w:r>
        <w:rPr>
          <w:rFonts w:ascii="Times New Roman" w:eastAsia="Times New Roman" w:hAnsi="Times New Roman" w:cs="Times New Roman"/>
          <w:i/>
          <w:iCs/>
          <w:sz w:val="24"/>
          <w:szCs w:val="24"/>
        </w:rPr>
        <w:t>Scientific Reports, 14</w:t>
      </w:r>
      <w:r>
        <w:rPr>
          <w:rFonts w:ascii="Times New Roman" w:eastAsia="Times New Roman" w:hAnsi="Times New Roman" w:cs="Times New Roman"/>
          <w:sz w:val="24"/>
          <w:szCs w:val="24"/>
        </w:rPr>
        <w:t>, 1.</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https://doi.org/10.1038/s41598-023-50600-8</w:t>
        </w:r>
      </w:hyperlink>
      <w:r>
        <w:rPr>
          <w:rFonts w:ascii="Times New Roman" w:eastAsia="Times New Roman" w:hAnsi="Times New Roman" w:cs="Times New Roman"/>
          <w:sz w:val="24"/>
          <w:szCs w:val="24"/>
        </w:rPr>
        <w:t xml:space="preserve">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34" w:name="_b72jl7ntgj5r" w:colFirst="0" w:colLast="0"/>
      <w:bookmarkEnd w:id="34"/>
      <w:r>
        <w:rPr>
          <w:rFonts w:ascii="Times New Roman" w:eastAsia="Times New Roman" w:hAnsi="Times New Roman" w:cs="Times New Roman"/>
          <w:sz w:val="24"/>
          <w:szCs w:val="24"/>
        </w:rPr>
        <w:t>Dong, B., Chen, Y., Yang, X., Chen, Z., Zhang, H., Gao, Y., Zhao, E., &amp; Zhang, C. (2025). Estimated glucose disposal rate outperforms other insulin resi</w:t>
      </w:r>
      <w:r>
        <w:rPr>
          <w:rFonts w:ascii="Times New Roman" w:eastAsia="Times New Roman" w:hAnsi="Times New Roman" w:cs="Times New Roman"/>
          <w:sz w:val="24"/>
          <w:szCs w:val="24"/>
        </w:rPr>
        <w:t xml:space="preserve">stance surrogates in predicting incident cardiovascular diseases in cardiovascular-kidney-metabolic syndrome stages 0–3 and the development of a machine learning prediction model: A nationwide prospective cohort study. </w:t>
      </w:r>
      <w:r>
        <w:rPr>
          <w:rFonts w:ascii="Times New Roman" w:eastAsia="Times New Roman" w:hAnsi="Times New Roman" w:cs="Times New Roman"/>
          <w:i/>
          <w:iCs/>
          <w:sz w:val="24"/>
          <w:szCs w:val="24"/>
        </w:rPr>
        <w:t>Cardiovascular Diabetology, 24</w:t>
      </w:r>
      <w:r>
        <w:rPr>
          <w:rFonts w:ascii="Times New Roman" w:eastAsia="Times New Roman" w:hAnsi="Times New Roman" w:cs="Times New Roman"/>
          <w:sz w:val="24"/>
          <w:szCs w:val="24"/>
        </w:rPr>
        <w:t>(1), 16</w:t>
      </w:r>
      <w:r>
        <w:rPr>
          <w:rFonts w:ascii="Times New Roman" w:eastAsia="Times New Roman" w:hAnsi="Times New Roman" w:cs="Times New Roman"/>
          <w:sz w:val="24"/>
          <w:szCs w:val="24"/>
        </w:rPr>
        <w:t>3. https://doi.org/10.1186/s12933-025-02729-1</w:t>
      </w:r>
    </w:p>
    <w:p w:rsidR="00B267F3" w:rsidRDefault="00267ED9">
      <w:pPr>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Erasmus, R., &amp; Ondoa, P. (2023). Taking the train of digital health and artificial intelligence to improve medical laboratory service in Africa: Key considerations. </w:t>
      </w:r>
      <w:r>
        <w:rPr>
          <w:rFonts w:ascii="Times New Roman" w:eastAsia="Times New Roman" w:hAnsi="Times New Roman" w:cs="Times New Roman"/>
          <w:i/>
          <w:iCs/>
          <w:sz w:val="24"/>
          <w:szCs w:val="24"/>
        </w:rPr>
        <w:t>African Journal of Laboratory Medicine, 12</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 a2329.</w:t>
      </w:r>
      <w:hyperlink r:id="rId14">
        <w:r>
          <w:rPr>
            <w:rFonts w:ascii="Times New Roman" w:eastAsia="Times New Roman" w:hAnsi="Times New Roman" w:cs="Times New Roman"/>
            <w:sz w:val="24"/>
            <w:szCs w:val="24"/>
            <w:u w:val="single"/>
          </w:rPr>
          <w:t xml:space="preserve"> </w:t>
        </w:r>
      </w:hyperlink>
      <w:hyperlink r:id="rId15">
        <w:r>
          <w:rPr>
            <w:rFonts w:ascii="Times New Roman" w:eastAsia="Times New Roman" w:hAnsi="Times New Roman" w:cs="Times New Roman"/>
            <w:color w:val="1155CC"/>
            <w:sz w:val="24"/>
            <w:szCs w:val="24"/>
            <w:u w:val="single"/>
          </w:rPr>
          <w:t>https://doi.org/10.4102/ajlm.v12i1.2329</w:t>
        </w:r>
      </w:hyperlink>
    </w:p>
    <w:p w:rsidR="00B267F3" w:rsidRDefault="00B267F3">
      <w:pPr>
        <w:ind w:left="720" w:hanging="720"/>
        <w:jc w:val="both"/>
        <w:rPr>
          <w:rFonts w:ascii="Times New Roman" w:eastAsia="Times New Roman" w:hAnsi="Times New Roman" w:cs="Times New Roman"/>
          <w:color w:val="1155CC"/>
          <w:sz w:val="24"/>
          <w:szCs w:val="24"/>
          <w:u w:val="single"/>
        </w:rPr>
      </w:pPr>
    </w:p>
    <w:p w:rsidR="00B267F3" w:rsidRDefault="00267ED9">
      <w:pPr>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Fahim, Y. A., Hasani, I. W., Kabba, S., &amp; Ragab, W. M. (2025). Artificial intelligence i</w:t>
      </w:r>
      <w:r>
        <w:rPr>
          <w:rFonts w:ascii="Times New Roman" w:eastAsia="Times New Roman" w:hAnsi="Times New Roman" w:cs="Times New Roman"/>
          <w:sz w:val="24"/>
          <w:szCs w:val="24"/>
        </w:rPr>
        <w:t xml:space="preserve">n healthcare and medicine: Clinical applications, therapeutic advances, and future perspectives. </w:t>
      </w:r>
      <w:r>
        <w:rPr>
          <w:rFonts w:ascii="Times New Roman" w:eastAsia="Times New Roman" w:hAnsi="Times New Roman" w:cs="Times New Roman"/>
          <w:i/>
          <w:iCs/>
          <w:sz w:val="24"/>
          <w:szCs w:val="24"/>
        </w:rPr>
        <w:t>European Journal of Medical Research, 30</w:t>
      </w:r>
      <w:r>
        <w:rPr>
          <w:rFonts w:ascii="Times New Roman" w:eastAsia="Times New Roman" w:hAnsi="Times New Roman" w:cs="Times New Roman"/>
          <w:sz w:val="24"/>
          <w:szCs w:val="24"/>
        </w:rPr>
        <w:t>(1), 848.</w:t>
      </w:r>
      <w:hyperlink r:id="rId16">
        <w:r>
          <w:rPr>
            <w:rFonts w:ascii="Times New Roman" w:eastAsia="Times New Roman" w:hAnsi="Times New Roman" w:cs="Times New Roman"/>
            <w:sz w:val="24"/>
            <w:szCs w:val="24"/>
            <w:u w:val="single"/>
          </w:rPr>
          <w:t xml:space="preserve"> </w:t>
        </w:r>
      </w:hyperlink>
      <w:hyperlink r:id="rId17">
        <w:r>
          <w:rPr>
            <w:rFonts w:ascii="Times New Roman" w:eastAsia="Times New Roman" w:hAnsi="Times New Roman" w:cs="Times New Roman"/>
            <w:color w:val="1155CC"/>
            <w:sz w:val="24"/>
            <w:szCs w:val="24"/>
            <w:u w:val="single"/>
          </w:rPr>
          <w:t>https://doi.org/10.1186/s40001-025-03196-w</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35" w:name="_gi1ox8plhi5v" w:colFirst="0" w:colLast="0"/>
      <w:bookmarkEnd w:id="35"/>
      <w:r>
        <w:rPr>
          <w:rFonts w:ascii="Times New Roman" w:eastAsia="Times New Roman" w:hAnsi="Times New Roman" w:cs="Times New Roman"/>
          <w:sz w:val="24"/>
          <w:szCs w:val="24"/>
        </w:rPr>
        <w:t xml:space="preserve">Gadalla AAH, Friberg IM, Kift-Morgan A, et al. (2019). </w:t>
      </w:r>
      <w:r>
        <w:rPr>
          <w:rFonts w:ascii="Times New Roman" w:eastAsia="Times New Roman" w:hAnsi="Times New Roman" w:cs="Times New Roman"/>
          <w:i/>
          <w:iCs/>
          <w:sz w:val="24"/>
          <w:szCs w:val="24"/>
        </w:rPr>
        <w:t>Identification of clinical and urine biomarkers for uncomplicated urinary tract infection using machine learning algorithms</w:t>
      </w:r>
      <w:r>
        <w:rPr>
          <w:rFonts w:ascii="Times New Roman" w:eastAsia="Times New Roman" w:hAnsi="Times New Roman" w:cs="Times New Roman"/>
          <w:sz w:val="24"/>
          <w:szCs w:val="24"/>
        </w:rPr>
        <w:t>. Scientific Reports</w:t>
      </w:r>
      <w:r>
        <w:rPr>
          <w:rFonts w:ascii="Times New Roman" w:eastAsia="Times New Roman" w:hAnsi="Times New Roman" w:cs="Times New Roman"/>
          <w:sz w:val="24"/>
          <w:szCs w:val="24"/>
        </w:rPr>
        <w:t>.</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36" w:name="_i360q1km5bzf" w:colFirst="0" w:colLast="0"/>
      <w:bookmarkEnd w:id="36"/>
      <w:r>
        <w:rPr>
          <w:rFonts w:ascii="Times New Roman" w:eastAsia="Times New Roman" w:hAnsi="Times New Roman" w:cs="Times New Roman"/>
          <w:sz w:val="24"/>
          <w:szCs w:val="24"/>
        </w:rPr>
        <w:t xml:space="preserve">Ghayad, J. P., Barakett-Hamadé, V., &amp; Sleilaty, G. (2022). Prospective validation of a machine learning model for low-density lipoprotein cholesterol estimation. </w:t>
      </w:r>
      <w:r>
        <w:rPr>
          <w:rFonts w:ascii="Times New Roman" w:eastAsia="Times New Roman" w:hAnsi="Times New Roman" w:cs="Times New Roman"/>
          <w:i/>
          <w:iCs/>
          <w:sz w:val="24"/>
          <w:szCs w:val="24"/>
        </w:rPr>
        <w:t>Laboratory Medicine, 53</w:t>
      </w:r>
      <w:r>
        <w:rPr>
          <w:rFonts w:ascii="Times New Roman" w:eastAsia="Times New Roman" w:hAnsi="Times New Roman" w:cs="Times New Roman"/>
          <w:sz w:val="24"/>
          <w:szCs w:val="24"/>
        </w:rPr>
        <w:t>(6), 629–635. https://doi.org/10.1093/labmed/lmac049</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Gilligan, J. (2025, October 6). </w:t>
      </w:r>
      <w:r>
        <w:rPr>
          <w:rFonts w:ascii="Times New Roman" w:eastAsia="Times New Roman" w:hAnsi="Times New Roman" w:cs="Times New Roman"/>
          <w:i/>
          <w:iCs/>
          <w:sz w:val="24"/>
          <w:szCs w:val="24"/>
        </w:rPr>
        <w:t>Transforming laboratory medicine through AI: From promise to practice</w:t>
      </w:r>
      <w:r>
        <w:rPr>
          <w:rFonts w:ascii="Times New Roman" w:eastAsia="Times New Roman" w:hAnsi="Times New Roman" w:cs="Times New Roman"/>
          <w:sz w:val="24"/>
          <w:szCs w:val="24"/>
        </w:rPr>
        <w:t>. Mayo Clinic Laboratories.</w:t>
      </w:r>
      <w:hyperlink r:id="rId18">
        <w:r>
          <w:rPr>
            <w:rFonts w:ascii="Times New Roman" w:eastAsia="Times New Roman" w:hAnsi="Times New Roman" w:cs="Times New Roman"/>
            <w:sz w:val="24"/>
            <w:szCs w:val="24"/>
            <w:u w:val="single"/>
          </w:rPr>
          <w:t xml:space="preserve"> </w:t>
        </w:r>
      </w:hyperlink>
      <w:hyperlink r:id="rId19">
        <w:r>
          <w:rPr>
            <w:rFonts w:ascii="Times New Roman" w:eastAsia="Times New Roman" w:hAnsi="Times New Roman" w:cs="Times New Roman"/>
            <w:color w:val="1155CC"/>
            <w:sz w:val="24"/>
            <w:szCs w:val="24"/>
            <w:u w:val="single"/>
          </w:rPr>
          <w:t>https://news.mayocliniclabs.com/2025/10/06/transforming-laboratory-medicine-through-ai-from-promise-to-practice/</w:t>
        </w:r>
      </w:hyperlink>
      <w:r>
        <w:rPr>
          <w:rFonts w:ascii="Times New Roman" w:eastAsia="Times New Roman" w:hAnsi="Times New Roman" w:cs="Times New Roman"/>
          <w:sz w:val="24"/>
          <w:szCs w:val="24"/>
        </w:rPr>
        <w:t xml:space="preserve"> </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Goebel, C., Louden, C. L., McKenna, R., Onugha, O., Wachtel, A., &amp; Long, T. (2020). </w:t>
      </w:r>
      <w:r>
        <w:rPr>
          <w:rFonts w:ascii="Times New Roman" w:eastAsia="Times New Roman" w:hAnsi="Times New Roman" w:cs="Times New Roman"/>
          <w:i/>
          <w:iCs/>
          <w:sz w:val="24"/>
          <w:szCs w:val="24"/>
        </w:rPr>
        <w:t>Blood test shows high accuracy in detecting stage I non-sm</w:t>
      </w:r>
      <w:r>
        <w:rPr>
          <w:rFonts w:ascii="Times New Roman" w:eastAsia="Times New Roman" w:hAnsi="Times New Roman" w:cs="Times New Roman"/>
          <w:i/>
          <w:iCs/>
          <w:sz w:val="24"/>
          <w:szCs w:val="24"/>
        </w:rPr>
        <w:t>all cell lung cancer</w:t>
      </w:r>
      <w:r>
        <w:rPr>
          <w:rFonts w:ascii="Times New Roman" w:eastAsia="Times New Roman" w:hAnsi="Times New Roman" w:cs="Times New Roman"/>
          <w:sz w:val="24"/>
          <w:szCs w:val="24"/>
        </w:rPr>
        <w:t>. BMC Cancer, 20, 137.</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Gözgöz, H., Orhan, O., Konuk, B. A., Akan, P., et al. (2025). </w:t>
      </w:r>
      <w:r>
        <w:rPr>
          <w:rFonts w:ascii="Times New Roman" w:eastAsia="Times New Roman" w:hAnsi="Times New Roman" w:cs="Times New Roman"/>
          <w:i/>
          <w:iCs/>
          <w:sz w:val="24"/>
          <w:szCs w:val="24"/>
        </w:rPr>
        <w:t>A machine learning model for predicting oligoclonal band positivity using routine cerebrospinal fluid and serum biochemical markers</w:t>
      </w:r>
      <w:r>
        <w:rPr>
          <w:rFonts w:ascii="Times New Roman" w:eastAsia="Times New Roman" w:hAnsi="Times New Roman" w:cs="Times New Roman"/>
          <w:sz w:val="24"/>
          <w:szCs w:val="24"/>
        </w:rPr>
        <w:t>. American Journal o</w:t>
      </w:r>
      <w:r>
        <w:rPr>
          <w:rFonts w:ascii="Times New Roman" w:eastAsia="Times New Roman" w:hAnsi="Times New Roman" w:cs="Times New Roman"/>
          <w:sz w:val="24"/>
          <w:szCs w:val="24"/>
        </w:rPr>
        <w:t>f Clinical Pathology, 164(6), 933–945.</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Gröschel, M. I., Owens, M., Freschi, L., Vargas, R., Marin, M. G., Phelan, J., Iqbal, Z., Dixit, A., &amp; Farhat, M. R. (2021). GenTB: A user-friendly genome-based predictor for tuberculosis resistance powered by machine</w:t>
      </w:r>
      <w:r>
        <w:rPr>
          <w:rFonts w:ascii="Times New Roman" w:eastAsia="Times New Roman" w:hAnsi="Times New Roman" w:cs="Times New Roman"/>
          <w:sz w:val="24"/>
          <w:szCs w:val="24"/>
        </w:rPr>
        <w:t xml:space="preserve"> learning. </w:t>
      </w:r>
      <w:r>
        <w:rPr>
          <w:rFonts w:ascii="Times New Roman" w:eastAsia="Times New Roman" w:hAnsi="Times New Roman" w:cs="Times New Roman"/>
          <w:i/>
          <w:iCs/>
          <w:sz w:val="24"/>
          <w:szCs w:val="24"/>
        </w:rPr>
        <w:t>Genome Medicine, 13</w:t>
      </w:r>
      <w:r>
        <w:rPr>
          <w:rFonts w:ascii="Times New Roman" w:eastAsia="Times New Roman" w:hAnsi="Times New Roman" w:cs="Times New Roman"/>
          <w:sz w:val="24"/>
          <w:szCs w:val="24"/>
        </w:rPr>
        <w:t>(1), 138.</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https://doi.org/10.1186/s13073-021-00953-4</w:t>
        </w:r>
      </w:hyperlink>
      <w:r>
        <w:rPr>
          <w:rFonts w:ascii="Times New Roman" w:eastAsia="Times New Roman" w:hAnsi="Times New Roman" w:cs="Times New Roman"/>
          <w:sz w:val="24"/>
          <w:szCs w:val="24"/>
        </w:rPr>
        <w:t xml:space="preserve"> </w:t>
      </w:r>
    </w:p>
    <w:p w:rsidR="00B267F3" w:rsidRDefault="00267ED9">
      <w:pPr>
        <w:spacing w:before="240" w:after="240"/>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Guan X, Zhang B, Fu M, et al. (2021). Clinical a</w:t>
      </w:r>
      <w:r>
        <w:rPr>
          <w:rFonts w:ascii="Times New Roman" w:eastAsia="Times New Roman" w:hAnsi="Times New Roman" w:cs="Times New Roman"/>
          <w:sz w:val="24"/>
          <w:szCs w:val="24"/>
        </w:rPr>
        <w:t xml:space="preserve">nd inflammatory features based machine learning model for fatal risk prediction of hospitalized COVID-19 patients: Results from a retrospective cohort study. </w:t>
      </w:r>
      <w:r>
        <w:rPr>
          <w:rFonts w:ascii="Times New Roman" w:eastAsia="Times New Roman" w:hAnsi="Times New Roman" w:cs="Times New Roman"/>
          <w:i/>
          <w:iCs/>
          <w:sz w:val="24"/>
          <w:szCs w:val="24"/>
        </w:rPr>
        <w:t>Annals of Medicine</w:t>
      </w:r>
      <w:r>
        <w:rPr>
          <w:rFonts w:ascii="Times New Roman" w:eastAsia="Times New Roman" w:hAnsi="Times New Roman" w:cs="Times New Roman"/>
          <w:sz w:val="24"/>
          <w:szCs w:val="24"/>
        </w:rPr>
        <w:t>, 53(1), 257–266.</w:t>
      </w:r>
      <w:hyperlink r:id="rId22">
        <w:r>
          <w:rPr>
            <w:rFonts w:ascii="Times New Roman" w:eastAsia="Times New Roman" w:hAnsi="Times New Roman" w:cs="Times New Roman"/>
            <w:sz w:val="24"/>
            <w:szCs w:val="24"/>
            <w:u w:val="single"/>
          </w:rPr>
          <w:t xml:space="preserve"> </w:t>
        </w:r>
      </w:hyperlink>
      <w:hyperlink r:id="rId23">
        <w:r>
          <w:rPr>
            <w:rFonts w:ascii="Times New Roman" w:eastAsia="Times New Roman" w:hAnsi="Times New Roman" w:cs="Times New Roman"/>
            <w:color w:val="1155CC"/>
            <w:sz w:val="24"/>
            <w:szCs w:val="24"/>
            <w:u w:val="single"/>
          </w:rPr>
          <w:t>https://doi.org/10.1080/07853890.2020.1868564</w:t>
        </w:r>
      </w:hyperlink>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Gunčar, G., Kukar, M., Notar, M., Brvar, M., Černelč, P., Notar, M., &amp; Notar, M. (2018). </w:t>
      </w:r>
      <w:r>
        <w:rPr>
          <w:rFonts w:ascii="Times New Roman" w:eastAsia="Times New Roman" w:hAnsi="Times New Roman" w:cs="Times New Roman"/>
          <w:i/>
          <w:iCs/>
          <w:sz w:val="24"/>
          <w:szCs w:val="24"/>
        </w:rPr>
        <w:t xml:space="preserve">An application of machine learning to haematological </w:t>
      </w:r>
      <w:r>
        <w:rPr>
          <w:rFonts w:ascii="Times New Roman" w:eastAsia="Times New Roman" w:hAnsi="Times New Roman" w:cs="Times New Roman"/>
          <w:i/>
          <w:iCs/>
          <w:sz w:val="24"/>
          <w:szCs w:val="24"/>
        </w:rPr>
        <w:t>diagnosis</w:t>
      </w:r>
      <w:r>
        <w:rPr>
          <w:rFonts w:ascii="Times New Roman" w:eastAsia="Times New Roman" w:hAnsi="Times New Roman" w:cs="Times New Roman"/>
          <w:sz w:val="24"/>
          <w:szCs w:val="24"/>
        </w:rPr>
        <w:t>. Scientific Reports, 8, 411.</w:t>
      </w:r>
    </w:p>
    <w:p w:rsidR="00B267F3" w:rsidRDefault="00267ED9">
      <w:pPr>
        <w:pStyle w:val="Heading2"/>
        <w:keepNext w:val="0"/>
        <w:keepLines w:val="0"/>
        <w:spacing w:before="240" w:after="240"/>
        <w:ind w:left="720" w:hanging="720"/>
        <w:jc w:val="both"/>
        <w:rPr>
          <w:rFonts w:ascii="Times New Roman" w:eastAsia="Times New Roman" w:hAnsi="Times New Roman" w:cs="Times New Roman"/>
          <w:color w:val="1155CC"/>
          <w:sz w:val="24"/>
          <w:szCs w:val="24"/>
          <w:u w:val="single"/>
        </w:rPr>
      </w:pPr>
      <w:bookmarkStart w:id="37" w:name="_di7shagjc9ch" w:colFirst="0" w:colLast="0"/>
      <w:bookmarkEnd w:id="37"/>
      <w:r>
        <w:rPr>
          <w:rFonts w:ascii="Times New Roman" w:eastAsia="Times New Roman" w:hAnsi="Times New Roman" w:cs="Times New Roman"/>
          <w:sz w:val="24"/>
          <w:szCs w:val="24"/>
        </w:rPr>
        <w:t xml:space="preserve">Hornbrook MC, Goshen R, Choman E, et al. (2017). Early colorectal cancer detected by machine learning model using gender, age, and complete blood count data. </w:t>
      </w:r>
      <w:r>
        <w:rPr>
          <w:rFonts w:ascii="Times New Roman" w:eastAsia="Times New Roman" w:hAnsi="Times New Roman" w:cs="Times New Roman"/>
          <w:i/>
          <w:iCs/>
          <w:sz w:val="24"/>
          <w:szCs w:val="24"/>
        </w:rPr>
        <w:t>Digestive Diseases and Sciences</w:t>
      </w:r>
      <w:r>
        <w:rPr>
          <w:rFonts w:ascii="Times New Roman" w:eastAsia="Times New Roman" w:hAnsi="Times New Roman" w:cs="Times New Roman"/>
          <w:sz w:val="24"/>
          <w:szCs w:val="24"/>
        </w:rPr>
        <w:t>, 62, 2719–2727.</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https://doi.org/10.1007/s10620-017-4701-6</w:t>
        </w:r>
      </w:hyperlink>
    </w:p>
    <w:p w:rsidR="00B267F3" w:rsidRDefault="00267ED9">
      <w:pPr>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Hou, H., Zhang, R., &amp; Li, J. (2024). Artificial intelligence in the clinical laboratory. </w:t>
      </w:r>
      <w:r>
        <w:rPr>
          <w:rFonts w:ascii="Times New Roman" w:eastAsia="Times New Roman" w:hAnsi="Times New Roman" w:cs="Times New Roman"/>
          <w:i/>
          <w:iCs/>
          <w:sz w:val="24"/>
          <w:szCs w:val="24"/>
        </w:rPr>
        <w:t>Clinica Chimic</w:t>
      </w:r>
      <w:r>
        <w:rPr>
          <w:rFonts w:ascii="Times New Roman" w:eastAsia="Times New Roman" w:hAnsi="Times New Roman" w:cs="Times New Roman"/>
          <w:i/>
          <w:iCs/>
          <w:sz w:val="24"/>
          <w:szCs w:val="24"/>
        </w:rPr>
        <w:t>a Acta, 559</w:t>
      </w:r>
      <w:r>
        <w:rPr>
          <w:rFonts w:ascii="Times New Roman" w:eastAsia="Times New Roman" w:hAnsi="Times New Roman" w:cs="Times New Roman"/>
          <w:sz w:val="24"/>
          <w:szCs w:val="24"/>
        </w:rPr>
        <w:t>, 119724.</w:t>
      </w:r>
      <w:hyperlink r:id="rId26">
        <w:r>
          <w:rPr>
            <w:rFonts w:ascii="Times New Roman" w:eastAsia="Times New Roman" w:hAnsi="Times New Roman" w:cs="Times New Roman"/>
            <w:sz w:val="24"/>
            <w:szCs w:val="24"/>
            <w:u w:val="single"/>
          </w:rPr>
          <w:t xml:space="preserve"> </w:t>
        </w:r>
      </w:hyperlink>
      <w:hyperlink r:id="rId27">
        <w:r>
          <w:rPr>
            <w:rFonts w:ascii="Times New Roman" w:eastAsia="Times New Roman" w:hAnsi="Times New Roman" w:cs="Times New Roman"/>
            <w:color w:val="1155CC"/>
            <w:sz w:val="24"/>
            <w:szCs w:val="24"/>
            <w:u w:val="single"/>
          </w:rPr>
          <w:t>https://doi.org/10.1016/j.cca.2024.119724</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38" w:name="_sh47g8cynjs1" w:colFirst="0" w:colLast="0"/>
      <w:bookmarkEnd w:id="38"/>
      <w:r>
        <w:rPr>
          <w:rFonts w:ascii="Times New Roman" w:eastAsia="Times New Roman" w:hAnsi="Times New Roman" w:cs="Times New Roman"/>
          <w:sz w:val="24"/>
          <w:szCs w:val="24"/>
        </w:rPr>
        <w:t>Huang, G., Jin, Q., &amp;</w:t>
      </w:r>
      <w:r>
        <w:rPr>
          <w:rFonts w:ascii="Times New Roman" w:eastAsia="Times New Roman" w:hAnsi="Times New Roman" w:cs="Times New Roman"/>
          <w:sz w:val="24"/>
          <w:szCs w:val="24"/>
        </w:rPr>
        <w:t xml:space="preserve"> Mao, Y. (2023). Predicting the 5-year risk of nonalcoholic fatty liver disease using machine learning models: Prospective cohort study. </w:t>
      </w:r>
      <w:r>
        <w:rPr>
          <w:rFonts w:ascii="Times New Roman" w:eastAsia="Times New Roman" w:hAnsi="Times New Roman" w:cs="Times New Roman"/>
          <w:i/>
          <w:iCs/>
          <w:sz w:val="24"/>
          <w:szCs w:val="24"/>
        </w:rPr>
        <w:t>Journal of Medical Internet Research, 25</w:t>
      </w:r>
      <w:r>
        <w:rPr>
          <w:rFonts w:ascii="Times New Roman" w:eastAsia="Times New Roman" w:hAnsi="Times New Roman" w:cs="Times New Roman"/>
          <w:sz w:val="24"/>
          <w:szCs w:val="24"/>
        </w:rPr>
        <w:t>, e46891. https://doi.org/10.2196/46891</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Telecommunication Union, </w:t>
      </w:r>
      <w:r>
        <w:rPr>
          <w:rFonts w:ascii="Times New Roman" w:eastAsia="Times New Roman" w:hAnsi="Times New Roman" w:cs="Times New Roman"/>
          <w:sz w:val="24"/>
          <w:szCs w:val="24"/>
        </w:rPr>
        <w:t xml:space="preserve">World Health Organization, &amp; World Intellectual Property Organization. (2025, March 17–19). </w:t>
      </w:r>
      <w:r>
        <w:rPr>
          <w:rFonts w:ascii="Times New Roman" w:eastAsia="Times New Roman" w:hAnsi="Times New Roman" w:cs="Times New Roman"/>
          <w:i/>
          <w:iCs/>
          <w:sz w:val="24"/>
          <w:szCs w:val="24"/>
        </w:rPr>
        <w:t>ITU/WHO/WIPO global initiative on artificial intelligence for health (GI-AI4H) meeting</w:t>
      </w:r>
      <w:r>
        <w:rPr>
          <w:rFonts w:ascii="Times New Roman" w:eastAsia="Times New Roman" w:hAnsi="Times New Roman" w:cs="Times New Roman"/>
          <w:sz w:val="24"/>
          <w:szCs w:val="24"/>
        </w:rPr>
        <w:t>. National University of Singapore, Centre for Life Sciences, Singapore.</w:t>
      </w:r>
      <w:hyperlink r:id="rId28">
        <w:r>
          <w:rPr>
            <w:rFonts w:ascii="Times New Roman" w:eastAsia="Times New Roman" w:hAnsi="Times New Roman" w:cs="Times New Roman"/>
            <w:sz w:val="24"/>
            <w:szCs w:val="24"/>
            <w:u w:val="single"/>
          </w:rPr>
          <w:t xml:space="preserve"> </w:t>
        </w:r>
      </w:hyperlink>
      <w:hyperlink r:id="rId29">
        <w:r>
          <w:rPr>
            <w:rFonts w:ascii="Times New Roman" w:eastAsia="Times New Roman" w:hAnsi="Times New Roman" w:cs="Times New Roman"/>
            <w:color w:val="1155CC"/>
            <w:sz w:val="24"/>
            <w:szCs w:val="24"/>
            <w:u w:val="single"/>
          </w:rPr>
          <w:t>https://www.itu.int/en/ITU-T/focusgroups/ai4h/P</w:t>
        </w:r>
        <w:r>
          <w:rPr>
            <w:rFonts w:ascii="Times New Roman" w:eastAsia="Times New Roman" w:hAnsi="Times New Roman" w:cs="Times New Roman"/>
            <w:color w:val="1155CC"/>
            <w:sz w:val="24"/>
            <w:szCs w:val="24"/>
            <w:u w:val="single"/>
          </w:rPr>
          <w:t>ages/default.aspx</w:t>
        </w:r>
      </w:hyperlink>
      <w:r>
        <w:rPr>
          <w:rFonts w:ascii="Times New Roman" w:eastAsia="Times New Roman" w:hAnsi="Times New Roman" w:cs="Times New Roman"/>
          <w:sz w:val="24"/>
          <w:szCs w:val="24"/>
        </w:rPr>
        <w:t xml:space="preserve"> </w:t>
      </w:r>
    </w:p>
    <w:p w:rsidR="00B267F3" w:rsidRDefault="00B267F3">
      <w:pPr>
        <w:ind w:left="720" w:hanging="720"/>
        <w:jc w:val="both"/>
        <w:rPr>
          <w:rFonts w:ascii="Times New Roman" w:eastAsia="Times New Roman" w:hAnsi="Times New Roman" w:cs="Times New Roman"/>
          <w:sz w:val="24"/>
          <w:szCs w:val="24"/>
        </w:rPr>
      </w:pP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Ivanova, I., Ivanova, N., &amp; Atanasova, B. (2024). Artificial intelligence in laboratory medicine – Let’s talk about it. </w:t>
      </w:r>
      <w:r>
        <w:rPr>
          <w:rFonts w:ascii="Times New Roman" w:eastAsia="Times New Roman" w:hAnsi="Times New Roman" w:cs="Times New Roman"/>
          <w:i/>
          <w:iCs/>
          <w:sz w:val="24"/>
          <w:szCs w:val="24"/>
        </w:rPr>
        <w:t>Bulgarian Society of Medical Sciences Journal, 3</w:t>
      </w:r>
      <w:r>
        <w:rPr>
          <w:rFonts w:ascii="Times New Roman" w:eastAsia="Times New Roman" w:hAnsi="Times New Roman" w:cs="Times New Roman"/>
          <w:sz w:val="24"/>
          <w:szCs w:val="24"/>
        </w:rPr>
        <w:t xml:space="preserve">, 1–4. https://doi.org/10.3897/bsms.3.120969 </w:t>
      </w:r>
    </w:p>
    <w:p w:rsidR="00B267F3" w:rsidRDefault="00B267F3">
      <w:pPr>
        <w:ind w:left="720" w:hanging="720"/>
        <w:jc w:val="both"/>
        <w:rPr>
          <w:rFonts w:ascii="Times New Roman" w:eastAsia="Times New Roman" w:hAnsi="Times New Roman" w:cs="Times New Roman"/>
          <w:sz w:val="24"/>
          <w:szCs w:val="24"/>
        </w:rPr>
      </w:pP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Januzzi, J. L., Jr., </w:t>
      </w:r>
      <w:r>
        <w:rPr>
          <w:rFonts w:ascii="Times New Roman" w:eastAsia="Times New Roman" w:hAnsi="Times New Roman" w:cs="Times New Roman"/>
          <w:sz w:val="24"/>
          <w:szCs w:val="24"/>
        </w:rPr>
        <w:t xml:space="preserve">Sattar, N., Vaduganathan, M., Magaret, C. A., Rhyne, R. F., Liu, Y., Masson, S., Butler, J., &amp; Hansen, M. K. (2025). A validated multivariable machine learning model to predict cardio-kidney risk in diabetic kidney disease. </w:t>
      </w:r>
      <w:r>
        <w:rPr>
          <w:rFonts w:ascii="Times New Roman" w:eastAsia="Times New Roman" w:hAnsi="Times New Roman" w:cs="Times New Roman"/>
          <w:i/>
          <w:iCs/>
          <w:sz w:val="24"/>
          <w:szCs w:val="24"/>
        </w:rPr>
        <w:t>Cardiovascular Diabetology, 24</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 213. https://doi.org/10.1186/s12933-025-02779-5</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39" w:name="_fvyg8q3u1jyz" w:colFirst="0" w:colLast="0"/>
      <w:bookmarkEnd w:id="39"/>
      <w:r>
        <w:rPr>
          <w:rFonts w:ascii="Times New Roman" w:eastAsia="Times New Roman" w:hAnsi="Times New Roman" w:cs="Times New Roman"/>
          <w:sz w:val="24"/>
          <w:szCs w:val="24"/>
        </w:rPr>
        <w:t xml:space="preserve">Jawad BN, Shaker SM, Altintas I, et al. (2024). </w:t>
      </w:r>
      <w:r>
        <w:rPr>
          <w:rFonts w:ascii="Times New Roman" w:eastAsia="Times New Roman" w:hAnsi="Times New Roman" w:cs="Times New Roman"/>
          <w:i/>
          <w:iCs/>
          <w:sz w:val="24"/>
          <w:szCs w:val="24"/>
        </w:rPr>
        <w:t>Development and validation of prognostic machine learning models for short- and long-term mortality among acutely admitted patients based on blood tests</w:t>
      </w:r>
      <w:r>
        <w:rPr>
          <w:rFonts w:ascii="Times New Roman" w:eastAsia="Times New Roman" w:hAnsi="Times New Roman" w:cs="Times New Roman"/>
          <w:sz w:val="24"/>
          <w:szCs w:val="24"/>
        </w:rPr>
        <w:t>. Sci</w:t>
      </w:r>
      <w:r>
        <w:rPr>
          <w:rFonts w:ascii="Times New Roman" w:eastAsia="Times New Roman" w:hAnsi="Times New Roman" w:cs="Times New Roman"/>
          <w:sz w:val="24"/>
          <w:szCs w:val="24"/>
        </w:rPr>
        <w:t>entific Reports</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0" w:name="_esmxj54rl8tt" w:colFirst="0" w:colLast="0"/>
      <w:bookmarkEnd w:id="40"/>
      <w:r>
        <w:rPr>
          <w:rFonts w:ascii="Times New Roman" w:eastAsia="Times New Roman" w:hAnsi="Times New Roman" w:cs="Times New Roman"/>
          <w:color w:val="222222"/>
          <w:sz w:val="24"/>
          <w:szCs w:val="24"/>
        </w:rPr>
        <w:t xml:space="preserve">Kaneko, H., Umakoshi, H., Ogata, M. </w:t>
      </w:r>
      <w:r>
        <w:rPr>
          <w:rFonts w:ascii="Times New Roman" w:eastAsia="Times New Roman" w:hAnsi="Times New Roman" w:cs="Times New Roman"/>
          <w:i/>
          <w:iCs/>
          <w:color w:val="222222"/>
          <w:sz w:val="24"/>
          <w:szCs w:val="24"/>
        </w:rPr>
        <w:t>et al., (2021)</w:t>
      </w:r>
      <w:r>
        <w:rPr>
          <w:rFonts w:ascii="Times New Roman" w:eastAsia="Times New Roman" w:hAnsi="Times New Roman" w:cs="Times New Roman"/>
          <w:color w:val="222222"/>
          <w:sz w:val="24"/>
          <w:szCs w:val="24"/>
        </w:rPr>
        <w:t xml:space="preserve"> Machine learning based models for prediction of subtype diagnosis of primary aldosteronism using blood test. </w:t>
      </w:r>
      <w:r>
        <w:rPr>
          <w:rFonts w:ascii="Times New Roman" w:eastAsia="Times New Roman" w:hAnsi="Times New Roman" w:cs="Times New Roman"/>
          <w:i/>
          <w:iCs/>
          <w:color w:val="222222"/>
          <w:sz w:val="24"/>
          <w:szCs w:val="24"/>
        </w:rPr>
        <w:t>Sci Rep</w:t>
      </w:r>
      <w:r>
        <w:rPr>
          <w:rFonts w:ascii="Times New Roman" w:eastAsia="Times New Roman" w:hAnsi="Times New Roman" w:cs="Times New Roman"/>
          <w:color w:val="222222"/>
          <w:sz w:val="24"/>
          <w:szCs w:val="24"/>
        </w:rPr>
        <w:t xml:space="preserve"> 11, 9140 (2021). https://doi.org/10.1038/s41598-021-88712-8</w:t>
      </w:r>
      <w:r>
        <w:rPr>
          <w:rFonts w:ascii="Times New Roman" w:eastAsia="Times New Roman" w:hAnsi="Times New Roman" w:cs="Times New Roman"/>
          <w:sz w:val="24"/>
          <w:szCs w:val="24"/>
        </w:rPr>
        <w:t xml:space="preserve">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1" w:name="_w3qsog67cwhl" w:colFirst="0" w:colLast="0"/>
      <w:bookmarkEnd w:id="41"/>
      <w:r>
        <w:rPr>
          <w:rFonts w:ascii="Times New Roman" w:eastAsia="Times New Roman" w:hAnsi="Times New Roman" w:cs="Times New Roman"/>
          <w:sz w:val="24"/>
          <w:szCs w:val="24"/>
        </w:rPr>
        <w:t>Karthikeyan</w:t>
      </w:r>
      <w:r>
        <w:rPr>
          <w:rFonts w:ascii="Times New Roman" w:eastAsia="Times New Roman" w:hAnsi="Times New Roman" w:cs="Times New Roman"/>
          <w:sz w:val="24"/>
          <w:szCs w:val="24"/>
        </w:rPr>
        <w:t xml:space="preserve">, A., Garg, A., Vinod, P. K., &amp; Priyakumar, U. D. (2021). Machine learning based clinical decision support system for early COVID-19 mortality prediction. </w:t>
      </w:r>
      <w:r>
        <w:rPr>
          <w:rFonts w:ascii="Times New Roman" w:eastAsia="Times New Roman" w:hAnsi="Times New Roman" w:cs="Times New Roman"/>
          <w:i/>
          <w:iCs/>
          <w:sz w:val="24"/>
          <w:szCs w:val="24"/>
        </w:rPr>
        <w:t>Frontiers in Public Health, 9</w:t>
      </w:r>
      <w:r>
        <w:rPr>
          <w:rFonts w:ascii="Times New Roman" w:eastAsia="Times New Roman" w:hAnsi="Times New Roman" w:cs="Times New Roman"/>
          <w:sz w:val="24"/>
          <w:szCs w:val="24"/>
        </w:rPr>
        <w:t>, 626697. https://doi.org/10.3389/fpubh.2021.626697</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Kawakami, E., Tabata</w:t>
      </w:r>
      <w:r>
        <w:rPr>
          <w:rFonts w:ascii="Times New Roman" w:eastAsia="Times New Roman" w:hAnsi="Times New Roman" w:cs="Times New Roman"/>
          <w:sz w:val="24"/>
          <w:szCs w:val="24"/>
        </w:rPr>
        <w:t xml:space="preserve">, J., Yanaihara, N., et al. (2019). </w:t>
      </w:r>
      <w:r>
        <w:rPr>
          <w:rFonts w:ascii="Times New Roman" w:eastAsia="Times New Roman" w:hAnsi="Times New Roman" w:cs="Times New Roman"/>
          <w:i/>
          <w:iCs/>
          <w:sz w:val="24"/>
          <w:szCs w:val="24"/>
        </w:rPr>
        <w:t>Application of artificial intelligence for preoperative diagnostic and prognostic prediction in epithelial ovarian cancer based on blood biomarkers</w:t>
      </w:r>
      <w:r>
        <w:rPr>
          <w:rFonts w:ascii="Times New Roman" w:eastAsia="Times New Roman" w:hAnsi="Times New Roman" w:cs="Times New Roman"/>
          <w:sz w:val="24"/>
          <w:szCs w:val="24"/>
        </w:rPr>
        <w:t>. Clinical Cancer Research, 25(10), 3006–3015.</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2" w:name="_k1ak7gs33dl8" w:colFirst="0" w:colLast="0"/>
      <w:bookmarkEnd w:id="42"/>
      <w:r>
        <w:rPr>
          <w:rFonts w:ascii="Times New Roman" w:eastAsia="Times New Roman" w:hAnsi="Times New Roman" w:cs="Times New Roman"/>
          <w:sz w:val="24"/>
          <w:szCs w:val="24"/>
        </w:rPr>
        <w:t>Koloi, A., Loukas, V. S., Hourican, C., Sakellarios, A. I., Quax, R., Mishra, P. P., Lehtimäki, T., Raitakari, O. T., Papaloukas, C., Bosch, J. A., März, W., &amp; Fotiadis, D. I. (2024). Predicting early-stage coronary artery disease using machine learning an</w:t>
      </w:r>
      <w:r>
        <w:rPr>
          <w:rFonts w:ascii="Times New Roman" w:eastAsia="Times New Roman" w:hAnsi="Times New Roman" w:cs="Times New Roman"/>
          <w:sz w:val="24"/>
          <w:szCs w:val="24"/>
        </w:rPr>
        <w:t xml:space="preserve">d routine clinical </w:t>
      </w:r>
      <w:r>
        <w:rPr>
          <w:rFonts w:ascii="Times New Roman" w:eastAsia="Times New Roman" w:hAnsi="Times New Roman" w:cs="Times New Roman"/>
          <w:sz w:val="24"/>
          <w:szCs w:val="24"/>
        </w:rPr>
        <w:lastRenderedPageBreak/>
        <w:t xml:space="preserve">biomarkers improved by augmented virtual data. </w:t>
      </w:r>
      <w:r>
        <w:rPr>
          <w:rFonts w:ascii="Times New Roman" w:eastAsia="Times New Roman" w:hAnsi="Times New Roman" w:cs="Times New Roman"/>
          <w:i/>
          <w:iCs/>
          <w:sz w:val="24"/>
          <w:szCs w:val="24"/>
        </w:rPr>
        <w:t>European Heart Journal – Digital Health</w:t>
      </w:r>
      <w:r>
        <w:rPr>
          <w:rFonts w:ascii="Times New Roman" w:eastAsia="Times New Roman" w:hAnsi="Times New Roman" w:cs="Times New Roman"/>
          <w:sz w:val="24"/>
          <w:szCs w:val="24"/>
        </w:rPr>
        <w:t>. https://doi.org/10.1093/ehjdh/ztae102</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Kraszewski S, Szczurek W, Szymczak J, et al. (2021). </w:t>
      </w:r>
      <w:r>
        <w:rPr>
          <w:rFonts w:ascii="Times New Roman" w:eastAsia="Times New Roman" w:hAnsi="Times New Roman" w:cs="Times New Roman"/>
          <w:i/>
          <w:iCs/>
          <w:sz w:val="24"/>
          <w:szCs w:val="24"/>
        </w:rPr>
        <w:t>Machine Learning Prediction Model for Inflammatory Bowel D</w:t>
      </w:r>
      <w:r>
        <w:rPr>
          <w:rFonts w:ascii="Times New Roman" w:eastAsia="Times New Roman" w:hAnsi="Times New Roman" w:cs="Times New Roman"/>
          <w:i/>
          <w:iCs/>
          <w:sz w:val="24"/>
          <w:szCs w:val="24"/>
        </w:rPr>
        <w:t>isease Based on Laboratory Markers: Working Model in a Discovery Cohort Study</w:t>
      </w:r>
      <w:r>
        <w:rPr>
          <w:rFonts w:ascii="Times New Roman" w:eastAsia="Times New Roman" w:hAnsi="Times New Roman" w:cs="Times New Roman"/>
          <w:sz w:val="24"/>
          <w:szCs w:val="24"/>
        </w:rPr>
        <w:t>. Journal of Clinical Medicine</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3" w:name="_1fe6nkipxjnr" w:colFirst="0" w:colLast="0"/>
      <w:bookmarkEnd w:id="43"/>
      <w:r>
        <w:rPr>
          <w:rFonts w:ascii="Times New Roman" w:eastAsia="Times New Roman" w:hAnsi="Times New Roman" w:cs="Times New Roman"/>
          <w:sz w:val="24"/>
          <w:szCs w:val="24"/>
        </w:rPr>
        <w:t xml:space="preserve">Kukar M, Gunčar G, Vovko T, et al. (2021). </w:t>
      </w:r>
      <w:r>
        <w:rPr>
          <w:rFonts w:ascii="Times New Roman" w:eastAsia="Times New Roman" w:hAnsi="Times New Roman" w:cs="Times New Roman"/>
          <w:i/>
          <w:iCs/>
          <w:sz w:val="24"/>
          <w:szCs w:val="24"/>
        </w:rPr>
        <w:t>COVID-19 diagnosis by routine blood tests using machine learning</w:t>
      </w:r>
      <w:r>
        <w:rPr>
          <w:rFonts w:ascii="Times New Roman" w:eastAsia="Times New Roman" w:hAnsi="Times New Roman" w:cs="Times New Roman"/>
          <w:sz w:val="24"/>
          <w:szCs w:val="24"/>
        </w:rPr>
        <w:t>. Scientific Reports.</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Laguarta, J., Hueto</w:t>
      </w:r>
      <w:r>
        <w:rPr>
          <w:rFonts w:ascii="Times New Roman" w:eastAsia="Times New Roman" w:hAnsi="Times New Roman" w:cs="Times New Roman"/>
          <w:sz w:val="24"/>
          <w:szCs w:val="24"/>
        </w:rPr>
        <w:t xml:space="preserve">, F., &amp; Subirana, B. (2020). </w:t>
      </w:r>
      <w:r>
        <w:rPr>
          <w:rFonts w:ascii="Times New Roman" w:eastAsia="Times New Roman" w:hAnsi="Times New Roman" w:cs="Times New Roman"/>
          <w:i/>
          <w:iCs/>
          <w:sz w:val="24"/>
          <w:szCs w:val="24"/>
        </w:rPr>
        <w:t>COVID-19 Artificial Intelligence Diagnosis Using Only Cough Recordings</w:t>
      </w:r>
      <w:r>
        <w:rPr>
          <w:rFonts w:ascii="Times New Roman" w:eastAsia="Times New Roman" w:hAnsi="Times New Roman" w:cs="Times New Roman"/>
          <w:sz w:val="24"/>
          <w:szCs w:val="24"/>
        </w:rPr>
        <w:t>. IEEE Open Journal of Engineering in Medicine and Biology, 1, 275–281.</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S., Park, J. S., Woo, H., Yoo, Y. K., Lee, D., Chung, S., Yoon, D. S., Lee, K. B., &amp; Lee, J. H. (2024). </w:t>
      </w:r>
      <w:r>
        <w:rPr>
          <w:rFonts w:ascii="Times New Roman" w:eastAsia="Times New Roman" w:hAnsi="Times New Roman" w:cs="Times New Roman"/>
          <w:i/>
          <w:iCs/>
          <w:sz w:val="24"/>
          <w:szCs w:val="24"/>
        </w:rPr>
        <w:t>Rapid deep learning-assisted predictive diagnostics for point-of-care testing</w:t>
      </w:r>
      <w:r>
        <w:rPr>
          <w:rFonts w:ascii="Times New Roman" w:eastAsia="Times New Roman" w:hAnsi="Times New Roman" w:cs="Times New Roman"/>
          <w:sz w:val="24"/>
          <w:szCs w:val="24"/>
        </w:rPr>
        <w:t>. Nature Communications, 15, 1695.</w:t>
      </w:r>
    </w:p>
    <w:p w:rsidR="00B267F3" w:rsidRDefault="00267ED9">
      <w:pPr>
        <w:pStyle w:val="Heading2"/>
        <w:keepNext w:val="0"/>
        <w:keepLines w:val="0"/>
        <w:spacing w:before="240" w:after="240"/>
        <w:ind w:left="720" w:hanging="720"/>
        <w:jc w:val="both"/>
        <w:rPr>
          <w:rFonts w:ascii="Times New Roman" w:eastAsia="Times New Roman" w:hAnsi="Times New Roman" w:cs="Times New Roman"/>
          <w:color w:val="1155CC"/>
          <w:sz w:val="24"/>
          <w:szCs w:val="24"/>
          <w:u w:val="single"/>
        </w:rPr>
      </w:pPr>
      <w:bookmarkStart w:id="44" w:name="_jup65pqjko15" w:colFirst="0" w:colLast="0"/>
      <w:bookmarkEnd w:id="44"/>
      <w:r>
        <w:rPr>
          <w:rFonts w:ascii="Times New Roman" w:eastAsia="Times New Roman" w:hAnsi="Times New Roman" w:cs="Times New Roman"/>
          <w:sz w:val="24"/>
          <w:szCs w:val="24"/>
        </w:rPr>
        <w:t>Lev-Tzion R, Dolev AS, Bar-Asher SY</w:t>
      </w:r>
      <w:r>
        <w:rPr>
          <w:rFonts w:ascii="Times New Roman" w:eastAsia="Times New Roman" w:hAnsi="Times New Roman" w:cs="Times New Roman"/>
          <w:sz w:val="24"/>
          <w:szCs w:val="24"/>
        </w:rPr>
        <w:t xml:space="preserve">, et al. (2025). Machine learning for predicting Crohn’s disease from routine blood tests years before diagnosis: results from the epi-IIRN cohort. </w:t>
      </w:r>
      <w:r>
        <w:rPr>
          <w:rFonts w:ascii="Times New Roman" w:eastAsia="Times New Roman" w:hAnsi="Times New Roman" w:cs="Times New Roman"/>
          <w:i/>
          <w:iCs/>
          <w:sz w:val="24"/>
          <w:szCs w:val="24"/>
        </w:rPr>
        <w:t>Journal of Crohn’s and Colitis</w:t>
      </w:r>
      <w:r>
        <w:rPr>
          <w:rFonts w:ascii="Times New Roman" w:eastAsia="Times New Roman" w:hAnsi="Times New Roman" w:cs="Times New Roman"/>
          <w:sz w:val="24"/>
          <w:szCs w:val="24"/>
        </w:rPr>
        <w:t>, 19(8), jjaf143.</w:t>
      </w:r>
      <w:hyperlink r:id="rId30">
        <w:r>
          <w:rPr>
            <w:rFonts w:ascii="Times New Roman" w:eastAsia="Times New Roman" w:hAnsi="Times New Roman" w:cs="Times New Roman"/>
            <w:sz w:val="24"/>
            <w:szCs w:val="24"/>
            <w:u w:val="single"/>
          </w:rPr>
          <w:t xml:space="preserve"> </w:t>
        </w:r>
      </w:hyperlink>
      <w:hyperlink r:id="rId31">
        <w:r>
          <w:rPr>
            <w:rFonts w:ascii="Times New Roman" w:eastAsia="Times New Roman" w:hAnsi="Times New Roman" w:cs="Times New Roman"/>
            <w:color w:val="1155CC"/>
            <w:sz w:val="24"/>
            <w:szCs w:val="24"/>
            <w:u w:val="single"/>
          </w:rPr>
          <w:t>https://doi.org/10.1093/ecco-jcc/jjaf143</w:t>
        </w:r>
      </w:hyperlink>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Lewis, J. E., &amp; Kemp, M. L. (2021). </w:t>
      </w:r>
      <w:r>
        <w:rPr>
          <w:rFonts w:ascii="Times New Roman" w:eastAsia="Times New Roman" w:hAnsi="Times New Roman" w:cs="Times New Roman"/>
          <w:i/>
          <w:iCs/>
          <w:sz w:val="24"/>
          <w:szCs w:val="24"/>
        </w:rPr>
        <w:t>Integration of machine learning and genome-scale metabolic modeling identifies multi-omics biomarkers for radiation res</w:t>
      </w:r>
      <w:r>
        <w:rPr>
          <w:rFonts w:ascii="Times New Roman" w:eastAsia="Times New Roman" w:hAnsi="Times New Roman" w:cs="Times New Roman"/>
          <w:i/>
          <w:iCs/>
          <w:sz w:val="24"/>
          <w:szCs w:val="24"/>
        </w:rPr>
        <w:t>istance</w:t>
      </w:r>
      <w:r>
        <w:rPr>
          <w:rFonts w:ascii="Times New Roman" w:eastAsia="Times New Roman" w:hAnsi="Times New Roman" w:cs="Times New Roman"/>
          <w:sz w:val="24"/>
          <w:szCs w:val="24"/>
        </w:rPr>
        <w:t>. Nature Communications, 12, 2700.</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Lippi, G., &amp; Plebani, M. (2025). Lights and shadows of artificial intelligence in laboratory medicine. </w:t>
      </w:r>
      <w:r>
        <w:rPr>
          <w:rFonts w:ascii="Times New Roman" w:eastAsia="Times New Roman" w:hAnsi="Times New Roman" w:cs="Times New Roman"/>
          <w:i/>
          <w:iCs/>
          <w:sz w:val="24"/>
          <w:szCs w:val="24"/>
        </w:rPr>
        <w:t>Advances in Laboratory Medicine, 6</w:t>
      </w:r>
      <w:r>
        <w:rPr>
          <w:rFonts w:ascii="Times New Roman" w:eastAsia="Times New Roman" w:hAnsi="Times New Roman" w:cs="Times New Roman"/>
          <w:sz w:val="24"/>
          <w:szCs w:val="24"/>
        </w:rPr>
        <w:t xml:space="preserve">(1), 1–3. https://doi.org/10.1515/almed-2025-0024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5" w:name="_6iknemq2ryhs" w:colFirst="0" w:colLast="0"/>
      <w:bookmarkEnd w:id="45"/>
      <w:r>
        <w:rPr>
          <w:rFonts w:ascii="Times New Roman" w:eastAsia="Times New Roman" w:hAnsi="Times New Roman" w:cs="Times New Roman"/>
          <w:sz w:val="24"/>
          <w:szCs w:val="24"/>
        </w:rPr>
        <w:t>Liu, Y., Fan, L., Wang, W.</w:t>
      </w:r>
      <w:r>
        <w:rPr>
          <w:rFonts w:ascii="Times New Roman" w:eastAsia="Times New Roman" w:hAnsi="Times New Roman" w:cs="Times New Roman"/>
          <w:sz w:val="24"/>
          <w:szCs w:val="24"/>
        </w:rPr>
        <w:t>, Song, H., Zhang, Z., Liu, Q., Meng, Z., Li, S., Wang, H., Zhou, S., Liu, W., Xia, G., Duan, J., Guo, C., Wang, L., Xu, L., Wang, T., Li, H., Zhang, X., Xiang, T., Liu, D., Yu, Z., Liu, Y., Wang, J., &amp; Zheng, X. (2025). A machine learning model for mortal</w:t>
      </w:r>
      <w:r>
        <w:rPr>
          <w:rFonts w:ascii="Times New Roman" w:eastAsia="Times New Roman" w:hAnsi="Times New Roman" w:cs="Times New Roman"/>
          <w:sz w:val="24"/>
          <w:szCs w:val="24"/>
        </w:rPr>
        <w:t xml:space="preserve">ity prediction in patients with severe fever with thrombocytopenia syndrome: A prospective, multicenter cohort study. </w:t>
      </w:r>
      <w:r>
        <w:rPr>
          <w:rFonts w:ascii="Times New Roman" w:eastAsia="Times New Roman" w:hAnsi="Times New Roman" w:cs="Times New Roman"/>
          <w:i/>
          <w:iCs/>
          <w:sz w:val="24"/>
          <w:szCs w:val="24"/>
        </w:rPr>
        <w:t>Emerging Microbes &amp; Infections, 14</w:t>
      </w:r>
      <w:r>
        <w:rPr>
          <w:rFonts w:ascii="Times New Roman" w:eastAsia="Times New Roman" w:hAnsi="Times New Roman" w:cs="Times New Roman"/>
          <w:sz w:val="24"/>
          <w:szCs w:val="24"/>
        </w:rPr>
        <w:t>(1), 2498572. https://doi.org/10.1080/22221751.2025.2498572</w:t>
      </w:r>
    </w:p>
    <w:p w:rsidR="00B267F3" w:rsidRDefault="00267ED9">
      <w:pPr>
        <w:pStyle w:val="Heading2"/>
        <w:keepNext w:val="0"/>
        <w:keepLines w:val="0"/>
        <w:spacing w:before="240" w:after="240"/>
        <w:ind w:left="720" w:hanging="720"/>
        <w:jc w:val="both"/>
        <w:rPr>
          <w:rFonts w:ascii="Times New Roman" w:eastAsia="Times New Roman" w:hAnsi="Times New Roman" w:cs="Times New Roman"/>
          <w:color w:val="1155CC"/>
          <w:sz w:val="24"/>
          <w:szCs w:val="24"/>
          <w:u w:val="single"/>
        </w:rPr>
      </w:pPr>
      <w:bookmarkStart w:id="46" w:name="_4otfcb11mzsa" w:colFirst="0" w:colLast="0"/>
      <w:bookmarkEnd w:id="46"/>
      <w:r>
        <w:rPr>
          <w:rFonts w:ascii="Times New Roman" w:eastAsia="Times New Roman" w:hAnsi="Times New Roman" w:cs="Times New Roman"/>
          <w:sz w:val="24"/>
          <w:szCs w:val="24"/>
        </w:rPr>
        <w:t>Liu, Z.-Z., Yuan, Q., Zhang, Y.-D., Zhang, X</w:t>
      </w:r>
      <w:r>
        <w:rPr>
          <w:rFonts w:ascii="Times New Roman" w:eastAsia="Times New Roman" w:hAnsi="Times New Roman" w:cs="Times New Roman"/>
          <w:sz w:val="24"/>
          <w:szCs w:val="24"/>
        </w:rPr>
        <w:t xml:space="preserve">.-D., Liu, J., Yan, J.-W., Du, K.-P., Chen, H.-J., &amp; Wang, L. (2025). Validation and interpretation of machine-learning models for rapid identification of active tuberculosis infection using routine laboratory indicators. </w:t>
      </w:r>
      <w:r>
        <w:rPr>
          <w:rFonts w:ascii="Times New Roman" w:eastAsia="Times New Roman" w:hAnsi="Times New Roman" w:cs="Times New Roman"/>
          <w:i/>
          <w:iCs/>
          <w:sz w:val="24"/>
          <w:szCs w:val="24"/>
        </w:rPr>
        <w:t>Frontiers in Cellular and Infectio</w:t>
      </w:r>
      <w:r>
        <w:rPr>
          <w:rFonts w:ascii="Times New Roman" w:eastAsia="Times New Roman" w:hAnsi="Times New Roman" w:cs="Times New Roman"/>
          <w:i/>
          <w:iCs/>
          <w:sz w:val="24"/>
          <w:szCs w:val="24"/>
        </w:rPr>
        <w:t>n Microbiology, 15</w:t>
      </w:r>
      <w:r>
        <w:rPr>
          <w:rFonts w:ascii="Times New Roman" w:eastAsia="Times New Roman" w:hAnsi="Times New Roman" w:cs="Times New Roman"/>
          <w:sz w:val="24"/>
          <w:szCs w:val="24"/>
        </w:rPr>
        <w:t>, 1718614.</w:t>
      </w:r>
      <w:hyperlink r:id="rId32">
        <w:r>
          <w:rPr>
            <w:rFonts w:ascii="Times New Roman" w:eastAsia="Times New Roman" w:hAnsi="Times New Roman" w:cs="Times New Roman"/>
            <w:sz w:val="24"/>
            <w:szCs w:val="24"/>
            <w:u w:val="single"/>
          </w:rPr>
          <w:t xml:space="preserve"> </w:t>
        </w:r>
      </w:hyperlink>
      <w:hyperlink r:id="rId33">
        <w:r>
          <w:rPr>
            <w:rFonts w:ascii="Times New Roman" w:eastAsia="Times New Roman" w:hAnsi="Times New Roman" w:cs="Times New Roman"/>
            <w:color w:val="1155CC"/>
            <w:sz w:val="24"/>
            <w:szCs w:val="24"/>
            <w:u w:val="single"/>
          </w:rPr>
          <w:t>https://doi.org/10.3389/fcimb.2025.1718614</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7" w:name="_7d281dbckcb7" w:colFirst="0" w:colLast="0"/>
      <w:bookmarkEnd w:id="47"/>
      <w:r>
        <w:rPr>
          <w:rFonts w:ascii="Times New Roman" w:eastAsia="Times New Roman" w:hAnsi="Times New Roman" w:cs="Times New Roman"/>
          <w:sz w:val="24"/>
          <w:szCs w:val="24"/>
        </w:rPr>
        <w:lastRenderedPageBreak/>
        <w:t xml:space="preserve">Luo Y, Szolovits P, Dighe AS, Baron JM. (2016). </w:t>
      </w:r>
      <w:r>
        <w:rPr>
          <w:rFonts w:ascii="Times New Roman" w:eastAsia="Times New Roman" w:hAnsi="Times New Roman" w:cs="Times New Roman"/>
          <w:i/>
          <w:iCs/>
          <w:sz w:val="24"/>
          <w:szCs w:val="24"/>
        </w:rPr>
        <w:t>Using machine learning to predict laboratory test results</w:t>
      </w:r>
      <w:r>
        <w:rPr>
          <w:rFonts w:ascii="Times New Roman" w:eastAsia="Times New Roman" w:hAnsi="Times New Roman" w:cs="Times New Roman"/>
          <w:sz w:val="24"/>
          <w:szCs w:val="24"/>
        </w:rPr>
        <w:t>. American Journal of Clinical Pathology.</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8" w:name="_amqzw0gv47zq" w:colFirst="0" w:colLast="0"/>
      <w:bookmarkEnd w:id="48"/>
      <w:r>
        <w:rPr>
          <w:rFonts w:ascii="Times New Roman" w:eastAsia="Times New Roman" w:hAnsi="Times New Roman" w:cs="Times New Roman"/>
          <w:sz w:val="24"/>
          <w:szCs w:val="24"/>
        </w:rPr>
        <w:t xml:space="preserve">Luu, H. S. (2025). Laboratory data as a potential source of bias in healthcare artificial intelligence and machine learning models. </w:t>
      </w:r>
      <w:r>
        <w:rPr>
          <w:rFonts w:ascii="Times New Roman" w:eastAsia="Times New Roman" w:hAnsi="Times New Roman" w:cs="Times New Roman"/>
          <w:i/>
          <w:iCs/>
          <w:sz w:val="24"/>
          <w:szCs w:val="24"/>
        </w:rPr>
        <w:t>Annals of Laboratory Medi</w:t>
      </w:r>
      <w:r>
        <w:rPr>
          <w:rFonts w:ascii="Times New Roman" w:eastAsia="Times New Roman" w:hAnsi="Times New Roman" w:cs="Times New Roman"/>
          <w:i/>
          <w:iCs/>
          <w:sz w:val="24"/>
          <w:szCs w:val="24"/>
        </w:rPr>
        <w:t>cine, 45</w:t>
      </w:r>
      <w:r>
        <w:rPr>
          <w:rFonts w:ascii="Times New Roman" w:eastAsia="Times New Roman" w:hAnsi="Times New Roman" w:cs="Times New Roman"/>
          <w:sz w:val="24"/>
          <w:szCs w:val="24"/>
        </w:rPr>
        <w:t>(1), 12–21. https://doi.org/10.3343/alm.2024.0323</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 L., Cai, E., Zhou, Z., Gong, M., &amp; Li, C. (2026). </w:t>
      </w:r>
      <w:r>
        <w:rPr>
          <w:rFonts w:ascii="Times New Roman" w:eastAsia="Times New Roman" w:hAnsi="Times New Roman" w:cs="Times New Roman"/>
          <w:i/>
          <w:iCs/>
          <w:sz w:val="24"/>
          <w:szCs w:val="24"/>
        </w:rPr>
        <w:t>Predicting adverse prognostic outcomes in hospitalized breast cancer patients: development and validation of a risk model</w:t>
      </w:r>
      <w:r>
        <w:rPr>
          <w:rFonts w:ascii="Times New Roman" w:eastAsia="Times New Roman" w:hAnsi="Times New Roman" w:cs="Times New Roman"/>
          <w:sz w:val="24"/>
          <w:szCs w:val="24"/>
        </w:rPr>
        <w:t>. BMC Medical Informati</w:t>
      </w:r>
      <w:r>
        <w:rPr>
          <w:rFonts w:ascii="Times New Roman" w:eastAsia="Times New Roman" w:hAnsi="Times New Roman" w:cs="Times New Roman"/>
          <w:sz w:val="24"/>
          <w:szCs w:val="24"/>
        </w:rPr>
        <w:t>cs and Decision Making, 26, 85.</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49" w:name="_ioarsa9vll1o" w:colFirst="0" w:colLast="0"/>
      <w:bookmarkEnd w:id="49"/>
      <w:r>
        <w:rPr>
          <w:rFonts w:ascii="Times New Roman" w:eastAsia="Times New Roman" w:hAnsi="Times New Roman" w:cs="Times New Roman"/>
          <w:sz w:val="24"/>
          <w:szCs w:val="24"/>
        </w:rPr>
        <w:t xml:space="preserve">Meyer A, Zverinski D, Pfahringer B, et al. (2018). </w:t>
      </w:r>
      <w:r>
        <w:rPr>
          <w:rFonts w:ascii="Times New Roman" w:eastAsia="Times New Roman" w:hAnsi="Times New Roman" w:cs="Times New Roman"/>
          <w:i/>
          <w:iCs/>
          <w:sz w:val="24"/>
          <w:szCs w:val="24"/>
        </w:rPr>
        <w:t>Machine learning for real-time prediction of complications in critical care: a retrospective study</w:t>
      </w:r>
      <w:r>
        <w:rPr>
          <w:rFonts w:ascii="Times New Roman" w:eastAsia="Times New Roman" w:hAnsi="Times New Roman" w:cs="Times New Roman"/>
          <w:sz w:val="24"/>
          <w:szCs w:val="24"/>
        </w:rPr>
        <w:t>. The Lancet Respiratory Medicine</w:t>
      </w:r>
    </w:p>
    <w:p w:rsidR="00B267F3" w:rsidRDefault="00267ED9">
      <w:pPr>
        <w:pStyle w:val="Heading2"/>
        <w:keepNext w:val="0"/>
        <w:keepLines w:val="0"/>
        <w:spacing w:before="240" w:after="240"/>
        <w:ind w:left="720" w:hanging="720"/>
        <w:jc w:val="both"/>
        <w:rPr>
          <w:rFonts w:ascii="Times New Roman" w:eastAsia="Times New Roman" w:hAnsi="Times New Roman" w:cs="Times New Roman"/>
          <w:color w:val="1155CC"/>
          <w:sz w:val="24"/>
          <w:szCs w:val="24"/>
          <w:u w:val="single"/>
        </w:rPr>
      </w:pPr>
      <w:bookmarkStart w:id="50" w:name="_cygyqtwua4tg" w:colFirst="0" w:colLast="0"/>
      <w:bookmarkEnd w:id="50"/>
      <w:r>
        <w:rPr>
          <w:rFonts w:ascii="Times New Roman" w:eastAsia="Times New Roman" w:hAnsi="Times New Roman" w:cs="Times New Roman"/>
          <w:sz w:val="24"/>
          <w:szCs w:val="24"/>
        </w:rPr>
        <w:t>Miller, H. A., &amp; Valdes, R. (2025). Rigor</w:t>
      </w:r>
      <w:r>
        <w:rPr>
          <w:rFonts w:ascii="Times New Roman" w:eastAsia="Times New Roman" w:hAnsi="Times New Roman" w:cs="Times New Roman"/>
          <w:sz w:val="24"/>
          <w:szCs w:val="24"/>
        </w:rPr>
        <w:t xml:space="preserve">ous validation of machine learning in laboratory medicine: Guidance toward quality improvement. </w:t>
      </w:r>
      <w:r>
        <w:rPr>
          <w:rFonts w:ascii="Times New Roman" w:eastAsia="Times New Roman" w:hAnsi="Times New Roman" w:cs="Times New Roman"/>
          <w:i/>
          <w:iCs/>
          <w:sz w:val="24"/>
          <w:szCs w:val="24"/>
        </w:rPr>
        <w:t>Critical Reviews in Clinical Laboratory Sciences</w:t>
      </w:r>
      <w:r>
        <w:rPr>
          <w:rFonts w:ascii="Times New Roman" w:eastAsia="Times New Roman" w:hAnsi="Times New Roman" w:cs="Times New Roman"/>
          <w:sz w:val="24"/>
          <w:szCs w:val="24"/>
        </w:rPr>
        <w:t>.</w:t>
      </w:r>
      <w:hyperlink r:id="rId34">
        <w:r>
          <w:rPr>
            <w:rFonts w:ascii="Times New Roman" w:eastAsia="Times New Roman" w:hAnsi="Times New Roman" w:cs="Times New Roman"/>
            <w:sz w:val="24"/>
            <w:szCs w:val="24"/>
            <w:u w:val="single"/>
          </w:rPr>
          <w:t xml:space="preserve"> </w:t>
        </w:r>
      </w:hyperlink>
      <w:hyperlink r:id="rId35">
        <w:r>
          <w:rPr>
            <w:rFonts w:ascii="Times New Roman" w:eastAsia="Times New Roman" w:hAnsi="Times New Roman" w:cs="Times New Roman"/>
            <w:color w:val="1155CC"/>
            <w:sz w:val="24"/>
            <w:szCs w:val="24"/>
            <w:u w:val="single"/>
          </w:rPr>
          <w:t>https://doi.org/10.1080/10408363.2025.2488842</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color w:val="1155CC"/>
          <w:sz w:val="24"/>
          <w:szCs w:val="24"/>
          <w:u w:val="single"/>
        </w:rPr>
      </w:pPr>
      <w:bookmarkStart w:id="51" w:name="_1c1se6q9m65l" w:colFirst="0" w:colLast="0"/>
      <w:bookmarkEnd w:id="51"/>
      <w:r>
        <w:rPr>
          <w:rFonts w:ascii="Times New Roman" w:eastAsia="Times New Roman" w:hAnsi="Times New Roman" w:cs="Times New Roman"/>
          <w:sz w:val="24"/>
          <w:szCs w:val="24"/>
        </w:rPr>
        <w:t>Moons, K. G. M., Damen, J. A. A., Kaul, T., Hooft, L., Andaur Navarro, C., Dhiman, P., Beam, A. L., Van Calster, B., Celi, L. A., Denaxas, S., Denniston, A. K., Ghassemi, M., Heinze, G., Ken</w:t>
      </w:r>
      <w:r>
        <w:rPr>
          <w:rFonts w:ascii="Times New Roman" w:eastAsia="Times New Roman" w:hAnsi="Times New Roman" w:cs="Times New Roman"/>
          <w:sz w:val="24"/>
          <w:szCs w:val="24"/>
        </w:rPr>
        <w:t>gne, A. P., Maier-Hein, L., Liu, X., Logullo, P., McCradden, M. D., Liu, N., … van Smeden, M. (2025). PROBAST+AI: An updated quality, risk of bias, and applicability assessment tool for prediction models using regression or artificial intelligence methods.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BMJ, 388</w:t>
      </w:r>
      <w:r>
        <w:rPr>
          <w:rFonts w:ascii="Times New Roman" w:eastAsia="Times New Roman" w:hAnsi="Times New Roman" w:cs="Times New Roman"/>
          <w:sz w:val="24"/>
          <w:szCs w:val="24"/>
        </w:rPr>
        <w:t>, e082505.</w:t>
      </w:r>
      <w:hyperlink r:id="rId36">
        <w:r>
          <w:rPr>
            <w:rFonts w:ascii="Times New Roman" w:eastAsia="Times New Roman" w:hAnsi="Times New Roman" w:cs="Times New Roman"/>
            <w:sz w:val="24"/>
            <w:szCs w:val="24"/>
            <w:u w:val="single"/>
          </w:rPr>
          <w:t xml:space="preserve"> </w:t>
        </w:r>
      </w:hyperlink>
      <w:hyperlink r:id="rId37">
        <w:r>
          <w:rPr>
            <w:rFonts w:ascii="Times New Roman" w:eastAsia="Times New Roman" w:hAnsi="Times New Roman" w:cs="Times New Roman"/>
            <w:color w:val="1155CC"/>
            <w:sz w:val="24"/>
            <w:szCs w:val="24"/>
            <w:u w:val="single"/>
          </w:rPr>
          <w:t>https://doi.org/10.1136/bmj-2024-082505</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52" w:name="_2jwzdqtubxp3" w:colFirst="0" w:colLast="0"/>
      <w:bookmarkEnd w:id="52"/>
      <w:r>
        <w:rPr>
          <w:rFonts w:ascii="Times New Roman" w:eastAsia="Times New Roman" w:hAnsi="Times New Roman" w:cs="Times New Roman"/>
          <w:sz w:val="24"/>
          <w:szCs w:val="24"/>
        </w:rPr>
        <w:t xml:space="preserve">Muro S, Ishida M, Horie Y, et al. (2021). </w:t>
      </w:r>
      <w:r>
        <w:rPr>
          <w:rFonts w:ascii="Times New Roman" w:eastAsia="Times New Roman" w:hAnsi="Times New Roman" w:cs="Times New Roman"/>
          <w:i/>
          <w:iCs/>
          <w:sz w:val="24"/>
          <w:szCs w:val="24"/>
        </w:rPr>
        <w:t>Machine Learning Methods for the Dia</w:t>
      </w:r>
      <w:r>
        <w:rPr>
          <w:rFonts w:ascii="Times New Roman" w:eastAsia="Times New Roman" w:hAnsi="Times New Roman" w:cs="Times New Roman"/>
          <w:i/>
          <w:iCs/>
          <w:sz w:val="24"/>
          <w:szCs w:val="24"/>
        </w:rPr>
        <w:t>gnosis of Chronic Obstructive Pulmonary Disease in Healthy Subjects: Retrospective Observational Cohort Study</w:t>
      </w:r>
      <w:r>
        <w:rPr>
          <w:rFonts w:ascii="Times New Roman" w:eastAsia="Times New Roman" w:hAnsi="Times New Roman" w:cs="Times New Roman"/>
          <w:sz w:val="24"/>
          <w:szCs w:val="24"/>
        </w:rPr>
        <w:t>. JMIR Medical Informatics</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 Y., Song, P., Lin, X., Shi, J., Shi, Q., Li, Y., Zhu, S., Zhou, T., Xun, Y., Zhang, S., Ren, X., Lu, K., Wu, F., Wan</w:t>
      </w:r>
      <w:r>
        <w:rPr>
          <w:rFonts w:ascii="Times New Roman" w:eastAsia="Times New Roman" w:hAnsi="Times New Roman" w:cs="Times New Roman"/>
          <w:sz w:val="24"/>
          <w:szCs w:val="24"/>
        </w:rPr>
        <w:t xml:space="preserve">g, W., Zhao, P., Zhou, R., Zhang, W., Li, D., Zhang, J., Chen, C., Mao, L., Zhou, L., Pan, G., Peng, Y., Yu, Y., Chen, Y., Ni, R., Luo, G., Zhang, Y., Fang, J., Zheng, H., &amp; Luo, D. (2025). </w:t>
      </w:r>
      <w:r>
        <w:rPr>
          <w:rFonts w:ascii="Times New Roman" w:eastAsia="Times New Roman" w:hAnsi="Times New Roman" w:cs="Times New Roman"/>
          <w:i/>
          <w:iCs/>
          <w:sz w:val="24"/>
          <w:szCs w:val="24"/>
        </w:rPr>
        <w:t>Can mutation abundance assess the biological behavior of BRAFV600E</w:t>
      </w:r>
      <w:r>
        <w:rPr>
          <w:rFonts w:ascii="Times New Roman" w:eastAsia="Times New Roman" w:hAnsi="Times New Roman" w:cs="Times New Roman"/>
          <w:i/>
          <w:iCs/>
          <w:sz w:val="24"/>
          <w:szCs w:val="24"/>
        </w:rPr>
        <w:t>-positive papillary thyroid carcinoma?</w:t>
      </w:r>
      <w:r>
        <w:rPr>
          <w:rFonts w:ascii="Times New Roman" w:eastAsia="Times New Roman" w:hAnsi="Times New Roman" w:cs="Times New Roman"/>
          <w:sz w:val="24"/>
          <w:szCs w:val="24"/>
        </w:rPr>
        <w:t xml:space="preserve"> Journal of Translational Medicine, 23, 704.</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53" w:name="_4aejoxougjf9" w:colFirst="0" w:colLast="0"/>
      <w:bookmarkEnd w:id="53"/>
      <w:r>
        <w:rPr>
          <w:rFonts w:ascii="Times New Roman" w:eastAsia="Times New Roman" w:hAnsi="Times New Roman" w:cs="Times New Roman"/>
          <w:sz w:val="24"/>
          <w:szCs w:val="24"/>
        </w:rPr>
        <w:t>Ning, W., Wang, Z., Gu, Y., Huang, L., Liu, S., Chen, Q., Yang, Y., &amp; Hong, G. (2025). Machine learning models based on routine blood and biochemical test data for diagnosis</w:t>
      </w:r>
      <w:r>
        <w:rPr>
          <w:rFonts w:ascii="Times New Roman" w:eastAsia="Times New Roman" w:hAnsi="Times New Roman" w:cs="Times New Roman"/>
          <w:sz w:val="24"/>
          <w:szCs w:val="24"/>
        </w:rPr>
        <w:t xml:space="preserve"> of neurological diseases. </w:t>
      </w:r>
      <w:r>
        <w:rPr>
          <w:rFonts w:ascii="Times New Roman" w:eastAsia="Times New Roman" w:hAnsi="Times New Roman" w:cs="Times New Roman"/>
          <w:i/>
          <w:iCs/>
          <w:sz w:val="24"/>
          <w:szCs w:val="24"/>
        </w:rPr>
        <w:t>Scientific Reports, 15</w:t>
      </w:r>
      <w:r>
        <w:rPr>
          <w:rFonts w:ascii="Times New Roman" w:eastAsia="Times New Roman" w:hAnsi="Times New Roman" w:cs="Times New Roman"/>
          <w:sz w:val="24"/>
          <w:szCs w:val="24"/>
        </w:rPr>
        <w:t>, 27857. https://doi.org/10.1038/s41598-025-27857</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54" w:name="_b115izrj8508" w:colFirst="0" w:colLast="0"/>
      <w:bookmarkEnd w:id="54"/>
      <w:r>
        <w:rPr>
          <w:rFonts w:ascii="Times New Roman" w:eastAsia="Times New Roman" w:hAnsi="Times New Roman" w:cs="Times New Roman"/>
          <w:color w:val="222222"/>
          <w:sz w:val="24"/>
          <w:szCs w:val="24"/>
        </w:rPr>
        <w:lastRenderedPageBreak/>
        <w:t xml:space="preserve">Pan, Y., Fan, Q., Liang, Y. </w:t>
      </w:r>
      <w:r>
        <w:rPr>
          <w:rFonts w:ascii="Times New Roman" w:eastAsia="Times New Roman" w:hAnsi="Times New Roman" w:cs="Times New Roman"/>
          <w:i/>
          <w:iCs/>
          <w:color w:val="222222"/>
          <w:sz w:val="24"/>
          <w:szCs w:val="24"/>
        </w:rPr>
        <w:t>et al., (2024)</w:t>
      </w:r>
      <w:r>
        <w:rPr>
          <w:rFonts w:ascii="Times New Roman" w:eastAsia="Times New Roman" w:hAnsi="Times New Roman" w:cs="Times New Roman"/>
          <w:color w:val="222222"/>
          <w:sz w:val="24"/>
          <w:szCs w:val="24"/>
        </w:rPr>
        <w:t xml:space="preserve"> A machine learning prediction model for Cardiac Amyloidosis using routine blood tests in patients with left ventricular hypertrophy. </w:t>
      </w:r>
      <w:r>
        <w:rPr>
          <w:rFonts w:ascii="Times New Roman" w:eastAsia="Times New Roman" w:hAnsi="Times New Roman" w:cs="Times New Roman"/>
          <w:i/>
          <w:iCs/>
          <w:color w:val="222222"/>
          <w:sz w:val="24"/>
          <w:szCs w:val="24"/>
        </w:rPr>
        <w:t>Sci Rep</w:t>
      </w:r>
      <w:r>
        <w:rPr>
          <w:rFonts w:ascii="Times New Roman" w:eastAsia="Times New Roman" w:hAnsi="Times New Roman" w:cs="Times New Roman"/>
          <w:color w:val="222222"/>
          <w:sz w:val="24"/>
          <w:szCs w:val="24"/>
        </w:rPr>
        <w:t xml:space="preserve"> 14, 28644 (2024). https://doi.org/10.1038/s41598-024-77466-8</w:t>
      </w:r>
      <w:r>
        <w:rPr>
          <w:rFonts w:ascii="Times New Roman" w:eastAsia="Times New Roman" w:hAnsi="Times New Roman" w:cs="Times New Roman"/>
          <w:sz w:val="24"/>
          <w:szCs w:val="24"/>
        </w:rPr>
        <w:t xml:space="preserve">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55" w:name="_hpjbs76xphfo" w:colFirst="0" w:colLast="0"/>
      <w:bookmarkEnd w:id="55"/>
      <w:r>
        <w:rPr>
          <w:rFonts w:ascii="Times New Roman" w:eastAsia="Times New Roman" w:hAnsi="Times New Roman" w:cs="Times New Roman"/>
          <w:sz w:val="24"/>
          <w:szCs w:val="24"/>
        </w:rPr>
        <w:t xml:space="preserve">Park DJ, Park MW, Lee H, et al. (2021). </w:t>
      </w:r>
      <w:r>
        <w:rPr>
          <w:rFonts w:ascii="Times New Roman" w:eastAsia="Times New Roman" w:hAnsi="Times New Roman" w:cs="Times New Roman"/>
          <w:i/>
          <w:iCs/>
          <w:sz w:val="24"/>
          <w:szCs w:val="24"/>
        </w:rPr>
        <w:t xml:space="preserve">Development </w:t>
      </w:r>
      <w:r>
        <w:rPr>
          <w:rFonts w:ascii="Times New Roman" w:eastAsia="Times New Roman" w:hAnsi="Times New Roman" w:cs="Times New Roman"/>
          <w:i/>
          <w:iCs/>
          <w:sz w:val="24"/>
          <w:szCs w:val="24"/>
        </w:rPr>
        <w:t>of machine learning model for diagnostic disease prediction based on laboratory tests</w:t>
      </w:r>
      <w:r>
        <w:rPr>
          <w:rFonts w:ascii="Times New Roman" w:eastAsia="Times New Roman" w:hAnsi="Times New Roman" w:cs="Times New Roman"/>
          <w:sz w:val="24"/>
          <w:szCs w:val="24"/>
        </w:rPr>
        <w:t>. Scientific Reports.</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Parmar, C., Grossmann, P., Rietveld, D., Rietbergen, M. M., Lambin, P., &amp; Aerts, H. J. W. L. (2015). </w:t>
      </w:r>
      <w:r>
        <w:rPr>
          <w:rFonts w:ascii="Times New Roman" w:eastAsia="Times New Roman" w:hAnsi="Times New Roman" w:cs="Times New Roman"/>
          <w:i/>
          <w:iCs/>
          <w:sz w:val="24"/>
          <w:szCs w:val="24"/>
        </w:rPr>
        <w:t>Radiomic machine-learning classifiers for progno</w:t>
      </w:r>
      <w:r>
        <w:rPr>
          <w:rFonts w:ascii="Times New Roman" w:eastAsia="Times New Roman" w:hAnsi="Times New Roman" w:cs="Times New Roman"/>
          <w:i/>
          <w:iCs/>
          <w:sz w:val="24"/>
          <w:szCs w:val="24"/>
        </w:rPr>
        <w:t>stic biomarkers of head and neck cancer</w:t>
      </w:r>
      <w:r>
        <w:rPr>
          <w:rFonts w:ascii="Times New Roman" w:eastAsia="Times New Roman" w:hAnsi="Times New Roman" w:cs="Times New Roman"/>
          <w:sz w:val="24"/>
          <w:szCs w:val="24"/>
        </w:rPr>
        <w:t>. Frontiers in Oncology, 5, 272.</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56" w:name="_njwxnsze7iat" w:colFirst="0" w:colLast="0"/>
      <w:bookmarkEnd w:id="56"/>
      <w:r>
        <w:rPr>
          <w:rFonts w:ascii="Times New Roman" w:eastAsia="Times New Roman" w:hAnsi="Times New Roman" w:cs="Times New Roman"/>
          <w:sz w:val="24"/>
          <w:szCs w:val="24"/>
        </w:rPr>
        <w:t xml:space="preserve">Pinsky, M. R., Bedoya, A., Bihorac, A., Celi, L., Churpek, M., Economou-Zavlanos, N. J., Elbers, P., Saria, S., Liu, V., Lyons, P. G., Shickel, B., Toral, P., Tscholl, D., &amp; Clermont, </w:t>
      </w:r>
      <w:r>
        <w:rPr>
          <w:rFonts w:ascii="Times New Roman" w:eastAsia="Times New Roman" w:hAnsi="Times New Roman" w:cs="Times New Roman"/>
          <w:sz w:val="24"/>
          <w:szCs w:val="24"/>
        </w:rPr>
        <w:t xml:space="preserve">G. (2024). Use of artificial intelligence in critical care: Opportunities and obstacles. </w:t>
      </w:r>
      <w:r>
        <w:rPr>
          <w:rFonts w:ascii="Times New Roman" w:eastAsia="Times New Roman" w:hAnsi="Times New Roman" w:cs="Times New Roman"/>
          <w:i/>
          <w:iCs/>
          <w:sz w:val="24"/>
          <w:szCs w:val="24"/>
        </w:rPr>
        <w:t>Critical Care, 28</w:t>
      </w:r>
      <w:r>
        <w:rPr>
          <w:rFonts w:ascii="Times New Roman" w:eastAsia="Times New Roman" w:hAnsi="Times New Roman" w:cs="Times New Roman"/>
          <w:sz w:val="24"/>
          <w:szCs w:val="24"/>
        </w:rPr>
        <w:t>(1), 113. https://doi.org/10.1186/s13054-024-04860-z</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Poplin R, Varadarajan AV, Blumer K, et al., (2018) </w:t>
      </w:r>
      <w:r>
        <w:rPr>
          <w:rFonts w:ascii="Times New Roman" w:eastAsia="Times New Roman" w:hAnsi="Times New Roman" w:cs="Times New Roman"/>
          <w:i/>
          <w:iCs/>
          <w:sz w:val="24"/>
          <w:szCs w:val="24"/>
        </w:rPr>
        <w:t>Prediction of cardiovascular risk factors from</w:t>
      </w:r>
      <w:r>
        <w:rPr>
          <w:rFonts w:ascii="Times New Roman" w:eastAsia="Times New Roman" w:hAnsi="Times New Roman" w:cs="Times New Roman"/>
          <w:i/>
          <w:iCs/>
          <w:sz w:val="24"/>
          <w:szCs w:val="24"/>
        </w:rPr>
        <w:t xml:space="preserve"> retinal fundus photographs</w:t>
      </w:r>
      <w:r>
        <w:rPr>
          <w:rFonts w:ascii="Times New Roman" w:eastAsia="Times New Roman" w:hAnsi="Times New Roman" w:cs="Times New Roman"/>
          <w:sz w:val="24"/>
          <w:szCs w:val="24"/>
        </w:rPr>
        <w:t>. Nature Biomedical Engineering. 2018;2:158–164.</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 A. M., Maschek, J. A., Cox, J. E., et al. (2020). </w:t>
      </w:r>
      <w:r>
        <w:rPr>
          <w:rFonts w:ascii="Times New Roman" w:eastAsia="Times New Roman" w:hAnsi="Times New Roman" w:cs="Times New Roman"/>
          <w:i/>
          <w:iCs/>
          <w:sz w:val="24"/>
          <w:szCs w:val="24"/>
        </w:rPr>
        <w:t>Machine learning reveals serum sphingolipids as cholesterol-independent biomarkers of coronary artery disease</w:t>
      </w:r>
      <w:r>
        <w:rPr>
          <w:rFonts w:ascii="Times New Roman" w:eastAsia="Times New Roman" w:hAnsi="Times New Roman" w:cs="Times New Roman"/>
          <w:sz w:val="24"/>
          <w:szCs w:val="24"/>
        </w:rPr>
        <w:t>. Journal of Cl</w:t>
      </w:r>
      <w:r>
        <w:rPr>
          <w:rFonts w:ascii="Times New Roman" w:eastAsia="Times New Roman" w:hAnsi="Times New Roman" w:cs="Times New Roman"/>
          <w:sz w:val="24"/>
          <w:szCs w:val="24"/>
        </w:rPr>
        <w:t>inical Investigation, 130(3), 1363–1376.</w:t>
      </w:r>
    </w:p>
    <w:p w:rsidR="00B267F3" w:rsidRDefault="00267ED9">
      <w:pPr>
        <w:spacing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Rajkomar A, Oren E, Chen K, et al. (2018). </w:t>
      </w:r>
      <w:r>
        <w:rPr>
          <w:rFonts w:ascii="Times New Roman" w:eastAsia="Times New Roman" w:hAnsi="Times New Roman" w:cs="Times New Roman"/>
          <w:i/>
          <w:iCs/>
          <w:sz w:val="24"/>
          <w:szCs w:val="24"/>
        </w:rPr>
        <w:t>Scalable and accurate deep learning with electronic health records</w:t>
      </w:r>
      <w:r>
        <w:rPr>
          <w:rFonts w:ascii="Times New Roman" w:eastAsia="Times New Roman" w:hAnsi="Times New Roman" w:cs="Times New Roman"/>
          <w:sz w:val="24"/>
          <w:szCs w:val="24"/>
        </w:rPr>
        <w:t>. npj Digital Medicine.</w:t>
      </w:r>
    </w:p>
    <w:p w:rsidR="00B267F3" w:rsidRDefault="00267ED9">
      <w:pPr>
        <w:spacing w:before="240" w:after="240"/>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Rawson TM, Hernandez B, Moore LSP, et al. (2019). Supervised machine learning for the prediction of infection on admission to hospital: a prospective observational cohort study. </w:t>
      </w:r>
      <w:r>
        <w:rPr>
          <w:rFonts w:ascii="Times New Roman" w:eastAsia="Times New Roman" w:hAnsi="Times New Roman" w:cs="Times New Roman"/>
          <w:i/>
          <w:iCs/>
          <w:sz w:val="24"/>
          <w:szCs w:val="24"/>
        </w:rPr>
        <w:t>Journal of Antimicrobial Chemotherapy</w:t>
      </w:r>
      <w:r>
        <w:rPr>
          <w:rFonts w:ascii="Times New Roman" w:eastAsia="Times New Roman" w:hAnsi="Times New Roman" w:cs="Times New Roman"/>
          <w:sz w:val="24"/>
          <w:szCs w:val="24"/>
        </w:rPr>
        <w:t>, 74(4), 1108–1115.</w:t>
      </w:r>
      <w:hyperlink r:id="rId38">
        <w:r>
          <w:rPr>
            <w:rFonts w:ascii="Times New Roman" w:eastAsia="Times New Roman" w:hAnsi="Times New Roman" w:cs="Times New Roman"/>
            <w:sz w:val="24"/>
            <w:szCs w:val="24"/>
            <w:u w:val="single"/>
          </w:rPr>
          <w:t xml:space="preserve"> </w:t>
        </w:r>
      </w:hyperlink>
      <w:hyperlink r:id="rId39">
        <w:r>
          <w:rPr>
            <w:rFonts w:ascii="Times New Roman" w:eastAsia="Times New Roman" w:hAnsi="Times New Roman" w:cs="Times New Roman"/>
            <w:color w:val="1155CC"/>
            <w:sz w:val="24"/>
            <w:szCs w:val="24"/>
            <w:u w:val="single"/>
          </w:rPr>
          <w:t>https://doi.org/10.1093/jac/dky514</w:t>
        </w:r>
      </w:hyperlink>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Rim, T. H., Lee, G., Kim, Y., Tham, Y.-C., Lee, C. J., Baik, S. J., et al. (2020). </w:t>
      </w:r>
      <w:r>
        <w:rPr>
          <w:rFonts w:ascii="Times New Roman" w:eastAsia="Times New Roman" w:hAnsi="Times New Roman" w:cs="Times New Roman"/>
          <w:i/>
          <w:iCs/>
          <w:sz w:val="24"/>
          <w:szCs w:val="24"/>
        </w:rPr>
        <w:t>Prediction of systemic biomarkers from retinal photographs: development and validation of deep-learning algorithms</w:t>
      </w:r>
      <w:r>
        <w:rPr>
          <w:rFonts w:ascii="Times New Roman" w:eastAsia="Times New Roman" w:hAnsi="Times New Roman" w:cs="Times New Roman"/>
          <w:sz w:val="24"/>
          <w:szCs w:val="24"/>
        </w:rPr>
        <w:t>. The Lancet Digital Health, 2(10), e526–e536.</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57" w:name="_xn64sw00eu8" w:colFirst="0" w:colLast="0"/>
      <w:bookmarkEnd w:id="57"/>
      <w:r>
        <w:rPr>
          <w:rFonts w:ascii="Times New Roman" w:eastAsia="Times New Roman" w:hAnsi="Times New Roman" w:cs="Times New Roman"/>
          <w:sz w:val="24"/>
          <w:szCs w:val="24"/>
        </w:rPr>
        <w:t>Rosen, A. W., Ose, I., Gögenur, M., Andersen, L. P. K., Bojesen, R. D., Vogelsang, R. P., Rose,</w:t>
      </w:r>
      <w:r>
        <w:rPr>
          <w:rFonts w:ascii="Times New Roman" w:eastAsia="Times New Roman" w:hAnsi="Times New Roman" w:cs="Times New Roman"/>
          <w:sz w:val="24"/>
          <w:szCs w:val="24"/>
        </w:rPr>
        <w:t xml:space="preserve"> M. H., Steenfos, P. W., Hansen, L. B., Spuur, H. S., Raben, I., Skou, S. T., Holm, E. A., Mortensen, K., Kjær, T., &amp; Eriksen, J. R. (2025). Clinical implementation of an AI-based prediction model for decision support for patients undergoing colorectal can</w:t>
      </w:r>
      <w:r>
        <w:rPr>
          <w:rFonts w:ascii="Times New Roman" w:eastAsia="Times New Roman" w:hAnsi="Times New Roman" w:cs="Times New Roman"/>
          <w:sz w:val="24"/>
          <w:szCs w:val="24"/>
        </w:rPr>
        <w:t xml:space="preserve">cer surgery. </w:t>
      </w:r>
      <w:r>
        <w:rPr>
          <w:rFonts w:ascii="Times New Roman" w:eastAsia="Times New Roman" w:hAnsi="Times New Roman" w:cs="Times New Roman"/>
          <w:i/>
          <w:iCs/>
          <w:sz w:val="24"/>
          <w:szCs w:val="24"/>
        </w:rPr>
        <w:t>Nature Medicine, 31</w:t>
      </w:r>
      <w:r>
        <w:rPr>
          <w:rFonts w:ascii="Times New Roman" w:eastAsia="Times New Roman" w:hAnsi="Times New Roman" w:cs="Times New Roman"/>
          <w:sz w:val="24"/>
          <w:szCs w:val="24"/>
        </w:rPr>
        <w:t>(11), 3737–3748. https://doi.org/10.1038/s41591-025-03942-x</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Saul, H. (2025, October 1). </w:t>
      </w:r>
      <w:r>
        <w:rPr>
          <w:rFonts w:ascii="Times New Roman" w:eastAsia="Times New Roman" w:hAnsi="Times New Roman" w:cs="Times New Roman"/>
          <w:i/>
          <w:iCs/>
          <w:sz w:val="24"/>
          <w:szCs w:val="24"/>
        </w:rPr>
        <w:t>How AI and machine learning are revolutionizing the laboratory</w:t>
      </w:r>
      <w:r>
        <w:rPr>
          <w:rFonts w:ascii="Times New Roman" w:eastAsia="Times New Roman" w:hAnsi="Times New Roman" w:cs="Times New Roman"/>
          <w:sz w:val="24"/>
          <w:szCs w:val="24"/>
        </w:rPr>
        <w:t>. Roche Diagnostics.</w:t>
      </w:r>
      <w:hyperlink r:id="rId40">
        <w:r>
          <w:rPr>
            <w:rFonts w:ascii="Times New Roman" w:eastAsia="Times New Roman" w:hAnsi="Times New Roman" w:cs="Times New Roman"/>
            <w:sz w:val="24"/>
            <w:szCs w:val="24"/>
            <w:u w:val="single"/>
          </w:rPr>
          <w:t xml:space="preserve"> </w:t>
        </w:r>
      </w:hyperlink>
      <w:hyperlink r:id="rId41">
        <w:r>
          <w:rPr>
            <w:rFonts w:ascii="Times New Roman" w:eastAsia="Times New Roman" w:hAnsi="Times New Roman" w:cs="Times New Roman"/>
            <w:color w:val="1155CC"/>
            <w:sz w:val="24"/>
            <w:szCs w:val="24"/>
            <w:u w:val="single"/>
          </w:rPr>
          <w:t>https://diagnostics.roche.com/global/en/lab-leaders/article/machine-learn</w:t>
        </w:r>
        <w:r>
          <w:rPr>
            <w:rFonts w:ascii="Times New Roman" w:eastAsia="Times New Roman" w:hAnsi="Times New Roman" w:cs="Times New Roman"/>
            <w:color w:val="1155CC"/>
            <w:sz w:val="24"/>
            <w:szCs w:val="24"/>
            <w:u w:val="single"/>
          </w:rPr>
          <w:t>ing-ai-in-laboratory.html</w:t>
        </w:r>
      </w:hyperlink>
      <w:r>
        <w:rPr>
          <w:rFonts w:ascii="Times New Roman" w:eastAsia="Times New Roman" w:hAnsi="Times New Roman" w:cs="Times New Roman"/>
          <w:sz w:val="24"/>
          <w:szCs w:val="24"/>
        </w:rPr>
        <w:t xml:space="preserve">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58" w:name="_6mslaogk9adp" w:colFirst="0" w:colLast="0"/>
      <w:bookmarkEnd w:id="58"/>
      <w:r>
        <w:rPr>
          <w:rFonts w:ascii="Times New Roman" w:eastAsia="Times New Roman" w:hAnsi="Times New Roman" w:cs="Times New Roman"/>
          <w:sz w:val="24"/>
          <w:szCs w:val="24"/>
        </w:rPr>
        <w:t xml:space="preserve">Schwartz, L., Matania, N., Levi, M., Lazebnik, T., Kushnir, S., Yosef, N., Hoogi, A., &amp; Shlomi, D. (2025). A blood test-based machine learning model for predicting lung cancer risk. </w:t>
      </w:r>
      <w:r>
        <w:rPr>
          <w:rFonts w:ascii="Times New Roman" w:eastAsia="Times New Roman" w:hAnsi="Times New Roman" w:cs="Times New Roman"/>
          <w:i/>
          <w:iCs/>
          <w:sz w:val="24"/>
          <w:szCs w:val="24"/>
        </w:rPr>
        <w:t>Frontiers in Medicine, 12</w:t>
      </w:r>
      <w:r>
        <w:rPr>
          <w:rFonts w:ascii="Times New Roman" w:eastAsia="Times New Roman" w:hAnsi="Times New Roman" w:cs="Times New Roman"/>
          <w:sz w:val="24"/>
          <w:szCs w:val="24"/>
        </w:rPr>
        <w:t>, 1577451. https://doi</w:t>
      </w:r>
      <w:r>
        <w:rPr>
          <w:rFonts w:ascii="Times New Roman" w:eastAsia="Times New Roman" w:hAnsi="Times New Roman" w:cs="Times New Roman"/>
          <w:sz w:val="24"/>
          <w:szCs w:val="24"/>
        </w:rPr>
        <w:t>.org/10.3389/fmed.2025.1577451</w:t>
      </w:r>
    </w:p>
    <w:p w:rsidR="00B267F3" w:rsidRDefault="00267ED9">
      <w:pPr>
        <w:spacing w:before="240" w:after="240"/>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Seliverstov PV, Kutsenko VP, Gorelova VG, Magomedova SA, Akhmedov SR, Nurmyradov YN. Using artificial intelligence for biomarker analysis in clinical diagnostics. </w:t>
      </w:r>
      <w:r>
        <w:rPr>
          <w:rFonts w:ascii="Times New Roman" w:eastAsia="Times New Roman" w:hAnsi="Times New Roman" w:cs="Times New Roman"/>
          <w:i/>
          <w:iCs/>
          <w:sz w:val="24"/>
          <w:szCs w:val="24"/>
        </w:rPr>
        <w:t>Vol 22, No 5 (2024): 31–39.</w:t>
      </w:r>
      <w:hyperlink r:id="rId42">
        <w:r>
          <w:rPr>
            <w:rFonts w:ascii="Times New Roman" w:eastAsia="Times New Roman" w:hAnsi="Times New Roman" w:cs="Times New Roman"/>
            <w:color w:val="1155CC"/>
            <w:sz w:val="24"/>
            <w:szCs w:val="24"/>
            <w:u w:val="single"/>
          </w:rPr>
          <w:t>https://doi.org/10.29296/24999490-2024-05-04</w:t>
        </w:r>
      </w:hyperlink>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Suleman, M. U., Mursaleen, M., Khalil, U., Saboor, A., Bilal, M., Khan, S. A., Subhani, M. A., Hussnain, M. A., Tabassum, S. N., &amp; Tahir, M. (2025). Assessing the generalizability of</w:t>
      </w:r>
      <w:r>
        <w:rPr>
          <w:rFonts w:ascii="Times New Roman" w:eastAsia="Times New Roman" w:hAnsi="Times New Roman" w:cs="Times New Roman"/>
          <w:sz w:val="24"/>
          <w:szCs w:val="24"/>
        </w:rPr>
        <w:t xml:space="preserve"> artificial intelligence in radiology: A systematic review of performance across different clinical settings. </w:t>
      </w:r>
      <w:r>
        <w:rPr>
          <w:rFonts w:ascii="Times New Roman" w:eastAsia="Times New Roman" w:hAnsi="Times New Roman" w:cs="Times New Roman"/>
          <w:i/>
          <w:iCs/>
          <w:sz w:val="24"/>
          <w:szCs w:val="24"/>
        </w:rPr>
        <w:t>Annals of Medicine and Surgery, 87</w:t>
      </w:r>
      <w:r>
        <w:rPr>
          <w:rFonts w:ascii="Times New Roman" w:eastAsia="Times New Roman" w:hAnsi="Times New Roman" w:cs="Times New Roman"/>
          <w:sz w:val="24"/>
          <w:szCs w:val="24"/>
        </w:rPr>
        <w:t xml:space="preserve">(12), 8803–8811. https://doi.org/10.1097/MS9.0000000000004166 </w:t>
      </w:r>
    </w:p>
    <w:p w:rsidR="00B267F3" w:rsidRDefault="00B267F3">
      <w:pPr>
        <w:ind w:left="720" w:hanging="720"/>
        <w:jc w:val="both"/>
        <w:rPr>
          <w:rFonts w:ascii="Times New Roman" w:eastAsia="Times New Roman" w:hAnsi="Times New Roman" w:cs="Times New Roman"/>
          <w:sz w:val="24"/>
          <w:szCs w:val="24"/>
        </w:rPr>
      </w:pP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Szumilas, D., Ochmann, A., Zięba, K., Bartoszewi</w:t>
      </w:r>
      <w:r>
        <w:rPr>
          <w:rFonts w:ascii="Times New Roman" w:eastAsia="Times New Roman" w:hAnsi="Times New Roman" w:cs="Times New Roman"/>
          <w:sz w:val="24"/>
          <w:szCs w:val="24"/>
        </w:rPr>
        <w:t xml:space="preserve">cz, B., Kubrak, A., Makuch, S., Agrawal, S., Mazur, G., &amp; Chudek, J. (2024). Evaluation of AI-driven LabTest Checker for diagnostic accuracy and safety: Prospective cohort study. </w:t>
      </w:r>
      <w:r>
        <w:rPr>
          <w:rFonts w:ascii="Times New Roman" w:eastAsia="Times New Roman" w:hAnsi="Times New Roman" w:cs="Times New Roman"/>
          <w:i/>
          <w:iCs/>
          <w:sz w:val="24"/>
          <w:szCs w:val="24"/>
        </w:rPr>
        <w:t>JMIR Medical Informatics, 12</w:t>
      </w:r>
      <w:r>
        <w:rPr>
          <w:rFonts w:ascii="Times New Roman" w:eastAsia="Times New Roman" w:hAnsi="Times New Roman" w:cs="Times New Roman"/>
          <w:sz w:val="24"/>
          <w:szCs w:val="24"/>
        </w:rPr>
        <w:t xml:space="preserve">, e57162. https://doi.org/10.2196/57162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color w:val="1155CC"/>
          <w:sz w:val="24"/>
          <w:szCs w:val="24"/>
          <w:u w:val="single"/>
        </w:rPr>
      </w:pPr>
      <w:bookmarkStart w:id="59" w:name="_ctntskdgia2w" w:colFirst="0" w:colLast="0"/>
      <w:bookmarkEnd w:id="59"/>
      <w:r>
        <w:rPr>
          <w:rFonts w:ascii="Times New Roman" w:eastAsia="Times New Roman" w:hAnsi="Times New Roman" w:cs="Times New Roman"/>
          <w:sz w:val="24"/>
          <w:szCs w:val="24"/>
        </w:rPr>
        <w:t>Tang, X.</w:t>
      </w:r>
      <w:r>
        <w:rPr>
          <w:rFonts w:ascii="Times New Roman" w:eastAsia="Times New Roman" w:hAnsi="Times New Roman" w:cs="Times New Roman"/>
          <w:sz w:val="24"/>
          <w:szCs w:val="24"/>
        </w:rPr>
        <w:t xml:space="preserve">, Ye, W., Ou, Y., Ye, H., Zhu, X., Huang, D., Liu, J., Zhao, F., Deng, W., Li, C., Cai, W., Zheng, Y., Zeng, J., &amp; Cai, Y. (2025). Development and validation of a machine learning model for detection and classification of vertigo. </w:t>
      </w:r>
      <w:r>
        <w:rPr>
          <w:rFonts w:ascii="Times New Roman" w:eastAsia="Times New Roman" w:hAnsi="Times New Roman" w:cs="Times New Roman"/>
          <w:i/>
          <w:iCs/>
          <w:sz w:val="24"/>
          <w:szCs w:val="24"/>
        </w:rPr>
        <w:t>Laryngoscope, 135</w:t>
      </w:r>
      <w:r>
        <w:rPr>
          <w:rFonts w:ascii="Times New Roman" w:eastAsia="Times New Roman" w:hAnsi="Times New Roman" w:cs="Times New Roman"/>
          <w:sz w:val="24"/>
          <w:szCs w:val="24"/>
        </w:rPr>
        <w:t>(5), 165</w:t>
      </w:r>
      <w:r>
        <w:rPr>
          <w:rFonts w:ascii="Times New Roman" w:eastAsia="Times New Roman" w:hAnsi="Times New Roman" w:cs="Times New Roman"/>
          <w:sz w:val="24"/>
          <w:szCs w:val="24"/>
        </w:rPr>
        <w:t>2–1660.</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u w:val="single"/>
          </w:rPr>
          <w:t>https://doi.org/10.1002/lary.31959</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0" w:name="_pf73zlpgaw6w" w:colFirst="0" w:colLast="0"/>
      <w:bookmarkEnd w:id="60"/>
      <w:r>
        <w:rPr>
          <w:rFonts w:ascii="Times New Roman" w:eastAsia="Times New Roman" w:hAnsi="Times New Roman" w:cs="Times New Roman"/>
          <w:sz w:val="24"/>
          <w:szCs w:val="24"/>
        </w:rPr>
        <w:t xml:space="preserve">Tomašev N, Glorot X, Rae JW, et al. (2019). </w:t>
      </w:r>
      <w:r>
        <w:rPr>
          <w:rFonts w:ascii="Times New Roman" w:eastAsia="Times New Roman" w:hAnsi="Times New Roman" w:cs="Times New Roman"/>
          <w:i/>
          <w:iCs/>
          <w:sz w:val="24"/>
          <w:szCs w:val="24"/>
        </w:rPr>
        <w:t xml:space="preserve">A clinically applicable approach to continuous prediction of </w:t>
      </w:r>
      <w:r>
        <w:rPr>
          <w:rFonts w:ascii="Times New Roman" w:eastAsia="Times New Roman" w:hAnsi="Times New Roman" w:cs="Times New Roman"/>
          <w:i/>
          <w:iCs/>
          <w:sz w:val="24"/>
          <w:szCs w:val="24"/>
        </w:rPr>
        <w:t>future acute kidney injury</w:t>
      </w:r>
      <w:r>
        <w:rPr>
          <w:rFonts w:ascii="Times New Roman" w:eastAsia="Times New Roman" w:hAnsi="Times New Roman" w:cs="Times New Roman"/>
          <w:sz w:val="24"/>
          <w:szCs w:val="24"/>
        </w:rPr>
        <w:t>. Nature, 572(7767), 116–119.</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Uçucu, S., &amp; Azik, F. (2024). </w:t>
      </w:r>
      <w:r>
        <w:rPr>
          <w:rFonts w:ascii="Times New Roman" w:eastAsia="Times New Roman" w:hAnsi="Times New Roman" w:cs="Times New Roman"/>
          <w:i/>
          <w:iCs/>
          <w:sz w:val="24"/>
          <w:szCs w:val="24"/>
        </w:rPr>
        <w:t>Veštačka neuralna mreža za prepoznavanje β-talasemije minor i anemije uzrokovane nedostatkom gvožđa - modeli veštačke inteligencije</w:t>
      </w:r>
      <w:r>
        <w:rPr>
          <w:rFonts w:ascii="Times New Roman" w:eastAsia="Times New Roman" w:hAnsi="Times New Roman" w:cs="Times New Roman"/>
          <w:sz w:val="24"/>
          <w:szCs w:val="24"/>
        </w:rPr>
        <w:t>. Journal of Medical Biochemistry, 43(1), 11–18.</w:t>
      </w:r>
    </w:p>
    <w:p w:rsidR="00B267F3" w:rsidRDefault="00267ED9">
      <w:pPr>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Undru, T. R., Uday, U., Lakshmi, J. T., Kaliappan, A., Mallamgunta, S., Nikhat, S. S., Sakthivadivel, V., &amp; Gaur, A. (2022). Integrating artificial intelligence for clinical and laboratory diagnosis: A revie</w:t>
      </w:r>
      <w:r>
        <w:rPr>
          <w:rFonts w:ascii="Times New Roman" w:eastAsia="Times New Roman" w:hAnsi="Times New Roman" w:cs="Times New Roman"/>
          <w:sz w:val="24"/>
          <w:szCs w:val="24"/>
        </w:rPr>
        <w:t xml:space="preserve">w. </w:t>
      </w:r>
      <w:r>
        <w:rPr>
          <w:rFonts w:ascii="Times New Roman" w:eastAsia="Times New Roman" w:hAnsi="Times New Roman" w:cs="Times New Roman"/>
          <w:i/>
          <w:iCs/>
          <w:sz w:val="24"/>
          <w:szCs w:val="24"/>
        </w:rPr>
        <w:t>Maedica (Bucur), 17</w:t>
      </w:r>
      <w:r>
        <w:rPr>
          <w:rFonts w:ascii="Times New Roman" w:eastAsia="Times New Roman" w:hAnsi="Times New Roman" w:cs="Times New Roman"/>
          <w:sz w:val="24"/>
          <w:szCs w:val="24"/>
        </w:rPr>
        <w:t>(2), 420–426.</w:t>
      </w:r>
      <w:hyperlink r:id="rId45">
        <w:r>
          <w:rPr>
            <w:rFonts w:ascii="Times New Roman" w:eastAsia="Times New Roman" w:hAnsi="Times New Roman" w:cs="Times New Roman"/>
            <w:sz w:val="24"/>
            <w:szCs w:val="24"/>
          </w:rPr>
          <w:t xml:space="preserve"> </w:t>
        </w:r>
      </w:hyperlink>
      <w:hyperlink r:id="rId46">
        <w:r>
          <w:rPr>
            <w:rFonts w:ascii="Times New Roman" w:eastAsia="Times New Roman" w:hAnsi="Times New Roman" w:cs="Times New Roman"/>
            <w:color w:val="1155CC"/>
            <w:sz w:val="24"/>
            <w:szCs w:val="24"/>
            <w:u w:val="single"/>
          </w:rPr>
          <w:t>https://doi.org/10.26574/maedica.2022.17.2.420</w:t>
        </w:r>
      </w:hyperlink>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Valentidenta, W. M., &amp; Pribadi, F. (2025)</w:t>
      </w:r>
      <w:r>
        <w:rPr>
          <w:rFonts w:ascii="Times New Roman" w:eastAsia="Times New Roman" w:hAnsi="Times New Roman" w:cs="Times New Roman"/>
          <w:sz w:val="24"/>
          <w:szCs w:val="24"/>
        </w:rPr>
        <w:t xml:space="preserve">. Artificial intelligence in echocardiography: Enhancing diagnostic accuracy, workflow efficiency, and cost-effectiveness in </w:t>
      </w:r>
      <w:r>
        <w:rPr>
          <w:rFonts w:ascii="Times New Roman" w:eastAsia="Times New Roman" w:hAnsi="Times New Roman" w:cs="Times New Roman"/>
          <w:sz w:val="24"/>
          <w:szCs w:val="24"/>
        </w:rPr>
        <w:lastRenderedPageBreak/>
        <w:t xml:space="preserve">hypertension and cardiovascular risk assessment. </w:t>
      </w:r>
      <w:r>
        <w:rPr>
          <w:rFonts w:ascii="Times New Roman" w:eastAsia="Times New Roman" w:hAnsi="Times New Roman" w:cs="Times New Roman"/>
          <w:i/>
          <w:iCs/>
          <w:sz w:val="24"/>
          <w:szCs w:val="24"/>
        </w:rPr>
        <w:t>Revista Latinoamericana de Hipertensión, 20</w:t>
      </w:r>
      <w:r>
        <w:rPr>
          <w:rFonts w:ascii="Times New Roman" w:eastAsia="Times New Roman" w:hAnsi="Times New Roman" w:cs="Times New Roman"/>
          <w:sz w:val="24"/>
          <w:szCs w:val="24"/>
        </w:rPr>
        <w:t>(8).</w:t>
      </w:r>
      <w:hyperlink r:id="rId47">
        <w:r>
          <w:rPr>
            <w:rFonts w:ascii="Times New Roman" w:eastAsia="Times New Roman" w:hAnsi="Times New Roman" w:cs="Times New Roman"/>
            <w:sz w:val="24"/>
            <w:szCs w:val="24"/>
            <w:u w:val="single"/>
          </w:rPr>
          <w:t xml:space="preserve"> </w:t>
        </w:r>
      </w:hyperlink>
      <w:hyperlink r:id="rId48">
        <w:r>
          <w:rPr>
            <w:rFonts w:ascii="Times New Roman" w:eastAsia="Times New Roman" w:hAnsi="Times New Roman" w:cs="Times New Roman"/>
            <w:color w:val="1155CC"/>
            <w:sz w:val="24"/>
            <w:szCs w:val="24"/>
            <w:u w:val="single"/>
          </w:rPr>
          <w:t>https://doi.org/10.5281/zenodo.17113815</w:t>
        </w:r>
      </w:hyperlink>
      <w:r>
        <w:rPr>
          <w:rFonts w:ascii="Times New Roman" w:eastAsia="Times New Roman" w:hAnsi="Times New Roman" w:cs="Times New Roman"/>
          <w:sz w:val="24"/>
          <w:szCs w:val="24"/>
        </w:rPr>
        <w:t xml:space="preserve"> </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Veseli, E., Mehrabanian, M., &amp; Ammar, N. (2025). The potential of artificial intelligence in the early detection of systemic diseas</w:t>
      </w:r>
      <w:r>
        <w:rPr>
          <w:rFonts w:ascii="Times New Roman" w:eastAsia="Times New Roman" w:hAnsi="Times New Roman" w:cs="Times New Roman"/>
          <w:sz w:val="24"/>
          <w:szCs w:val="24"/>
        </w:rPr>
        <w:t xml:space="preserve">es during routine dental care. </w:t>
      </w:r>
      <w:r>
        <w:rPr>
          <w:rFonts w:ascii="Times New Roman" w:eastAsia="Times New Roman" w:hAnsi="Times New Roman" w:cs="Times New Roman"/>
          <w:i/>
          <w:iCs/>
          <w:sz w:val="24"/>
          <w:szCs w:val="24"/>
        </w:rPr>
        <w:t>British Dental Journal, 239</w:t>
      </w:r>
      <w:r>
        <w:rPr>
          <w:rFonts w:ascii="Times New Roman" w:eastAsia="Times New Roman" w:hAnsi="Times New Roman" w:cs="Times New Roman"/>
          <w:sz w:val="24"/>
          <w:szCs w:val="24"/>
        </w:rPr>
        <w:t>(3), 168–174.</w:t>
      </w:r>
      <w:hyperlink r:id="rId49">
        <w:r>
          <w:rPr>
            <w:rFonts w:ascii="Times New Roman" w:eastAsia="Times New Roman" w:hAnsi="Times New Roman" w:cs="Times New Roman"/>
            <w:sz w:val="24"/>
            <w:szCs w:val="24"/>
            <w:u w:val="single"/>
          </w:rPr>
          <w:t xml:space="preserve"> </w:t>
        </w:r>
      </w:hyperlink>
      <w:hyperlink r:id="rId50">
        <w:r>
          <w:rPr>
            <w:rFonts w:ascii="Times New Roman" w:eastAsia="Times New Roman" w:hAnsi="Times New Roman" w:cs="Times New Roman"/>
            <w:color w:val="1155CC"/>
            <w:sz w:val="24"/>
            <w:szCs w:val="24"/>
            <w:u w:val="single"/>
          </w:rPr>
          <w:t>https://doi.org/10.1038/s41415-025-8666-7</w:t>
        </w:r>
      </w:hyperlink>
      <w:r>
        <w:rPr>
          <w:rFonts w:ascii="Times New Roman" w:eastAsia="Times New Roman" w:hAnsi="Times New Roman" w:cs="Times New Roman"/>
          <w:sz w:val="24"/>
          <w:szCs w:val="24"/>
        </w:rPr>
        <w:t xml:space="preserve"> </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Villota, S. D., et </w:t>
      </w:r>
      <w:r>
        <w:rPr>
          <w:rFonts w:ascii="Times New Roman" w:eastAsia="Times New Roman" w:hAnsi="Times New Roman" w:cs="Times New Roman"/>
          <w:sz w:val="24"/>
          <w:szCs w:val="24"/>
        </w:rPr>
        <w:t xml:space="preserve">al. (2025). </w:t>
      </w:r>
      <w:r>
        <w:rPr>
          <w:rFonts w:ascii="Times New Roman" w:eastAsia="Times New Roman" w:hAnsi="Times New Roman" w:cs="Times New Roman"/>
          <w:i/>
          <w:iCs/>
          <w:sz w:val="24"/>
          <w:szCs w:val="24"/>
        </w:rPr>
        <w:t>Validation of new equipment for SARS-CoV-2 diagnosis in Ecuador: Detection of the virus and antibodies generated by disease and vaccines with one POC device</w:t>
      </w:r>
      <w:r>
        <w:rPr>
          <w:rFonts w:ascii="Times New Roman" w:eastAsia="Times New Roman" w:hAnsi="Times New Roman" w:cs="Times New Roman"/>
          <w:sz w:val="24"/>
          <w:szCs w:val="24"/>
        </w:rPr>
        <w:t>. PLOS ONE, 20(4), e0321794.</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1" w:name="_9sjgo6p5xdcz" w:colFirst="0" w:colLast="0"/>
      <w:bookmarkEnd w:id="61"/>
      <w:r>
        <w:rPr>
          <w:rFonts w:ascii="Times New Roman" w:eastAsia="Times New Roman" w:hAnsi="Times New Roman" w:cs="Times New Roman"/>
          <w:sz w:val="24"/>
          <w:szCs w:val="24"/>
        </w:rPr>
        <w:t xml:space="preserve">Wang S, Liu Z, Rong Y, et al. (2019). </w:t>
      </w:r>
      <w:r>
        <w:rPr>
          <w:rFonts w:ascii="Times New Roman" w:eastAsia="Times New Roman" w:hAnsi="Times New Roman" w:cs="Times New Roman"/>
          <w:i/>
          <w:iCs/>
          <w:sz w:val="24"/>
          <w:szCs w:val="24"/>
        </w:rPr>
        <w:t>Deep learning provide</w:t>
      </w:r>
      <w:r>
        <w:rPr>
          <w:rFonts w:ascii="Times New Roman" w:eastAsia="Times New Roman" w:hAnsi="Times New Roman" w:cs="Times New Roman"/>
          <w:i/>
          <w:iCs/>
          <w:sz w:val="24"/>
          <w:szCs w:val="24"/>
        </w:rPr>
        <w:t>s a new computed tomography-based prognostic biomarker for recurrence prediction in high-grade serous ovarian cancer</w:t>
      </w:r>
      <w:r>
        <w:rPr>
          <w:rFonts w:ascii="Times New Roman" w:eastAsia="Times New Roman" w:hAnsi="Times New Roman" w:cs="Times New Roman"/>
          <w:sz w:val="24"/>
          <w:szCs w:val="24"/>
        </w:rPr>
        <w:t>. Radiotherapy and Oncology</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K., Lu, X., Zhou, H., Gao, Y., Zheng, J., Tong, M., et al. (2020). </w:t>
      </w:r>
      <w:r>
        <w:rPr>
          <w:rFonts w:ascii="Times New Roman" w:eastAsia="Times New Roman" w:hAnsi="Times New Roman" w:cs="Times New Roman"/>
          <w:i/>
          <w:iCs/>
          <w:sz w:val="24"/>
          <w:szCs w:val="24"/>
        </w:rPr>
        <w:t>Deep learning radiomics of shear wave e</w:t>
      </w:r>
      <w:r>
        <w:rPr>
          <w:rFonts w:ascii="Times New Roman" w:eastAsia="Times New Roman" w:hAnsi="Times New Roman" w:cs="Times New Roman"/>
          <w:i/>
          <w:iCs/>
          <w:sz w:val="24"/>
          <w:szCs w:val="24"/>
        </w:rPr>
        <w:t>lastography significantly improved diagnostic performance for assessing liver fibrosis in chronic hepatitis B: a prospective multicentre study</w:t>
      </w:r>
      <w:r>
        <w:rPr>
          <w:rFonts w:ascii="Times New Roman" w:eastAsia="Times New Roman" w:hAnsi="Times New Roman" w:cs="Times New Roman"/>
          <w:sz w:val="24"/>
          <w:szCs w:val="24"/>
        </w:rPr>
        <w:t>. Gut, 68(4).</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2" w:name="_gyob7xrlhkl5" w:colFirst="0" w:colLast="0"/>
      <w:bookmarkEnd w:id="62"/>
      <w:r>
        <w:rPr>
          <w:rFonts w:ascii="Times New Roman" w:eastAsia="Times New Roman" w:hAnsi="Times New Roman" w:cs="Times New Roman"/>
          <w:sz w:val="24"/>
          <w:szCs w:val="24"/>
        </w:rPr>
        <w:t xml:space="preserve">Weng SF, Reps J, Kai J, Garibaldi JM, Qureshi N. (2017). </w:t>
      </w:r>
      <w:r>
        <w:rPr>
          <w:rFonts w:ascii="Times New Roman" w:eastAsia="Times New Roman" w:hAnsi="Times New Roman" w:cs="Times New Roman"/>
          <w:i/>
          <w:iCs/>
          <w:sz w:val="24"/>
          <w:szCs w:val="24"/>
        </w:rPr>
        <w:t>Can machine-learning improve cardiovascular</w:t>
      </w:r>
      <w:r>
        <w:rPr>
          <w:rFonts w:ascii="Times New Roman" w:eastAsia="Times New Roman" w:hAnsi="Times New Roman" w:cs="Times New Roman"/>
          <w:i/>
          <w:iCs/>
          <w:sz w:val="24"/>
          <w:szCs w:val="24"/>
        </w:rPr>
        <w:t xml:space="preserve"> risk prediction using routine clinical data?</w:t>
      </w:r>
      <w:r>
        <w:rPr>
          <w:rFonts w:ascii="Times New Roman" w:eastAsia="Times New Roman" w:hAnsi="Times New Roman" w:cs="Times New Roman"/>
          <w:sz w:val="24"/>
          <w:szCs w:val="24"/>
        </w:rPr>
        <w:t xml:space="preserve"> PLOS ONE.</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White, S. J., Chau, M., Arruzza, E., Ong, M., John, H., Theiss, R., Yaxley, K. L., &amp;</w:t>
      </w:r>
      <w:r>
        <w:rPr>
          <w:rFonts w:ascii="Times New Roman" w:eastAsia="Times New Roman" w:hAnsi="Times New Roman" w:cs="Times New Roman"/>
          <w:sz w:val="24"/>
          <w:szCs w:val="24"/>
        </w:rPr>
        <w:t xml:space="preserve"> To, M.-S. (2025). Assessment of Standards for Reporting of Diagnostic Accuracy (STARD) 2015 guideline adherence in medical imaging diagnostic accuracy studies published in 2023. </w:t>
      </w:r>
      <w:r>
        <w:rPr>
          <w:rFonts w:ascii="Times New Roman" w:eastAsia="Times New Roman" w:hAnsi="Times New Roman" w:cs="Times New Roman"/>
          <w:i/>
          <w:iCs/>
          <w:sz w:val="24"/>
          <w:szCs w:val="24"/>
        </w:rPr>
        <w:t>Journal of Clinical Epidemiology, 179</w:t>
      </w:r>
      <w:r>
        <w:rPr>
          <w:rFonts w:ascii="Times New Roman" w:eastAsia="Times New Roman" w:hAnsi="Times New Roman" w:cs="Times New Roman"/>
          <w:sz w:val="24"/>
          <w:szCs w:val="24"/>
        </w:rPr>
        <w:t>, 111654.</w:t>
      </w:r>
      <w:hyperlink r:id="rId51">
        <w:r>
          <w:rPr>
            <w:rFonts w:ascii="Times New Roman" w:eastAsia="Times New Roman" w:hAnsi="Times New Roman" w:cs="Times New Roman"/>
            <w:sz w:val="24"/>
            <w:szCs w:val="24"/>
            <w:u w:val="single"/>
          </w:rPr>
          <w:t xml:space="preserve"> </w:t>
        </w:r>
      </w:hyperlink>
      <w:hyperlink r:id="rId52">
        <w:r>
          <w:rPr>
            <w:rFonts w:ascii="Times New Roman" w:eastAsia="Times New Roman" w:hAnsi="Times New Roman" w:cs="Times New Roman"/>
            <w:color w:val="1155CC"/>
            <w:sz w:val="24"/>
            <w:szCs w:val="24"/>
            <w:u w:val="single"/>
          </w:rPr>
          <w:t>https://doi.org/10.1016/j.jclinepi.2024.111654</w:t>
        </w:r>
      </w:hyperlink>
      <w:r>
        <w:rPr>
          <w:rFonts w:ascii="Times New Roman" w:eastAsia="Times New Roman" w:hAnsi="Times New Roman" w:cs="Times New Roman"/>
          <w:sz w:val="24"/>
          <w:szCs w:val="24"/>
        </w:rPr>
        <w:t xml:space="preserve"> </w:t>
      </w:r>
    </w:p>
    <w:p w:rsidR="00B267F3" w:rsidRDefault="00B267F3">
      <w:pPr>
        <w:ind w:left="720" w:hanging="720"/>
        <w:jc w:val="both"/>
        <w:rPr>
          <w:rFonts w:ascii="Times New Roman" w:eastAsia="Times New Roman" w:hAnsi="Times New Roman" w:cs="Times New Roman"/>
          <w:sz w:val="24"/>
          <w:szCs w:val="24"/>
        </w:rPr>
      </w:pP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Regional Office for Europe. (2025). </w:t>
      </w:r>
      <w:r>
        <w:rPr>
          <w:rFonts w:ascii="Times New Roman" w:eastAsia="Times New Roman" w:hAnsi="Times New Roman" w:cs="Times New Roman"/>
          <w:i/>
          <w:iCs/>
          <w:sz w:val="24"/>
          <w:szCs w:val="24"/>
        </w:rPr>
        <w:t>Artificial intelligence is reshaping health</w:t>
      </w:r>
      <w:r>
        <w:rPr>
          <w:rFonts w:ascii="Times New Roman" w:eastAsia="Times New Roman" w:hAnsi="Times New Roman" w:cs="Times New Roman"/>
          <w:i/>
          <w:iCs/>
          <w:sz w:val="24"/>
          <w:szCs w:val="24"/>
        </w:rPr>
        <w:t xml:space="preserve"> systems: State of readiness across the WHO European Region</w:t>
      </w:r>
      <w:r>
        <w:rPr>
          <w:rFonts w:ascii="Times New Roman" w:eastAsia="Times New Roman" w:hAnsi="Times New Roman" w:cs="Times New Roman"/>
          <w:sz w:val="24"/>
          <w:szCs w:val="24"/>
        </w:rPr>
        <w:t>. WHO Regional Office for Europe.</w:t>
      </w:r>
      <w:hyperlink r:id="rId53">
        <w:r>
          <w:rPr>
            <w:rFonts w:ascii="Times New Roman" w:eastAsia="Times New Roman" w:hAnsi="Times New Roman" w:cs="Times New Roman"/>
            <w:sz w:val="24"/>
            <w:szCs w:val="24"/>
            <w:u w:val="single"/>
          </w:rPr>
          <w:t xml:space="preserve"> </w:t>
        </w:r>
      </w:hyperlink>
      <w:hyperlink r:id="rId54">
        <w:r>
          <w:rPr>
            <w:rFonts w:ascii="Times New Roman" w:eastAsia="Times New Roman" w:hAnsi="Times New Roman" w:cs="Times New Roman"/>
            <w:color w:val="1155CC"/>
            <w:sz w:val="24"/>
            <w:szCs w:val="24"/>
            <w:u w:val="single"/>
          </w:rPr>
          <w:t>https://www.who.int/europe/publications/i/item/WHO-EURO-2025-12707-52481-81028</w:t>
        </w:r>
      </w:hyperlink>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(2024). </w:t>
      </w:r>
      <w:r>
        <w:rPr>
          <w:rFonts w:ascii="Times New Roman" w:eastAsia="Times New Roman" w:hAnsi="Times New Roman" w:cs="Times New Roman"/>
          <w:i/>
          <w:iCs/>
          <w:sz w:val="24"/>
          <w:szCs w:val="24"/>
        </w:rPr>
        <w:t>Harnessing artificial intelligence for health</w:t>
      </w:r>
      <w:r>
        <w:rPr>
          <w:rFonts w:ascii="Times New Roman" w:eastAsia="Times New Roman" w:hAnsi="Times New Roman" w:cs="Times New Roman"/>
          <w:sz w:val="24"/>
          <w:szCs w:val="24"/>
        </w:rPr>
        <w:t>.</w:t>
      </w:r>
      <w:hyperlink r:id="rId55">
        <w:r>
          <w:rPr>
            <w:rFonts w:ascii="Times New Roman" w:eastAsia="Times New Roman" w:hAnsi="Times New Roman" w:cs="Times New Roman"/>
            <w:sz w:val="24"/>
            <w:szCs w:val="24"/>
            <w:u w:val="single"/>
          </w:rPr>
          <w:t xml:space="preserve"> </w:t>
        </w:r>
      </w:hyperlink>
      <w:hyperlink r:id="rId56">
        <w:r>
          <w:rPr>
            <w:rFonts w:ascii="Times New Roman" w:eastAsia="Times New Roman" w:hAnsi="Times New Roman" w:cs="Times New Roman"/>
            <w:color w:val="1155CC"/>
            <w:sz w:val="24"/>
            <w:szCs w:val="24"/>
            <w:u w:val="single"/>
          </w:rPr>
          <w:t>https://www.who.int/teams/digital-health-and-innovation/harnessing-artificial-intelligence-for-health</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rsidR="00B267F3" w:rsidRDefault="00267ED9">
      <w:pPr>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World Health Organization. (2024, May 27). </w:t>
      </w:r>
      <w:r>
        <w:rPr>
          <w:rFonts w:ascii="Times New Roman" w:eastAsia="Times New Roman" w:hAnsi="Times New Roman" w:cs="Times New Roman"/>
          <w:i/>
          <w:iCs/>
          <w:sz w:val="24"/>
          <w:szCs w:val="24"/>
        </w:rPr>
        <w:t>Leading the future of global health with responsible artificial intelligence</w:t>
      </w:r>
      <w:r>
        <w:rPr>
          <w:rFonts w:ascii="Times New Roman" w:eastAsia="Times New Roman" w:hAnsi="Times New Roman" w:cs="Times New Roman"/>
          <w:sz w:val="24"/>
          <w:szCs w:val="24"/>
        </w:rPr>
        <w:t>.</w:t>
      </w:r>
      <w:hyperlink r:id="rId57">
        <w:r>
          <w:rPr>
            <w:rFonts w:ascii="Times New Roman" w:eastAsia="Times New Roman" w:hAnsi="Times New Roman" w:cs="Times New Roman"/>
            <w:sz w:val="24"/>
            <w:szCs w:val="24"/>
            <w:u w:val="single"/>
          </w:rPr>
          <w:t xml:space="preserve"> </w:t>
        </w:r>
      </w:hyperlink>
      <w:hyperlink r:id="rId58">
        <w:r>
          <w:rPr>
            <w:rFonts w:ascii="Times New Roman" w:eastAsia="Times New Roman" w:hAnsi="Times New Roman" w:cs="Times New Roman"/>
            <w:color w:val="1155CC"/>
            <w:sz w:val="24"/>
            <w:szCs w:val="24"/>
            <w:u w:val="single"/>
          </w:rPr>
          <w:t>https://www.who.int/publications/m/item/leading-the-future-of-global-health-with-responsible-artificial-intelligence</w:t>
        </w:r>
      </w:hyperlink>
      <w:r>
        <w:rPr>
          <w:rFonts w:ascii="Times New Roman" w:eastAsia="Times New Roman" w:hAnsi="Times New Roman" w:cs="Times New Roman"/>
          <w:color w:val="1155CC"/>
          <w:sz w:val="24"/>
          <w:szCs w:val="24"/>
          <w:u w:val="single"/>
        </w:rPr>
        <w:br/>
      </w:r>
    </w:p>
    <w:p w:rsidR="00B267F3" w:rsidRDefault="00267ED9">
      <w:pPr>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World Health Organization. (2024, May 27). </w:t>
      </w:r>
      <w:r>
        <w:rPr>
          <w:rFonts w:ascii="Times New Roman" w:eastAsia="Times New Roman" w:hAnsi="Times New Roman" w:cs="Times New Roman"/>
          <w:i/>
          <w:iCs/>
          <w:sz w:val="24"/>
          <w:szCs w:val="24"/>
        </w:rPr>
        <w:t>Artificial intelligence for health: Supporting countrie</w:t>
      </w:r>
      <w:r>
        <w:rPr>
          <w:rFonts w:ascii="Times New Roman" w:eastAsia="Times New Roman" w:hAnsi="Times New Roman" w:cs="Times New Roman"/>
          <w:i/>
          <w:iCs/>
          <w:sz w:val="24"/>
          <w:szCs w:val="24"/>
        </w:rPr>
        <w:t>s to deploy responsible AI technologies to accelerate equitable health for all</w:t>
      </w:r>
      <w:r>
        <w:rPr>
          <w:rFonts w:ascii="Times New Roman" w:eastAsia="Times New Roman" w:hAnsi="Times New Roman" w:cs="Times New Roman"/>
          <w:sz w:val="24"/>
          <w:szCs w:val="24"/>
        </w:rPr>
        <w:t>.</w:t>
      </w:r>
      <w:hyperlink r:id="rId59">
        <w:r>
          <w:rPr>
            <w:rFonts w:ascii="Times New Roman" w:eastAsia="Times New Roman" w:hAnsi="Times New Roman" w:cs="Times New Roman"/>
            <w:sz w:val="24"/>
            <w:szCs w:val="24"/>
            <w:u w:val="single"/>
          </w:rPr>
          <w:t xml:space="preserve"> </w:t>
        </w:r>
      </w:hyperlink>
      <w:hyperlink r:id="rId60">
        <w:r>
          <w:rPr>
            <w:rFonts w:ascii="Times New Roman" w:eastAsia="Times New Roman" w:hAnsi="Times New Roman" w:cs="Times New Roman"/>
            <w:color w:val="1155CC"/>
            <w:sz w:val="24"/>
            <w:szCs w:val="24"/>
            <w:u w:val="single"/>
          </w:rPr>
          <w:t>https://www.who.int/publications/m/item/artificial-intelligence-for-health</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3" w:name="_mz5s45epxof2" w:colFirst="0" w:colLast="0"/>
      <w:bookmarkEnd w:id="63"/>
      <w:r>
        <w:rPr>
          <w:rFonts w:ascii="Times New Roman" w:eastAsia="Times New Roman" w:hAnsi="Times New Roman" w:cs="Times New Roman"/>
          <w:sz w:val="24"/>
          <w:szCs w:val="24"/>
        </w:rPr>
        <w:t>Xie, H., Jia, Y., &amp; Liu, S. (2024). Integration of artificial intelligence in clinical la</w:t>
      </w:r>
      <w:r>
        <w:rPr>
          <w:rFonts w:ascii="Times New Roman" w:eastAsia="Times New Roman" w:hAnsi="Times New Roman" w:cs="Times New Roman"/>
          <w:sz w:val="24"/>
          <w:szCs w:val="24"/>
        </w:rPr>
        <w:t xml:space="preserve">boratory medicine: Advancements and challenges. </w:t>
      </w:r>
      <w:r>
        <w:rPr>
          <w:rFonts w:ascii="Times New Roman" w:eastAsia="Times New Roman" w:hAnsi="Times New Roman" w:cs="Times New Roman"/>
          <w:i/>
          <w:iCs/>
          <w:sz w:val="24"/>
          <w:szCs w:val="24"/>
        </w:rPr>
        <w:t>Interdisciplinary Medicine</w:t>
      </w:r>
      <w:r>
        <w:rPr>
          <w:rFonts w:ascii="Times New Roman" w:eastAsia="Times New Roman" w:hAnsi="Times New Roman" w:cs="Times New Roman"/>
          <w:sz w:val="24"/>
          <w:szCs w:val="24"/>
        </w:rPr>
        <w:t>.</w:t>
      </w:r>
      <w:hyperlink r:id="rId61">
        <w:r>
          <w:rPr>
            <w:rFonts w:ascii="Times New Roman" w:eastAsia="Times New Roman" w:hAnsi="Times New Roman" w:cs="Times New Roman"/>
            <w:sz w:val="24"/>
            <w:szCs w:val="24"/>
          </w:rPr>
          <w:t xml:space="preserve"> https://doi.org/10.1002/INMD.20230056</w:t>
        </w:r>
      </w:hyperlink>
      <w:r>
        <w:rPr>
          <w:rFonts w:ascii="Times New Roman" w:eastAsia="Times New Roman" w:hAnsi="Times New Roman" w:cs="Times New Roman"/>
          <w:sz w:val="24"/>
          <w:szCs w:val="24"/>
        </w:rPr>
        <w:t xml:space="preserve"> </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Xie, Y., Meng, W.-Y., Li, R.-Z., et al. (2021). </w:t>
      </w:r>
      <w:r>
        <w:rPr>
          <w:rFonts w:ascii="Times New Roman" w:eastAsia="Times New Roman" w:hAnsi="Times New Roman" w:cs="Times New Roman"/>
          <w:i/>
          <w:iCs/>
          <w:sz w:val="24"/>
          <w:szCs w:val="24"/>
        </w:rPr>
        <w:t>Early lung cancer diagnostic biomark</w:t>
      </w:r>
      <w:r>
        <w:rPr>
          <w:rFonts w:ascii="Times New Roman" w:eastAsia="Times New Roman" w:hAnsi="Times New Roman" w:cs="Times New Roman"/>
          <w:i/>
          <w:iCs/>
          <w:sz w:val="24"/>
          <w:szCs w:val="24"/>
        </w:rPr>
        <w:t>er discovery by machine learning methods</w:t>
      </w:r>
      <w:r>
        <w:rPr>
          <w:rFonts w:ascii="Times New Roman" w:eastAsia="Times New Roman" w:hAnsi="Times New Roman" w:cs="Times New Roman"/>
          <w:sz w:val="24"/>
          <w:szCs w:val="24"/>
        </w:rPr>
        <w:t>. Translational Oncology, 14(1), 100907.</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4" w:name="_311c9dp79tru" w:colFirst="0" w:colLast="0"/>
      <w:bookmarkEnd w:id="64"/>
      <w:r>
        <w:rPr>
          <w:rFonts w:ascii="Times New Roman" w:eastAsia="Times New Roman" w:hAnsi="Times New Roman" w:cs="Times New Roman"/>
          <w:sz w:val="24"/>
          <w:szCs w:val="24"/>
        </w:rPr>
        <w:t xml:space="preserve">Yan L, Zhang HT, Goncalves J, et al. (2020). </w:t>
      </w:r>
      <w:r>
        <w:rPr>
          <w:rFonts w:ascii="Times New Roman" w:eastAsia="Times New Roman" w:hAnsi="Times New Roman" w:cs="Times New Roman"/>
          <w:i/>
          <w:iCs/>
          <w:sz w:val="24"/>
          <w:szCs w:val="24"/>
        </w:rPr>
        <w:t>An interpretable mortality prediction model for COVID-19 patients</w:t>
      </w:r>
      <w:r>
        <w:rPr>
          <w:rFonts w:ascii="Times New Roman" w:eastAsia="Times New Roman" w:hAnsi="Times New Roman" w:cs="Times New Roman"/>
          <w:sz w:val="24"/>
          <w:szCs w:val="24"/>
        </w:rPr>
        <w:t>. Nature Machine Intelligence.</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5" w:name="_v8j5cleksze4" w:colFirst="0" w:colLast="0"/>
      <w:bookmarkEnd w:id="65"/>
      <w:r>
        <w:rPr>
          <w:rFonts w:ascii="Times New Roman" w:eastAsia="Times New Roman" w:hAnsi="Times New Roman" w:cs="Times New Roman"/>
          <w:sz w:val="24"/>
          <w:szCs w:val="24"/>
        </w:rPr>
        <w:t>Yan, W., Zhu, L., Wei, H., Feng, J</w:t>
      </w:r>
      <w:r>
        <w:rPr>
          <w:rFonts w:ascii="Times New Roman" w:eastAsia="Times New Roman" w:hAnsi="Times New Roman" w:cs="Times New Roman"/>
          <w:sz w:val="24"/>
          <w:szCs w:val="24"/>
        </w:rPr>
        <w:t xml:space="preserve">., &amp; Gao, Y. (2024). A machine learning model based on blood indices for the differential diagnosis of colorectal cancer and colorectal polyps. </w:t>
      </w:r>
      <w:r>
        <w:rPr>
          <w:rFonts w:ascii="Times New Roman" w:eastAsia="Times New Roman" w:hAnsi="Times New Roman" w:cs="Times New Roman"/>
          <w:i/>
          <w:iCs/>
          <w:sz w:val="24"/>
          <w:szCs w:val="24"/>
        </w:rPr>
        <w:t>iLABMED</w:t>
      </w:r>
      <w:r>
        <w:rPr>
          <w:rFonts w:ascii="Times New Roman" w:eastAsia="Times New Roman" w:hAnsi="Times New Roman" w:cs="Times New Roman"/>
          <w:sz w:val="24"/>
          <w:szCs w:val="24"/>
        </w:rPr>
        <w:t>.</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HS, Hou Y, Vasovic LV, et al. (2020). Routine laboratory blood tests predict SARS-CoV-2 infection </w:t>
      </w:r>
      <w:r>
        <w:rPr>
          <w:rFonts w:ascii="Times New Roman" w:eastAsia="Times New Roman" w:hAnsi="Times New Roman" w:cs="Times New Roman"/>
          <w:sz w:val="24"/>
          <w:szCs w:val="24"/>
        </w:rPr>
        <w:t xml:space="preserve">using machine learning. </w:t>
      </w:r>
      <w:r>
        <w:rPr>
          <w:rFonts w:ascii="Times New Roman" w:eastAsia="Times New Roman" w:hAnsi="Times New Roman" w:cs="Times New Roman"/>
          <w:i/>
          <w:iCs/>
          <w:sz w:val="24"/>
          <w:szCs w:val="24"/>
        </w:rPr>
        <w:t>Clinical Chemistry</w:t>
      </w:r>
      <w:r>
        <w:rPr>
          <w:rFonts w:ascii="Times New Roman" w:eastAsia="Times New Roman" w:hAnsi="Times New Roman" w:cs="Times New Roman"/>
          <w:sz w:val="24"/>
          <w:szCs w:val="24"/>
        </w:rPr>
        <w:t>, 66(11), 1396–1404.</w:t>
      </w:r>
      <w:hyperlink r:id="rId62">
        <w:r>
          <w:rPr>
            <w:rFonts w:ascii="Times New Roman" w:eastAsia="Times New Roman" w:hAnsi="Times New Roman" w:cs="Times New Roman"/>
            <w:sz w:val="24"/>
            <w:szCs w:val="24"/>
            <w:u w:val="single"/>
          </w:rPr>
          <w:t xml:space="preserve"> </w:t>
        </w:r>
      </w:hyperlink>
      <w:hyperlink r:id="rId63">
        <w:r>
          <w:rPr>
            <w:rFonts w:ascii="Times New Roman" w:eastAsia="Times New Roman" w:hAnsi="Times New Roman" w:cs="Times New Roman"/>
            <w:color w:val="1155CC"/>
            <w:sz w:val="24"/>
            <w:szCs w:val="24"/>
            <w:u w:val="single"/>
          </w:rPr>
          <w:t>https://doi.org/10.1093/clinchem/hvaa200</w:t>
        </w:r>
      </w:hyperlink>
      <w:r>
        <w:rPr>
          <w:rFonts w:ascii="Times New Roman" w:eastAsia="Times New Roman" w:hAnsi="Times New Roman" w:cs="Times New Roman"/>
          <w:sz w:val="24"/>
          <w:szCs w:val="24"/>
        </w:rPr>
        <w:t xml:space="preserve">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6" w:name="_g6zo2r5xhssw" w:colFirst="0" w:colLast="0"/>
      <w:bookmarkEnd w:id="66"/>
      <w:r>
        <w:rPr>
          <w:rFonts w:ascii="Times New Roman" w:eastAsia="Times New Roman" w:hAnsi="Times New Roman" w:cs="Times New Roman"/>
          <w:sz w:val="24"/>
          <w:szCs w:val="24"/>
        </w:rPr>
        <w:t>Yao H, Zhang N, Zhang R, et al.</w:t>
      </w:r>
      <w:r>
        <w:rPr>
          <w:rFonts w:ascii="Times New Roman" w:eastAsia="Times New Roman" w:hAnsi="Times New Roman" w:cs="Times New Roman"/>
          <w:sz w:val="24"/>
          <w:szCs w:val="24"/>
        </w:rPr>
        <w:t xml:space="preserve"> (2020). </w:t>
      </w:r>
      <w:r>
        <w:rPr>
          <w:rFonts w:ascii="Times New Roman" w:eastAsia="Times New Roman" w:hAnsi="Times New Roman" w:cs="Times New Roman"/>
          <w:i/>
          <w:iCs/>
          <w:sz w:val="24"/>
          <w:szCs w:val="24"/>
        </w:rPr>
        <w:t>Severity detection for COVID-19 patients using a machine learning model based on blood and urine tests</w:t>
      </w:r>
      <w:r>
        <w:rPr>
          <w:rFonts w:ascii="Times New Roman" w:eastAsia="Times New Roman" w:hAnsi="Times New Roman" w:cs="Times New Roman"/>
          <w:sz w:val="24"/>
          <w:szCs w:val="24"/>
        </w:rPr>
        <w:t>. Frontiers in Cell and Developmental Biology.</w:t>
      </w:r>
    </w:p>
    <w:p w:rsidR="00B267F3" w:rsidRDefault="00267ED9">
      <w:pPr>
        <w:spacing w:before="240" w:after="240"/>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Yu, A. C., Mohajer, B., &amp; Eng, J. (2022). External validation of deep learning algorithms for radi</w:t>
      </w:r>
      <w:r>
        <w:rPr>
          <w:rFonts w:ascii="Times New Roman" w:eastAsia="Times New Roman" w:hAnsi="Times New Roman" w:cs="Times New Roman"/>
          <w:sz w:val="24"/>
          <w:szCs w:val="24"/>
        </w:rPr>
        <w:t xml:space="preserve">ologic diagnosis: A systematic review. </w:t>
      </w:r>
      <w:r>
        <w:rPr>
          <w:rFonts w:ascii="Times New Roman" w:eastAsia="Times New Roman" w:hAnsi="Times New Roman" w:cs="Times New Roman"/>
          <w:i/>
          <w:iCs/>
          <w:sz w:val="24"/>
          <w:szCs w:val="24"/>
        </w:rPr>
        <w:t>Radiology: Artificial Intelligence, 4</w:t>
      </w:r>
      <w:r>
        <w:rPr>
          <w:rFonts w:ascii="Times New Roman" w:eastAsia="Times New Roman" w:hAnsi="Times New Roman" w:cs="Times New Roman"/>
          <w:sz w:val="24"/>
          <w:szCs w:val="24"/>
        </w:rPr>
        <w:t>(3), e210064.</w:t>
      </w:r>
      <w:hyperlink r:id="rId64">
        <w:r>
          <w:rPr>
            <w:rFonts w:ascii="Times New Roman" w:eastAsia="Times New Roman" w:hAnsi="Times New Roman" w:cs="Times New Roman"/>
            <w:sz w:val="24"/>
            <w:szCs w:val="24"/>
            <w:u w:val="single"/>
          </w:rPr>
          <w:t xml:space="preserve"> </w:t>
        </w:r>
      </w:hyperlink>
      <w:hyperlink r:id="rId65">
        <w:r>
          <w:rPr>
            <w:rFonts w:ascii="Times New Roman" w:eastAsia="Times New Roman" w:hAnsi="Times New Roman" w:cs="Times New Roman"/>
            <w:color w:val="1155CC"/>
            <w:sz w:val="24"/>
            <w:szCs w:val="24"/>
            <w:u w:val="single"/>
          </w:rPr>
          <w:t>https://doi.org/10.1148/ryai.210064</w:t>
        </w:r>
      </w:hyperlink>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7" w:name="_7awuf2i75l0" w:colFirst="0" w:colLast="0"/>
      <w:bookmarkEnd w:id="67"/>
      <w:r>
        <w:rPr>
          <w:rFonts w:ascii="Times New Roman" w:eastAsia="Times New Roman" w:hAnsi="Times New Roman" w:cs="Times New Roman"/>
          <w:sz w:val="24"/>
          <w:szCs w:val="24"/>
        </w:rPr>
        <w:t xml:space="preserve">Zhang J, Liu W, Xiao W, et al. (2024). </w:t>
      </w:r>
      <w:r>
        <w:rPr>
          <w:rFonts w:ascii="Times New Roman" w:eastAsia="Times New Roman" w:hAnsi="Times New Roman" w:cs="Times New Roman"/>
          <w:i/>
          <w:iCs/>
          <w:sz w:val="24"/>
          <w:szCs w:val="24"/>
        </w:rPr>
        <w:t>Machine learning-derived blood culture classification with both predictive and prognostic values in the intensive care unit: A retrospective cohort study</w:t>
      </w:r>
      <w:r>
        <w:rPr>
          <w:rFonts w:ascii="Times New Roman" w:eastAsia="Times New Roman" w:hAnsi="Times New Roman" w:cs="Times New Roman"/>
          <w:sz w:val="24"/>
          <w:szCs w:val="24"/>
        </w:rPr>
        <w:t>. Intensive and Critical Care Nursing</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8" w:name="_5ztir0de5w0v" w:colFirst="0" w:colLast="0"/>
      <w:bookmarkEnd w:id="68"/>
      <w:r>
        <w:rPr>
          <w:rFonts w:ascii="Times New Roman" w:eastAsia="Times New Roman" w:hAnsi="Times New Roman" w:cs="Times New Roman"/>
          <w:sz w:val="24"/>
          <w:szCs w:val="24"/>
        </w:rPr>
        <w:t>Zhang Z, Bast RC Jr, Yu Y,</w:t>
      </w:r>
      <w:r>
        <w:rPr>
          <w:rFonts w:ascii="Times New Roman" w:eastAsia="Times New Roman" w:hAnsi="Times New Roman" w:cs="Times New Roman"/>
          <w:sz w:val="24"/>
          <w:szCs w:val="24"/>
        </w:rPr>
        <w:t xml:space="preserve"> et al. (2004). </w:t>
      </w:r>
      <w:r>
        <w:rPr>
          <w:rFonts w:ascii="Times New Roman" w:eastAsia="Times New Roman" w:hAnsi="Times New Roman" w:cs="Times New Roman"/>
          <w:i/>
          <w:iCs/>
          <w:sz w:val="24"/>
          <w:szCs w:val="24"/>
        </w:rPr>
        <w:t>Three biomarkers identified from serum proteomic analysis for the detection of early stage ovarian cancer</w:t>
      </w:r>
      <w:r>
        <w:rPr>
          <w:rFonts w:ascii="Times New Roman" w:eastAsia="Times New Roman" w:hAnsi="Times New Roman" w:cs="Times New Roman"/>
          <w:sz w:val="24"/>
          <w:szCs w:val="24"/>
        </w:rPr>
        <w:t>. Cancer Research.</w:t>
      </w:r>
    </w:p>
    <w:p w:rsidR="00B267F3" w:rsidRDefault="00267ED9">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D., Cheng, Z., Song, Y., Li, H., Shi, L., Wang, N., Peng, Y., Chen, R., Sun, N., Han, M., Hu, F., Zong, C., Z</w:t>
      </w:r>
      <w:r>
        <w:rPr>
          <w:rFonts w:ascii="Times New Roman" w:eastAsia="Times New Roman" w:hAnsi="Times New Roman" w:cs="Times New Roman"/>
          <w:sz w:val="24"/>
          <w:szCs w:val="24"/>
        </w:rPr>
        <w:t xml:space="preserve">hang, R., Chen, S., Zhu, C., Zhang, X., Li, X., Ma, X., Shi, C., Zhang, X., Liu, R., Ren, Z., Wang, L., Zeng, Q., Zeng, T., &amp; Chen, X. (2025). </w:t>
      </w:r>
      <w:r>
        <w:rPr>
          <w:rFonts w:ascii="Times New Roman" w:eastAsia="Times New Roman" w:hAnsi="Times New Roman" w:cs="Times New Roman"/>
          <w:i/>
          <w:iCs/>
          <w:sz w:val="24"/>
          <w:szCs w:val="24"/>
        </w:rPr>
        <w:t>Rapid and sensitive acute leukemia classification and diagnosis platform using deep learning-assisted SERS detect</w:t>
      </w:r>
      <w:r>
        <w:rPr>
          <w:rFonts w:ascii="Times New Roman" w:eastAsia="Times New Roman" w:hAnsi="Times New Roman" w:cs="Times New Roman"/>
          <w:i/>
          <w:iCs/>
          <w:sz w:val="24"/>
          <w:szCs w:val="24"/>
        </w:rPr>
        <w:t>ion</w:t>
      </w:r>
      <w:r>
        <w:rPr>
          <w:rFonts w:ascii="Times New Roman" w:eastAsia="Times New Roman" w:hAnsi="Times New Roman" w:cs="Times New Roman"/>
          <w:sz w:val="24"/>
          <w:szCs w:val="24"/>
        </w:rPr>
        <w:t>. Cell Reports Medicine, 6(9), 102320.</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69" w:name="_3px8phtfg64t" w:colFirst="0" w:colLast="0"/>
      <w:bookmarkEnd w:id="69"/>
      <w:r>
        <w:rPr>
          <w:rFonts w:ascii="Times New Roman" w:eastAsia="Times New Roman" w:hAnsi="Times New Roman" w:cs="Times New Roman"/>
          <w:sz w:val="24"/>
          <w:szCs w:val="24"/>
        </w:rPr>
        <w:lastRenderedPageBreak/>
        <w:t xml:space="preserve">Zhen S, Cheng M, Tao YB, et al. (2020). </w:t>
      </w:r>
      <w:r>
        <w:rPr>
          <w:rFonts w:ascii="Times New Roman" w:eastAsia="Times New Roman" w:hAnsi="Times New Roman" w:cs="Times New Roman"/>
          <w:i/>
          <w:iCs/>
          <w:sz w:val="24"/>
          <w:szCs w:val="24"/>
        </w:rPr>
        <w:t>Deep learning for accurate diagnosis of liver tumor based on magnetic resonance imaging and clinical data</w:t>
      </w:r>
      <w:r>
        <w:rPr>
          <w:rFonts w:ascii="Times New Roman" w:eastAsia="Times New Roman" w:hAnsi="Times New Roman" w:cs="Times New Roman"/>
          <w:sz w:val="24"/>
          <w:szCs w:val="24"/>
        </w:rPr>
        <w:t>. Frontiers in Oncology</w:t>
      </w:r>
    </w:p>
    <w:p w:rsidR="00B267F3" w:rsidRDefault="00267ED9">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Zhou, J., Park, S., Dong, S., Tang, X., &amp; Wei</w:t>
      </w:r>
      <w:r>
        <w:rPr>
          <w:rFonts w:ascii="Times New Roman" w:eastAsia="Times New Roman" w:hAnsi="Times New Roman" w:cs="Times New Roman"/>
          <w:sz w:val="24"/>
          <w:szCs w:val="24"/>
        </w:rPr>
        <w:t xml:space="preserve">, X. (2025). Artificial intelligence-driven transformative applications in disease diagnosis technology. </w:t>
      </w:r>
      <w:r>
        <w:rPr>
          <w:rFonts w:ascii="Times New Roman" w:eastAsia="Times New Roman" w:hAnsi="Times New Roman" w:cs="Times New Roman"/>
          <w:i/>
          <w:iCs/>
          <w:sz w:val="24"/>
          <w:szCs w:val="24"/>
        </w:rPr>
        <w:t>Medical Review, 5</w:t>
      </w:r>
      <w:r>
        <w:rPr>
          <w:rFonts w:ascii="Times New Roman" w:eastAsia="Times New Roman" w:hAnsi="Times New Roman" w:cs="Times New Roman"/>
          <w:sz w:val="24"/>
          <w:szCs w:val="24"/>
        </w:rPr>
        <w:t xml:space="preserve">(5), 353–377. https://doi.org/10.1515/mr-2024-0097 </w:t>
      </w:r>
    </w:p>
    <w:p w:rsidR="00B267F3" w:rsidRDefault="00267ED9">
      <w:pPr>
        <w:pStyle w:val="Heading2"/>
        <w:keepNext w:val="0"/>
        <w:keepLines w:val="0"/>
        <w:spacing w:before="240" w:after="240"/>
        <w:ind w:left="720" w:hanging="720"/>
        <w:jc w:val="both"/>
        <w:rPr>
          <w:rFonts w:ascii="Times New Roman" w:eastAsia="Times New Roman" w:hAnsi="Times New Roman" w:cs="Times New Roman"/>
          <w:sz w:val="24"/>
          <w:szCs w:val="24"/>
        </w:rPr>
      </w:pPr>
      <w:bookmarkStart w:id="70" w:name="_2alw2groqoho" w:colFirst="0" w:colLast="0"/>
      <w:bookmarkEnd w:id="70"/>
      <w:r>
        <w:rPr>
          <w:rFonts w:ascii="Times New Roman" w:eastAsia="Times New Roman" w:hAnsi="Times New Roman" w:cs="Times New Roman"/>
          <w:sz w:val="24"/>
          <w:szCs w:val="24"/>
        </w:rPr>
        <w:t>Zmudzki, F., Smeets, R. J. E. M., Groenewegen, J. S., &amp; van der Graaff, E. (2025).</w:t>
      </w:r>
      <w:r>
        <w:rPr>
          <w:rFonts w:ascii="Times New Roman" w:eastAsia="Times New Roman" w:hAnsi="Times New Roman" w:cs="Times New Roman"/>
          <w:sz w:val="24"/>
          <w:szCs w:val="24"/>
        </w:rPr>
        <w:t xml:space="preserve"> Machine learning clinical decision support for interdisciplinary multimodal chronic musculoskeletal pain treatment: Prospective pilot study of patient assessment and prognostic profile validation. </w:t>
      </w:r>
      <w:r>
        <w:rPr>
          <w:rFonts w:ascii="Times New Roman" w:eastAsia="Times New Roman" w:hAnsi="Times New Roman" w:cs="Times New Roman"/>
          <w:i/>
          <w:iCs/>
          <w:sz w:val="24"/>
          <w:szCs w:val="24"/>
        </w:rPr>
        <w:t>JMIR Rehabilitation and Assistive Technologies, 12</w:t>
      </w:r>
      <w:r>
        <w:rPr>
          <w:rFonts w:ascii="Times New Roman" w:eastAsia="Times New Roman" w:hAnsi="Times New Roman" w:cs="Times New Roman"/>
          <w:sz w:val="24"/>
          <w:szCs w:val="24"/>
        </w:rPr>
        <w:t>, e65890</w:t>
      </w:r>
      <w:r>
        <w:rPr>
          <w:rFonts w:ascii="Times New Roman" w:eastAsia="Times New Roman" w:hAnsi="Times New Roman" w:cs="Times New Roman"/>
          <w:sz w:val="24"/>
          <w:szCs w:val="24"/>
        </w:rPr>
        <w:t>. https://doi.org/10.2196/65890</w:t>
      </w:r>
    </w:p>
    <w:p w:rsidR="00B267F3" w:rsidRDefault="00B267F3">
      <w:pPr>
        <w:pStyle w:val="Heading1"/>
        <w:keepNext w:val="0"/>
        <w:keepLines w:val="0"/>
        <w:spacing w:before="480"/>
        <w:jc w:val="both"/>
        <w:rPr>
          <w:rFonts w:ascii="Times New Roman" w:eastAsia="Times New Roman" w:hAnsi="Times New Roman" w:cs="Times New Roman"/>
          <w:b/>
          <w:bCs/>
          <w:sz w:val="24"/>
          <w:szCs w:val="24"/>
        </w:rPr>
        <w:sectPr w:rsidR="00B267F3">
          <w:pgSz w:w="12240" w:h="15840"/>
          <w:pgMar w:top="1440" w:right="1440" w:bottom="1440" w:left="1440" w:header="720" w:footer="720" w:gutter="0"/>
          <w:pgNumType w:start="1"/>
          <w:cols w:space="720"/>
        </w:sectPr>
      </w:pPr>
      <w:bookmarkStart w:id="71" w:name="_ps9vuacrins5" w:colFirst="0" w:colLast="0"/>
      <w:bookmarkEnd w:id="71"/>
    </w:p>
    <w:p w:rsidR="00B267F3" w:rsidRDefault="00267ED9">
      <w:pPr>
        <w:pStyle w:val="Heading1"/>
        <w:keepNext w:val="0"/>
        <w:keepLines w:val="0"/>
        <w:spacing w:before="480" w:line="240" w:lineRule="auto"/>
        <w:rPr>
          <w:rFonts w:ascii="Times New Roman" w:eastAsia="Times New Roman" w:hAnsi="Times New Roman" w:cs="Times New Roman"/>
          <w:b/>
          <w:bCs/>
          <w:sz w:val="24"/>
          <w:szCs w:val="24"/>
        </w:rPr>
      </w:pPr>
      <w:bookmarkStart w:id="72" w:name="_wfr2hosy41y3" w:colFirst="0" w:colLast="0"/>
      <w:bookmarkEnd w:id="72"/>
      <w:r>
        <w:rPr>
          <w:rFonts w:ascii="Times New Roman" w:eastAsia="Times New Roman" w:hAnsi="Times New Roman" w:cs="Times New Roman"/>
          <w:b/>
          <w:bCs/>
          <w:sz w:val="24"/>
          <w:szCs w:val="24"/>
        </w:rPr>
        <w:lastRenderedPageBreak/>
        <w:t>TABLE 1. COMPREHENSIVE CHARACTERISTICS OF INCLUDED STUDIES</w:t>
      </w:r>
    </w:p>
    <w:tbl>
      <w:tblPr>
        <w:tblStyle w:val="a"/>
        <w:tblW w:w="1368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1620"/>
        <w:gridCol w:w="1185"/>
        <w:gridCol w:w="1695"/>
        <w:gridCol w:w="1230"/>
        <w:gridCol w:w="1500"/>
        <w:gridCol w:w="1440"/>
        <w:gridCol w:w="1710"/>
        <w:gridCol w:w="1590"/>
        <w:gridCol w:w="1710"/>
      </w:tblGrid>
      <w:tr w:rsidR="00B267F3">
        <w:trPr>
          <w:trHeight w:val="480"/>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 (Year)</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Country</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Sample Size</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Population</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Model</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Type</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Comparator</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Outcome</w:t>
            </w:r>
          </w:p>
        </w:tc>
      </w:tr>
      <w:tr w:rsidR="00B267F3">
        <w:trPr>
          <w:trHeight w:val="572"/>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Szumilas et al. (2024)</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Poland</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(white-box)</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 judgment</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74.3%, Sens 100%</w:t>
            </w:r>
          </w:p>
        </w:tc>
      </w:tr>
      <w:tr w:rsidR="00B267F3">
        <w:trPr>
          <w:trHeight w:val="446"/>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Gözgöz et al. (2025)</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Turkey</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1,709</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Neurology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Ensemble ML</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CSF + serum</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Immunoblotting</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0.902</w:t>
            </w:r>
          </w:p>
        </w:tc>
      </w:tr>
      <w:tr w:rsidR="00B267F3">
        <w:trPr>
          <w:trHeight w:val="600"/>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 et al. (2025)</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769+</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Thyroid cancer</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 clinical</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Histopathology</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0.82–0.86</w:t>
            </w:r>
          </w:p>
        </w:tc>
      </w:tr>
      <w:tr w:rsidR="00B267F3">
        <w:trPr>
          <w:trHeight w:val="371"/>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7251E"/>
                <w:sz w:val="24"/>
                <w:szCs w:val="24"/>
              </w:rPr>
              <w:t xml:space="preserve">Gröschel </w:t>
            </w:r>
            <w:r>
              <w:rPr>
                <w:rFonts w:ascii="Times New Roman" w:eastAsia="Times New Roman" w:hAnsi="Times New Roman" w:cs="Times New Roman"/>
                <w:sz w:val="24"/>
                <w:szCs w:val="24"/>
              </w:rPr>
              <w:t xml:space="preserve"> et al. (2021)</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20,408</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 isolates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WDNN</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Genomic</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DST</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0.89–0.96</w:t>
            </w:r>
          </w:p>
        </w:tc>
      </w:tr>
      <w:tr w:rsidR="00B267F3">
        <w:trPr>
          <w:trHeight w:val="572"/>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Zhang et al. (2025)</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Leukemia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 (CNN+Transformer)</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CSF spectroscopy</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accuracy</w:t>
            </w:r>
          </w:p>
        </w:tc>
      </w:tr>
      <w:tr w:rsidR="00B267F3">
        <w:trPr>
          <w:trHeight w:val="221"/>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Uçucu &amp; Azik (2024)</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Turkey</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Anemia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CBC</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accuracy</w:t>
            </w:r>
          </w:p>
        </w:tc>
      </w:tr>
      <w:tr w:rsidR="00B267F3">
        <w:trPr>
          <w:trHeight w:val="800"/>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 et al. (2026)</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4,242</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Breast cancer</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EMR + lab</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~0.89</w:t>
            </w:r>
          </w:p>
        </w:tc>
      </w:tr>
      <w:tr w:rsidR="00B267F3">
        <w:trPr>
          <w:trHeight w:val="690"/>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Villota et al. (2025)</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Ecuador</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RT-LAMP + AI</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Swab + serum</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PCR/ELISA</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 91%, Spec 92%</w:t>
            </w:r>
          </w:p>
        </w:tc>
      </w:tr>
      <w:tr w:rsidR="00B267F3">
        <w:trPr>
          <w:trHeight w:val="645"/>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 et al. (2013)</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Liver disease</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MLP</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0.942</w:t>
            </w:r>
          </w:p>
        </w:tc>
      </w:tr>
      <w:tr w:rsidR="00B267F3">
        <w:trPr>
          <w:trHeight w:val="600"/>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Goebel et al. (2020)</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RF-based</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Imaging/pathology</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0.966</w:t>
            </w:r>
          </w:p>
        </w:tc>
      </w:tr>
      <w:tr w:rsidR="00B267F3">
        <w:trPr>
          <w:trHeight w:val="510"/>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Gunčar et al. (2018)</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Slovenia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8,233</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Hematology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panels</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Specialist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88%</w:t>
            </w:r>
          </w:p>
        </w:tc>
      </w:tr>
      <w:tr w:rsidR="00B267F3">
        <w:trPr>
          <w:trHeight w:val="495"/>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Kawakami et al. (2019)</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Ovarian cancer</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GBM</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Histopathology</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0.978</w:t>
            </w:r>
          </w:p>
        </w:tc>
      </w:tr>
      <w:tr w:rsidR="00B267F3">
        <w:trPr>
          <w:trHeight w:val="219"/>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Xie et al. (2021)</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Naïve Bayes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Metabolomics</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0.989</w:t>
            </w:r>
          </w:p>
        </w:tc>
      </w:tr>
      <w:tr w:rsidR="00B267F3">
        <w:trPr>
          <w:trHeight w:val="495"/>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Kukar et al. (2021)</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Slovenia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5,333</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tests</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w:t>
            </w:r>
          </w:p>
        </w:tc>
      </w:tr>
      <w:tr w:rsidR="00B267F3">
        <w:trPr>
          <w:trHeight w:val="491"/>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Yang et al. (2020)</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Multi-center</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3,356</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GBDT</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demographic</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0.854</w:t>
            </w:r>
          </w:p>
        </w:tc>
      </w:tr>
      <w:tr w:rsidR="00B267F3">
        <w:trPr>
          <w:trHeight w:val="752"/>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 et al. (2024)</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6,563</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Cardiac amyloidosis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0.95</w:t>
            </w:r>
          </w:p>
        </w:tc>
      </w:tr>
      <w:tr w:rsidR="00B267F3">
        <w:trPr>
          <w:trHeight w:val="435"/>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Hornbrook et al. (2017)</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CRC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CBC</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~0.80</w:t>
            </w:r>
          </w:p>
        </w:tc>
      </w:tr>
      <w:tr w:rsidR="00B267F3">
        <w:trPr>
          <w:trHeight w:val="1085"/>
        </w:trPr>
        <w:tc>
          <w:tcPr>
            <w:tcW w:w="1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Tomašev et al. (2019)</w:t>
            </w:r>
          </w:p>
        </w:tc>
        <w:tc>
          <w:tcPr>
            <w:tcW w:w="1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700,000+</w:t>
            </w:r>
          </w:p>
        </w:tc>
        <w:tc>
          <w:tcPr>
            <w:tcW w:w="15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AKI patients</w:t>
            </w:r>
          </w:p>
        </w:tc>
        <w:tc>
          <w:tcPr>
            <w:tcW w:w="14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RNN</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EHR + lab</w:t>
            </w:r>
          </w:p>
        </w:tc>
        <w:tc>
          <w:tcPr>
            <w:tcW w:w="159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71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~0.92</w:t>
            </w:r>
          </w:p>
        </w:tc>
      </w:tr>
    </w:tbl>
    <w:p w:rsidR="00B267F3" w:rsidRDefault="00B267F3">
      <w:pPr>
        <w:spacing w:before="240" w:after="240"/>
        <w:rPr>
          <w:rFonts w:ascii="Times New Roman" w:eastAsia="Times New Roman" w:hAnsi="Times New Roman" w:cs="Times New Roman"/>
          <w:sz w:val="24"/>
          <w:szCs w:val="24"/>
        </w:rPr>
      </w:pPr>
    </w:p>
    <w:p w:rsidR="00B267F3" w:rsidRDefault="00B267F3">
      <w:pPr>
        <w:spacing w:before="240" w:after="240"/>
        <w:rPr>
          <w:rFonts w:ascii="Times New Roman" w:eastAsia="Times New Roman" w:hAnsi="Times New Roman" w:cs="Times New Roman"/>
          <w:sz w:val="24"/>
          <w:szCs w:val="24"/>
        </w:rPr>
      </w:pPr>
    </w:p>
    <w:p w:rsidR="00B267F3" w:rsidRDefault="00B267F3">
      <w:pPr>
        <w:spacing w:before="240" w:after="240"/>
        <w:rPr>
          <w:rFonts w:ascii="Times New Roman" w:eastAsia="Times New Roman" w:hAnsi="Times New Roman" w:cs="Times New Roman"/>
          <w:sz w:val="24"/>
          <w:szCs w:val="24"/>
        </w:rPr>
      </w:pPr>
    </w:p>
    <w:p w:rsidR="00B267F3" w:rsidRDefault="00B267F3">
      <w:pPr>
        <w:spacing w:before="240" w:after="240"/>
        <w:rPr>
          <w:rFonts w:ascii="Times New Roman" w:eastAsia="Times New Roman" w:hAnsi="Times New Roman" w:cs="Times New Roman"/>
          <w:sz w:val="24"/>
          <w:szCs w:val="24"/>
        </w:rPr>
      </w:pPr>
    </w:p>
    <w:p w:rsidR="00B267F3" w:rsidRDefault="00B267F3">
      <w:pPr>
        <w:spacing w:before="240" w:after="240"/>
        <w:rPr>
          <w:rFonts w:ascii="Times New Roman" w:eastAsia="Times New Roman" w:hAnsi="Times New Roman" w:cs="Times New Roman"/>
          <w:sz w:val="24"/>
          <w:szCs w:val="24"/>
        </w:rPr>
      </w:pPr>
    </w:p>
    <w:p w:rsidR="00B267F3" w:rsidRDefault="00B267F3">
      <w:pPr>
        <w:spacing w:before="240" w:after="240"/>
        <w:rPr>
          <w:rFonts w:ascii="Times New Roman" w:eastAsia="Times New Roman" w:hAnsi="Times New Roman" w:cs="Times New Roman"/>
          <w:sz w:val="24"/>
          <w:szCs w:val="24"/>
        </w:rPr>
      </w:pPr>
    </w:p>
    <w:tbl>
      <w:tblPr>
        <w:tblStyle w:val="a0"/>
        <w:tblW w:w="13680" w:type="dxa"/>
        <w:tblInd w:w="-315" w:type="dxa"/>
        <w:tblBorders>
          <w:top w:val="nil"/>
          <w:left w:val="nil"/>
          <w:bottom w:val="nil"/>
          <w:right w:val="nil"/>
          <w:insideH w:val="nil"/>
          <w:insideV w:val="nil"/>
        </w:tblBorders>
        <w:tblLayout w:type="fixed"/>
        <w:tblLook w:val="0600" w:firstRow="0" w:lastRow="0" w:firstColumn="0" w:lastColumn="0" w:noHBand="1" w:noVBand="1"/>
      </w:tblPr>
      <w:tblGrid>
        <w:gridCol w:w="1650"/>
        <w:gridCol w:w="1770"/>
        <w:gridCol w:w="1230"/>
        <w:gridCol w:w="1635"/>
        <w:gridCol w:w="1935"/>
        <w:gridCol w:w="1710"/>
        <w:gridCol w:w="1920"/>
        <w:gridCol w:w="1830"/>
      </w:tblGrid>
      <w:tr w:rsidR="00B267F3">
        <w:trPr>
          <w:trHeight w:val="800"/>
        </w:trPr>
        <w:tc>
          <w:tcPr>
            <w:tcW w:w="13680" w:type="dxa"/>
            <w:gridSpan w:val="8"/>
            <w:tcBorders>
              <w:top w:val="nil"/>
              <w:left w:val="nil"/>
              <w:bottom w:val="nil"/>
              <w:right w:val="nil"/>
            </w:tcBorders>
            <w:tcMar>
              <w:top w:w="100" w:type="dxa"/>
              <w:left w:w="100" w:type="dxa"/>
              <w:bottom w:w="100" w:type="dxa"/>
              <w:right w:w="100" w:type="dxa"/>
            </w:tcMar>
          </w:tcPr>
          <w:p w:rsidR="00B267F3" w:rsidRDefault="00267ED9">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DETAILED CHARACTERISTICS OF ALL INCLUDED STUDIES ARE PRESENTED IN SUPPLEMENTARY TABLE S1  </w:t>
            </w:r>
            <w:r>
              <w:rPr>
                <w:rFonts w:ascii="Times New Roman" w:eastAsia="Times New Roman" w:hAnsi="Times New Roman" w:cs="Times New Roman"/>
                <w:b/>
                <w:bCs/>
                <w:sz w:val="24"/>
                <w:szCs w:val="24"/>
              </w:rPr>
              <w:br/>
              <w:t xml:space="preserve">SUPPLEMENTARY TABLE S1. CHARACTERISTICS OF INCLUDED STUDIES </w:t>
            </w:r>
          </w:p>
        </w:tc>
      </w:tr>
      <w:tr w:rsidR="00B267F3">
        <w:trPr>
          <w:trHeight w:val="50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(Year)</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Design</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Sample Size</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 Condition</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Model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Type</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Comparator</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Outcomes</w:t>
            </w:r>
          </w:p>
        </w:tc>
      </w:tr>
      <w:tr w:rsidR="00B267F3">
        <w:trPr>
          <w:trHeight w:val="647"/>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Szumilas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 patients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(white-box)</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74.3%, Sens 100%</w:t>
            </w:r>
          </w:p>
        </w:tc>
      </w:tr>
      <w:tr w:rsidR="00B267F3">
        <w:trPr>
          <w:trHeight w:val="146"/>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Gözgöz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Neurological (OCB)</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Ensemble ML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CSF + serum</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Immunoblotting</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0.902</w:t>
            </w:r>
          </w:p>
        </w:tc>
      </w:tr>
      <w:tr w:rsidR="00B267F3">
        <w:trPr>
          <w:trHeight w:val="249"/>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Thyroid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Histopathology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0.82–0.86</w:t>
            </w:r>
          </w:p>
        </w:tc>
      </w:tr>
      <w:tr w:rsidR="00B267F3">
        <w:trPr>
          <w:trHeight w:val="20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Gröschel et al., 2021 </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20,408</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 isolates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WDNN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Genomic</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DST</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0.89–0.96</w:t>
            </w:r>
          </w:p>
        </w:tc>
      </w:tr>
      <w:tr w:rsidR="00B267F3">
        <w:trPr>
          <w:trHeight w:val="542"/>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Zhang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Leukemia</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 (CNN+Transformer)</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CSF spectroscopy</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accuracy</w:t>
            </w:r>
          </w:p>
        </w:tc>
      </w:tr>
      <w:tr w:rsidR="00B267F3">
        <w:trPr>
          <w:trHeight w:val="71"/>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Uçucu &amp; Azik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IDA vs BTM</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CBC</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accuracy</w:t>
            </w:r>
          </w:p>
        </w:tc>
      </w:tr>
      <w:tr w:rsidR="00B267F3">
        <w:trPr>
          <w:trHeight w:val="80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 et al. (2026)</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4,242</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Breast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EMR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~0.89</w:t>
            </w:r>
          </w:p>
        </w:tc>
      </w:tr>
      <w:tr w:rsidR="00B267F3">
        <w:trPr>
          <w:trHeight w:val="43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Villota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RT-LAMP + AI</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Swab + serum</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PCR/ELISA</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 91%, Spec 92%</w:t>
            </w:r>
          </w:p>
        </w:tc>
      </w:tr>
      <w:tr w:rsidR="00B267F3">
        <w:trPr>
          <w:trHeight w:val="52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 et al. (2013)</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Liver cirrhosis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MLP</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0.942</w:t>
            </w:r>
          </w:p>
        </w:tc>
      </w:tr>
      <w:tr w:rsidR="00B267F3">
        <w:trPr>
          <w:trHeight w:val="27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Goebel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RF-based</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Imaging/pathology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0.966</w:t>
            </w:r>
          </w:p>
        </w:tc>
      </w:tr>
      <w:tr w:rsidR="00B267F3">
        <w:trPr>
          <w:trHeight w:val="27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Gunčar et al. (2018)</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8,233</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Hematologic diseases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panels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Specialist</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up to 88%</w:t>
            </w:r>
          </w:p>
        </w:tc>
      </w:tr>
      <w:tr w:rsidR="00B267F3">
        <w:trPr>
          <w:trHeight w:val="34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Alzheimer’s disease</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ML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0.73–0.996</w:t>
            </w:r>
          </w:p>
        </w:tc>
      </w:tr>
      <w:tr w:rsidR="00B267F3">
        <w:trPr>
          <w:trHeight w:val="512"/>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Seungmin Lee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POCT</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 (CNN+LSTM)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LFA images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assay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~97%</w:t>
            </w:r>
          </w:p>
        </w:tc>
      </w:tr>
      <w:tr w:rsidR="00B267F3">
        <w:trPr>
          <w:trHeight w:val="28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Parmar et al. (2015)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&amp; neck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SVM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Radiomics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~0.67</w:t>
            </w:r>
          </w:p>
        </w:tc>
      </w:tr>
      <w:tr w:rsidR="00B267F3">
        <w:trPr>
          <w:trHeight w:val="7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Kawakami et al. (2019)</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Ovarian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GBM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Histopathology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0.978</w:t>
            </w:r>
          </w:p>
        </w:tc>
      </w:tr>
      <w:tr w:rsidR="00B267F3">
        <w:trPr>
          <w:trHeight w:val="55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Lewis &amp; Kemp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Cancer (radiation response)</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GBM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Multi-omics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0.906</w:t>
            </w:r>
          </w:p>
        </w:tc>
      </w:tr>
      <w:tr w:rsidR="00B267F3">
        <w:trPr>
          <w:trHeight w:val="33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Xie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Naïve Bayes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Metabolomics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0.989</w:t>
            </w:r>
          </w:p>
        </w:tc>
      </w:tr>
      <w:tr w:rsidR="00B267F3">
        <w:trPr>
          <w:trHeight w:val="35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 et al. </w:t>
            </w:r>
            <w:r>
              <w:rPr>
                <w:rFonts w:ascii="Times New Roman" w:eastAsia="Times New Roman" w:hAnsi="Times New Roman" w:cs="Times New Roman"/>
                <w:sz w:val="24"/>
                <w:szCs w:val="24"/>
              </w:rPr>
              <w:lastRenderedPageBreak/>
              <w:t>(2020)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Case-control</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674</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Lipidomics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Clinical </w:t>
            </w:r>
            <w:r>
              <w:rPr>
                <w:rFonts w:ascii="Times New Roman" w:eastAsia="Times New Roman" w:hAnsi="Times New Roman" w:cs="Times New Roman"/>
                <w:sz w:val="24"/>
                <w:szCs w:val="24"/>
              </w:rPr>
              <w:lastRenderedPageBreak/>
              <w:t>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Improved </w:t>
            </w:r>
            <w:r>
              <w:rPr>
                <w:rFonts w:ascii="Times New Roman" w:eastAsia="Times New Roman" w:hAnsi="Times New Roman" w:cs="Times New Roman"/>
                <w:sz w:val="24"/>
                <w:szCs w:val="24"/>
              </w:rPr>
              <w:lastRenderedPageBreak/>
              <w:t>prediction</w:t>
            </w:r>
          </w:p>
        </w:tc>
      </w:tr>
      <w:tr w:rsidR="00B267F3">
        <w:trPr>
          <w:trHeight w:val="29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Brinati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tests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82%</w:t>
            </w:r>
          </w:p>
        </w:tc>
      </w:tr>
      <w:tr w:rsidR="00B267F3">
        <w:trPr>
          <w:trHeight w:val="60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DeGroat et al., 2024 </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Ensemble ML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Transcriptomics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~96%</w:t>
            </w:r>
          </w:p>
        </w:tc>
      </w:tr>
      <w:tr w:rsidR="00B267F3">
        <w:trPr>
          <w:trHeight w:val="392"/>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Apostolopoulos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99%</w:t>
            </w:r>
          </w:p>
        </w:tc>
      </w:tr>
      <w:tr w:rsidR="00B267F3">
        <w:trPr>
          <w:trHeight w:val="52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Laguarta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5,320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w:t>
            </w:r>
          </w:p>
        </w:tc>
      </w:tr>
      <w:tr w:rsidR="00B267F3">
        <w:trPr>
          <w:trHeight w:val="21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Rim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236,257</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Systemic biomarkers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 (VGG16)</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Retinal imaging</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R² up to 0.83</w:t>
            </w:r>
          </w:p>
        </w:tc>
      </w:tr>
      <w:tr w:rsidR="00B267F3">
        <w:trPr>
          <w:trHeight w:val="43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Wang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Liver fibrosis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 radiomics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Biopsy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0.97–0.98</w:t>
            </w:r>
          </w:p>
        </w:tc>
      </w:tr>
      <w:tr w:rsidR="00B267F3">
        <w:trPr>
          <w:trHeight w:val="37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Chen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Multicenter</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702</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Gastric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Metabolomics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0.967</w:t>
            </w:r>
          </w:p>
        </w:tc>
      </w:tr>
      <w:tr w:rsidR="00B267F3">
        <w:trPr>
          <w:trHeight w:val="12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Calvert et al. (2016)</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Sepsis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0.83</w:t>
            </w:r>
          </w:p>
        </w:tc>
      </w:tr>
      <w:tr w:rsidR="00B267F3">
        <w:trPr>
          <w:trHeight w:val="48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Tomašev et al. (2019)</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700,000+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AKI</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EHR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0.92–0.93</w:t>
            </w:r>
          </w:p>
        </w:tc>
      </w:tr>
      <w:tr w:rsidR="00B267F3">
        <w:trPr>
          <w:trHeight w:val="30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Ardila et al. (2019)</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6,716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 (CNN)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Radiologists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0.944</w:t>
            </w:r>
          </w:p>
        </w:tc>
      </w:tr>
      <w:tr w:rsidR="00B267F3">
        <w:trPr>
          <w:trHeight w:val="16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Poplin et al. (2018)</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284,000+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CVD risk</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Retinal images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w:t>
            </w:r>
          </w:p>
        </w:tc>
      </w:tr>
      <w:tr w:rsidR="00B267F3">
        <w:trPr>
          <w:trHeight w:val="80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Zhang et al. (2004)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Ovarian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Proteomics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CA125</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 74%, Spec 97%</w:t>
            </w:r>
          </w:p>
        </w:tc>
      </w:tr>
      <w:tr w:rsidR="00B267F3">
        <w:trPr>
          <w:trHeight w:val="48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mortality</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&gt;90% accuracy</w:t>
            </w:r>
          </w:p>
        </w:tc>
      </w:tr>
      <w:tr w:rsidR="00B267F3">
        <w:trPr>
          <w:trHeight w:val="28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Karthikeyan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mortality</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0.989</w:t>
            </w:r>
          </w:p>
        </w:tc>
      </w:tr>
      <w:tr w:rsidR="00B267F3">
        <w:trPr>
          <w:trHeight w:val="16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Rajkomar et al. (2018)</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216,221</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outcomes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EHR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0.93–0.94</w:t>
            </w:r>
          </w:p>
        </w:tc>
      </w:tr>
      <w:tr w:rsidR="00B267F3">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Luo et al. (2016)</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5,128</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Ferritin prediction</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tests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measurement</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0.96–0.97</w:t>
            </w:r>
          </w:p>
        </w:tc>
      </w:tr>
      <w:tr w:rsidR="00B267F3">
        <w:trPr>
          <w:trHeight w:val="45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Park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Multi-disease</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Ensemble ML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data</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~93%</w:t>
            </w:r>
          </w:p>
        </w:tc>
      </w:tr>
      <w:tr w:rsidR="00B267F3">
        <w:trPr>
          <w:trHeight w:val="19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Weng et al. (2017)</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378,256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scores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~0.76</w:t>
            </w:r>
          </w:p>
        </w:tc>
      </w:tr>
      <w:tr w:rsidR="00B267F3">
        <w:trPr>
          <w:trHeight w:val="15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Yao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severity</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 urine</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severity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81%</w:t>
            </w:r>
          </w:p>
        </w:tc>
      </w:tr>
      <w:tr w:rsidR="00B267F3">
        <w:trPr>
          <w:trHeight w:val="36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Botlagunta et al. (2023)</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Breast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tree</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0.87</w:t>
            </w:r>
          </w:p>
        </w:tc>
      </w:tr>
      <w:tr w:rsidR="00B267F3">
        <w:trPr>
          <w:trHeight w:val="45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Gadalla et al. (2019)</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SVM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Urinary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~0.82</w:t>
            </w:r>
          </w:p>
        </w:tc>
      </w:tr>
      <w:tr w:rsidR="00B267F3">
        <w:trPr>
          <w:trHeight w:val="5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Kukar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5,333</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tests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w:t>
            </w:r>
          </w:p>
        </w:tc>
      </w:tr>
      <w:tr w:rsidR="00B267F3">
        <w:trPr>
          <w:trHeight w:val="21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Zhen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Liver tumors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Pathology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up to 0.998</w:t>
            </w:r>
          </w:p>
        </w:tc>
      </w:tr>
      <w:tr w:rsidR="00B267F3">
        <w:trPr>
          <w:trHeight w:val="80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Wang et al. (2019)</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Ovarian cancer</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0.825</w:t>
            </w:r>
          </w:p>
        </w:tc>
      </w:tr>
      <w:tr w:rsidR="00B267F3">
        <w:trPr>
          <w:trHeight w:val="34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Meyer et al. (2018)</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47,000+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ICU complications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accuracy</w:t>
            </w:r>
          </w:p>
        </w:tc>
      </w:tr>
      <w:tr w:rsidR="00B267F3">
        <w:trPr>
          <w:trHeight w:val="46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Muro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24,815</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0.956</w:t>
            </w:r>
          </w:p>
        </w:tc>
      </w:tr>
      <w:tr w:rsidR="00B267F3">
        <w:trPr>
          <w:trHeight w:val="15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Kraszewski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702</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up to 97%</w:t>
            </w:r>
          </w:p>
        </w:tc>
      </w:tr>
      <w:tr w:rsidR="00B267F3">
        <w:trPr>
          <w:trHeight w:val="27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Jawad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48,841</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Mortality prediction</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0.85–0.93</w:t>
            </w:r>
          </w:p>
        </w:tc>
      </w:tr>
      <w:tr w:rsidR="00B267F3">
        <w:trPr>
          <w:trHeight w:val="48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Zhang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2,451</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ICU infections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Clustering ML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 stratification</w:t>
            </w:r>
          </w:p>
        </w:tc>
      </w:tr>
      <w:tr w:rsidR="00B267F3">
        <w:trPr>
          <w:trHeight w:val="42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Kaneko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Aldosteronism</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0.99</w:t>
            </w:r>
          </w:p>
        </w:tc>
      </w:tr>
      <w:tr w:rsidR="00B267F3">
        <w:trPr>
          <w:trHeight w:val="19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Rawson et al. (2019)</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Infection</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SVM</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0.84</w:t>
            </w:r>
          </w:p>
        </w:tc>
      </w:tr>
      <w:tr w:rsidR="00B267F3">
        <w:trPr>
          <w:trHeight w:val="27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Hornbrook et al. (2017)</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CRC</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CBC</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~0.80</w:t>
            </w:r>
          </w:p>
        </w:tc>
      </w:tr>
      <w:tr w:rsidR="00B267F3">
        <w:trPr>
          <w:trHeight w:val="251"/>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Yang et al. (2020)</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Multi-center</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3,356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GBDT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0.854</w:t>
            </w:r>
          </w:p>
        </w:tc>
      </w:tr>
      <w:tr w:rsidR="00B267F3">
        <w:trPr>
          <w:trHeight w:val="39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6,563</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Cardiac amyloidosis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0.95</w:t>
            </w:r>
          </w:p>
        </w:tc>
      </w:tr>
      <w:tr w:rsidR="00B267F3">
        <w:trPr>
          <w:trHeight w:val="80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Guan et al. (2021)</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mortality</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&gt;0.90</w:t>
            </w:r>
          </w:p>
        </w:tc>
      </w:tr>
      <w:tr w:rsidR="00B267F3">
        <w:trPr>
          <w:trHeight w:val="20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Lev-Tzion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8,630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Crohn’s disease</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0.70</w:t>
            </w:r>
          </w:p>
        </w:tc>
      </w:tr>
      <w:tr w:rsidR="00B267F3">
        <w:trPr>
          <w:trHeight w:val="29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Ning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33,000+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Neurological diseases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0.978</w:t>
            </w:r>
          </w:p>
        </w:tc>
      </w:tr>
      <w:tr w:rsidR="00B267F3">
        <w:trPr>
          <w:trHeight w:val="21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Liu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97%</w:t>
            </w:r>
          </w:p>
        </w:tc>
      </w:tr>
      <w:tr w:rsidR="00B267F3">
        <w:trPr>
          <w:trHeight w:val="144"/>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Schwartz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4,076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 risk</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0.787</w:t>
            </w:r>
          </w:p>
        </w:tc>
      </w:tr>
      <w:tr w:rsidR="00B267F3">
        <w:trPr>
          <w:trHeight w:val="279"/>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Koloi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RF, GB</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up to 0.87</w:t>
            </w:r>
          </w:p>
        </w:tc>
      </w:tr>
      <w:tr w:rsidR="00B267F3">
        <w:trPr>
          <w:trHeight w:val="34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 et al. (2024)</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CRC vs polyps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0.869</w:t>
            </w:r>
          </w:p>
        </w:tc>
      </w:tr>
      <w:tr w:rsidR="00B267F3">
        <w:trPr>
          <w:trHeight w:val="249"/>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Huang et al. (2023)</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6,196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NAFLD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~0.81</w:t>
            </w:r>
          </w:p>
        </w:tc>
      </w:tr>
      <w:tr w:rsidR="00B267F3">
        <w:trPr>
          <w:trHeight w:val="429"/>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Rosen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18,403</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CRC surgery</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ML-CDSS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care</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outcomes</w:t>
            </w:r>
          </w:p>
        </w:tc>
      </w:tr>
      <w:tr w:rsidR="00B267F3">
        <w:trPr>
          <w:trHeight w:val="219"/>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Observational</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37,632</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 patients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ML-CDSS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 lab</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care</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up to 0.95</w:t>
            </w:r>
          </w:p>
        </w:tc>
      </w:tr>
      <w:tr w:rsidR="00B267F3">
        <w:trPr>
          <w:trHeight w:val="369"/>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Dong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Cohort</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4,950</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models</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Gungsuh" w:eastAsia="Gungsuh" w:hAnsi="Gungsuh" w:cs="Gungsuh"/>
                <w:sz w:val="24"/>
                <w:szCs w:val="24"/>
              </w:rPr>
              <w:t>AUC ≥0.90</w:t>
            </w:r>
          </w:p>
        </w:tc>
      </w:tr>
      <w:tr w:rsidR="00B267F3">
        <w:trPr>
          <w:trHeight w:val="37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Liu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SFTS</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MLP</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0.917</w:t>
            </w:r>
          </w:p>
        </w:tc>
      </w:tr>
      <w:tr w:rsidR="00B267F3">
        <w:trPr>
          <w:trHeight w:val="25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Tang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2,937</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Vertigo</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AUC 0.947</w:t>
            </w:r>
          </w:p>
        </w:tc>
      </w:tr>
      <w:tr w:rsidR="00B267F3">
        <w:trPr>
          <w:trHeight w:val="46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Ghayad et al. (2022)</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6,599</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LDL prediction</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KNN</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demographic</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assay</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ICC &gt;0.9</w:t>
            </w:r>
          </w:p>
        </w:tc>
      </w:tr>
      <w:tr w:rsidR="00B267F3">
        <w:trPr>
          <w:trHeight w:val="435"/>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Januzzi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DKD</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model</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outcomes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C-statistic 0.80</w:t>
            </w:r>
          </w:p>
        </w:tc>
      </w:tr>
      <w:tr w:rsidR="00B267F3">
        <w:trPr>
          <w:trHeight w:val="800"/>
        </w:trPr>
        <w:tc>
          <w:tcPr>
            <w:tcW w:w="165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Chen et al. (2025)</w:t>
            </w:r>
          </w:p>
        </w:tc>
        <w:tc>
          <w:tcPr>
            <w:tcW w:w="177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Multicenter</w:t>
            </w:r>
          </w:p>
        </w:tc>
        <w:tc>
          <w:tcPr>
            <w:tcW w:w="12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2,196</w:t>
            </w:r>
          </w:p>
        </w:tc>
        <w:tc>
          <w:tcPr>
            <w:tcW w:w="16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Preeclampsia</w:t>
            </w:r>
          </w:p>
        </w:tc>
        <w:tc>
          <w:tcPr>
            <w:tcW w:w="1935"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ML ensemble</w:t>
            </w:r>
          </w:p>
        </w:tc>
        <w:tc>
          <w:tcPr>
            <w:tcW w:w="171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 clinical</w:t>
            </w:r>
          </w:p>
        </w:tc>
        <w:tc>
          <w:tcPr>
            <w:tcW w:w="192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diagnosis</w:t>
            </w:r>
          </w:p>
        </w:tc>
        <w:tc>
          <w:tcPr>
            <w:tcW w:w="1830" w:type="dxa"/>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sz w:val="24"/>
                <w:szCs w:val="24"/>
              </w:rPr>
            </w:pPr>
            <w:bookmarkStart w:id="73" w:name="_nb6czagbbxmu" w:colFirst="0" w:colLast="0"/>
            <w:bookmarkEnd w:id="73"/>
            <w:r>
              <w:rPr>
                <w:rFonts w:ascii="Times New Roman" w:eastAsia="Times New Roman" w:hAnsi="Times New Roman" w:cs="Times New Roman"/>
                <w:sz w:val="24"/>
                <w:szCs w:val="24"/>
              </w:rPr>
              <w:t>Sens 72%</w:t>
            </w:r>
          </w:p>
        </w:tc>
      </w:tr>
    </w:tbl>
    <w:p w:rsidR="00B267F3" w:rsidRDefault="00B267F3">
      <w:pPr>
        <w:pStyle w:val="Heading1"/>
        <w:keepNext w:val="0"/>
        <w:keepLines w:val="0"/>
        <w:spacing w:before="480"/>
        <w:rPr>
          <w:rFonts w:ascii="Times New Roman" w:eastAsia="Times New Roman" w:hAnsi="Times New Roman" w:cs="Times New Roman"/>
          <w:b/>
          <w:bCs/>
          <w:sz w:val="24"/>
          <w:szCs w:val="24"/>
        </w:rPr>
      </w:pPr>
      <w:bookmarkStart w:id="74" w:name="_i0nz2asm0n6y" w:colFirst="0" w:colLast="0"/>
      <w:bookmarkEnd w:id="74"/>
    </w:p>
    <w:tbl>
      <w:tblPr>
        <w:tblStyle w:val="a1"/>
        <w:tblW w:w="13200"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3180"/>
        <w:gridCol w:w="2925"/>
        <w:gridCol w:w="1695"/>
        <w:gridCol w:w="1800"/>
        <w:gridCol w:w="2040"/>
        <w:gridCol w:w="1560"/>
      </w:tblGrid>
      <w:tr w:rsidR="00B267F3">
        <w:trPr>
          <w:trHeight w:val="515"/>
        </w:trPr>
        <w:tc>
          <w:tcPr>
            <w:tcW w:w="13200" w:type="dxa"/>
            <w:gridSpan w:val="6"/>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bookmarkStart w:id="75" w:name="_m5pxs9bqat2u" w:colFirst="0" w:colLast="0"/>
            <w:bookmarkEnd w:id="75"/>
            <w:r>
              <w:rPr>
                <w:rFonts w:ascii="Times New Roman" w:eastAsia="Times New Roman" w:hAnsi="Times New Roman" w:cs="Times New Roman"/>
                <w:b/>
                <w:bCs/>
                <w:sz w:val="24"/>
                <w:szCs w:val="24"/>
              </w:rPr>
              <w:t xml:space="preserve"> TABLE 2. DIAGNOSTIC PERFORMANCE OF AI MODELS</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Disease</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Accuracy</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Sensitivity</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Specificity</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AUC</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Gözgöz et al. (2025)</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OCB</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0.902</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Gröschel et al., 2021 </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0.91–0.93</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&gt;0.96</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0.89–0.96</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Xie et al. (2021)</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0.981</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0.989</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Kukar et al. (2021)</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COVID-19</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0.819</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0.979</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 et al. (2013)</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Cirrhosis</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0.899</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0.952</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0.842</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0.942</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 et al. (2024)</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Cardiac amyloidosis</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 et al. (2024)</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CRC</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0.869</w:t>
            </w:r>
          </w:p>
        </w:tc>
      </w:tr>
      <w:tr w:rsidR="00B267F3">
        <w:trPr>
          <w:trHeight w:val="515"/>
        </w:trPr>
        <w:tc>
          <w:tcPr>
            <w:tcW w:w="31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Goebel et al. (2020)</w:t>
            </w:r>
          </w:p>
        </w:tc>
        <w:tc>
          <w:tcPr>
            <w:tcW w:w="292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 cancer</w:t>
            </w:r>
          </w:p>
        </w:tc>
        <w:tc>
          <w:tcPr>
            <w:tcW w:w="16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0.956</w:t>
            </w:r>
          </w:p>
        </w:tc>
        <w:tc>
          <w:tcPr>
            <w:tcW w:w="180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0.891</w:t>
            </w:r>
          </w:p>
        </w:tc>
        <w:tc>
          <w:tcPr>
            <w:tcW w:w="20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0.977</w:t>
            </w:r>
          </w:p>
        </w:tc>
        <w:tc>
          <w:tcPr>
            <w:tcW w:w="156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0.966</w:t>
            </w:r>
          </w:p>
        </w:tc>
      </w:tr>
    </w:tbl>
    <w:p w:rsidR="00B267F3" w:rsidRDefault="00B267F3">
      <w:pPr>
        <w:rPr>
          <w:rFonts w:ascii="Times New Roman" w:eastAsia="Times New Roman" w:hAnsi="Times New Roman" w:cs="Times New Roman"/>
          <w:sz w:val="24"/>
          <w:szCs w:val="24"/>
        </w:rPr>
      </w:pPr>
    </w:p>
    <w:p w:rsidR="00B267F3" w:rsidRDefault="00B267F3">
      <w:pPr>
        <w:pStyle w:val="Heading1"/>
        <w:keepNext w:val="0"/>
        <w:keepLines w:val="0"/>
        <w:spacing w:before="480"/>
        <w:rPr>
          <w:rFonts w:ascii="Times New Roman" w:eastAsia="Times New Roman" w:hAnsi="Times New Roman" w:cs="Times New Roman"/>
          <w:b/>
          <w:bCs/>
          <w:sz w:val="24"/>
          <w:szCs w:val="24"/>
        </w:rPr>
      </w:pPr>
      <w:bookmarkStart w:id="76" w:name="_o8m0rgwm87e5" w:colFirst="0" w:colLast="0"/>
      <w:bookmarkEnd w:id="76"/>
    </w:p>
    <w:p w:rsidR="00B267F3" w:rsidRDefault="00B267F3">
      <w:pPr>
        <w:rPr>
          <w:rFonts w:ascii="Times New Roman" w:eastAsia="Times New Roman" w:hAnsi="Times New Roman" w:cs="Times New Roman"/>
          <w:sz w:val="24"/>
          <w:szCs w:val="24"/>
        </w:rPr>
      </w:pPr>
    </w:p>
    <w:p w:rsidR="00B267F3" w:rsidRDefault="00B267F3">
      <w:pPr>
        <w:pStyle w:val="Heading1"/>
        <w:keepNext w:val="0"/>
        <w:keepLines w:val="0"/>
        <w:spacing w:before="480"/>
        <w:rPr>
          <w:rFonts w:ascii="Times New Roman" w:eastAsia="Times New Roman" w:hAnsi="Times New Roman" w:cs="Times New Roman"/>
          <w:b/>
          <w:bCs/>
          <w:sz w:val="24"/>
          <w:szCs w:val="24"/>
        </w:rPr>
      </w:pPr>
      <w:bookmarkStart w:id="77" w:name="_hia7ghesri3" w:colFirst="0" w:colLast="0"/>
      <w:bookmarkEnd w:id="77"/>
    </w:p>
    <w:tbl>
      <w:tblPr>
        <w:tblStyle w:val="a2"/>
        <w:tblW w:w="12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75"/>
        <w:gridCol w:w="3255"/>
        <w:gridCol w:w="4620"/>
      </w:tblGrid>
      <w:tr w:rsidR="00B267F3">
        <w:trPr>
          <w:trHeight w:val="260"/>
        </w:trPr>
        <w:tc>
          <w:tcPr>
            <w:tcW w:w="12150" w:type="dxa"/>
            <w:gridSpan w:val="3"/>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bookmarkStart w:id="78" w:name="_5m2vfllhnvtf" w:colFirst="0" w:colLast="0"/>
            <w:bookmarkEnd w:id="78"/>
            <w:r>
              <w:rPr>
                <w:rFonts w:ascii="Times New Roman" w:eastAsia="Times New Roman" w:hAnsi="Times New Roman" w:cs="Times New Roman"/>
                <w:b/>
                <w:bCs/>
                <w:sz w:val="24"/>
                <w:szCs w:val="24"/>
              </w:rPr>
              <w:t>TABLE 3. WORKFLOW EFFICIENCY OUTCOMES</w:t>
            </w:r>
          </w:p>
        </w:tc>
      </w:tr>
      <w:tr w:rsidR="00B267F3">
        <w:trPr>
          <w:trHeight w:val="270"/>
        </w:trPr>
        <w:tc>
          <w:tcPr>
            <w:tcW w:w="427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w:t>
            </w:r>
          </w:p>
        </w:tc>
        <w:tc>
          <w:tcPr>
            <w:tcW w:w="325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Application</w:t>
            </w:r>
          </w:p>
        </w:tc>
        <w:tc>
          <w:tcPr>
            <w:tcW w:w="4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Outcome</w:t>
            </w:r>
          </w:p>
        </w:tc>
      </w:tr>
      <w:tr w:rsidR="00B267F3">
        <w:trPr>
          <w:trHeight w:val="95"/>
        </w:trPr>
        <w:tc>
          <w:tcPr>
            <w:tcW w:w="427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Szumilas et al. (2024)</w:t>
            </w:r>
          </w:p>
        </w:tc>
        <w:tc>
          <w:tcPr>
            <w:tcW w:w="325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CDSS</w:t>
            </w:r>
          </w:p>
        </w:tc>
        <w:tc>
          <w:tcPr>
            <w:tcW w:w="4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Cardo" w:eastAsia="Cardo" w:hAnsi="Cardo" w:cs="Cardo"/>
                <w:sz w:val="24"/>
                <w:szCs w:val="24"/>
              </w:rPr>
              <w:t>↓ 41.6% unnecessary visits</w:t>
            </w:r>
          </w:p>
        </w:tc>
      </w:tr>
      <w:tr w:rsidR="00B267F3">
        <w:trPr>
          <w:trHeight w:val="225"/>
        </w:trPr>
        <w:tc>
          <w:tcPr>
            <w:tcW w:w="427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Seungmin Lee et al. (2024)</w:t>
            </w:r>
          </w:p>
        </w:tc>
        <w:tc>
          <w:tcPr>
            <w:tcW w:w="325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POCT AI</w:t>
            </w:r>
          </w:p>
        </w:tc>
        <w:tc>
          <w:tcPr>
            <w:tcW w:w="4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TAT reduced to 1–2 min</w:t>
            </w:r>
          </w:p>
        </w:tc>
      </w:tr>
      <w:tr w:rsidR="00B267F3">
        <w:trPr>
          <w:trHeight w:val="120"/>
        </w:trPr>
        <w:tc>
          <w:tcPr>
            <w:tcW w:w="427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Zhang et al. (2025)</w:t>
            </w:r>
          </w:p>
        </w:tc>
        <w:tc>
          <w:tcPr>
            <w:tcW w:w="325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DL-SERS</w:t>
            </w:r>
          </w:p>
        </w:tc>
        <w:tc>
          <w:tcPr>
            <w:tcW w:w="4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Diagnosis in 5 min</w:t>
            </w:r>
          </w:p>
        </w:tc>
      </w:tr>
      <w:tr w:rsidR="00B267F3">
        <w:trPr>
          <w:trHeight w:val="135"/>
        </w:trPr>
        <w:tc>
          <w:tcPr>
            <w:tcW w:w="427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Villota et al. (2025)</w:t>
            </w:r>
          </w:p>
        </w:tc>
        <w:tc>
          <w:tcPr>
            <w:tcW w:w="325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POC</w:t>
            </w:r>
          </w:p>
        </w:tc>
        <w:tc>
          <w:tcPr>
            <w:tcW w:w="4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&lt;2 hours turnaround</w:t>
            </w:r>
          </w:p>
        </w:tc>
      </w:tr>
      <w:tr w:rsidR="00B267F3">
        <w:trPr>
          <w:trHeight w:val="135"/>
        </w:trPr>
        <w:tc>
          <w:tcPr>
            <w:tcW w:w="427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Luo et al. (2016)</w:t>
            </w:r>
          </w:p>
        </w:tc>
        <w:tc>
          <w:tcPr>
            <w:tcW w:w="325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prediction</w:t>
            </w:r>
          </w:p>
        </w:tc>
        <w:tc>
          <w:tcPr>
            <w:tcW w:w="4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redundant tests</w:t>
            </w:r>
          </w:p>
        </w:tc>
      </w:tr>
      <w:tr w:rsidR="00B267F3">
        <w:trPr>
          <w:trHeight w:val="290"/>
        </w:trPr>
        <w:tc>
          <w:tcPr>
            <w:tcW w:w="427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 et al. (2025)</w:t>
            </w:r>
          </w:p>
        </w:tc>
        <w:tc>
          <w:tcPr>
            <w:tcW w:w="325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 CDSS</w:t>
            </w:r>
          </w:p>
        </w:tc>
        <w:tc>
          <w:tcPr>
            <w:tcW w:w="462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Faster interventions</w:t>
            </w:r>
          </w:p>
        </w:tc>
      </w:tr>
    </w:tbl>
    <w:p w:rsidR="00B267F3" w:rsidRDefault="00B267F3">
      <w:pPr>
        <w:pStyle w:val="Heading1"/>
        <w:keepNext w:val="0"/>
        <w:keepLines w:val="0"/>
        <w:spacing w:before="480" w:line="240" w:lineRule="auto"/>
        <w:rPr>
          <w:rFonts w:ascii="Times New Roman" w:eastAsia="Times New Roman" w:hAnsi="Times New Roman" w:cs="Times New Roman"/>
          <w:b/>
          <w:bCs/>
          <w:sz w:val="24"/>
          <w:szCs w:val="24"/>
        </w:rPr>
      </w:pPr>
      <w:bookmarkStart w:id="79" w:name="_d7q5b6vgn4vg" w:colFirst="0" w:colLast="0"/>
      <w:bookmarkEnd w:id="79"/>
    </w:p>
    <w:tbl>
      <w:tblPr>
        <w:tblStyle w:val="a3"/>
        <w:tblW w:w="11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85"/>
        <w:gridCol w:w="3495"/>
        <w:gridCol w:w="3795"/>
      </w:tblGrid>
      <w:tr w:rsidR="00B267F3">
        <w:trPr>
          <w:trHeight w:val="480"/>
        </w:trPr>
        <w:tc>
          <w:tcPr>
            <w:tcW w:w="11475" w:type="dxa"/>
            <w:gridSpan w:val="3"/>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0" w:after="0" w:line="240" w:lineRule="auto"/>
              <w:rPr>
                <w:rFonts w:ascii="Times New Roman" w:eastAsia="Times New Roman" w:hAnsi="Times New Roman" w:cs="Times New Roman"/>
                <w:b/>
                <w:bCs/>
                <w:sz w:val="24"/>
                <w:szCs w:val="24"/>
              </w:rPr>
            </w:pPr>
            <w:bookmarkStart w:id="80" w:name="_bdkbbgur8nyg" w:colFirst="0" w:colLast="0"/>
            <w:bookmarkEnd w:id="80"/>
            <w:r>
              <w:rPr>
                <w:rFonts w:ascii="Times New Roman" w:eastAsia="Times New Roman" w:hAnsi="Times New Roman" w:cs="Times New Roman"/>
                <w:b/>
                <w:bCs/>
                <w:sz w:val="24"/>
                <w:szCs w:val="24"/>
              </w:rPr>
              <w:t>TABLE 4. CLINICAL UTILITY</w:t>
            </w:r>
          </w:p>
        </w:tc>
      </w:tr>
      <w:tr w:rsidR="00B267F3">
        <w:trPr>
          <w:trHeight w:val="515"/>
        </w:trPr>
        <w:tc>
          <w:tcPr>
            <w:tcW w:w="4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w:t>
            </w:r>
          </w:p>
        </w:tc>
        <w:tc>
          <w:tcPr>
            <w:tcW w:w="34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Application</w:t>
            </w:r>
          </w:p>
        </w:tc>
        <w:tc>
          <w:tcPr>
            <w:tcW w:w="37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Clinical Impact</w:t>
            </w:r>
          </w:p>
        </w:tc>
      </w:tr>
      <w:tr w:rsidR="00B267F3">
        <w:trPr>
          <w:trHeight w:val="330"/>
        </w:trPr>
        <w:tc>
          <w:tcPr>
            <w:tcW w:w="4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Tomašev et al. (2019)</w:t>
            </w:r>
          </w:p>
        </w:tc>
        <w:tc>
          <w:tcPr>
            <w:tcW w:w="34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AKI</w:t>
            </w:r>
          </w:p>
        </w:tc>
        <w:tc>
          <w:tcPr>
            <w:tcW w:w="37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detection (48–72 hrs)</w:t>
            </w:r>
          </w:p>
        </w:tc>
      </w:tr>
      <w:tr w:rsidR="00B267F3">
        <w:trPr>
          <w:trHeight w:val="120"/>
        </w:trPr>
        <w:tc>
          <w:tcPr>
            <w:tcW w:w="4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Lev-Tzion et al. (2025)</w:t>
            </w:r>
          </w:p>
        </w:tc>
        <w:tc>
          <w:tcPr>
            <w:tcW w:w="34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Crohn’s</w:t>
            </w:r>
          </w:p>
        </w:tc>
        <w:tc>
          <w:tcPr>
            <w:tcW w:w="37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Preclinical detection</w:t>
            </w:r>
          </w:p>
        </w:tc>
      </w:tr>
      <w:tr w:rsidR="00B267F3">
        <w:tc>
          <w:tcPr>
            <w:tcW w:w="4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 et al. (2020)</w:t>
            </w:r>
          </w:p>
        </w:tc>
        <w:tc>
          <w:tcPr>
            <w:tcW w:w="34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COVID mortality</w:t>
            </w:r>
          </w:p>
        </w:tc>
        <w:tc>
          <w:tcPr>
            <w:tcW w:w="37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risk stratification</w:t>
            </w:r>
          </w:p>
        </w:tc>
      </w:tr>
      <w:tr w:rsidR="00B267F3">
        <w:tc>
          <w:tcPr>
            <w:tcW w:w="4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Hornbrook et al. (2017)</w:t>
            </w:r>
          </w:p>
        </w:tc>
        <w:tc>
          <w:tcPr>
            <w:tcW w:w="34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CRC</w:t>
            </w:r>
          </w:p>
        </w:tc>
        <w:tc>
          <w:tcPr>
            <w:tcW w:w="37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detection (6–12 months)</w:t>
            </w:r>
          </w:p>
        </w:tc>
      </w:tr>
      <w:tr w:rsidR="00B267F3">
        <w:trPr>
          <w:trHeight w:val="515"/>
        </w:trPr>
        <w:tc>
          <w:tcPr>
            <w:tcW w:w="4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Rosen et al. (2025)</w:t>
            </w:r>
          </w:p>
        </w:tc>
        <w:tc>
          <w:tcPr>
            <w:tcW w:w="34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Cancer CDSS</w:t>
            </w:r>
          </w:p>
        </w:tc>
        <w:tc>
          <w:tcPr>
            <w:tcW w:w="37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complications</w:t>
            </w:r>
          </w:p>
        </w:tc>
      </w:tr>
      <w:tr w:rsidR="00B267F3">
        <w:trPr>
          <w:trHeight w:val="285"/>
        </w:trPr>
        <w:tc>
          <w:tcPr>
            <w:tcW w:w="418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Kawakami et al. (2019)</w:t>
            </w:r>
          </w:p>
        </w:tc>
        <w:tc>
          <w:tcPr>
            <w:tcW w:w="34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Ovarian cancer</w:t>
            </w:r>
          </w:p>
        </w:tc>
        <w:tc>
          <w:tcPr>
            <w:tcW w:w="37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Non-invasive diagnosis</w:t>
            </w:r>
          </w:p>
        </w:tc>
      </w:tr>
    </w:tbl>
    <w:p w:rsidR="00B267F3" w:rsidRDefault="00B267F3">
      <w:pPr>
        <w:pStyle w:val="Heading1"/>
        <w:keepNext w:val="0"/>
        <w:keepLines w:val="0"/>
        <w:spacing w:before="480" w:line="240" w:lineRule="auto"/>
        <w:rPr>
          <w:rFonts w:ascii="Times New Roman" w:eastAsia="Times New Roman" w:hAnsi="Times New Roman" w:cs="Times New Roman"/>
          <w:b/>
          <w:bCs/>
          <w:sz w:val="24"/>
          <w:szCs w:val="24"/>
        </w:rPr>
      </w:pPr>
      <w:bookmarkStart w:id="81" w:name="_27fr1vkquwhb" w:colFirst="0" w:colLast="0"/>
      <w:bookmarkEnd w:id="81"/>
    </w:p>
    <w:tbl>
      <w:tblPr>
        <w:tblStyle w:val="a4"/>
        <w:tblW w:w="12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2580"/>
        <w:gridCol w:w="2580"/>
        <w:gridCol w:w="1935"/>
        <w:gridCol w:w="2295"/>
      </w:tblGrid>
      <w:tr w:rsidR="00B267F3">
        <w:trPr>
          <w:trHeight w:val="515"/>
        </w:trPr>
        <w:tc>
          <w:tcPr>
            <w:tcW w:w="12330" w:type="dxa"/>
            <w:gridSpan w:val="5"/>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480" w:line="240" w:lineRule="auto"/>
              <w:rPr>
                <w:rFonts w:ascii="Times New Roman" w:eastAsia="Times New Roman" w:hAnsi="Times New Roman" w:cs="Times New Roman"/>
                <w:b/>
                <w:bCs/>
                <w:sz w:val="24"/>
                <w:szCs w:val="24"/>
              </w:rPr>
            </w:pPr>
            <w:bookmarkStart w:id="82" w:name="_1gm4fbi1n6d2" w:colFirst="0" w:colLast="0"/>
            <w:bookmarkEnd w:id="82"/>
            <w:r>
              <w:rPr>
                <w:rFonts w:ascii="Times New Roman" w:eastAsia="Times New Roman" w:hAnsi="Times New Roman" w:cs="Times New Roman"/>
                <w:b/>
                <w:bCs/>
                <w:sz w:val="24"/>
                <w:szCs w:val="24"/>
              </w:rPr>
              <w:t xml:space="preserve"> TABLE 5. RISK OF BIAS ASSESSMENT (QUADAS-2 / NOS BASED)</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Selection Bias</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Measurement Bias</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Validation</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Overall Risk</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Szumilas et al. (2024)</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Gözgöz et al. (2025)</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 et al., (2025)</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Gröschel et al., 2021 </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Uçucu et al., (2024)</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 et al., (2026)</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Villota et al., (2025)</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 et al., (2013)</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B267F3">
        <w:trPr>
          <w:trHeight w:val="515"/>
        </w:trPr>
        <w:tc>
          <w:tcPr>
            <w:tcW w:w="294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Goebel et al., (2020)</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2580"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3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2295" w:type="dxa"/>
            <w:tcBorders>
              <w:top w:val="nil"/>
              <w:left w:val="nil"/>
              <w:bottom w:val="nil"/>
              <w:right w:val="nil"/>
            </w:tcBorders>
            <w:tcMar>
              <w:top w:w="100" w:type="dxa"/>
              <w:left w:w="100" w:type="dxa"/>
              <w:bottom w:w="100" w:type="dxa"/>
              <w:right w:w="100" w:type="dxa"/>
            </w:tcMar>
          </w:tcPr>
          <w:p w:rsidR="00B267F3" w:rsidRDefault="00267ED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bl>
    <w:p w:rsidR="00B267F3" w:rsidRDefault="00B267F3">
      <w:pPr>
        <w:pStyle w:val="Heading1"/>
        <w:keepNext w:val="0"/>
        <w:keepLines w:val="0"/>
        <w:spacing w:before="480"/>
        <w:rPr>
          <w:rFonts w:ascii="Times New Roman" w:eastAsia="Times New Roman" w:hAnsi="Times New Roman" w:cs="Times New Roman"/>
          <w:b/>
          <w:bCs/>
          <w:sz w:val="24"/>
          <w:szCs w:val="24"/>
        </w:rPr>
      </w:pPr>
      <w:bookmarkStart w:id="83" w:name="_m7amisgdhzz7" w:colFirst="0" w:colLast="0"/>
      <w:bookmarkEnd w:id="83"/>
    </w:p>
    <w:tbl>
      <w:tblPr>
        <w:tblStyle w:val="a5"/>
        <w:tblW w:w="12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2100"/>
        <w:gridCol w:w="2805"/>
        <w:gridCol w:w="2955"/>
        <w:gridCol w:w="1890"/>
      </w:tblGrid>
      <w:tr w:rsidR="00B267F3">
        <w:trPr>
          <w:trHeight w:val="515"/>
          <w:tblHeader/>
        </w:trPr>
        <w:tc>
          <w:tcPr>
            <w:tcW w:w="12825" w:type="dxa"/>
            <w:gridSpan w:val="5"/>
            <w:tcBorders>
              <w:top w:val="nil"/>
              <w:left w:val="nil"/>
              <w:bottom w:val="nil"/>
              <w:right w:val="nil"/>
            </w:tcBorders>
            <w:tcMar>
              <w:top w:w="100" w:type="dxa"/>
              <w:left w:w="100" w:type="dxa"/>
              <w:bottom w:w="100" w:type="dxa"/>
              <w:right w:w="100" w:type="dxa"/>
            </w:tcMar>
          </w:tcPr>
          <w:p w:rsidR="00B267F3" w:rsidRDefault="00267ED9">
            <w:pPr>
              <w:pStyle w:val="Heading1"/>
              <w:keepNext w:val="0"/>
              <w:keepLines w:val="0"/>
              <w:spacing w:before="480"/>
              <w:rPr>
                <w:rFonts w:ascii="Times New Roman" w:eastAsia="Times New Roman" w:hAnsi="Times New Roman" w:cs="Times New Roman"/>
                <w:b/>
                <w:bCs/>
                <w:sz w:val="24"/>
                <w:szCs w:val="24"/>
              </w:rPr>
            </w:pPr>
            <w:bookmarkStart w:id="84" w:name="_deez68idor7b" w:colFirst="0" w:colLast="0"/>
            <w:bookmarkEnd w:id="84"/>
            <w:r>
              <w:rPr>
                <w:rFonts w:ascii="Times New Roman" w:eastAsia="Times New Roman" w:hAnsi="Times New Roman" w:cs="Times New Roman"/>
                <w:b/>
                <w:bCs/>
                <w:sz w:val="24"/>
                <w:szCs w:val="24"/>
              </w:rPr>
              <w:t>TABLE 7. AI MODEL CHARACTERISTICS</w:t>
            </w:r>
          </w:p>
        </w:tc>
      </w:tr>
      <w:tr w:rsidR="00B267F3">
        <w:trPr>
          <w:trHeight w:val="515"/>
          <w:tblHeader/>
        </w:trPr>
        <w:tc>
          <w:tcPr>
            <w:tcW w:w="307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w:t>
            </w:r>
          </w:p>
        </w:tc>
        <w:tc>
          <w:tcPr>
            <w:tcW w:w="210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Algorithm</w:t>
            </w:r>
          </w:p>
        </w:tc>
        <w:tc>
          <w:tcPr>
            <w:tcW w:w="280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Input Data</w:t>
            </w:r>
          </w:p>
        </w:tc>
        <w:tc>
          <w:tcPr>
            <w:tcW w:w="295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Output</w:t>
            </w:r>
          </w:p>
        </w:tc>
        <w:tc>
          <w:tcPr>
            <w:tcW w:w="189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Validation</w:t>
            </w:r>
          </w:p>
        </w:tc>
      </w:tr>
      <w:tr w:rsidR="00B267F3">
        <w:trPr>
          <w:trHeight w:val="515"/>
          <w:tblHeader/>
        </w:trPr>
        <w:tc>
          <w:tcPr>
            <w:tcW w:w="307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Gröschel et al., (2021) </w:t>
            </w:r>
          </w:p>
        </w:tc>
        <w:tc>
          <w:tcPr>
            <w:tcW w:w="210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RF, WDNN</w:t>
            </w:r>
          </w:p>
        </w:tc>
        <w:tc>
          <w:tcPr>
            <w:tcW w:w="280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Genomic</w:t>
            </w:r>
          </w:p>
        </w:tc>
        <w:tc>
          <w:tcPr>
            <w:tcW w:w="295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Drug resistance</w:t>
            </w:r>
          </w:p>
        </w:tc>
        <w:tc>
          <w:tcPr>
            <w:tcW w:w="189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w:t>
            </w:r>
          </w:p>
        </w:tc>
      </w:tr>
      <w:tr w:rsidR="00B267F3">
        <w:trPr>
          <w:trHeight w:val="515"/>
          <w:tblHeader/>
        </w:trPr>
        <w:tc>
          <w:tcPr>
            <w:tcW w:w="307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Ni et al., (2025)</w:t>
            </w:r>
          </w:p>
        </w:tc>
        <w:tc>
          <w:tcPr>
            <w:tcW w:w="210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280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Mutation + clinical</w:t>
            </w:r>
          </w:p>
        </w:tc>
        <w:tc>
          <w:tcPr>
            <w:tcW w:w="295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Risk prediction</w:t>
            </w:r>
          </w:p>
        </w:tc>
        <w:tc>
          <w:tcPr>
            <w:tcW w:w="189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w:t>
            </w:r>
          </w:p>
        </w:tc>
      </w:tr>
      <w:tr w:rsidR="00B267F3">
        <w:trPr>
          <w:trHeight w:val="515"/>
          <w:tblHeader/>
        </w:trPr>
        <w:tc>
          <w:tcPr>
            <w:tcW w:w="307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Kukar et al., (2021)</w:t>
            </w:r>
          </w:p>
        </w:tc>
        <w:tc>
          <w:tcPr>
            <w:tcW w:w="210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280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Blood tests</w:t>
            </w:r>
          </w:p>
        </w:tc>
        <w:tc>
          <w:tcPr>
            <w:tcW w:w="295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COVID diagnosis</w:t>
            </w:r>
          </w:p>
        </w:tc>
        <w:tc>
          <w:tcPr>
            <w:tcW w:w="189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w:t>
            </w:r>
          </w:p>
        </w:tc>
      </w:tr>
      <w:tr w:rsidR="00B267F3">
        <w:trPr>
          <w:trHeight w:val="515"/>
        </w:trPr>
        <w:tc>
          <w:tcPr>
            <w:tcW w:w="307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Pan et al., (2024)</w:t>
            </w:r>
          </w:p>
        </w:tc>
        <w:tc>
          <w:tcPr>
            <w:tcW w:w="210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XGBoost</w:t>
            </w:r>
          </w:p>
        </w:tc>
        <w:tc>
          <w:tcPr>
            <w:tcW w:w="280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Lab biomarkers</w:t>
            </w:r>
          </w:p>
        </w:tc>
        <w:tc>
          <w:tcPr>
            <w:tcW w:w="295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Disease classification</w:t>
            </w:r>
          </w:p>
        </w:tc>
        <w:tc>
          <w:tcPr>
            <w:tcW w:w="189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w:t>
            </w:r>
          </w:p>
        </w:tc>
      </w:tr>
      <w:tr w:rsidR="00B267F3">
        <w:trPr>
          <w:trHeight w:val="515"/>
        </w:trPr>
        <w:tc>
          <w:tcPr>
            <w:tcW w:w="307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Kawakami et al., (2019)</w:t>
            </w:r>
          </w:p>
        </w:tc>
        <w:tc>
          <w:tcPr>
            <w:tcW w:w="210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RF, GBM</w:t>
            </w:r>
          </w:p>
        </w:tc>
        <w:tc>
          <w:tcPr>
            <w:tcW w:w="280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Blood biomarkers</w:t>
            </w:r>
          </w:p>
        </w:tc>
        <w:tc>
          <w:tcPr>
            <w:tcW w:w="2955"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Cancer diagnosis</w:t>
            </w:r>
          </w:p>
        </w:tc>
        <w:tc>
          <w:tcPr>
            <w:tcW w:w="1890" w:type="dxa"/>
            <w:tcBorders>
              <w:top w:val="nil"/>
              <w:left w:val="nil"/>
              <w:bottom w:val="nil"/>
              <w:right w:val="nil"/>
            </w:tcBorders>
            <w:tcMar>
              <w:top w:w="100" w:type="dxa"/>
              <w:left w:w="100" w:type="dxa"/>
              <w:bottom w:w="100" w:type="dxa"/>
              <w:right w:w="100" w:type="dxa"/>
            </w:tcMar>
          </w:tcPr>
          <w:p w:rsidR="00B267F3" w:rsidRDefault="00267ED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w:t>
            </w:r>
          </w:p>
        </w:tc>
      </w:tr>
    </w:tbl>
    <w:p w:rsidR="00B267F3" w:rsidRDefault="00B267F3">
      <w:pPr>
        <w:rPr>
          <w:rFonts w:ascii="Times New Roman" w:eastAsia="Times New Roman" w:hAnsi="Times New Roman" w:cs="Times New Roman"/>
          <w:sz w:val="24"/>
          <w:szCs w:val="24"/>
        </w:rPr>
      </w:pPr>
    </w:p>
    <w:sectPr w:rsidR="00B267F3">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altName w:val="Times New Roman"/>
    <w:charset w:val="00"/>
    <w:family w:val="auto"/>
    <w:pitch w:val="default"/>
  </w:font>
  <w:font w:name="Cardo">
    <w:charset w:val="00"/>
    <w:family w:val="auto"/>
    <w:pitch w:val="default"/>
    <w:embedRegular r:id="rId1" w:fontKey="{B76B5D1F-A325-4701-8059-18BA6FC6E7EB}"/>
  </w:font>
  <w:font w:name="Calibri">
    <w:panose1 w:val="020F0502020204030204"/>
    <w:charset w:val="00"/>
    <w:family w:val="swiss"/>
    <w:pitch w:val="variable"/>
    <w:sig w:usb0="E4002EFF" w:usb1="C000247B" w:usb2="00000009" w:usb3="00000000" w:csb0="000001FF" w:csb1="00000000"/>
    <w:embedRegular r:id="rId2" w:fontKey="{0935DD40-64E9-46F9-8F70-D3DB825313C8}"/>
  </w:font>
  <w:font w:name="Cambria">
    <w:panose1 w:val="02040503050406030204"/>
    <w:charset w:val="00"/>
    <w:family w:val="roman"/>
    <w:pitch w:val="variable"/>
    <w:sig w:usb0="E00006FF" w:usb1="420024FF" w:usb2="02000000" w:usb3="00000000" w:csb0="0000019F" w:csb1="00000000"/>
    <w:embedRegular r:id="rId3" w:fontKey="{6E7DE100-46A1-49F9-AC89-E4EEC0C1C5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B267F3"/>
    <w:rsid w:val="00267ED9"/>
    <w:rsid w:val="00B267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38/s41598-023-50600-8" TargetMode="External"/><Relationship Id="rId18" Type="http://schemas.openxmlformats.org/officeDocument/2006/relationships/hyperlink" Target="https://news.mayocliniclabs.com/2025/10/06/transforming-laboratory-medicine-through-ai-from-promise-to-practice/?utm_source=chatgpt.com" TargetMode="External"/><Relationship Id="rId26" Type="http://schemas.openxmlformats.org/officeDocument/2006/relationships/hyperlink" Target="https://doi.org/10.1016/j.cca.2024.119724" TargetMode="External"/><Relationship Id="rId39" Type="http://schemas.openxmlformats.org/officeDocument/2006/relationships/hyperlink" Target="https://doi.org/10.1093/jac/dky514" TargetMode="External"/><Relationship Id="rId21" Type="http://schemas.openxmlformats.org/officeDocument/2006/relationships/hyperlink" Target="https://doi.org/10.1186/s13073-021-00953-4" TargetMode="External"/><Relationship Id="rId34" Type="http://schemas.openxmlformats.org/officeDocument/2006/relationships/hyperlink" Target="https://doi.org/10.1080/10408363.2025.2488842" TargetMode="External"/><Relationship Id="rId42" Type="http://schemas.openxmlformats.org/officeDocument/2006/relationships/hyperlink" Target="https://doi.org/10.29296/24999490-2024-05-04" TargetMode="External"/><Relationship Id="rId47" Type="http://schemas.openxmlformats.org/officeDocument/2006/relationships/hyperlink" Target="https://doi.org/10.5281/zenodo.17113815" TargetMode="External"/><Relationship Id="rId50" Type="http://schemas.openxmlformats.org/officeDocument/2006/relationships/hyperlink" Target="https://doi.org/10.1038/s41415-025-8666-7" TargetMode="External"/><Relationship Id="rId55" Type="http://schemas.openxmlformats.org/officeDocument/2006/relationships/hyperlink" Target="https://www.who.int/teams/digital-health-and-innovation/harnessing-artificial-intelligence-for-health?utm_source=chatgpt.com" TargetMode="External"/><Relationship Id="rId63" Type="http://schemas.openxmlformats.org/officeDocument/2006/relationships/hyperlink" Target="https://doi.org/10.1093/clinchem/hvaa200" TargetMode="External"/><Relationship Id="rId2" Type="http://schemas.microsoft.com/office/2007/relationships/stylesWithEffects" Target="stylesWithEffects.xml"/><Relationship Id="rId16" Type="http://schemas.openxmlformats.org/officeDocument/2006/relationships/hyperlink" Target="https://doi.org/10.1186/s40001-025-03196-w" TargetMode="External"/><Relationship Id="rId29" Type="http://schemas.openxmlformats.org/officeDocument/2006/relationships/hyperlink" Target="https://www.itu.int/en/ITU-T/focusgroups/ai4h/Pages/default.aspx?utm_source=chatgpt.com" TargetMode="External"/><Relationship Id="rId11" Type="http://schemas.openxmlformats.org/officeDocument/2006/relationships/hyperlink" Target="https://doi.org/10.1080/10408363.2020.1828811" TargetMode="External"/><Relationship Id="rId24" Type="http://schemas.openxmlformats.org/officeDocument/2006/relationships/hyperlink" Target="https://doi.org/10.1007/s10620-017-4701-6" TargetMode="External"/><Relationship Id="rId32" Type="http://schemas.openxmlformats.org/officeDocument/2006/relationships/hyperlink" Target="https://doi.org/10.3389/fcimb.2025.1718614" TargetMode="External"/><Relationship Id="rId37" Type="http://schemas.openxmlformats.org/officeDocument/2006/relationships/hyperlink" Target="https://doi.org/10.1136/bmj-2024-082505" TargetMode="External"/><Relationship Id="rId40" Type="http://schemas.openxmlformats.org/officeDocument/2006/relationships/hyperlink" Target="https://diagnostics.roche.com/global/en/lab-leaders/article/machine-learning-ai-in-laboratory.html" TargetMode="External"/><Relationship Id="rId45" Type="http://schemas.openxmlformats.org/officeDocument/2006/relationships/hyperlink" Target="https://doi.org/10.26574/maedica.2022.17.2.420" TargetMode="External"/><Relationship Id="rId53" Type="http://schemas.openxmlformats.org/officeDocument/2006/relationships/hyperlink" Target="https://www.who.int/europe/publications/i/item/WHO-EURO-2025-12707-52481-81028" TargetMode="External"/><Relationship Id="rId58" Type="http://schemas.openxmlformats.org/officeDocument/2006/relationships/hyperlink" Target="https://www.who.int/publications/m/item/leading-the-future-of-global-health-with-responsible-artificial-intelligence" TargetMode="External"/><Relationship Id="rId66" Type="http://schemas.openxmlformats.org/officeDocument/2006/relationships/fontTable" Target="fontTable.xml"/><Relationship Id="rId61" Type="http://schemas.openxmlformats.org/officeDocument/2006/relationships/hyperlink" Target="https://doi.org/10.1002/INMD.20230056" TargetMode="External"/><Relationship Id="rId19" Type="http://schemas.openxmlformats.org/officeDocument/2006/relationships/hyperlink" Target="https://news.mayocliniclabs.com/2025/10/06/transforming-laboratory-medicine-through-ai-from-promise-to-practice/?utm_source=chatgpt.com" TargetMode="External"/><Relationship Id="rId14" Type="http://schemas.openxmlformats.org/officeDocument/2006/relationships/hyperlink" Target="https://doi.org/10.4102/ajlm.v12i1.2329" TargetMode="External"/><Relationship Id="rId22" Type="http://schemas.openxmlformats.org/officeDocument/2006/relationships/hyperlink" Target="https://doi.org/10.1080/07853890.2020.1868564" TargetMode="External"/><Relationship Id="rId27" Type="http://schemas.openxmlformats.org/officeDocument/2006/relationships/hyperlink" Target="https://doi.org/10.1016/j.cca.2024.119724" TargetMode="External"/><Relationship Id="rId30" Type="http://schemas.openxmlformats.org/officeDocument/2006/relationships/hyperlink" Target="https://doi.org/10.1093/ecco-jcc/jjaf143" TargetMode="External"/><Relationship Id="rId35" Type="http://schemas.openxmlformats.org/officeDocument/2006/relationships/hyperlink" Target="https://doi.org/10.1080/10408363.2025.2488842" TargetMode="External"/><Relationship Id="rId43" Type="http://schemas.openxmlformats.org/officeDocument/2006/relationships/hyperlink" Target="https://doi.org/10.1002/lary.31959" TargetMode="External"/><Relationship Id="rId48" Type="http://schemas.openxmlformats.org/officeDocument/2006/relationships/hyperlink" Target="https://doi.org/10.5281/zenodo.17113815" TargetMode="External"/><Relationship Id="rId56" Type="http://schemas.openxmlformats.org/officeDocument/2006/relationships/hyperlink" Target="https://www.who.int/teams/digital-health-and-innovation/harnessing-artificial-intelligence-for-health?utm_source=chatgpt.com" TargetMode="External"/><Relationship Id="rId64" Type="http://schemas.openxmlformats.org/officeDocument/2006/relationships/hyperlink" Target="https://doi.org/10.1148/ryai.210064" TargetMode="External"/><Relationship Id="rId8" Type="http://schemas.openxmlformats.org/officeDocument/2006/relationships/image" Target="media/image1.png"/><Relationship Id="rId51" Type="http://schemas.openxmlformats.org/officeDocument/2006/relationships/hyperlink" Target="https://doi.org/10.1016/j.jclinepi.2024.111654" TargetMode="External"/><Relationship Id="rId3" Type="http://schemas.openxmlformats.org/officeDocument/2006/relationships/settings" Target="settings.xml"/><Relationship Id="rId12" Type="http://schemas.openxmlformats.org/officeDocument/2006/relationships/hyperlink" Target="https://doi.org/10.1038/s41598-023-50600-8" TargetMode="External"/><Relationship Id="rId17" Type="http://schemas.openxmlformats.org/officeDocument/2006/relationships/hyperlink" Target="https://doi.org/10.1186/s40001-025-03196-w" TargetMode="External"/><Relationship Id="rId25" Type="http://schemas.openxmlformats.org/officeDocument/2006/relationships/hyperlink" Target="https://doi.org/10.1007/s10620-017-4701-6" TargetMode="External"/><Relationship Id="rId33" Type="http://schemas.openxmlformats.org/officeDocument/2006/relationships/hyperlink" Target="https://doi.org/10.3389/fcimb.2025.1718614" TargetMode="External"/><Relationship Id="rId38" Type="http://schemas.openxmlformats.org/officeDocument/2006/relationships/hyperlink" Target="https://doi.org/10.1093/jac/dky514" TargetMode="External"/><Relationship Id="rId46" Type="http://schemas.openxmlformats.org/officeDocument/2006/relationships/hyperlink" Target="https://doi.org/10.26574/maedica.2022.17.2.420" TargetMode="External"/><Relationship Id="rId59" Type="http://schemas.openxmlformats.org/officeDocument/2006/relationships/hyperlink" Target="https://www.who.int/publications/m/item/artificial-intelligence-for-health?utm_source=chatgpt.com" TargetMode="External"/><Relationship Id="rId67" Type="http://schemas.openxmlformats.org/officeDocument/2006/relationships/theme" Target="theme/theme1.xml"/><Relationship Id="rId20" Type="http://schemas.openxmlformats.org/officeDocument/2006/relationships/hyperlink" Target="https://doi.org/10.1186/s13073-021-00953-4" TargetMode="External"/><Relationship Id="rId41" Type="http://schemas.openxmlformats.org/officeDocument/2006/relationships/hyperlink" Target="https://diagnostics.roche.com/global/en/lab-leaders/article/machine-learning-ai-in-laboratory.html" TargetMode="External"/><Relationship Id="rId54" Type="http://schemas.openxmlformats.org/officeDocument/2006/relationships/hyperlink" Target="https://www.who.int/europe/publications/i/item/WHO-EURO-2025-12707-52481-81028" TargetMode="External"/><Relationship Id="rId62" Type="http://schemas.openxmlformats.org/officeDocument/2006/relationships/hyperlink" Target="https://doi.org/10.1093/clinchem/hvaa200" TargetMode="External"/><Relationship Id="rId1" Type="http://schemas.openxmlformats.org/officeDocument/2006/relationships/styles" Target="styles.xml"/><Relationship Id="rId15" Type="http://schemas.openxmlformats.org/officeDocument/2006/relationships/hyperlink" Target="https://doi.org/10.4102/ajlm.v12i1.2329" TargetMode="External"/><Relationship Id="rId23" Type="http://schemas.openxmlformats.org/officeDocument/2006/relationships/hyperlink" Target="https://doi.org/10.1080/07853890.2020.1868564" TargetMode="External"/><Relationship Id="rId28" Type="http://schemas.openxmlformats.org/officeDocument/2006/relationships/hyperlink" Target="https://www.itu.int/en/ITU-T/focusgroups/ai4h/Pages/default.aspx?utm_source=chatgpt.com" TargetMode="External"/><Relationship Id="rId36" Type="http://schemas.openxmlformats.org/officeDocument/2006/relationships/hyperlink" Target="https://doi.org/10.1136/bmj-2024-082505" TargetMode="External"/><Relationship Id="rId49" Type="http://schemas.openxmlformats.org/officeDocument/2006/relationships/hyperlink" Target="https://doi.org/10.1038/s41415-025-8666-7" TargetMode="External"/><Relationship Id="rId57" Type="http://schemas.openxmlformats.org/officeDocument/2006/relationships/hyperlink" Target="https://www.who.int/publications/m/item/leading-the-future-of-global-health-with-responsible-artificial-intelligence?utm_source=chatgpt.com" TargetMode="External"/><Relationship Id="rId10" Type="http://schemas.openxmlformats.org/officeDocument/2006/relationships/hyperlink" Target="https://doi.org/10.1016/j.diagmicrobio.2025.116728" TargetMode="External"/><Relationship Id="rId31" Type="http://schemas.openxmlformats.org/officeDocument/2006/relationships/hyperlink" Target="https://doi.org/10.1093/ecco-jcc/jjaf143" TargetMode="External"/><Relationship Id="rId44" Type="http://schemas.openxmlformats.org/officeDocument/2006/relationships/hyperlink" Target="https://doi.org/10.1002/lary.31959" TargetMode="External"/><Relationship Id="rId52" Type="http://schemas.openxmlformats.org/officeDocument/2006/relationships/hyperlink" Target="https://doi.org/10.1016/j.jclinepi.2024.111654" TargetMode="External"/><Relationship Id="rId60" Type="http://schemas.openxmlformats.org/officeDocument/2006/relationships/hyperlink" Target="https://www.who.int/publications/m/item/artificial-intelligence-for-health" TargetMode="External"/><Relationship Id="rId65" Type="http://schemas.openxmlformats.org/officeDocument/2006/relationships/hyperlink" Target="https://doi.org/10.1148/ryai.210064" TargetMode="External"/><Relationship Id="rId4" Type="http://schemas.openxmlformats.org/officeDocument/2006/relationships/webSettings" Target="webSettings.xml"/><Relationship Id="rId9" Type="http://schemas.openxmlformats.org/officeDocument/2006/relationships/hyperlink" Target="https://doi.org/10.1016/j.imu.2021.10056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11306</Words>
  <Characters>64449</Characters>
  <Application>Microsoft Office Word</Application>
  <DocSecurity>0</DocSecurity>
  <Lines>537</Lines>
  <Paragraphs>151</Paragraphs>
  <ScaleCrop>false</ScaleCrop>
  <Company/>
  <LinksUpToDate>false</LinksUpToDate>
  <CharactersWithSpaces>75604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2026-04-29T10:45:00Z</dcterms:created>
  <dcterms:modified xsi:type="dcterms:W3CDTF">2026-04-29T10:45:00Z</dcterms:modified>
</cp:coreProperties>
</file>