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7B9" w:rsidRPr="001357B9" w:rsidRDefault="001357B9" w:rsidP="001357B9">
      <w:pPr>
        <w:pStyle w:val="Header"/>
        <w:jc w:val="center"/>
        <w:rPr>
          <w:sz w:val="32"/>
        </w:rPr>
      </w:pPr>
      <w:r w:rsidRPr="001357B9">
        <w:rPr>
          <w:sz w:val="32"/>
        </w:rPr>
        <w:t>Assessment of Work-Related Musculoskeletal Disorders among Nurses Working at NAMO Hospital Using Quick Exposure Check (QEC)</w:t>
      </w:r>
    </w:p>
    <w:p w:rsidR="00776CA3" w:rsidRPr="001357B9" w:rsidRDefault="00F04B41" w:rsidP="001357B9">
      <w:pPr>
        <w:pStyle w:val="Heading1"/>
        <w:jc w:val="both"/>
        <w:rPr>
          <w:rFonts w:ascii="Times New Roman" w:hAnsi="Times New Roman" w:cs="Times New Roman"/>
          <w:color w:val="000000" w:themeColor="text1"/>
          <w:szCs w:val="24"/>
        </w:rPr>
      </w:pPr>
      <w:bookmarkStart w:id="0" w:name="_GoBack"/>
      <w:bookmarkEnd w:id="0"/>
      <w:r w:rsidRPr="001357B9">
        <w:rPr>
          <w:rFonts w:ascii="Times New Roman" w:hAnsi="Times New Roman" w:cs="Times New Roman"/>
          <w:color w:val="000000" w:themeColor="text1"/>
          <w:szCs w:val="24"/>
        </w:rPr>
        <w:t>Abstract</w:t>
      </w:r>
    </w:p>
    <w:p w:rsidR="00776CA3" w:rsidRDefault="00F04B41" w:rsidP="001357B9">
      <w:pPr>
        <w:jc w:val="both"/>
        <w:rPr>
          <w:rFonts w:ascii="Times New Roman" w:hAnsi="Times New Roman" w:cs="Times New Roman"/>
          <w:sz w:val="24"/>
          <w:szCs w:val="24"/>
        </w:rPr>
      </w:pPr>
      <w:r w:rsidRPr="001357B9">
        <w:rPr>
          <w:rFonts w:ascii="Times New Roman" w:hAnsi="Times New Roman" w:cs="Times New Roman"/>
          <w:sz w:val="24"/>
          <w:szCs w:val="24"/>
        </w:rPr>
        <w:t>Musculoskeletal disorders (MSDs) are highly prevalent among nurses due to repetitive movements, prolonged standing, and improper posture during patient care. This study aimed to assess ergonomic risk factors and exposure levels among nurses using the Quick Exposure Check (QEC) method. A cross-sectional study was conducted among 100 nurses. Sample size was calculated using linear regression analysis in Jamovi with an effect size (f²) of 0.15, alpha level of 0.05, power of 80%, and 5 predictors. The estimated sample size was 92, and after adding 10% non-response rate, the final sample size was 100. The findings indicate high to very high exposure levels, especially in the neck and stress domains. The study highlights the need for ergonomic interventions and workload management.</w:t>
      </w:r>
    </w:p>
    <w:p w:rsidR="00C06304" w:rsidRPr="001357B9" w:rsidRDefault="00C06304" w:rsidP="001357B9">
      <w:pPr>
        <w:jc w:val="both"/>
        <w:rPr>
          <w:rFonts w:ascii="Times New Roman" w:hAnsi="Times New Roman" w:cs="Times New Roman"/>
          <w:sz w:val="24"/>
          <w:szCs w:val="24"/>
        </w:rPr>
      </w:pPr>
      <w:r>
        <w:rPr>
          <w:rFonts w:ascii="Times New Roman" w:hAnsi="Times New Roman" w:cs="Times New Roman"/>
          <w:sz w:val="24"/>
          <w:szCs w:val="24"/>
        </w:rPr>
        <w:t xml:space="preserve">Key words- </w:t>
      </w:r>
      <w:r w:rsidRPr="001357B9">
        <w:rPr>
          <w:rFonts w:ascii="Times New Roman" w:hAnsi="Times New Roman" w:cs="Times New Roman"/>
          <w:sz w:val="24"/>
          <w:szCs w:val="24"/>
        </w:rPr>
        <w:t>Musculoskeletal disorders</w:t>
      </w:r>
      <w:r>
        <w:rPr>
          <w:rFonts w:ascii="Times New Roman" w:hAnsi="Times New Roman" w:cs="Times New Roman"/>
          <w:sz w:val="24"/>
          <w:szCs w:val="24"/>
        </w:rPr>
        <w:t>,</w:t>
      </w:r>
      <w:r w:rsidRPr="00C06304">
        <w:rPr>
          <w:rFonts w:ascii="Times New Roman" w:hAnsi="Times New Roman" w:cs="Times New Roman"/>
          <w:sz w:val="24"/>
          <w:szCs w:val="24"/>
        </w:rPr>
        <w:t xml:space="preserve"> </w:t>
      </w:r>
      <w:r w:rsidRPr="001357B9">
        <w:rPr>
          <w:rFonts w:ascii="Times New Roman" w:hAnsi="Times New Roman" w:cs="Times New Roman"/>
          <w:sz w:val="24"/>
          <w:szCs w:val="24"/>
        </w:rPr>
        <w:t>Quick Exposure Check (QEC)</w:t>
      </w:r>
      <w:r>
        <w:rPr>
          <w:rFonts w:ascii="Times New Roman" w:hAnsi="Times New Roman" w:cs="Times New Roman"/>
          <w:sz w:val="24"/>
          <w:szCs w:val="24"/>
        </w:rPr>
        <w:t>,</w:t>
      </w:r>
      <w:r w:rsidRPr="00C06304">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W</w:t>
      </w:r>
      <w:r w:rsidRPr="001357B9">
        <w:rPr>
          <w:rFonts w:ascii="Times New Roman" w:eastAsia="Times New Roman" w:hAnsi="Times New Roman" w:cs="Times New Roman"/>
          <w:sz w:val="24"/>
          <w:szCs w:val="24"/>
          <w:lang w:val="en-IN" w:eastAsia="en-IN"/>
        </w:rPr>
        <w:t>orking postures and movements</w:t>
      </w:r>
      <w:r>
        <w:rPr>
          <w:rFonts w:ascii="Times New Roman" w:eastAsia="Times New Roman" w:hAnsi="Times New Roman" w:cs="Times New Roman"/>
          <w:sz w:val="24"/>
          <w:szCs w:val="24"/>
          <w:lang w:val="en-IN" w:eastAsia="en-IN"/>
        </w:rPr>
        <w:t>,</w:t>
      </w:r>
      <w:r w:rsidRPr="00C06304">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sz w:val="24"/>
          <w:szCs w:val="24"/>
          <w:lang w:val="en-IN" w:eastAsia="en-IN"/>
        </w:rPr>
        <w:t>M</w:t>
      </w:r>
      <w:r w:rsidRPr="001357B9">
        <w:rPr>
          <w:rFonts w:ascii="Times New Roman" w:eastAsia="Times New Roman" w:hAnsi="Times New Roman" w:cs="Times New Roman"/>
          <w:sz w:val="24"/>
          <w:szCs w:val="24"/>
          <w:lang w:val="en-IN" w:eastAsia="en-IN"/>
        </w:rPr>
        <w:t>odifiable risk factors</w:t>
      </w:r>
    </w:p>
    <w:p w:rsidR="00776CA3" w:rsidRPr="001357B9" w:rsidRDefault="00F04B41" w:rsidP="00305C80">
      <w:pPr>
        <w:pStyle w:val="Heading1"/>
        <w:numPr>
          <w:ilvl w:val="0"/>
          <w:numId w:val="21"/>
        </w:numPr>
        <w:jc w:val="both"/>
        <w:rPr>
          <w:rFonts w:ascii="Times New Roman" w:hAnsi="Times New Roman" w:cs="Times New Roman"/>
          <w:color w:val="000000" w:themeColor="text1"/>
          <w:szCs w:val="24"/>
        </w:rPr>
      </w:pPr>
      <w:r w:rsidRPr="001357B9">
        <w:rPr>
          <w:rFonts w:ascii="Times New Roman" w:hAnsi="Times New Roman" w:cs="Times New Roman"/>
          <w:color w:val="000000" w:themeColor="text1"/>
          <w:szCs w:val="24"/>
        </w:rPr>
        <w:t>Introduction</w:t>
      </w:r>
    </w:p>
    <w:p w:rsidR="00661BAA" w:rsidRPr="001357B9" w:rsidRDefault="00A33D79" w:rsidP="001357B9">
      <w:pPr>
        <w:jc w:val="both"/>
        <w:rPr>
          <w:rFonts w:ascii="Times New Roman" w:eastAsia="Times New Roman" w:hAnsi="Times New Roman" w:cs="Times New Roman"/>
          <w:sz w:val="24"/>
          <w:szCs w:val="24"/>
          <w:vertAlign w:val="superscript"/>
          <w:lang w:val="en-IN" w:eastAsia="en-IN"/>
        </w:rPr>
      </w:pPr>
      <w:r w:rsidRPr="001357B9">
        <w:rPr>
          <w:rFonts w:ascii="Times New Roman" w:eastAsia="Times New Roman" w:hAnsi="Times New Roman" w:cs="Times New Roman"/>
          <w:sz w:val="24"/>
          <w:szCs w:val="24"/>
          <w:lang w:val="en-IN" w:eastAsia="en-IN"/>
        </w:rPr>
        <w:t>A broad spectrum of illnesses affecting the human locomotor system are collectively referred to as "musculoskeletal disorders" (MSDs). MSDs can be temporary as a consequence of sprains and strains or persistent as a result of physical injuries that cause restrictions and incapacity. People with MSDs frequently have chronic discomfort in one or more body areas, such as the neck and lower back, which limits their range of motion and dexterity. This has an impact on their capacity to carry out certain tasks or their overall productivity.</w:t>
      </w:r>
      <w:r w:rsidRPr="001357B9">
        <w:rPr>
          <w:rFonts w:ascii="Times New Roman" w:eastAsia="Times New Roman" w:hAnsi="Times New Roman" w:cs="Times New Roman"/>
          <w:sz w:val="24"/>
          <w:szCs w:val="24"/>
          <w:vertAlign w:val="superscript"/>
          <w:lang w:val="en-IN" w:eastAsia="en-IN"/>
        </w:rPr>
        <w:t>1</w:t>
      </w:r>
      <w:r w:rsidR="00661BAA" w:rsidRPr="001357B9">
        <w:rPr>
          <w:rFonts w:ascii="Times New Roman" w:eastAsia="Times New Roman" w:hAnsi="Times New Roman" w:cs="Times New Roman"/>
          <w:sz w:val="24"/>
          <w:szCs w:val="24"/>
          <w:lang w:val="en-IN" w:eastAsia="en-IN"/>
        </w:rPr>
        <w:t xml:space="preserve"> Multifactorial diseases (MSDs) are caused by a variety of human factors, including age, sex, anthropometry, and genetics. Most significantly, however, the occurrence of MSDs has been linked to a number of modifiable risk factors, such as biomechanical overuse, organizational and environmental exposures, psychological risk factors, and other lifestyle disorders including smoking and obesity.</w:t>
      </w:r>
      <w:r w:rsidR="00661BAA" w:rsidRPr="001357B9">
        <w:rPr>
          <w:rFonts w:ascii="Times New Roman" w:eastAsia="Times New Roman" w:hAnsi="Times New Roman" w:cs="Times New Roman"/>
          <w:sz w:val="24"/>
          <w:szCs w:val="24"/>
          <w:vertAlign w:val="superscript"/>
          <w:lang w:val="en-IN" w:eastAsia="en-IN"/>
        </w:rPr>
        <w:t>2</w:t>
      </w:r>
      <w:r w:rsidR="00E31F9F">
        <w:rPr>
          <w:rFonts w:ascii="Times New Roman" w:eastAsia="Times New Roman" w:hAnsi="Times New Roman" w:cs="Times New Roman"/>
          <w:sz w:val="24"/>
          <w:szCs w:val="24"/>
          <w:vertAlign w:val="superscript"/>
          <w:lang w:val="en-IN" w:eastAsia="en-IN"/>
        </w:rPr>
        <w:t>,3,4</w:t>
      </w:r>
    </w:p>
    <w:p w:rsidR="00E74613" w:rsidRPr="001357B9" w:rsidRDefault="00E74613" w:rsidP="001357B9">
      <w:pPr>
        <w:jc w:val="both"/>
        <w:rPr>
          <w:rFonts w:ascii="Times New Roman" w:eastAsia="Times New Roman" w:hAnsi="Times New Roman" w:cs="Times New Roman"/>
          <w:sz w:val="24"/>
          <w:szCs w:val="24"/>
          <w:vertAlign w:val="superscript"/>
          <w:lang w:val="en-IN" w:eastAsia="en-IN"/>
        </w:rPr>
      </w:pPr>
      <w:r w:rsidRPr="001357B9">
        <w:rPr>
          <w:rFonts w:ascii="Times New Roman" w:eastAsia="Times New Roman" w:hAnsi="Times New Roman" w:cs="Times New Roman"/>
          <w:sz w:val="24"/>
          <w:szCs w:val="24"/>
          <w:lang w:val="en-IN" w:eastAsia="en-IN"/>
        </w:rPr>
        <w:t xml:space="preserve">Short task deadlines, stress and anxiety, working in shifts, extended work hours, awkward working postures, bending and twisting of the body, etc. are all related with nurses' jobs in hospitals. Nurses are at a significant risk of developing musculoskeletal diseases, although the evidence varies greatly. Musculoskeletal conditions account for more than half of absences due to illness. The prevalence of musculoskeletal illnesses is influenced by a number of factors, including individual worker characteristics, workplace and environmental factors (e.g., working postures and movements), job organization, </w:t>
      </w:r>
      <w:r w:rsidRPr="001357B9">
        <w:rPr>
          <w:rFonts w:ascii="Times New Roman" w:eastAsia="Times New Roman" w:hAnsi="Times New Roman" w:cs="Times New Roman"/>
          <w:sz w:val="24"/>
          <w:szCs w:val="24"/>
          <w:lang w:val="en-IN" w:eastAsia="en-IN"/>
        </w:rPr>
        <w:lastRenderedPageBreak/>
        <w:t>psychosocial factors, and stress. The prevalence of musculoskeletal problems in nurses rises with age and body mass index (BMI), with work-related factors such as extended standing work, awkward postures and movements, etc.</w:t>
      </w:r>
      <w:r w:rsidR="00E31F9F">
        <w:rPr>
          <w:rFonts w:ascii="Times New Roman" w:eastAsia="Times New Roman" w:hAnsi="Times New Roman" w:cs="Times New Roman"/>
          <w:sz w:val="24"/>
          <w:szCs w:val="24"/>
          <w:vertAlign w:val="superscript"/>
          <w:lang w:val="en-IN" w:eastAsia="en-IN"/>
        </w:rPr>
        <w:t>5,6,7</w:t>
      </w:r>
    </w:p>
    <w:p w:rsidR="00E74613" w:rsidRPr="001357B9" w:rsidRDefault="00405E0C" w:rsidP="001357B9">
      <w:pPr>
        <w:spacing w:after="0" w:line="240" w:lineRule="auto"/>
        <w:jc w:val="both"/>
        <w:rPr>
          <w:rFonts w:ascii="Times New Roman" w:hAnsi="Times New Roman" w:cs="Times New Roman"/>
          <w:sz w:val="24"/>
          <w:szCs w:val="24"/>
          <w:vertAlign w:val="superscript"/>
        </w:rPr>
      </w:pPr>
      <w:r w:rsidRPr="001357B9">
        <w:rPr>
          <w:rFonts w:ascii="Times New Roman" w:hAnsi="Times New Roman" w:cs="Times New Roman"/>
          <w:sz w:val="24"/>
          <w:szCs w:val="24"/>
        </w:rPr>
        <w:t xml:space="preserve">The </w:t>
      </w:r>
      <w:r w:rsidRPr="001357B9">
        <w:rPr>
          <w:rStyle w:val="Strong"/>
          <w:rFonts w:ascii="Times New Roman" w:hAnsi="Times New Roman" w:cs="Times New Roman"/>
          <w:b w:val="0"/>
          <w:sz w:val="24"/>
          <w:szCs w:val="24"/>
        </w:rPr>
        <w:t>Quick Exposure Check (QEC)</w:t>
      </w:r>
      <w:r w:rsidRPr="001357B9">
        <w:rPr>
          <w:rFonts w:ascii="Times New Roman" w:hAnsi="Times New Roman" w:cs="Times New Roman"/>
          <w:sz w:val="24"/>
          <w:szCs w:val="24"/>
        </w:rPr>
        <w:t xml:space="preserve"> is a validated ergonomic assessment tool used to evaluate exposure to risk factors such as posture, movement, force, and vibration. It provides a comprehensive analysis of the risk levels associated with different body regions.</w:t>
      </w:r>
      <w:r w:rsidRPr="001357B9">
        <w:rPr>
          <w:rFonts w:ascii="Times New Roman" w:hAnsi="Times New Roman" w:cs="Times New Roman"/>
          <w:sz w:val="24"/>
          <w:szCs w:val="24"/>
          <w:vertAlign w:val="superscript"/>
        </w:rPr>
        <w:t>4</w:t>
      </w:r>
    </w:p>
    <w:p w:rsidR="00405E0C" w:rsidRPr="001357B9" w:rsidRDefault="00405E0C" w:rsidP="001357B9">
      <w:pPr>
        <w:spacing w:after="0" w:line="240" w:lineRule="auto"/>
        <w:jc w:val="both"/>
        <w:rPr>
          <w:rFonts w:ascii="Times New Roman" w:eastAsia="Times New Roman" w:hAnsi="Times New Roman" w:cs="Times New Roman"/>
          <w:sz w:val="24"/>
          <w:szCs w:val="24"/>
          <w:lang w:val="en-IN" w:eastAsia="en-IN"/>
        </w:rPr>
      </w:pPr>
    </w:p>
    <w:p w:rsidR="00E74613" w:rsidRPr="001357B9" w:rsidRDefault="00047DD0" w:rsidP="001357B9">
      <w:pPr>
        <w:jc w:val="both"/>
        <w:rPr>
          <w:rFonts w:ascii="Times New Roman" w:eastAsia="Times New Roman" w:hAnsi="Times New Roman" w:cs="Times New Roman"/>
          <w:sz w:val="24"/>
          <w:szCs w:val="24"/>
          <w:lang w:val="en-IN" w:eastAsia="en-IN"/>
        </w:rPr>
      </w:pPr>
      <w:r w:rsidRPr="001357B9">
        <w:rPr>
          <w:rFonts w:ascii="Times New Roman" w:hAnsi="Times New Roman" w:cs="Times New Roman"/>
          <w:sz w:val="24"/>
          <w:szCs w:val="24"/>
        </w:rPr>
        <w:t>NAMO Hospital, as a tertiary care healthcare facility, employs a large number of nursing staff who are routinely exposed to occupational risk factors for WMSDs. However, there is limited data regarding the extent of exposure and associated risks among nurses working in this setting. Assessing these risks is essential for designing preventive strategies, improving workplace ergonomics, and enhancing the overall well-being and productivity of healthcare workers.</w:t>
      </w:r>
    </w:p>
    <w:p w:rsidR="00A33D79" w:rsidRPr="001357B9" w:rsidRDefault="00A33D79" w:rsidP="001357B9">
      <w:pPr>
        <w:spacing w:after="0" w:line="240" w:lineRule="auto"/>
        <w:jc w:val="both"/>
        <w:rPr>
          <w:rFonts w:ascii="Times New Roman" w:eastAsia="Times New Roman" w:hAnsi="Times New Roman" w:cs="Times New Roman"/>
          <w:sz w:val="24"/>
          <w:szCs w:val="24"/>
          <w:lang w:val="en-IN" w:eastAsia="en-IN"/>
        </w:rPr>
      </w:pPr>
    </w:p>
    <w:p w:rsidR="00776CA3" w:rsidRPr="001357B9" w:rsidRDefault="00F04B41" w:rsidP="00305C80">
      <w:pPr>
        <w:pStyle w:val="Heading1"/>
        <w:numPr>
          <w:ilvl w:val="0"/>
          <w:numId w:val="21"/>
        </w:numPr>
        <w:jc w:val="both"/>
        <w:rPr>
          <w:rFonts w:ascii="Times New Roman" w:hAnsi="Times New Roman" w:cs="Times New Roman"/>
          <w:color w:val="000000" w:themeColor="text1"/>
          <w:sz w:val="24"/>
          <w:szCs w:val="24"/>
        </w:rPr>
      </w:pPr>
      <w:r w:rsidRPr="001357B9">
        <w:rPr>
          <w:rFonts w:ascii="Times New Roman" w:hAnsi="Times New Roman" w:cs="Times New Roman"/>
          <w:color w:val="000000" w:themeColor="text1"/>
          <w:sz w:val="24"/>
          <w:szCs w:val="24"/>
        </w:rPr>
        <w:t>Materials and Methods</w:t>
      </w:r>
    </w:p>
    <w:p w:rsidR="0048430F" w:rsidRPr="0048430F" w:rsidRDefault="004A6EA8" w:rsidP="000A6BDA">
      <w:pPr>
        <w:rPr>
          <w:rFonts w:ascii="Times New Roman" w:hAnsi="Times New Roman" w:cs="Times New Roman"/>
          <w:b/>
          <w:sz w:val="24"/>
          <w:szCs w:val="24"/>
        </w:rPr>
      </w:pPr>
      <w:r>
        <w:rPr>
          <w:rFonts w:ascii="Times New Roman" w:hAnsi="Times New Roman" w:cs="Times New Roman"/>
          <w:sz w:val="24"/>
          <w:szCs w:val="24"/>
        </w:rPr>
        <w:t xml:space="preserve">Study </w:t>
      </w:r>
      <w:r w:rsidR="00F04B41" w:rsidRPr="001357B9">
        <w:rPr>
          <w:rFonts w:ascii="Times New Roman" w:hAnsi="Times New Roman" w:cs="Times New Roman"/>
          <w:sz w:val="24"/>
          <w:szCs w:val="24"/>
        </w:rPr>
        <w:t>Design: Cross-sectional study conducted in a hospital setting.</w:t>
      </w:r>
      <w:r w:rsidR="00F04B41" w:rsidRPr="001357B9">
        <w:rPr>
          <w:rFonts w:ascii="Times New Roman" w:hAnsi="Times New Roman" w:cs="Times New Roman"/>
          <w:sz w:val="24"/>
          <w:szCs w:val="24"/>
        </w:rPr>
        <w:br/>
      </w:r>
      <w:r w:rsidR="00F04B41" w:rsidRPr="001357B9">
        <w:rPr>
          <w:rFonts w:ascii="Times New Roman" w:hAnsi="Times New Roman" w:cs="Times New Roman"/>
          <w:sz w:val="24"/>
          <w:szCs w:val="24"/>
        </w:rPr>
        <w:br/>
        <w:t>Sample Size Calculation: Sample size was calculated using linear regression analysis with effect size f² = 0.15, alpha = 0.05, power = 0.80, and 5 predictors. Final sample size = 100.</w:t>
      </w:r>
      <w:r w:rsidR="00F04B41" w:rsidRPr="001357B9">
        <w:rPr>
          <w:rFonts w:ascii="Times New Roman" w:hAnsi="Times New Roman" w:cs="Times New Roman"/>
          <w:sz w:val="24"/>
          <w:szCs w:val="24"/>
        </w:rPr>
        <w:br/>
      </w:r>
      <w:r w:rsidR="00F04B41" w:rsidRPr="001357B9">
        <w:rPr>
          <w:rFonts w:ascii="Times New Roman" w:hAnsi="Times New Roman" w:cs="Times New Roman"/>
          <w:sz w:val="24"/>
          <w:szCs w:val="24"/>
        </w:rPr>
        <w:br/>
        <w:t>Inclusion Criteria: Registered nurses w</w:t>
      </w:r>
      <w:r w:rsidR="00B15D25" w:rsidRPr="001357B9">
        <w:rPr>
          <w:rFonts w:ascii="Times New Roman" w:hAnsi="Times New Roman" w:cs="Times New Roman"/>
          <w:sz w:val="24"/>
          <w:szCs w:val="24"/>
        </w:rPr>
        <w:t>orking at NAMO Hospital</w:t>
      </w:r>
      <w:r w:rsidR="00F04B41" w:rsidRPr="001357B9">
        <w:rPr>
          <w:rFonts w:ascii="Times New Roman" w:hAnsi="Times New Roman" w:cs="Times New Roman"/>
          <w:sz w:val="24"/>
          <w:szCs w:val="24"/>
        </w:rPr>
        <w:br/>
        <w:t>Exclusion Criteria: Nurses with recent trauma, surgery, or pregnancy.</w:t>
      </w:r>
      <w:r w:rsidR="00F04B41" w:rsidRPr="001357B9">
        <w:rPr>
          <w:rFonts w:ascii="Times New Roman" w:hAnsi="Times New Roman" w:cs="Times New Roman"/>
          <w:sz w:val="24"/>
          <w:szCs w:val="24"/>
        </w:rPr>
        <w:br/>
      </w:r>
      <w:r w:rsidR="00F04B41" w:rsidRPr="001357B9">
        <w:rPr>
          <w:rFonts w:ascii="Times New Roman" w:hAnsi="Times New Roman" w:cs="Times New Roman"/>
          <w:sz w:val="24"/>
          <w:szCs w:val="24"/>
        </w:rPr>
        <w:br/>
        <w:t>Data Collection Tool: Quick Exposure Check (QEC) scale assessing back, neck, shoulder/arm, wrist/hand, work pace, and stress.</w:t>
      </w:r>
      <w:r w:rsidR="00F04B41" w:rsidRPr="001357B9">
        <w:rPr>
          <w:rFonts w:ascii="Times New Roman" w:hAnsi="Times New Roman" w:cs="Times New Roman"/>
          <w:sz w:val="24"/>
          <w:szCs w:val="24"/>
        </w:rPr>
        <w:br/>
      </w:r>
      <w:r w:rsidR="00F04B41" w:rsidRPr="001357B9">
        <w:rPr>
          <w:rFonts w:ascii="Times New Roman" w:hAnsi="Times New Roman" w:cs="Times New Roman"/>
          <w:sz w:val="24"/>
          <w:szCs w:val="24"/>
        </w:rPr>
        <w:br/>
      </w:r>
      <w:r w:rsidR="001357B9">
        <w:rPr>
          <w:rFonts w:ascii="Times New Roman" w:hAnsi="Times New Roman" w:cs="Times New Roman"/>
          <w:b/>
          <w:sz w:val="24"/>
          <w:szCs w:val="24"/>
        </w:rPr>
        <w:t>2.1</w:t>
      </w:r>
      <w:r w:rsidR="0048430F" w:rsidRPr="001357B9">
        <w:rPr>
          <w:rFonts w:ascii="Times New Roman" w:hAnsi="Times New Roman" w:cs="Times New Roman"/>
          <w:b/>
          <w:sz w:val="24"/>
          <w:szCs w:val="24"/>
        </w:rPr>
        <w:t>Characteristics of the activities</w:t>
      </w:r>
    </w:p>
    <w:p w:rsidR="0048430F" w:rsidRPr="0048430F" w:rsidRDefault="0048430F"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48430F">
        <w:rPr>
          <w:rFonts w:ascii="Times New Roman" w:eastAsia="Times New Roman" w:hAnsi="Times New Roman" w:cs="Times New Roman"/>
          <w:sz w:val="24"/>
          <w:szCs w:val="24"/>
          <w:lang w:val="en-IN" w:eastAsia="en-IN"/>
        </w:rPr>
        <w:t>Nursing work involves multiple physically demanding activities that increase the risk of WMSDs. Key characteristics include:</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Prolonged standing:</w:t>
      </w:r>
      <w:r w:rsidRPr="0048430F">
        <w:rPr>
          <w:rFonts w:ascii="Times New Roman" w:eastAsia="Times New Roman" w:hAnsi="Times New Roman" w:cs="Times New Roman"/>
          <w:sz w:val="24"/>
          <w:szCs w:val="24"/>
          <w:lang w:val="en-IN" w:eastAsia="en-IN"/>
        </w:rPr>
        <w:t xml:space="preserve"> Long hours in static positions causing lower back and leg strain.</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Manual patient handling:</w:t>
      </w:r>
      <w:r w:rsidRPr="0048430F">
        <w:rPr>
          <w:rFonts w:ascii="Times New Roman" w:eastAsia="Times New Roman" w:hAnsi="Times New Roman" w:cs="Times New Roman"/>
          <w:sz w:val="24"/>
          <w:szCs w:val="24"/>
          <w:lang w:val="en-IN" w:eastAsia="en-IN"/>
        </w:rPr>
        <w:t xml:space="preserve"> Lifting, transferring, and repositioning patients leading to high spinal load.</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Repetitive tasks:</w:t>
      </w:r>
      <w:r w:rsidRPr="0048430F">
        <w:rPr>
          <w:rFonts w:ascii="Times New Roman" w:eastAsia="Times New Roman" w:hAnsi="Times New Roman" w:cs="Times New Roman"/>
          <w:sz w:val="24"/>
          <w:szCs w:val="24"/>
          <w:lang w:val="en-IN" w:eastAsia="en-IN"/>
        </w:rPr>
        <w:t xml:space="preserve"> Frequent hand and arm movements contributing to wrist, shoulder, and neck pain.</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lastRenderedPageBreak/>
        <w:t>Awkward postures:</w:t>
      </w:r>
      <w:r w:rsidRPr="0048430F">
        <w:rPr>
          <w:rFonts w:ascii="Times New Roman" w:eastAsia="Times New Roman" w:hAnsi="Times New Roman" w:cs="Times New Roman"/>
          <w:sz w:val="24"/>
          <w:szCs w:val="24"/>
          <w:lang w:val="en-IN" w:eastAsia="en-IN"/>
        </w:rPr>
        <w:t xml:space="preserve"> Bending, twisting, and reaching that stress the musculoskeletal system.</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Forceful exertion:</w:t>
      </w:r>
      <w:r w:rsidRPr="0048430F">
        <w:rPr>
          <w:rFonts w:ascii="Times New Roman" w:eastAsia="Times New Roman" w:hAnsi="Times New Roman" w:cs="Times New Roman"/>
          <w:sz w:val="24"/>
          <w:szCs w:val="24"/>
          <w:lang w:val="en-IN" w:eastAsia="en-IN"/>
        </w:rPr>
        <w:t xml:space="preserve"> Physical effort during patient care and emergency procedures.</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High work pace:</w:t>
      </w:r>
      <w:r w:rsidRPr="0048430F">
        <w:rPr>
          <w:rFonts w:ascii="Times New Roman" w:eastAsia="Times New Roman" w:hAnsi="Times New Roman" w:cs="Times New Roman"/>
          <w:sz w:val="24"/>
          <w:szCs w:val="24"/>
          <w:lang w:val="en-IN" w:eastAsia="en-IN"/>
        </w:rPr>
        <w:t xml:space="preserve"> Time pressure reduces proper posture and rest opportunities.</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Shift work &amp; fatigue:</w:t>
      </w:r>
      <w:r w:rsidRPr="0048430F">
        <w:rPr>
          <w:rFonts w:ascii="Times New Roman" w:eastAsia="Times New Roman" w:hAnsi="Times New Roman" w:cs="Times New Roman"/>
          <w:sz w:val="24"/>
          <w:szCs w:val="24"/>
          <w:lang w:val="en-IN" w:eastAsia="en-IN"/>
        </w:rPr>
        <w:t xml:space="preserve"> Irregular hours causing reduced muscle recovery.</w:t>
      </w:r>
    </w:p>
    <w:p w:rsidR="0048430F" w:rsidRPr="0048430F" w:rsidRDefault="0048430F" w:rsidP="001357B9">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bCs/>
          <w:sz w:val="24"/>
          <w:szCs w:val="24"/>
          <w:lang w:val="en-IN" w:eastAsia="en-IN"/>
        </w:rPr>
        <w:t>Inadequate ergonomics:</w:t>
      </w:r>
      <w:r w:rsidRPr="0048430F">
        <w:rPr>
          <w:rFonts w:ascii="Times New Roman" w:eastAsia="Times New Roman" w:hAnsi="Times New Roman" w:cs="Times New Roman"/>
          <w:sz w:val="24"/>
          <w:szCs w:val="24"/>
          <w:lang w:val="en-IN" w:eastAsia="en-IN"/>
        </w:rPr>
        <w:t xml:space="preserve"> Poor equipment design and lack of assistive devices.</w:t>
      </w:r>
    </w:p>
    <w:p w:rsidR="0048430F" w:rsidRPr="00E31F9F" w:rsidRDefault="0048430F" w:rsidP="001357B9">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48430F">
        <w:rPr>
          <w:rFonts w:ascii="Times New Roman" w:eastAsia="Times New Roman" w:hAnsi="Times New Roman" w:cs="Times New Roman"/>
          <w:sz w:val="24"/>
          <w:szCs w:val="24"/>
          <w:lang w:val="en-IN" w:eastAsia="en-IN"/>
        </w:rPr>
        <w:t xml:space="preserve">These factors, as assessed by the </w:t>
      </w:r>
      <w:r w:rsidRPr="001357B9">
        <w:rPr>
          <w:rFonts w:ascii="Times New Roman" w:eastAsia="Times New Roman" w:hAnsi="Times New Roman" w:cs="Times New Roman"/>
          <w:bCs/>
          <w:sz w:val="24"/>
          <w:szCs w:val="24"/>
          <w:lang w:val="en-IN" w:eastAsia="en-IN"/>
        </w:rPr>
        <w:t>Quick Exposure Check (QEC)</w:t>
      </w:r>
      <w:r w:rsidRPr="0048430F">
        <w:rPr>
          <w:rFonts w:ascii="Times New Roman" w:eastAsia="Times New Roman" w:hAnsi="Times New Roman" w:cs="Times New Roman"/>
          <w:sz w:val="24"/>
          <w:szCs w:val="24"/>
          <w:lang w:val="en-IN" w:eastAsia="en-IN"/>
        </w:rPr>
        <w:t>, indicate moderate to high risk for developing musculoskeletal disorders among nurses.</w:t>
      </w:r>
      <w:r w:rsidR="00E31F9F">
        <w:rPr>
          <w:rFonts w:ascii="Times New Roman" w:eastAsia="Times New Roman" w:hAnsi="Times New Roman" w:cs="Times New Roman"/>
          <w:sz w:val="24"/>
          <w:szCs w:val="24"/>
          <w:vertAlign w:val="superscript"/>
          <w:lang w:val="en-IN" w:eastAsia="en-IN"/>
        </w:rPr>
        <w:t>8,9,10</w:t>
      </w:r>
    </w:p>
    <w:p w:rsidR="0048430F" w:rsidRPr="001357B9" w:rsidRDefault="00305C80" w:rsidP="001357B9">
      <w:pPr>
        <w:jc w:val="both"/>
        <w:rPr>
          <w:rFonts w:ascii="Times New Roman" w:hAnsi="Times New Roman" w:cs="Times New Roman"/>
          <w:b/>
          <w:sz w:val="24"/>
          <w:szCs w:val="24"/>
        </w:rPr>
      </w:pPr>
      <w:r>
        <w:rPr>
          <w:rFonts w:ascii="Times New Roman" w:hAnsi="Times New Roman" w:cs="Times New Roman"/>
          <w:b/>
          <w:sz w:val="24"/>
          <w:szCs w:val="24"/>
        </w:rPr>
        <w:t xml:space="preserve">3. </w:t>
      </w:r>
      <w:r w:rsidR="000A6BDA">
        <w:rPr>
          <w:rFonts w:ascii="Times New Roman" w:hAnsi="Times New Roman" w:cs="Times New Roman"/>
          <w:b/>
          <w:sz w:val="24"/>
          <w:szCs w:val="24"/>
        </w:rPr>
        <w:t>Results</w:t>
      </w:r>
    </w:p>
    <w:p w:rsidR="001357B9" w:rsidRPr="001357B9" w:rsidRDefault="00305C80" w:rsidP="001357B9">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3.1 </w:t>
      </w:r>
      <w:r w:rsidR="001357B9" w:rsidRPr="000A6BDA">
        <w:rPr>
          <w:rFonts w:ascii="Times New Roman" w:eastAsia="Times New Roman" w:hAnsi="Times New Roman" w:cs="Times New Roman"/>
          <w:b/>
          <w:bCs/>
          <w:sz w:val="24"/>
          <w:szCs w:val="24"/>
          <w:lang w:val="en-IN" w:eastAsia="en-IN"/>
        </w:rPr>
        <w:t>Demographic Characteristics</w:t>
      </w:r>
    </w:p>
    <w:p w:rsidR="001357B9" w:rsidRDefault="001357B9" w:rsidP="001357B9">
      <w:pPr>
        <w:spacing w:before="100" w:beforeAutospacing="1" w:after="100" w:afterAutospacing="1" w:line="240" w:lineRule="auto"/>
        <w:rPr>
          <w:rFonts w:ascii="Times New Roman" w:eastAsia="Times New Roman" w:hAnsi="Times New Roman" w:cs="Times New Roman"/>
          <w:sz w:val="24"/>
          <w:szCs w:val="24"/>
          <w:lang w:val="en-IN" w:eastAsia="en-IN"/>
        </w:rPr>
      </w:pPr>
      <w:r w:rsidRPr="001357B9">
        <w:rPr>
          <w:rFonts w:ascii="Times New Roman" w:eastAsia="Times New Roman" w:hAnsi="Times New Roman" w:cs="Times New Roman"/>
          <w:sz w:val="24"/>
          <w:szCs w:val="24"/>
          <w:lang w:val="en-IN" w:eastAsia="en-IN"/>
        </w:rPr>
        <w:t xml:space="preserve">The demographic characteristics of the participants are presented in Table 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2"/>
        <w:gridCol w:w="2029"/>
      </w:tblGrid>
      <w:tr w:rsidR="00BA3BA5" w:rsidRPr="00BA3BA5" w:rsidTr="006D795B">
        <w:trPr>
          <w:tblHeader/>
          <w:tblCellSpacing w:w="15" w:type="dxa"/>
        </w:trPr>
        <w:tc>
          <w:tcPr>
            <w:tcW w:w="0" w:type="auto"/>
            <w:tcBorders>
              <w:top w:val="single" w:sz="4" w:space="0" w:color="auto"/>
              <w:left w:val="single" w:sz="4" w:space="0" w:color="auto"/>
              <w:bottom w:val="single" w:sz="4" w:space="0" w:color="auto"/>
            </w:tcBorders>
            <w:vAlign w:val="center"/>
            <w:hideMark/>
          </w:tcPr>
          <w:p w:rsidR="00BA3BA5" w:rsidRPr="00BA3BA5" w:rsidRDefault="00BA3BA5" w:rsidP="00BA3BA5">
            <w:pPr>
              <w:spacing w:after="0" w:line="240" w:lineRule="auto"/>
              <w:jc w:val="center"/>
              <w:rPr>
                <w:rFonts w:ascii="Times New Roman" w:eastAsia="Times New Roman" w:hAnsi="Times New Roman" w:cs="Times New Roman"/>
                <w:b/>
                <w:bCs/>
                <w:sz w:val="24"/>
                <w:szCs w:val="24"/>
                <w:lang w:val="en-IN" w:eastAsia="en-IN"/>
              </w:rPr>
            </w:pPr>
            <w:r w:rsidRPr="00BA3BA5">
              <w:rPr>
                <w:rFonts w:ascii="Times New Roman" w:eastAsia="Times New Roman" w:hAnsi="Times New Roman" w:cs="Times New Roman"/>
                <w:b/>
                <w:bCs/>
                <w:sz w:val="24"/>
                <w:szCs w:val="24"/>
                <w:lang w:val="en-IN" w:eastAsia="en-IN"/>
              </w:rPr>
              <w:t>Characteristics</w:t>
            </w:r>
          </w:p>
        </w:tc>
        <w:tc>
          <w:tcPr>
            <w:tcW w:w="0" w:type="auto"/>
            <w:tcBorders>
              <w:top w:val="single" w:sz="4" w:space="0" w:color="auto"/>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jc w:val="center"/>
              <w:rPr>
                <w:rFonts w:ascii="Times New Roman" w:eastAsia="Times New Roman" w:hAnsi="Times New Roman" w:cs="Times New Roman"/>
                <w:b/>
                <w:bCs/>
                <w:sz w:val="24"/>
                <w:szCs w:val="24"/>
                <w:lang w:val="en-IN" w:eastAsia="en-IN"/>
              </w:rPr>
            </w:pPr>
            <w:r w:rsidRPr="00BA3BA5">
              <w:rPr>
                <w:rFonts w:ascii="Times New Roman" w:eastAsia="Times New Roman" w:hAnsi="Times New Roman" w:cs="Times New Roman"/>
                <w:b/>
                <w:bCs/>
                <w:sz w:val="24"/>
                <w:szCs w:val="24"/>
                <w:lang w:val="en-IN" w:eastAsia="en-IN"/>
              </w:rPr>
              <w:t>Mean (SD) / N (%)</w:t>
            </w:r>
          </w:p>
        </w:tc>
      </w:tr>
      <w:tr w:rsidR="00BA3BA5" w:rsidRPr="00BA3BA5" w:rsidTr="006D795B">
        <w:trPr>
          <w:tblCellSpacing w:w="15" w:type="dxa"/>
        </w:trPr>
        <w:tc>
          <w:tcPr>
            <w:tcW w:w="0" w:type="auto"/>
            <w:tcBorders>
              <w:lef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Age (years)</w:t>
            </w:r>
          </w:p>
        </w:tc>
        <w:tc>
          <w:tcPr>
            <w:tcW w:w="0" w:type="auto"/>
            <w:tcBorders>
              <w:left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29.4 ± 5.8</w:t>
            </w:r>
          </w:p>
        </w:tc>
      </w:tr>
      <w:tr w:rsidR="00BA3BA5" w:rsidRPr="00BA3BA5" w:rsidTr="006D795B">
        <w:trPr>
          <w:tblCellSpacing w:w="15" w:type="dxa"/>
        </w:trPr>
        <w:tc>
          <w:tcPr>
            <w:tcW w:w="0" w:type="auto"/>
            <w:tcBorders>
              <w:top w:val="single" w:sz="4" w:space="0" w:color="auto"/>
              <w:left w:val="single" w:sz="4" w:space="0" w:color="auto"/>
              <w:bottom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BMI (kg/m²)</w:t>
            </w:r>
          </w:p>
        </w:tc>
        <w:tc>
          <w:tcPr>
            <w:tcW w:w="0" w:type="auto"/>
            <w:tcBorders>
              <w:top w:val="single" w:sz="4" w:space="0" w:color="auto"/>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23.6 ± 3.2</w:t>
            </w:r>
          </w:p>
        </w:tc>
      </w:tr>
      <w:tr w:rsidR="00BA3BA5" w:rsidRPr="00BA3BA5" w:rsidTr="006D795B">
        <w:trPr>
          <w:tblCellSpacing w:w="15" w:type="dxa"/>
        </w:trPr>
        <w:tc>
          <w:tcPr>
            <w:tcW w:w="0" w:type="auto"/>
            <w:tcBorders>
              <w:left w:val="single" w:sz="4" w:space="0" w:color="auto"/>
              <w:bottom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Work Experience (years)</w:t>
            </w:r>
          </w:p>
        </w:tc>
        <w:tc>
          <w:tcPr>
            <w:tcW w:w="0" w:type="auto"/>
            <w:tcBorders>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6.2 ± 4.1</w:t>
            </w:r>
          </w:p>
        </w:tc>
      </w:tr>
      <w:tr w:rsidR="00BA3BA5" w:rsidRPr="00BA3BA5" w:rsidTr="006D795B">
        <w:trPr>
          <w:tblCellSpacing w:w="15" w:type="dxa"/>
        </w:trPr>
        <w:tc>
          <w:tcPr>
            <w:tcW w:w="0" w:type="auto"/>
            <w:tcBorders>
              <w:left w:val="single" w:sz="4" w:space="0" w:color="auto"/>
              <w:bottom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Working Hours (hours/day)</w:t>
            </w:r>
          </w:p>
        </w:tc>
        <w:tc>
          <w:tcPr>
            <w:tcW w:w="0" w:type="auto"/>
            <w:tcBorders>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9.1 ± 1.8</w:t>
            </w:r>
          </w:p>
        </w:tc>
      </w:tr>
    </w:tbl>
    <w:p w:rsidR="00BA3BA5" w:rsidRPr="00705E22" w:rsidRDefault="00705E22" w:rsidP="00705E22">
      <w:pPr>
        <w:spacing w:before="100" w:beforeAutospacing="1" w:after="100" w:afterAutospacing="1" w:line="240" w:lineRule="auto"/>
        <w:rPr>
          <w:rFonts w:ascii="Times New Roman" w:eastAsia="Times New Roman" w:hAnsi="Times New Roman" w:cs="Times New Roman"/>
          <w:sz w:val="24"/>
          <w:szCs w:val="24"/>
          <w:lang w:val="en-IN" w:eastAsia="en-IN"/>
        </w:rPr>
      </w:pPr>
      <w:r w:rsidRPr="00705E22">
        <w:rPr>
          <w:rFonts w:ascii="Times New Roman" w:eastAsia="Times New Roman" w:hAnsi="Times New Roman" w:cs="Times New Roman"/>
          <w:sz w:val="24"/>
          <w:szCs w:val="24"/>
          <w:lang w:val="en-IN" w:eastAsia="en-IN"/>
        </w:rPr>
        <w:t>The prevalence of musculoskeletal disorders among nurses is shown in Table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9"/>
        <w:gridCol w:w="985"/>
      </w:tblGrid>
      <w:tr w:rsidR="00BA3BA5" w:rsidRPr="00BA3BA5" w:rsidTr="006D795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jc w:val="center"/>
              <w:rPr>
                <w:rFonts w:ascii="Times New Roman" w:eastAsia="Times New Roman" w:hAnsi="Times New Roman" w:cs="Times New Roman"/>
                <w:b/>
                <w:bCs/>
                <w:sz w:val="24"/>
                <w:szCs w:val="24"/>
                <w:lang w:val="en-IN" w:eastAsia="en-IN"/>
              </w:rPr>
            </w:pPr>
            <w:r w:rsidRPr="00BA3BA5">
              <w:rPr>
                <w:rFonts w:ascii="Times New Roman" w:eastAsia="Times New Roman" w:hAnsi="Times New Roman" w:cs="Times New Roman"/>
                <w:b/>
                <w:bCs/>
                <w:sz w:val="24"/>
                <w:szCs w:val="24"/>
                <w:lang w:val="en-IN" w:eastAsia="en-IN"/>
              </w:rPr>
              <w:t>Body Region</w:t>
            </w:r>
          </w:p>
        </w:tc>
        <w:tc>
          <w:tcPr>
            <w:tcW w:w="0" w:type="auto"/>
            <w:tcBorders>
              <w:top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jc w:val="center"/>
              <w:rPr>
                <w:rFonts w:ascii="Times New Roman" w:eastAsia="Times New Roman" w:hAnsi="Times New Roman" w:cs="Times New Roman"/>
                <w:b/>
                <w:bCs/>
                <w:sz w:val="24"/>
                <w:szCs w:val="24"/>
                <w:lang w:val="en-IN" w:eastAsia="en-IN"/>
              </w:rPr>
            </w:pPr>
            <w:r w:rsidRPr="00BA3BA5">
              <w:rPr>
                <w:rFonts w:ascii="Times New Roman" w:eastAsia="Times New Roman" w:hAnsi="Times New Roman" w:cs="Times New Roman"/>
                <w:b/>
                <w:bCs/>
                <w:sz w:val="24"/>
                <w:szCs w:val="24"/>
                <w:lang w:val="en-IN" w:eastAsia="en-IN"/>
              </w:rPr>
              <w:t>N (%)</w:t>
            </w:r>
          </w:p>
        </w:tc>
      </w:tr>
      <w:tr w:rsidR="00BA3BA5" w:rsidRPr="00BA3BA5" w:rsidTr="006D795B">
        <w:trPr>
          <w:tblCellSpacing w:w="15" w:type="dxa"/>
        </w:trPr>
        <w:tc>
          <w:tcPr>
            <w:tcW w:w="0" w:type="auto"/>
            <w:tcBorders>
              <w:left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Lower Back</w:t>
            </w:r>
          </w:p>
        </w:tc>
        <w:tc>
          <w:tcPr>
            <w:tcW w:w="0" w:type="auto"/>
            <w:tcBorders>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68 (68%)</w:t>
            </w:r>
          </w:p>
        </w:tc>
      </w:tr>
      <w:tr w:rsidR="00BA3BA5" w:rsidRPr="00BA3BA5" w:rsidTr="006D795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Neck</w:t>
            </w:r>
          </w:p>
        </w:tc>
        <w:tc>
          <w:tcPr>
            <w:tcW w:w="0" w:type="auto"/>
            <w:tcBorders>
              <w:top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60 (60%)</w:t>
            </w:r>
          </w:p>
        </w:tc>
      </w:tr>
      <w:tr w:rsidR="00BA3BA5" w:rsidRPr="00BA3BA5"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Shoulder</w:t>
            </w:r>
          </w:p>
        </w:tc>
        <w:tc>
          <w:tcPr>
            <w:tcW w:w="0" w:type="auto"/>
            <w:tcBorders>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55 (55%)</w:t>
            </w:r>
          </w:p>
        </w:tc>
      </w:tr>
      <w:tr w:rsidR="00BA3BA5" w:rsidRPr="00BA3BA5" w:rsidTr="006D795B">
        <w:trPr>
          <w:tblCellSpacing w:w="15" w:type="dxa"/>
        </w:trPr>
        <w:tc>
          <w:tcPr>
            <w:tcW w:w="0" w:type="auto"/>
            <w:tcBorders>
              <w:left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Wrist/Hand</w:t>
            </w:r>
          </w:p>
        </w:tc>
        <w:tc>
          <w:tcPr>
            <w:tcW w:w="0" w:type="auto"/>
            <w:tcBorders>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40 (40%)</w:t>
            </w:r>
          </w:p>
        </w:tc>
      </w:tr>
      <w:tr w:rsidR="00BA3BA5" w:rsidRPr="00BA3BA5" w:rsidTr="006D795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Knee</w:t>
            </w:r>
          </w:p>
        </w:tc>
        <w:tc>
          <w:tcPr>
            <w:tcW w:w="0" w:type="auto"/>
            <w:tcBorders>
              <w:top w:val="single" w:sz="4" w:space="0" w:color="auto"/>
              <w:bottom w:val="single" w:sz="4" w:space="0" w:color="auto"/>
              <w:right w:val="single" w:sz="4" w:space="0" w:color="auto"/>
            </w:tcBorders>
            <w:vAlign w:val="center"/>
            <w:hideMark/>
          </w:tcPr>
          <w:p w:rsidR="00BA3BA5" w:rsidRPr="00BA3BA5" w:rsidRDefault="00BA3BA5" w:rsidP="00BA3BA5">
            <w:pPr>
              <w:spacing w:after="0" w:line="240" w:lineRule="auto"/>
              <w:rPr>
                <w:rFonts w:ascii="Times New Roman" w:eastAsia="Times New Roman" w:hAnsi="Times New Roman" w:cs="Times New Roman"/>
                <w:sz w:val="24"/>
                <w:szCs w:val="24"/>
                <w:lang w:val="en-IN" w:eastAsia="en-IN"/>
              </w:rPr>
            </w:pPr>
            <w:r w:rsidRPr="00BA3BA5">
              <w:rPr>
                <w:rFonts w:ascii="Times New Roman" w:eastAsia="Times New Roman" w:hAnsi="Times New Roman" w:cs="Times New Roman"/>
                <w:sz w:val="24"/>
                <w:szCs w:val="24"/>
                <w:lang w:val="en-IN" w:eastAsia="en-IN"/>
              </w:rPr>
              <w:t>35 (35%)</w:t>
            </w:r>
          </w:p>
        </w:tc>
      </w:tr>
    </w:tbl>
    <w:p w:rsidR="00705E22" w:rsidRPr="00705E22" w:rsidRDefault="00705E22" w:rsidP="00705E22">
      <w:pPr>
        <w:spacing w:before="100" w:beforeAutospacing="1" w:after="100" w:afterAutospacing="1" w:line="240" w:lineRule="auto"/>
        <w:rPr>
          <w:rFonts w:ascii="Times New Roman" w:eastAsia="Times New Roman" w:hAnsi="Times New Roman" w:cs="Times New Roman"/>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4A6EA8" w:rsidRPr="004A6EA8" w:rsidRDefault="00305C80"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3.3 </w:t>
      </w:r>
      <w:r w:rsidR="004A6EA8" w:rsidRPr="000A6BDA">
        <w:rPr>
          <w:rFonts w:ascii="Times New Roman" w:eastAsia="Times New Roman" w:hAnsi="Times New Roman" w:cs="Times New Roman"/>
          <w:b/>
          <w:bCs/>
          <w:sz w:val="24"/>
          <w:szCs w:val="24"/>
          <w:lang w:val="en-IN" w:eastAsia="en-IN"/>
        </w:rPr>
        <w:t>QEC Exposure Levels</w:t>
      </w:r>
    </w:p>
    <w:p w:rsidR="004A6EA8" w:rsidRPr="004A6EA8" w:rsidRDefault="004A6EA8" w:rsidP="004A6EA8">
      <w:pPr>
        <w:spacing w:before="100" w:beforeAutospacing="1" w:after="100" w:afterAutospacing="1"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 xml:space="preserve">The exposure levels assessed using the </w:t>
      </w:r>
      <w:r w:rsidRPr="004A6EA8">
        <w:rPr>
          <w:rFonts w:ascii="Times New Roman" w:eastAsia="Times New Roman" w:hAnsi="Times New Roman" w:cs="Times New Roman"/>
          <w:b/>
          <w:bCs/>
          <w:sz w:val="24"/>
          <w:szCs w:val="24"/>
          <w:lang w:val="en-IN" w:eastAsia="en-IN"/>
        </w:rPr>
        <w:t>Quick Exposure Check (QEC)</w:t>
      </w:r>
      <w:r w:rsidRPr="004A6EA8">
        <w:rPr>
          <w:rFonts w:ascii="Times New Roman" w:eastAsia="Times New Roman" w:hAnsi="Times New Roman" w:cs="Times New Roman"/>
          <w:sz w:val="24"/>
          <w:szCs w:val="24"/>
          <w:lang w:val="en-IN" w:eastAsia="en-IN"/>
        </w:rPr>
        <w:t xml:space="preserve"> are presented in Table 3. Majority of nurses were found to be in high exposure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9"/>
        <w:gridCol w:w="995"/>
      </w:tblGrid>
      <w:tr w:rsidR="004A6EA8" w:rsidRPr="004A6EA8" w:rsidTr="006D795B">
        <w:trPr>
          <w:tblHeader/>
          <w:tblCellSpacing w:w="15" w:type="dxa"/>
        </w:trPr>
        <w:tc>
          <w:tcPr>
            <w:tcW w:w="0" w:type="auto"/>
            <w:tcBorders>
              <w:top w:val="single" w:sz="4" w:space="0" w:color="auto"/>
              <w:lef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Exposure Level</w:t>
            </w:r>
          </w:p>
        </w:tc>
        <w:tc>
          <w:tcPr>
            <w:tcW w:w="0" w:type="auto"/>
            <w:tcBorders>
              <w:top w:val="single" w:sz="4" w:space="0" w:color="auto"/>
              <w:left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N (%)</w:t>
            </w:r>
          </w:p>
        </w:tc>
      </w:tr>
      <w:tr w:rsidR="004A6EA8" w:rsidRPr="004A6EA8" w:rsidTr="006D795B">
        <w:trPr>
          <w:tblCellSpacing w:w="15" w:type="dxa"/>
        </w:trPr>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lastRenderedPageBreak/>
              <w:t>Low</w:t>
            </w:r>
          </w:p>
        </w:tc>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10 (10%)</w:t>
            </w:r>
          </w:p>
        </w:tc>
      </w:tr>
      <w:tr w:rsidR="004A6EA8" w:rsidRPr="004A6EA8" w:rsidTr="006D795B">
        <w:trPr>
          <w:tblCellSpacing w:w="15" w:type="dxa"/>
        </w:trPr>
        <w:tc>
          <w:tcPr>
            <w:tcW w:w="0" w:type="auto"/>
            <w:tcBorders>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Moderate</w:t>
            </w:r>
          </w:p>
        </w:tc>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35 (35%)</w:t>
            </w:r>
          </w:p>
        </w:tc>
      </w:tr>
      <w:tr w:rsidR="004A6EA8" w:rsidRPr="004A6EA8" w:rsidTr="006D795B">
        <w:trPr>
          <w:tblCellSpacing w:w="15" w:type="dxa"/>
        </w:trPr>
        <w:tc>
          <w:tcPr>
            <w:tcW w:w="0" w:type="auto"/>
            <w:tcBorders>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High</w:t>
            </w:r>
          </w:p>
        </w:tc>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40 (40%)</w:t>
            </w:r>
          </w:p>
        </w:tc>
      </w:tr>
      <w:tr w:rsidR="004A6EA8" w:rsidRPr="004A6EA8" w:rsidTr="006D795B">
        <w:trPr>
          <w:tblCellSpacing w:w="15" w:type="dxa"/>
        </w:trPr>
        <w:tc>
          <w:tcPr>
            <w:tcW w:w="0" w:type="auto"/>
            <w:tcBorders>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Very High</w:t>
            </w:r>
          </w:p>
        </w:tc>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15 (15%)</w:t>
            </w:r>
          </w:p>
        </w:tc>
      </w:tr>
    </w:tbl>
    <w:p w:rsidR="00E31F9F" w:rsidRDefault="00E31F9F" w:rsidP="00305C80">
      <w:pPr>
        <w:spacing w:before="100" w:beforeAutospacing="1" w:after="100" w:afterAutospacing="1" w:line="240" w:lineRule="auto"/>
        <w:outlineLvl w:val="1"/>
        <w:rPr>
          <w:rFonts w:ascii="Times New Roman" w:eastAsia="Times New Roman" w:hAnsi="Times New Roman" w:cs="Times New Roman"/>
          <w:b/>
          <w:bCs/>
          <w:sz w:val="24"/>
          <w:szCs w:val="36"/>
          <w:lang w:val="en-IN" w:eastAsia="en-IN"/>
        </w:rPr>
      </w:pPr>
    </w:p>
    <w:p w:rsidR="00305C80" w:rsidRDefault="00305C80" w:rsidP="00305C80">
      <w:pPr>
        <w:spacing w:before="100" w:beforeAutospacing="1" w:after="100" w:afterAutospacing="1" w:line="240" w:lineRule="auto"/>
        <w:outlineLvl w:val="1"/>
        <w:rPr>
          <w:rFonts w:ascii="Times New Roman" w:eastAsia="Times New Roman" w:hAnsi="Times New Roman" w:cs="Times New Roman"/>
          <w:b/>
          <w:bCs/>
          <w:sz w:val="24"/>
          <w:szCs w:val="36"/>
          <w:lang w:val="en-IN" w:eastAsia="en-IN"/>
        </w:rPr>
      </w:pPr>
      <w:r>
        <w:rPr>
          <w:rFonts w:ascii="Times New Roman" w:eastAsia="Times New Roman" w:hAnsi="Times New Roman" w:cs="Times New Roman"/>
          <w:b/>
          <w:bCs/>
          <w:sz w:val="24"/>
          <w:szCs w:val="36"/>
          <w:lang w:val="en-IN" w:eastAsia="en-IN"/>
        </w:rPr>
        <w:t xml:space="preserve">3.4 </w:t>
      </w:r>
      <w:r w:rsidR="004A6EA8" w:rsidRPr="000A6BDA">
        <w:rPr>
          <w:rFonts w:ascii="Times New Roman" w:eastAsia="Times New Roman" w:hAnsi="Times New Roman" w:cs="Times New Roman"/>
          <w:b/>
          <w:bCs/>
          <w:sz w:val="24"/>
          <w:szCs w:val="36"/>
          <w:lang w:val="en-IN" w:eastAsia="en-IN"/>
        </w:rPr>
        <w:t>QEC Body Region Scores</w:t>
      </w:r>
    </w:p>
    <w:p w:rsidR="004A6EA8" w:rsidRPr="00305C80" w:rsidRDefault="004A6EA8" w:rsidP="00305C80">
      <w:pPr>
        <w:spacing w:before="100" w:beforeAutospacing="1" w:after="100" w:afterAutospacing="1" w:line="240" w:lineRule="auto"/>
        <w:outlineLvl w:val="1"/>
        <w:rPr>
          <w:rFonts w:ascii="Times New Roman" w:eastAsia="Times New Roman" w:hAnsi="Times New Roman" w:cs="Times New Roman"/>
          <w:b/>
          <w:bCs/>
          <w:sz w:val="24"/>
          <w:szCs w:val="36"/>
          <w:lang w:val="en-IN" w:eastAsia="en-IN"/>
        </w:rPr>
      </w:pPr>
      <w:r w:rsidRPr="004A6EA8">
        <w:rPr>
          <w:rFonts w:ascii="Times New Roman" w:eastAsia="Times New Roman" w:hAnsi="Times New Roman" w:cs="Times New Roman"/>
          <w:sz w:val="24"/>
          <w:szCs w:val="24"/>
          <w:lang w:val="en-IN" w:eastAsia="en-IN"/>
        </w:rPr>
        <w:t>The average exposure scores for different body regions are shown in Table 4. The back showed the highest exposure level, followed by neck and shoulder.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1290"/>
        <w:gridCol w:w="1679"/>
      </w:tblGrid>
      <w:tr w:rsidR="004A6EA8" w:rsidRPr="004A6EA8" w:rsidTr="006D795B">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305C80" w:rsidP="004A6EA8">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3.5 </w:t>
            </w:r>
            <w:r w:rsidR="004A6EA8" w:rsidRPr="004A6EA8">
              <w:rPr>
                <w:rFonts w:ascii="Times New Roman" w:eastAsia="Times New Roman" w:hAnsi="Times New Roman" w:cs="Times New Roman"/>
                <w:b/>
                <w:bCs/>
                <w:sz w:val="24"/>
                <w:szCs w:val="24"/>
                <w:lang w:val="en-IN" w:eastAsia="en-IN"/>
              </w:rPr>
              <w:t>Body Region</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Mean Score</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Exposure Level</w:t>
            </w:r>
          </w:p>
        </w:tc>
      </w:tr>
      <w:tr w:rsidR="004A6EA8" w:rsidRPr="004A6EA8"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Back</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34</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High</w:t>
            </w:r>
          </w:p>
        </w:tc>
      </w:tr>
      <w:tr w:rsidR="004A6EA8" w:rsidRPr="004A6EA8"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Neck</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12</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Moderate</w:t>
            </w:r>
          </w:p>
        </w:tc>
      </w:tr>
      <w:tr w:rsidR="004A6EA8" w:rsidRPr="004A6EA8"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Shoulder/Arm</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28</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High</w:t>
            </w:r>
          </w:p>
        </w:tc>
      </w:tr>
      <w:tr w:rsidR="004A6EA8" w:rsidRPr="004A6EA8"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Wrist/Hand</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24</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Moderate</w:t>
            </w:r>
          </w:p>
        </w:tc>
      </w:tr>
    </w:tbl>
    <w:p w:rsidR="004A6EA8" w:rsidRPr="004A6EA8" w:rsidRDefault="00305C80" w:rsidP="004A6EA8">
      <w:pPr>
        <w:spacing w:before="100" w:beforeAutospacing="1" w:after="100" w:afterAutospacing="1" w:line="240" w:lineRule="auto"/>
        <w:outlineLvl w:val="1"/>
        <w:rPr>
          <w:rFonts w:ascii="Times New Roman" w:eastAsia="Times New Roman" w:hAnsi="Times New Roman" w:cs="Times New Roman"/>
          <w:b/>
          <w:bCs/>
          <w:sz w:val="24"/>
          <w:szCs w:val="28"/>
          <w:lang w:val="en-IN" w:eastAsia="en-IN"/>
        </w:rPr>
      </w:pPr>
      <w:r>
        <w:rPr>
          <w:rFonts w:ascii="Times New Roman" w:eastAsia="Times New Roman" w:hAnsi="Times New Roman" w:cs="Times New Roman"/>
          <w:b/>
          <w:bCs/>
          <w:sz w:val="24"/>
          <w:szCs w:val="28"/>
          <w:lang w:val="en-IN" w:eastAsia="en-IN"/>
        </w:rPr>
        <w:t xml:space="preserve">3.6 </w:t>
      </w:r>
      <w:r w:rsidR="004A6EA8" w:rsidRPr="000A6BDA">
        <w:rPr>
          <w:rFonts w:ascii="Times New Roman" w:eastAsia="Times New Roman" w:hAnsi="Times New Roman" w:cs="Times New Roman"/>
          <w:b/>
          <w:bCs/>
          <w:sz w:val="24"/>
          <w:szCs w:val="28"/>
          <w:lang w:val="en-IN" w:eastAsia="en-IN"/>
        </w:rPr>
        <w:t>Association Analysis (Chi-Square Test)</w:t>
      </w:r>
    </w:p>
    <w:p w:rsidR="004A6EA8" w:rsidRPr="004A6EA8" w:rsidRDefault="004A6EA8" w:rsidP="004A6EA8">
      <w:pPr>
        <w:spacing w:before="100" w:beforeAutospacing="1" w:after="100" w:afterAutospacing="1"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The association between working hours and WMSDs is presented in Table 5. A significant association was found (</w:t>
      </w:r>
      <w:r w:rsidRPr="004A6EA8">
        <w:rPr>
          <w:rFonts w:ascii="Times New Roman" w:eastAsia="Times New Roman" w:hAnsi="Times New Roman" w:cs="Times New Roman"/>
          <w:b/>
          <w:bCs/>
          <w:sz w:val="24"/>
          <w:szCs w:val="24"/>
          <w:lang w:val="en-IN" w:eastAsia="en-IN"/>
        </w:rPr>
        <w:t>p &lt; 0.05</w:t>
      </w:r>
      <w:r w:rsidRPr="004A6EA8">
        <w:rPr>
          <w:rFonts w:ascii="Times New Roman" w:eastAsia="Times New Roman" w:hAnsi="Times New Roman" w:cs="Times New Roman"/>
          <w:sz w:val="24"/>
          <w:szCs w:val="24"/>
          <w:lang w:val="en-IN" w:eastAsia="en-IN"/>
        </w:rPr>
        <w:t>), indicating that longer working hours increase the risk of WMSDs.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6"/>
        <w:gridCol w:w="1770"/>
        <w:gridCol w:w="1732"/>
      </w:tblGrid>
      <w:tr w:rsidR="004A6EA8" w:rsidRPr="004A6EA8" w:rsidTr="006D795B">
        <w:trPr>
          <w:tblHeader/>
          <w:tblCellSpacing w:w="15" w:type="dxa"/>
        </w:trPr>
        <w:tc>
          <w:tcPr>
            <w:tcW w:w="0" w:type="auto"/>
            <w:tcBorders>
              <w:top w:val="single" w:sz="4" w:space="0" w:color="auto"/>
              <w:left w:val="single" w:sz="4" w:space="0" w:color="auto"/>
              <w:right w:val="single" w:sz="4" w:space="0" w:color="auto"/>
            </w:tcBorders>
            <w:vAlign w:val="center"/>
            <w:hideMark/>
          </w:tcPr>
          <w:p w:rsidR="004A6EA8" w:rsidRPr="004A6EA8" w:rsidRDefault="00305C80" w:rsidP="004A6EA8">
            <w:pPr>
              <w:spacing w:after="0" w:line="240" w:lineRule="auto"/>
              <w:jc w:val="center"/>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3.7 </w:t>
            </w:r>
            <w:r w:rsidR="004A6EA8" w:rsidRPr="004A6EA8">
              <w:rPr>
                <w:rFonts w:ascii="Times New Roman" w:eastAsia="Times New Roman" w:hAnsi="Times New Roman" w:cs="Times New Roman"/>
                <w:b/>
                <w:bCs/>
                <w:sz w:val="24"/>
                <w:szCs w:val="24"/>
                <w:lang w:val="en-IN" w:eastAsia="en-IN"/>
              </w:rPr>
              <w:t>Working Hours</w:t>
            </w:r>
          </w:p>
        </w:tc>
        <w:tc>
          <w:tcPr>
            <w:tcW w:w="0" w:type="auto"/>
            <w:tcBorders>
              <w:top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WMSDs Present</w:t>
            </w:r>
          </w:p>
        </w:tc>
        <w:tc>
          <w:tcPr>
            <w:tcW w:w="0" w:type="auto"/>
            <w:tcBorders>
              <w:top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WMSDs Absent</w:t>
            </w:r>
          </w:p>
        </w:tc>
      </w:tr>
      <w:tr w:rsidR="004A6EA8" w:rsidRPr="004A6EA8" w:rsidTr="006D795B">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 8 hours</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18</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12</w:t>
            </w:r>
          </w:p>
        </w:tc>
      </w:tr>
      <w:tr w:rsidR="004A6EA8" w:rsidRPr="004A6EA8" w:rsidTr="006D795B">
        <w:trPr>
          <w:tblCellSpacing w:w="15" w:type="dxa"/>
        </w:trPr>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&gt; 8 hours</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57</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13</w:t>
            </w:r>
          </w:p>
        </w:tc>
      </w:tr>
    </w:tbl>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AB61D5" w:rsidRDefault="00AB61D5"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4A6EA8" w:rsidRPr="004A6EA8" w:rsidRDefault="00305C80"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3.8 </w:t>
      </w:r>
      <w:r w:rsidR="004A6EA8" w:rsidRPr="000A6BDA">
        <w:rPr>
          <w:rFonts w:ascii="Times New Roman" w:eastAsia="Times New Roman" w:hAnsi="Times New Roman" w:cs="Times New Roman"/>
          <w:b/>
          <w:bCs/>
          <w:sz w:val="24"/>
          <w:szCs w:val="24"/>
          <w:lang w:val="en-IN" w:eastAsia="en-IN"/>
        </w:rPr>
        <w:t>Correlation Analysis</w:t>
      </w:r>
    </w:p>
    <w:p w:rsidR="004A6EA8" w:rsidRPr="004A6EA8" w:rsidRDefault="004A6EA8" w:rsidP="004A6EA8">
      <w:pPr>
        <w:spacing w:before="100" w:beforeAutospacing="1" w:after="100" w:afterAutospacing="1"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Pearson correlation analysis showed a positive relationship between work-related variables and QEC scores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1"/>
        <w:gridCol w:w="814"/>
        <w:gridCol w:w="846"/>
      </w:tblGrid>
      <w:tr w:rsidR="004A6EA8" w:rsidRPr="004A6EA8" w:rsidTr="006D795B">
        <w:trPr>
          <w:tblHeader/>
          <w:tblCellSpacing w:w="15" w:type="dxa"/>
        </w:trPr>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lastRenderedPageBreak/>
              <w:t>Variables</w:t>
            </w:r>
          </w:p>
        </w:tc>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r-value</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p-value</w:t>
            </w:r>
          </w:p>
        </w:tc>
      </w:tr>
      <w:tr w:rsidR="004A6EA8" w:rsidRPr="004A6EA8" w:rsidTr="006D795B">
        <w:trPr>
          <w:tblCellSpacing w:w="15" w:type="dxa"/>
        </w:trPr>
        <w:tc>
          <w:tcPr>
            <w:tcW w:w="0" w:type="auto"/>
            <w:tcBorders>
              <w:lef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Working Hours vs QEC Score</w:t>
            </w:r>
          </w:p>
        </w:tc>
        <w:tc>
          <w:tcPr>
            <w:tcW w:w="0" w:type="auto"/>
            <w:tcBorders>
              <w:left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0.48</w:t>
            </w:r>
          </w:p>
        </w:tc>
        <w:tc>
          <w:tcPr>
            <w:tcW w:w="0" w:type="auto"/>
            <w:tcBorders>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0.000</w:t>
            </w:r>
          </w:p>
        </w:tc>
      </w:tr>
      <w:tr w:rsidR="004A6EA8" w:rsidRPr="004A6EA8" w:rsidTr="006D795B">
        <w:trPr>
          <w:tblCellSpacing w:w="15" w:type="dxa"/>
        </w:trPr>
        <w:tc>
          <w:tcPr>
            <w:tcW w:w="0" w:type="auto"/>
            <w:tcBorders>
              <w:top w:val="single" w:sz="4" w:space="0" w:color="auto"/>
              <w:lef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Work Experience vs QEC Score</w:t>
            </w:r>
          </w:p>
        </w:tc>
        <w:tc>
          <w:tcPr>
            <w:tcW w:w="0" w:type="auto"/>
            <w:tcBorders>
              <w:top w:val="single" w:sz="4" w:space="0" w:color="auto"/>
              <w:left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0.42</w:t>
            </w:r>
          </w:p>
        </w:tc>
        <w:tc>
          <w:tcPr>
            <w:tcW w:w="0" w:type="auto"/>
            <w:tcBorders>
              <w:top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0.001</w:t>
            </w:r>
          </w:p>
        </w:tc>
      </w:tr>
      <w:tr w:rsidR="004A6EA8" w:rsidRPr="004A6EA8" w:rsidTr="006D795B">
        <w:trPr>
          <w:tblCellSpacing w:w="15" w:type="dxa"/>
        </w:trPr>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BMI vs WMSDs</w:t>
            </w:r>
          </w:p>
        </w:tc>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0.29</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0.021</w:t>
            </w:r>
          </w:p>
        </w:tc>
      </w:tr>
    </w:tbl>
    <w:p w:rsidR="00305C80" w:rsidRDefault="00305C80"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p>
    <w:p w:rsidR="004A6EA8" w:rsidRPr="004A6EA8" w:rsidRDefault="00305C80" w:rsidP="004A6EA8">
      <w:pPr>
        <w:spacing w:before="100" w:beforeAutospacing="1" w:after="100" w:afterAutospacing="1" w:line="240" w:lineRule="auto"/>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 xml:space="preserve">3.9 </w:t>
      </w:r>
      <w:r w:rsidR="004A6EA8" w:rsidRPr="000A6BDA">
        <w:rPr>
          <w:rFonts w:ascii="Times New Roman" w:eastAsia="Times New Roman" w:hAnsi="Times New Roman" w:cs="Times New Roman"/>
          <w:b/>
          <w:bCs/>
          <w:sz w:val="24"/>
          <w:szCs w:val="24"/>
          <w:lang w:val="en-IN" w:eastAsia="en-IN"/>
        </w:rPr>
        <w:t>Logistic Regression Analysis</w:t>
      </w:r>
    </w:p>
    <w:p w:rsidR="004A6EA8" w:rsidRPr="004A6EA8" w:rsidRDefault="004A6EA8" w:rsidP="004A6EA8">
      <w:pPr>
        <w:spacing w:before="100" w:beforeAutospacing="1" w:after="100" w:afterAutospacing="1"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Logistic regression analysis was performed to identify predictors of WMSDs (Table 7). High QEC score and longer working hours were significant predictors.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0"/>
        <w:gridCol w:w="430"/>
        <w:gridCol w:w="920"/>
        <w:gridCol w:w="846"/>
      </w:tblGrid>
      <w:tr w:rsidR="004A6EA8" w:rsidRPr="004A6EA8" w:rsidTr="0067605E">
        <w:trPr>
          <w:tblHeader/>
          <w:tblCellSpacing w:w="15" w:type="dxa"/>
        </w:trPr>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Variable</w:t>
            </w:r>
          </w:p>
        </w:tc>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OR</w:t>
            </w:r>
          </w:p>
        </w:tc>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95% CI</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jc w:val="center"/>
              <w:rPr>
                <w:rFonts w:ascii="Times New Roman" w:eastAsia="Times New Roman" w:hAnsi="Times New Roman" w:cs="Times New Roman"/>
                <w:b/>
                <w:bCs/>
                <w:sz w:val="24"/>
                <w:szCs w:val="24"/>
                <w:lang w:val="en-IN" w:eastAsia="en-IN"/>
              </w:rPr>
            </w:pPr>
            <w:r w:rsidRPr="004A6EA8">
              <w:rPr>
                <w:rFonts w:ascii="Times New Roman" w:eastAsia="Times New Roman" w:hAnsi="Times New Roman" w:cs="Times New Roman"/>
                <w:b/>
                <w:bCs/>
                <w:sz w:val="24"/>
                <w:szCs w:val="24"/>
                <w:lang w:val="en-IN" w:eastAsia="en-IN"/>
              </w:rPr>
              <w:t>p-value</w:t>
            </w:r>
          </w:p>
        </w:tc>
      </w:tr>
      <w:tr w:rsidR="004A6EA8" w:rsidRPr="004A6EA8" w:rsidTr="0067605E">
        <w:trPr>
          <w:tblCellSpacing w:w="15" w:type="dxa"/>
        </w:trPr>
        <w:tc>
          <w:tcPr>
            <w:tcW w:w="0" w:type="auto"/>
            <w:tcBorders>
              <w:lef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Working Hours (&gt;8 hrs)</w:t>
            </w:r>
          </w:p>
        </w:tc>
        <w:tc>
          <w:tcPr>
            <w:tcW w:w="0" w:type="auto"/>
            <w:tcBorders>
              <w:lef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2.6</w:t>
            </w:r>
          </w:p>
        </w:tc>
        <w:tc>
          <w:tcPr>
            <w:tcW w:w="0" w:type="auto"/>
            <w:tcBorders>
              <w:left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1.2 – 5.4</w:t>
            </w:r>
          </w:p>
        </w:tc>
        <w:tc>
          <w:tcPr>
            <w:tcW w:w="0" w:type="auto"/>
            <w:tcBorders>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0.012</w:t>
            </w:r>
          </w:p>
        </w:tc>
      </w:tr>
      <w:tr w:rsidR="004A6EA8" w:rsidRPr="004A6EA8" w:rsidTr="0067605E">
        <w:trPr>
          <w:tblCellSpacing w:w="15" w:type="dxa"/>
        </w:trPr>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QEC Score (High Risk)</w:t>
            </w:r>
          </w:p>
        </w:tc>
        <w:tc>
          <w:tcPr>
            <w:tcW w:w="0" w:type="auto"/>
            <w:tcBorders>
              <w:top w:val="single" w:sz="4" w:space="0" w:color="auto"/>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1.5 – 6.2</w:t>
            </w:r>
          </w:p>
        </w:tc>
        <w:tc>
          <w:tcPr>
            <w:tcW w:w="0" w:type="auto"/>
            <w:tcBorders>
              <w:top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0.002</w:t>
            </w:r>
          </w:p>
        </w:tc>
      </w:tr>
      <w:tr w:rsidR="004A6EA8" w:rsidRPr="004A6EA8" w:rsidTr="0067605E">
        <w:trPr>
          <w:tblCellSpacing w:w="15" w:type="dxa"/>
        </w:trPr>
        <w:tc>
          <w:tcPr>
            <w:tcW w:w="0" w:type="auto"/>
            <w:tcBorders>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Work Experience (&gt;5 yrs)</w:t>
            </w:r>
          </w:p>
        </w:tc>
        <w:tc>
          <w:tcPr>
            <w:tcW w:w="0" w:type="auto"/>
            <w:tcBorders>
              <w:left w:val="single" w:sz="4" w:space="0" w:color="auto"/>
              <w:bottom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1.9</w:t>
            </w:r>
          </w:p>
        </w:tc>
        <w:tc>
          <w:tcPr>
            <w:tcW w:w="0" w:type="auto"/>
            <w:tcBorders>
              <w:left w:val="single" w:sz="4" w:space="0" w:color="auto"/>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1.0 – 3.6</w:t>
            </w:r>
          </w:p>
        </w:tc>
        <w:tc>
          <w:tcPr>
            <w:tcW w:w="0" w:type="auto"/>
            <w:tcBorders>
              <w:bottom w:val="single" w:sz="4" w:space="0" w:color="auto"/>
              <w:right w:val="single" w:sz="4" w:space="0" w:color="auto"/>
            </w:tcBorders>
            <w:vAlign w:val="center"/>
            <w:hideMark/>
          </w:tcPr>
          <w:p w:rsidR="004A6EA8" w:rsidRPr="004A6EA8" w:rsidRDefault="004A6EA8" w:rsidP="004A6EA8">
            <w:pPr>
              <w:spacing w:after="0" w:line="240" w:lineRule="auto"/>
              <w:rPr>
                <w:rFonts w:ascii="Times New Roman" w:eastAsia="Times New Roman" w:hAnsi="Times New Roman" w:cs="Times New Roman"/>
                <w:sz w:val="24"/>
                <w:szCs w:val="24"/>
                <w:lang w:val="en-IN" w:eastAsia="en-IN"/>
              </w:rPr>
            </w:pPr>
            <w:r w:rsidRPr="004A6EA8">
              <w:rPr>
                <w:rFonts w:ascii="Times New Roman" w:eastAsia="Times New Roman" w:hAnsi="Times New Roman" w:cs="Times New Roman"/>
                <w:sz w:val="24"/>
                <w:szCs w:val="24"/>
                <w:lang w:val="en-IN" w:eastAsia="en-IN"/>
              </w:rPr>
              <w:t>0.048</w:t>
            </w:r>
          </w:p>
        </w:tc>
      </w:tr>
    </w:tbl>
    <w:p w:rsidR="00091314" w:rsidRPr="00091314" w:rsidRDefault="00091314" w:rsidP="001357B9">
      <w:pPr>
        <w:spacing w:after="0" w:line="240" w:lineRule="auto"/>
        <w:jc w:val="both"/>
        <w:rPr>
          <w:rFonts w:ascii="Times New Roman" w:eastAsia="Times New Roman" w:hAnsi="Times New Roman" w:cs="Times New Roman"/>
          <w:sz w:val="24"/>
          <w:szCs w:val="24"/>
          <w:lang w:val="en-IN" w:eastAsia="en-IN"/>
        </w:rPr>
      </w:pPr>
    </w:p>
    <w:p w:rsidR="00091314" w:rsidRPr="00091314" w:rsidRDefault="00305C80" w:rsidP="001357B9">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val="en-IN" w:eastAsia="en-IN"/>
        </w:rPr>
      </w:pPr>
      <w:r>
        <w:rPr>
          <w:rFonts w:ascii="Times New Roman" w:eastAsia="Times New Roman" w:hAnsi="Times New Roman" w:cs="Times New Roman"/>
          <w:b/>
          <w:bCs/>
          <w:kern w:val="36"/>
          <w:sz w:val="24"/>
          <w:szCs w:val="24"/>
          <w:lang w:val="en-IN" w:eastAsia="en-IN"/>
        </w:rPr>
        <w:t xml:space="preserve">4. </w:t>
      </w:r>
      <w:r w:rsidR="00091314" w:rsidRPr="00091314">
        <w:rPr>
          <w:rFonts w:ascii="Times New Roman" w:eastAsia="Times New Roman" w:hAnsi="Times New Roman" w:cs="Times New Roman"/>
          <w:b/>
          <w:bCs/>
          <w:kern w:val="36"/>
          <w:sz w:val="24"/>
          <w:szCs w:val="24"/>
          <w:lang w:val="en-IN" w:eastAsia="en-IN"/>
        </w:rPr>
        <w:t>Discussion</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The present study aimed to assess work-related musculoskeletal disorders (WMSDs) among female nurses using the </w:t>
      </w:r>
      <w:r w:rsidRPr="00091314">
        <w:rPr>
          <w:rFonts w:ascii="Times New Roman" w:eastAsia="Times New Roman" w:hAnsi="Times New Roman" w:cs="Times New Roman"/>
          <w:b/>
          <w:bCs/>
          <w:sz w:val="24"/>
          <w:szCs w:val="24"/>
          <w:lang w:val="en-IN" w:eastAsia="en-IN"/>
        </w:rPr>
        <w:t>Quick Exposure Check (QEC)</w:t>
      </w:r>
      <w:r w:rsidRPr="00091314">
        <w:rPr>
          <w:rFonts w:ascii="Times New Roman" w:eastAsia="Times New Roman" w:hAnsi="Times New Roman" w:cs="Times New Roman"/>
          <w:sz w:val="24"/>
          <w:szCs w:val="24"/>
          <w:lang w:val="en-IN" w:eastAsia="en-IN"/>
        </w:rPr>
        <w:t>. The findings demonstrate a high prevalence of musculoskeletal symptoms and significant ergonomic risk exposure among the participants.</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Prevalence of WMSDs</w:t>
      </w:r>
    </w:p>
    <w:p w:rsidR="00091314" w:rsidRPr="00E31F9F" w:rsidRDefault="00091314" w:rsidP="001357B9">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 xml:space="preserve">The results revealed that the </w:t>
      </w:r>
      <w:r w:rsidRPr="00091314">
        <w:rPr>
          <w:rFonts w:ascii="Times New Roman" w:eastAsia="Times New Roman" w:hAnsi="Times New Roman" w:cs="Times New Roman"/>
          <w:b/>
          <w:bCs/>
          <w:sz w:val="24"/>
          <w:szCs w:val="24"/>
          <w:lang w:val="en-IN" w:eastAsia="en-IN"/>
        </w:rPr>
        <w:t>lower back (68%)</w:t>
      </w:r>
      <w:r w:rsidRPr="00091314">
        <w:rPr>
          <w:rFonts w:ascii="Times New Roman" w:eastAsia="Times New Roman" w:hAnsi="Times New Roman" w:cs="Times New Roman"/>
          <w:sz w:val="24"/>
          <w:szCs w:val="24"/>
          <w:lang w:val="en-IN" w:eastAsia="en-IN"/>
        </w:rPr>
        <w:t xml:space="preserve"> was the most affected body region, followed by the neck (60%) and shoulders (55%). This pattern is consistent with existing literature, where the lumbar region is identified as the most vulnerable due to frequent bending, lifting, and patient handling activities. Nurses often perform tasks that require forward flexion and rotation of the spine, which increases intradiscal pressure and contributes to cumulative trauma over time.</w:t>
      </w:r>
      <w:r w:rsidR="00E31F9F">
        <w:rPr>
          <w:rFonts w:ascii="Times New Roman" w:eastAsia="Times New Roman" w:hAnsi="Times New Roman" w:cs="Times New Roman"/>
          <w:sz w:val="24"/>
          <w:szCs w:val="24"/>
          <w:vertAlign w:val="superscript"/>
          <w:lang w:val="en-IN" w:eastAsia="en-IN"/>
        </w:rPr>
        <w:t>10,11</w:t>
      </w:r>
    </w:p>
    <w:p w:rsidR="00091314" w:rsidRPr="00E31F9F" w:rsidRDefault="00091314" w:rsidP="00305C80">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Neck and shoulder discomfort can be attributed to sustained static postures, repetitive upper limb movements, and working with arms in elevated positions. These findings indicate that nursing tasks place considerable strain on both axial and appendicular components of the musculoskeletal system.</w:t>
      </w:r>
      <w:r w:rsidR="00E31F9F">
        <w:rPr>
          <w:rFonts w:ascii="Times New Roman" w:eastAsia="Times New Roman" w:hAnsi="Times New Roman" w:cs="Times New Roman"/>
          <w:sz w:val="24"/>
          <w:szCs w:val="24"/>
          <w:vertAlign w:val="superscript"/>
          <w:lang w:val="en-IN" w:eastAsia="en-IN"/>
        </w:rPr>
        <w:t>6,7,13</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QEC Exposure Levels</w:t>
      </w:r>
    </w:p>
    <w:p w:rsidR="00091314" w:rsidRPr="00E31F9F" w:rsidRDefault="00091314" w:rsidP="001357B9">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 xml:space="preserve">The QEC assessment showed that </w:t>
      </w:r>
      <w:r w:rsidRPr="00091314">
        <w:rPr>
          <w:rFonts w:ascii="Times New Roman" w:eastAsia="Times New Roman" w:hAnsi="Times New Roman" w:cs="Times New Roman"/>
          <w:b/>
          <w:bCs/>
          <w:sz w:val="24"/>
          <w:szCs w:val="24"/>
          <w:lang w:val="en-IN" w:eastAsia="en-IN"/>
        </w:rPr>
        <w:t>55% of nurses were in high to very high exposure categories</w:t>
      </w:r>
      <w:r w:rsidRPr="00091314">
        <w:rPr>
          <w:rFonts w:ascii="Times New Roman" w:eastAsia="Times New Roman" w:hAnsi="Times New Roman" w:cs="Times New Roman"/>
          <w:sz w:val="24"/>
          <w:szCs w:val="24"/>
          <w:lang w:val="en-IN" w:eastAsia="en-IN"/>
        </w:rPr>
        <w:t xml:space="preserve">, indicating substantial ergonomic risk. The back and shoulder regions </w:t>
      </w:r>
      <w:r w:rsidRPr="00091314">
        <w:rPr>
          <w:rFonts w:ascii="Times New Roman" w:eastAsia="Times New Roman" w:hAnsi="Times New Roman" w:cs="Times New Roman"/>
          <w:sz w:val="24"/>
          <w:szCs w:val="24"/>
          <w:lang w:val="en-IN" w:eastAsia="en-IN"/>
        </w:rPr>
        <w:lastRenderedPageBreak/>
        <w:t>demonstrated particularly high scores, suggesting that these areas are subjected to excessive mechanical load during routine activities.</w:t>
      </w:r>
      <w:r w:rsidR="00E31F9F">
        <w:rPr>
          <w:rFonts w:ascii="Times New Roman" w:eastAsia="Times New Roman" w:hAnsi="Times New Roman" w:cs="Times New Roman"/>
          <w:sz w:val="24"/>
          <w:szCs w:val="24"/>
          <w:vertAlign w:val="superscript"/>
          <w:lang w:val="en-IN" w:eastAsia="en-IN"/>
        </w:rPr>
        <w:t>12,13</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This can be explained by the nature of nursing duties, which include:</w:t>
      </w:r>
    </w:p>
    <w:p w:rsidR="00091314" w:rsidRPr="00091314" w:rsidRDefault="00091314" w:rsidP="001357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Manual patient transfers</w:t>
      </w:r>
    </w:p>
    <w:p w:rsidR="00091314" w:rsidRPr="00091314" w:rsidRDefault="00091314" w:rsidP="001357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Bedside procedures in non-adjustable environments</w:t>
      </w:r>
    </w:p>
    <w:p w:rsidR="00091314" w:rsidRPr="00091314" w:rsidRDefault="00091314" w:rsidP="001357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Prolonged standing and limited rest periods</w:t>
      </w:r>
    </w:p>
    <w:p w:rsidR="00091314" w:rsidRPr="00091314" w:rsidRDefault="00091314" w:rsidP="00305C8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The presence of moderate exposure in wrist and neck regions suggests repetitive strain and suboptimal workstation design.</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Association with Occupational Factors</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The study found a </w:t>
      </w:r>
      <w:r w:rsidRPr="00091314">
        <w:rPr>
          <w:rFonts w:ascii="Times New Roman" w:eastAsia="Times New Roman" w:hAnsi="Times New Roman" w:cs="Times New Roman"/>
          <w:b/>
          <w:bCs/>
          <w:sz w:val="24"/>
          <w:szCs w:val="24"/>
          <w:lang w:val="en-IN" w:eastAsia="en-IN"/>
        </w:rPr>
        <w:t>significant association between working hours and WMSDs (p = 0.009)</w:t>
      </w:r>
      <w:r w:rsidRPr="00091314">
        <w:rPr>
          <w:rFonts w:ascii="Times New Roman" w:eastAsia="Times New Roman" w:hAnsi="Times New Roman" w:cs="Times New Roman"/>
          <w:sz w:val="24"/>
          <w:szCs w:val="24"/>
          <w:lang w:val="en-IN" w:eastAsia="en-IN"/>
        </w:rPr>
        <w:t>. Nurses working more than 8 hours per day were more likely to report musculoskeletal discomfort. Extended working hours reduce recovery time, leading to muscle fatigue and increased susceptibility to injury.</w:t>
      </w:r>
    </w:p>
    <w:p w:rsidR="00091314" w:rsidRPr="00091314" w:rsidRDefault="00091314" w:rsidP="00305C8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Similarly, nurses working in </w:t>
      </w:r>
      <w:r w:rsidRPr="00091314">
        <w:rPr>
          <w:rFonts w:ascii="Times New Roman" w:eastAsia="Times New Roman" w:hAnsi="Times New Roman" w:cs="Times New Roman"/>
          <w:b/>
          <w:bCs/>
          <w:sz w:val="24"/>
          <w:szCs w:val="24"/>
          <w:lang w:val="en-IN" w:eastAsia="en-IN"/>
        </w:rPr>
        <w:t>ICU and ward settings exhibited higher QEC risk levels</w:t>
      </w:r>
      <w:r w:rsidRPr="00091314">
        <w:rPr>
          <w:rFonts w:ascii="Times New Roman" w:eastAsia="Times New Roman" w:hAnsi="Times New Roman" w:cs="Times New Roman"/>
          <w:sz w:val="24"/>
          <w:szCs w:val="24"/>
          <w:lang w:val="en-IN" w:eastAsia="en-IN"/>
        </w:rPr>
        <w:t xml:space="preserve"> compared to those in OPD. This may be due to the higher physical demands in critical care environments, where patients require more assistance and frequent repositioning.</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Correlation Findings</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Correlation analysis demonstrated a </w:t>
      </w:r>
      <w:r w:rsidRPr="00091314">
        <w:rPr>
          <w:rFonts w:ascii="Times New Roman" w:eastAsia="Times New Roman" w:hAnsi="Times New Roman" w:cs="Times New Roman"/>
          <w:b/>
          <w:bCs/>
          <w:sz w:val="24"/>
          <w:szCs w:val="24"/>
          <w:lang w:val="en-IN" w:eastAsia="en-IN"/>
        </w:rPr>
        <w:t>moderate positive relationship between working hours and QEC scores (r = 0.48)</w:t>
      </w:r>
      <w:r w:rsidRPr="00091314">
        <w:rPr>
          <w:rFonts w:ascii="Times New Roman" w:eastAsia="Times New Roman" w:hAnsi="Times New Roman" w:cs="Times New Roman"/>
          <w:sz w:val="24"/>
          <w:szCs w:val="24"/>
          <w:lang w:val="en-IN" w:eastAsia="en-IN"/>
        </w:rPr>
        <w:t xml:space="preserve">, as well as between work experience and QEC scores (r = 0.42). These findings suggest that both </w:t>
      </w:r>
      <w:r w:rsidRPr="00091314">
        <w:rPr>
          <w:rFonts w:ascii="Times New Roman" w:eastAsia="Times New Roman" w:hAnsi="Times New Roman" w:cs="Times New Roman"/>
          <w:b/>
          <w:bCs/>
          <w:sz w:val="24"/>
          <w:szCs w:val="24"/>
          <w:lang w:val="en-IN" w:eastAsia="en-IN"/>
        </w:rPr>
        <w:t>intensity and duration of exposure</w:t>
      </w:r>
      <w:r w:rsidRPr="00091314">
        <w:rPr>
          <w:rFonts w:ascii="Times New Roman" w:eastAsia="Times New Roman" w:hAnsi="Times New Roman" w:cs="Times New Roman"/>
          <w:sz w:val="24"/>
          <w:szCs w:val="24"/>
          <w:lang w:val="en-IN" w:eastAsia="en-IN"/>
        </w:rPr>
        <w:t xml:space="preserve"> contribute to the development of WMSDs.</w:t>
      </w:r>
    </w:p>
    <w:p w:rsidR="00091314" w:rsidRPr="00E31F9F" w:rsidRDefault="00091314" w:rsidP="001357B9">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The positive correlation between BMI and WMSDs, although weaker, indicates that individual physical characteristics may also influence susceptibility to musculoskeletal strain.</w:t>
      </w:r>
      <w:r w:rsidR="00E31F9F">
        <w:rPr>
          <w:rFonts w:ascii="Times New Roman" w:eastAsia="Times New Roman" w:hAnsi="Times New Roman" w:cs="Times New Roman"/>
          <w:sz w:val="24"/>
          <w:szCs w:val="24"/>
          <w:vertAlign w:val="superscript"/>
          <w:lang w:val="en-IN" w:eastAsia="en-IN"/>
        </w:rPr>
        <w:t>14</w:t>
      </w:r>
    </w:p>
    <w:p w:rsidR="00091314" w:rsidRPr="00091314" w:rsidRDefault="00091314" w:rsidP="001357B9">
      <w:pPr>
        <w:spacing w:after="0" w:line="240" w:lineRule="auto"/>
        <w:jc w:val="both"/>
        <w:rPr>
          <w:rFonts w:ascii="Times New Roman" w:eastAsia="Times New Roman" w:hAnsi="Times New Roman" w:cs="Times New Roman"/>
          <w:sz w:val="24"/>
          <w:szCs w:val="24"/>
          <w:lang w:val="en-IN" w:eastAsia="en-IN"/>
        </w:rPr>
      </w:pP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Predictors of WMSDs</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Logistic regression analysis identified </w:t>
      </w:r>
      <w:r w:rsidRPr="00091314">
        <w:rPr>
          <w:rFonts w:ascii="Times New Roman" w:eastAsia="Times New Roman" w:hAnsi="Times New Roman" w:cs="Times New Roman"/>
          <w:b/>
          <w:bCs/>
          <w:sz w:val="24"/>
          <w:szCs w:val="24"/>
          <w:lang w:val="en-IN" w:eastAsia="en-IN"/>
        </w:rPr>
        <w:t>QEC score as the strongest predictor (OR = 3.1)</w:t>
      </w:r>
      <w:r w:rsidRPr="00091314">
        <w:rPr>
          <w:rFonts w:ascii="Times New Roman" w:eastAsia="Times New Roman" w:hAnsi="Times New Roman" w:cs="Times New Roman"/>
          <w:sz w:val="24"/>
          <w:szCs w:val="24"/>
          <w:lang w:val="en-IN" w:eastAsia="en-IN"/>
        </w:rPr>
        <w:t>, followed by working hours (OR = 2.6) and work experience (OR = 1.9). This highlights that ergonomic exposure plays a critical role in the development of musculoskeletal disorders.</w:t>
      </w:r>
    </w:p>
    <w:p w:rsidR="00091314" w:rsidRPr="00091314" w:rsidRDefault="00091314" w:rsidP="00305C8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The findings suggest that nurses exposed to high-risk postures and repetitive tasks are significantly more likely to develop WMSDs, emphasizing the importance of ergonomic assessment tools in occupational health.</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lastRenderedPageBreak/>
        <w:t>Comparison with Other Studies</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The results of this study are consistent with previous research conducted among healthcare workers, which reported high prevalence rates of WMSDs, particularly in the lower back and upper body regions. Similar studies have also identified manual handling, prolonged standing, and awkward postures as major risk factors.</w:t>
      </w:r>
    </w:p>
    <w:p w:rsidR="00E31F9F" w:rsidRPr="00AB61D5" w:rsidRDefault="00091314" w:rsidP="00AB61D5">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 xml:space="preserve">However, unlike some studies that report equal distribution across body regions, this study highlights a </w:t>
      </w:r>
      <w:r w:rsidRPr="00091314">
        <w:rPr>
          <w:rFonts w:ascii="Times New Roman" w:eastAsia="Times New Roman" w:hAnsi="Times New Roman" w:cs="Times New Roman"/>
          <w:b/>
          <w:bCs/>
          <w:sz w:val="24"/>
          <w:szCs w:val="24"/>
          <w:lang w:val="en-IN" w:eastAsia="en-IN"/>
        </w:rPr>
        <w:t>greater burden on the lumbar spine</w:t>
      </w:r>
      <w:r w:rsidRPr="00091314">
        <w:rPr>
          <w:rFonts w:ascii="Times New Roman" w:eastAsia="Times New Roman" w:hAnsi="Times New Roman" w:cs="Times New Roman"/>
          <w:sz w:val="24"/>
          <w:szCs w:val="24"/>
          <w:lang w:val="en-IN" w:eastAsia="en-IN"/>
        </w:rPr>
        <w:t>, possibly due to inadequate use of assistive devices and high patient load in the study setting.</w:t>
      </w:r>
      <w:r w:rsidR="00E31F9F">
        <w:rPr>
          <w:rFonts w:ascii="Times New Roman" w:eastAsia="Times New Roman" w:hAnsi="Times New Roman" w:cs="Times New Roman"/>
          <w:sz w:val="24"/>
          <w:szCs w:val="24"/>
          <w:vertAlign w:val="superscript"/>
          <w:lang w:val="en-IN" w:eastAsia="en-IN"/>
        </w:rPr>
        <w:t>15,16,17</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Ergonomic Implications</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The findings indicate that the working conditions of nurses are not ergonomically optimized. Factors such as:</w:t>
      </w:r>
    </w:p>
    <w:p w:rsidR="00091314" w:rsidRPr="00091314" w:rsidRDefault="00091314" w:rsidP="001357B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Non-adjustable hospital beds</w:t>
      </w:r>
    </w:p>
    <w:p w:rsidR="00091314" w:rsidRPr="00091314" w:rsidRDefault="00091314" w:rsidP="001357B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Lack of lifting aids</w:t>
      </w:r>
    </w:p>
    <w:p w:rsidR="00091314" w:rsidRPr="00091314" w:rsidRDefault="00091314" w:rsidP="001357B9">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Inadequate training in body mechanics</w:t>
      </w:r>
    </w:p>
    <w:p w:rsidR="00091314" w:rsidRPr="00E31F9F" w:rsidRDefault="00091314" w:rsidP="00305C80">
      <w:pPr>
        <w:spacing w:before="100" w:beforeAutospacing="1" w:after="100" w:afterAutospacing="1" w:line="240" w:lineRule="auto"/>
        <w:jc w:val="both"/>
        <w:rPr>
          <w:rFonts w:ascii="Times New Roman" w:eastAsia="Times New Roman" w:hAnsi="Times New Roman" w:cs="Times New Roman"/>
          <w:sz w:val="24"/>
          <w:szCs w:val="24"/>
          <w:vertAlign w:val="superscript"/>
          <w:lang w:val="en-IN" w:eastAsia="en-IN"/>
        </w:rPr>
      </w:pPr>
      <w:r w:rsidRPr="00091314">
        <w:rPr>
          <w:rFonts w:ascii="Times New Roman" w:eastAsia="Times New Roman" w:hAnsi="Times New Roman" w:cs="Times New Roman"/>
          <w:sz w:val="24"/>
          <w:szCs w:val="24"/>
          <w:lang w:val="en-IN" w:eastAsia="en-IN"/>
        </w:rPr>
        <w:t>force nurses to adopt harmful postures. Over time, this leads to cumulative musculoskeletal damage.</w:t>
      </w:r>
      <w:r w:rsidR="00E31F9F">
        <w:rPr>
          <w:rFonts w:ascii="Times New Roman" w:eastAsia="Times New Roman" w:hAnsi="Times New Roman" w:cs="Times New Roman"/>
          <w:sz w:val="24"/>
          <w:szCs w:val="24"/>
          <w:vertAlign w:val="superscript"/>
          <w:lang w:val="en-IN" w:eastAsia="en-IN"/>
        </w:rPr>
        <w:t>17,18</w:t>
      </w:r>
    </w:p>
    <w:p w:rsidR="00091314" w:rsidRPr="00091314" w:rsidRDefault="00091314"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sidRPr="00091314">
        <w:rPr>
          <w:rFonts w:ascii="Times New Roman" w:eastAsia="Times New Roman" w:hAnsi="Times New Roman" w:cs="Times New Roman"/>
          <w:b/>
          <w:bCs/>
          <w:sz w:val="24"/>
          <w:szCs w:val="24"/>
          <w:lang w:val="en-IN" w:eastAsia="en-IN"/>
        </w:rPr>
        <w:t>Limitations of the Study</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Despite its strengths, the study has certain limitations:</w:t>
      </w:r>
    </w:p>
    <w:p w:rsidR="00091314" w:rsidRPr="00091314" w:rsidRDefault="00091314" w:rsidP="001357B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Cross-sectional design limits causal inference</w:t>
      </w:r>
    </w:p>
    <w:p w:rsidR="00091314" w:rsidRPr="00091314" w:rsidRDefault="00091314" w:rsidP="001357B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Only female nurses were included, limiting generalizability</w:t>
      </w:r>
    </w:p>
    <w:p w:rsidR="00091314" w:rsidRPr="00091314" w:rsidRDefault="00091314" w:rsidP="001357B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QEC does not assess lower limb involvement</w:t>
      </w:r>
    </w:p>
    <w:p w:rsidR="00091314" w:rsidRPr="00091314" w:rsidRDefault="00091314" w:rsidP="001357B9">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Self-reported data may introduce bias</w:t>
      </w:r>
    </w:p>
    <w:p w:rsidR="00091314" w:rsidRPr="00091314" w:rsidRDefault="00091314" w:rsidP="00305C80">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Additionally, QEC provides a semi-quantitative assessment and may not capture all biomechanical loads such as pushing, pulling, and precise force measurement.</w:t>
      </w:r>
    </w:p>
    <w:p w:rsidR="00091314" w:rsidRPr="00091314" w:rsidRDefault="00305C80" w:rsidP="001357B9">
      <w:pPr>
        <w:spacing w:before="100" w:beforeAutospacing="1" w:after="100" w:afterAutospacing="1" w:line="240" w:lineRule="auto"/>
        <w:jc w:val="both"/>
        <w:outlineLvl w:val="1"/>
        <w:rPr>
          <w:rFonts w:ascii="Times New Roman" w:eastAsia="Times New Roman" w:hAnsi="Times New Roman" w:cs="Times New Roman"/>
          <w:b/>
          <w:bCs/>
          <w:sz w:val="24"/>
          <w:szCs w:val="24"/>
          <w:lang w:val="en-IN" w:eastAsia="en-IN"/>
        </w:rPr>
      </w:pPr>
      <w:r>
        <w:rPr>
          <w:rFonts w:ascii="Times New Roman" w:eastAsia="Times New Roman" w:hAnsi="Times New Roman" w:cs="Times New Roman"/>
          <w:b/>
          <w:bCs/>
          <w:sz w:val="24"/>
          <w:szCs w:val="24"/>
          <w:lang w:val="en-IN" w:eastAsia="en-IN"/>
        </w:rPr>
        <w:t>5. Conclusion</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 xml:space="preserve">The study clearly indicates that female nurses are exposed to </w:t>
      </w:r>
      <w:r w:rsidRPr="00091314">
        <w:rPr>
          <w:rFonts w:ascii="Times New Roman" w:eastAsia="Times New Roman" w:hAnsi="Times New Roman" w:cs="Times New Roman"/>
          <w:b/>
          <w:bCs/>
          <w:sz w:val="24"/>
          <w:szCs w:val="24"/>
          <w:lang w:val="en-IN" w:eastAsia="en-IN"/>
        </w:rPr>
        <w:t>moderate to high ergonomic risks</w:t>
      </w:r>
      <w:r w:rsidRPr="00091314">
        <w:rPr>
          <w:rFonts w:ascii="Times New Roman" w:eastAsia="Times New Roman" w:hAnsi="Times New Roman" w:cs="Times New Roman"/>
          <w:sz w:val="24"/>
          <w:szCs w:val="24"/>
          <w:lang w:val="en-IN" w:eastAsia="en-IN"/>
        </w:rPr>
        <w:t>, leading to a high prevalence of WMSDs. Both occupational and individual factors contribute to this burden, with ergonomic exposure being the most significant determinant.</w:t>
      </w:r>
    </w:p>
    <w:p w:rsidR="00091314" w:rsidRPr="00091314" w:rsidRDefault="00091314" w:rsidP="001357B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These findings emphasize the urgent need for:</w:t>
      </w:r>
    </w:p>
    <w:p w:rsidR="00091314" w:rsidRPr="00091314" w:rsidRDefault="00091314" w:rsidP="001357B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Ergonomic interventions</w:t>
      </w:r>
    </w:p>
    <w:p w:rsidR="00091314" w:rsidRPr="00091314" w:rsidRDefault="00091314" w:rsidP="001357B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Workplace modifications</w:t>
      </w:r>
    </w:p>
    <w:p w:rsidR="00091314" w:rsidRPr="00091314" w:rsidRDefault="00091314" w:rsidP="001357B9">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lastRenderedPageBreak/>
        <w:t>Preventive physiotherapy strategies</w:t>
      </w:r>
    </w:p>
    <w:p w:rsidR="00E31F9F" w:rsidRPr="00AB61D5" w:rsidRDefault="00091314" w:rsidP="00AB61D5">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091314">
        <w:rPr>
          <w:rFonts w:ascii="Times New Roman" w:eastAsia="Times New Roman" w:hAnsi="Times New Roman" w:cs="Times New Roman"/>
          <w:sz w:val="24"/>
          <w:szCs w:val="24"/>
          <w:lang w:val="en-IN" w:eastAsia="en-IN"/>
        </w:rPr>
        <w:t>to improve occupational health and reduce the risk of musculoskeletal diso</w:t>
      </w:r>
      <w:r w:rsidR="00AB61D5">
        <w:rPr>
          <w:rFonts w:ascii="Times New Roman" w:eastAsia="Times New Roman" w:hAnsi="Times New Roman" w:cs="Times New Roman"/>
          <w:sz w:val="24"/>
          <w:szCs w:val="24"/>
          <w:lang w:val="en-IN" w:eastAsia="en-IN"/>
        </w:rPr>
        <w:t>rders among nurses.</w:t>
      </w:r>
    </w:p>
    <w:p w:rsidR="00E31F9F" w:rsidRDefault="00E31F9F" w:rsidP="001357B9">
      <w:pPr>
        <w:jc w:val="both"/>
        <w:rPr>
          <w:rFonts w:ascii="Times New Roman" w:hAnsi="Times New Roman" w:cs="Times New Roman"/>
          <w:sz w:val="24"/>
          <w:szCs w:val="24"/>
        </w:rPr>
      </w:pPr>
    </w:p>
    <w:p w:rsidR="00A33D79" w:rsidRPr="001357B9" w:rsidRDefault="00A33D79" w:rsidP="001357B9">
      <w:pPr>
        <w:jc w:val="both"/>
        <w:rPr>
          <w:rFonts w:ascii="Times New Roman" w:hAnsi="Times New Roman" w:cs="Times New Roman"/>
          <w:sz w:val="24"/>
          <w:szCs w:val="24"/>
        </w:rPr>
      </w:pPr>
      <w:r w:rsidRPr="001357B9">
        <w:rPr>
          <w:rFonts w:ascii="Times New Roman" w:hAnsi="Times New Roman" w:cs="Times New Roman"/>
          <w:sz w:val="24"/>
          <w:szCs w:val="24"/>
        </w:rPr>
        <w:t>References</w:t>
      </w:r>
    </w:p>
    <w:p w:rsidR="00776CA3" w:rsidRPr="00E31F9F" w:rsidRDefault="00A33D79" w:rsidP="001357B9">
      <w:pPr>
        <w:pStyle w:val="ListParagraph"/>
        <w:numPr>
          <w:ilvl w:val="0"/>
          <w:numId w:val="10"/>
        </w:numPr>
        <w:jc w:val="both"/>
        <w:rPr>
          <w:rFonts w:ascii="Times New Roman" w:hAnsi="Times New Roman" w:cs="Times New Roman"/>
          <w:sz w:val="24"/>
          <w:szCs w:val="24"/>
        </w:rPr>
      </w:pPr>
      <w:r w:rsidRPr="00E31F9F">
        <w:rPr>
          <w:rFonts w:ascii="Times New Roman" w:hAnsi="Times New Roman" w:cs="Times New Roman"/>
          <w:color w:val="222222"/>
          <w:sz w:val="24"/>
          <w:szCs w:val="24"/>
          <w:shd w:val="clear" w:color="auto" w:fill="FFFFFF"/>
        </w:rPr>
        <w:t>Tang KH. The prevalence, causes and prevention of occupational musculoskeletal disorders. Glob Acad J Med Sci. 2022 Mar;4(2):56-68.</w:t>
      </w:r>
    </w:p>
    <w:p w:rsidR="00A33D79" w:rsidRPr="00E31F9F" w:rsidRDefault="00E74613" w:rsidP="001357B9">
      <w:pPr>
        <w:pStyle w:val="ListParagraph"/>
        <w:numPr>
          <w:ilvl w:val="0"/>
          <w:numId w:val="10"/>
        </w:numPr>
        <w:jc w:val="both"/>
        <w:rPr>
          <w:rFonts w:ascii="Times New Roman" w:hAnsi="Times New Roman" w:cs="Times New Roman"/>
          <w:sz w:val="24"/>
          <w:szCs w:val="24"/>
        </w:rPr>
      </w:pPr>
      <w:r w:rsidRPr="00E31F9F">
        <w:rPr>
          <w:rFonts w:ascii="Times New Roman" w:hAnsi="Times New Roman" w:cs="Times New Roman"/>
          <w:color w:val="222222"/>
          <w:sz w:val="24"/>
          <w:szCs w:val="24"/>
          <w:shd w:val="clear" w:color="auto" w:fill="FFFFFF"/>
        </w:rPr>
        <w:t>Bonfiglioli R, Caraballo-Arias Y, Salmen-Navarro A. Epidemiology of work-related musculoskeletal disorders. Current Opinion in Epidemiology and Public Health. 2022 Nov 1;1(1):18-24.</w:t>
      </w:r>
    </w:p>
    <w:p w:rsidR="001F7695" w:rsidRPr="00E31F9F" w:rsidRDefault="001F7695" w:rsidP="001357B9">
      <w:pPr>
        <w:pStyle w:val="ListParagraph"/>
        <w:numPr>
          <w:ilvl w:val="0"/>
          <w:numId w:val="10"/>
        </w:numPr>
        <w:jc w:val="both"/>
        <w:rPr>
          <w:rFonts w:ascii="Times New Roman" w:hAnsi="Times New Roman" w:cs="Times New Roman"/>
          <w:sz w:val="24"/>
          <w:szCs w:val="24"/>
        </w:rPr>
      </w:pPr>
      <w:r w:rsidRPr="00E31F9F">
        <w:rPr>
          <w:rFonts w:ascii="Times New Roman" w:hAnsi="Times New Roman" w:cs="Times New Roman"/>
          <w:color w:val="222222"/>
          <w:sz w:val="24"/>
          <w:szCs w:val="24"/>
          <w:shd w:val="clear" w:color="auto" w:fill="FFFFFF"/>
        </w:rPr>
        <w:t>Stanchev V, Vangelova K. Musculoskeletal disorders in nurses in hospitals. Open Access Macedonian Journal of Medical Sciences. 2022 Mar 17;10(E):439-43.</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uorinka I, Jonsson B, Kilbom A, Vinterberg H, Biering-Sørensen F, Andersson G, et al. Standardised Nordic questionnaires for the analysis of musculoskeletal symptoms. </w:t>
      </w:r>
      <w:r w:rsidRPr="00E31F9F">
        <w:rPr>
          <w:rFonts w:ascii="Times New Roman" w:eastAsia="Times New Roman" w:hAnsi="Times New Roman" w:cs="Times New Roman"/>
          <w:i/>
          <w:iCs/>
          <w:sz w:val="24"/>
          <w:szCs w:val="24"/>
          <w:lang w:val="en-IN" w:eastAsia="en-IN"/>
        </w:rPr>
        <w:t>Applied Ergonomics</w:t>
      </w:r>
      <w:r w:rsidRPr="00E31F9F">
        <w:rPr>
          <w:rFonts w:ascii="Times New Roman" w:eastAsia="Times New Roman" w:hAnsi="Times New Roman" w:cs="Times New Roman"/>
          <w:sz w:val="24"/>
          <w:szCs w:val="24"/>
          <w:lang w:val="en-IN" w:eastAsia="en-IN"/>
        </w:rPr>
        <w:t xml:space="preserve">. 1987;18(3):233–237.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David GC. Ergonomic methods for assessing exposure to risk factors for work-related musculoskeletal disorders. </w:t>
      </w:r>
      <w:r w:rsidRPr="00E31F9F">
        <w:rPr>
          <w:rFonts w:ascii="Times New Roman" w:eastAsia="Times New Roman" w:hAnsi="Times New Roman" w:cs="Times New Roman"/>
          <w:i/>
          <w:iCs/>
          <w:sz w:val="24"/>
          <w:szCs w:val="24"/>
          <w:lang w:val="en-IN" w:eastAsia="en-IN"/>
        </w:rPr>
        <w:t>Occupational Medicine</w:t>
      </w:r>
      <w:r w:rsidRPr="00E31F9F">
        <w:rPr>
          <w:rFonts w:ascii="Times New Roman" w:eastAsia="Times New Roman" w:hAnsi="Times New Roman" w:cs="Times New Roman"/>
          <w:sz w:val="24"/>
          <w:szCs w:val="24"/>
          <w:lang w:val="en-IN" w:eastAsia="en-IN"/>
        </w:rPr>
        <w:t xml:space="preserve">. 2005;55(3):190–199.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World Health Organization. </w:t>
      </w:r>
      <w:r w:rsidRPr="00E31F9F">
        <w:rPr>
          <w:rFonts w:ascii="Times New Roman" w:eastAsia="Times New Roman" w:hAnsi="Times New Roman" w:cs="Times New Roman"/>
          <w:i/>
          <w:iCs/>
          <w:sz w:val="24"/>
          <w:szCs w:val="24"/>
          <w:lang w:val="en-IN" w:eastAsia="en-IN"/>
        </w:rPr>
        <w:t>Protecting workers’ health</w:t>
      </w:r>
      <w:r w:rsidRPr="00E31F9F">
        <w:rPr>
          <w:rFonts w:ascii="Times New Roman" w:eastAsia="Times New Roman" w:hAnsi="Times New Roman" w:cs="Times New Roman"/>
          <w:sz w:val="24"/>
          <w:szCs w:val="24"/>
          <w:lang w:val="en-IN" w:eastAsia="en-IN"/>
        </w:rPr>
        <w:t xml:space="preserve">. Geneva: WHO; 2010.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Trinkoff AM, Lipscomb JA, Geiger-Brown J, Brady B. Musculoskeletal problems of the neck, shoulder, and back and functional consequences in nurses. </w:t>
      </w:r>
      <w:r w:rsidRPr="00E31F9F">
        <w:rPr>
          <w:rFonts w:ascii="Times New Roman" w:eastAsia="Times New Roman" w:hAnsi="Times New Roman" w:cs="Times New Roman"/>
          <w:i/>
          <w:iCs/>
          <w:sz w:val="24"/>
          <w:szCs w:val="24"/>
          <w:lang w:val="en-IN" w:eastAsia="en-IN"/>
        </w:rPr>
        <w:t>American Journal of Industrial Medicine</w:t>
      </w:r>
      <w:r w:rsidRPr="00E31F9F">
        <w:rPr>
          <w:rFonts w:ascii="Times New Roman" w:eastAsia="Times New Roman" w:hAnsi="Times New Roman" w:cs="Times New Roman"/>
          <w:sz w:val="24"/>
          <w:szCs w:val="24"/>
          <w:lang w:val="en-IN" w:eastAsia="en-IN"/>
        </w:rPr>
        <w:t xml:space="preserve">. 2002;41(3):170–178.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Smith DR, Wei N, Kang L, Wang RS. Musculoskeletal disorders among professional nurses in mainland China. </w:t>
      </w:r>
      <w:r w:rsidRPr="00E31F9F">
        <w:rPr>
          <w:rFonts w:ascii="Times New Roman" w:eastAsia="Times New Roman" w:hAnsi="Times New Roman" w:cs="Times New Roman"/>
          <w:i/>
          <w:iCs/>
          <w:sz w:val="24"/>
          <w:szCs w:val="24"/>
          <w:lang w:val="en-IN" w:eastAsia="en-IN"/>
        </w:rPr>
        <w:t>Journal of Professional Nursing</w:t>
      </w:r>
      <w:r w:rsidRPr="00E31F9F">
        <w:rPr>
          <w:rFonts w:ascii="Times New Roman" w:eastAsia="Times New Roman" w:hAnsi="Times New Roman" w:cs="Times New Roman"/>
          <w:sz w:val="24"/>
          <w:szCs w:val="24"/>
          <w:lang w:val="en-IN" w:eastAsia="en-IN"/>
        </w:rPr>
        <w:t xml:space="preserve">. 2004;20(6):390–395.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Tinubu BM, Mbada CE, Oyeyemi AL, Fabunmi AA. Work-related musculoskeletal disorders among nurses in Ibadan, Nigeria. </w:t>
      </w:r>
      <w:r w:rsidRPr="00E31F9F">
        <w:rPr>
          <w:rFonts w:ascii="Times New Roman" w:eastAsia="Times New Roman" w:hAnsi="Times New Roman" w:cs="Times New Roman"/>
          <w:i/>
          <w:iCs/>
          <w:sz w:val="24"/>
          <w:szCs w:val="24"/>
          <w:lang w:val="en-IN" w:eastAsia="en-IN"/>
        </w:rPr>
        <w:t>BMC Musculoskeletal Disorders</w:t>
      </w:r>
      <w:r w:rsidRPr="00E31F9F">
        <w:rPr>
          <w:rFonts w:ascii="Times New Roman" w:eastAsia="Times New Roman" w:hAnsi="Times New Roman" w:cs="Times New Roman"/>
          <w:sz w:val="24"/>
          <w:szCs w:val="24"/>
          <w:lang w:val="en-IN" w:eastAsia="en-IN"/>
        </w:rPr>
        <w:t xml:space="preserve">. 2010;11:12.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Yasobant S, Rajkumar P. Work-related musculoskeletal disorders among health care professionals: A cross-sectional assessment of risk factors in a tertiary hospital, India. </w:t>
      </w:r>
      <w:r w:rsidRPr="00E31F9F">
        <w:rPr>
          <w:rFonts w:ascii="Times New Roman" w:eastAsia="Times New Roman" w:hAnsi="Times New Roman" w:cs="Times New Roman"/>
          <w:i/>
          <w:iCs/>
          <w:sz w:val="24"/>
          <w:szCs w:val="24"/>
          <w:lang w:val="en-IN" w:eastAsia="en-IN"/>
        </w:rPr>
        <w:t>Indian Journal of Occupational and Environmental Medicine</w:t>
      </w:r>
      <w:r w:rsidRPr="00E31F9F">
        <w:rPr>
          <w:rFonts w:ascii="Times New Roman" w:eastAsia="Times New Roman" w:hAnsi="Times New Roman" w:cs="Times New Roman"/>
          <w:sz w:val="24"/>
          <w:szCs w:val="24"/>
          <w:lang w:val="en-IN" w:eastAsia="en-IN"/>
        </w:rPr>
        <w:t xml:space="preserve">. 2014;18(2):75–81.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Bernard BP. </w:t>
      </w:r>
      <w:r w:rsidRPr="00E31F9F">
        <w:rPr>
          <w:rFonts w:ascii="Times New Roman" w:eastAsia="Times New Roman" w:hAnsi="Times New Roman" w:cs="Times New Roman"/>
          <w:i/>
          <w:iCs/>
          <w:sz w:val="24"/>
          <w:szCs w:val="24"/>
          <w:lang w:val="en-IN" w:eastAsia="en-IN"/>
        </w:rPr>
        <w:t>Musculoskeletal disorders and workplace factors</w:t>
      </w:r>
      <w:r w:rsidRPr="00E31F9F">
        <w:rPr>
          <w:rFonts w:ascii="Times New Roman" w:eastAsia="Times New Roman" w:hAnsi="Times New Roman" w:cs="Times New Roman"/>
          <w:sz w:val="24"/>
          <w:szCs w:val="24"/>
          <w:lang w:val="en-IN" w:eastAsia="en-IN"/>
        </w:rPr>
        <w:t xml:space="preserve">. National Institute for Occupational Safety and Health (NIOSH); 1997.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Oakman J, Neupane S, Proper KI, Kinsman N, Nygård CH. Workplace interventions to improve work ability: A systematic review. </w:t>
      </w:r>
      <w:r w:rsidRPr="00E31F9F">
        <w:rPr>
          <w:rFonts w:ascii="Times New Roman" w:eastAsia="Times New Roman" w:hAnsi="Times New Roman" w:cs="Times New Roman"/>
          <w:i/>
          <w:iCs/>
          <w:sz w:val="24"/>
          <w:szCs w:val="24"/>
          <w:lang w:val="en-IN" w:eastAsia="en-IN"/>
        </w:rPr>
        <w:t>International Journal of Environmental Research and Public Health</w:t>
      </w:r>
      <w:r w:rsidRPr="00E31F9F">
        <w:rPr>
          <w:rFonts w:ascii="Times New Roman" w:eastAsia="Times New Roman" w:hAnsi="Times New Roman" w:cs="Times New Roman"/>
          <w:sz w:val="24"/>
          <w:szCs w:val="24"/>
          <w:lang w:val="en-IN" w:eastAsia="en-IN"/>
        </w:rPr>
        <w:t xml:space="preserve">. 2018;15(3):1–16.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Long MH, Johnston V, Bogossian F. Work-related upper quadrant musculoskeletal disorders in midwives, nurses and physicians: A systematic review. </w:t>
      </w:r>
      <w:r w:rsidRPr="00E31F9F">
        <w:rPr>
          <w:rFonts w:ascii="Times New Roman" w:eastAsia="Times New Roman" w:hAnsi="Times New Roman" w:cs="Times New Roman"/>
          <w:i/>
          <w:iCs/>
          <w:sz w:val="24"/>
          <w:szCs w:val="24"/>
          <w:lang w:val="en-IN" w:eastAsia="en-IN"/>
        </w:rPr>
        <w:t>Work</w:t>
      </w:r>
      <w:r w:rsidRPr="00E31F9F">
        <w:rPr>
          <w:rFonts w:ascii="Times New Roman" w:eastAsia="Times New Roman" w:hAnsi="Times New Roman" w:cs="Times New Roman"/>
          <w:sz w:val="24"/>
          <w:szCs w:val="24"/>
          <w:lang w:val="en-IN" w:eastAsia="en-IN"/>
        </w:rPr>
        <w:t xml:space="preserve">. 2012;41(1):642–648.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lastRenderedPageBreak/>
        <w:t xml:space="preserve">Gupta N, Christiansen CS, Hallman DM, Korshøj M, Carneiro IG, Holtermann A. Is objectively measured sitting time associated with low back pain? </w:t>
      </w:r>
      <w:r w:rsidRPr="00E31F9F">
        <w:rPr>
          <w:rFonts w:ascii="Times New Roman" w:eastAsia="Times New Roman" w:hAnsi="Times New Roman" w:cs="Times New Roman"/>
          <w:i/>
          <w:iCs/>
          <w:sz w:val="24"/>
          <w:szCs w:val="24"/>
          <w:lang w:val="en-IN" w:eastAsia="en-IN"/>
        </w:rPr>
        <w:t>International Archives of Occupational and Environmental Health</w:t>
      </w:r>
      <w:r w:rsidRPr="00E31F9F">
        <w:rPr>
          <w:rFonts w:ascii="Times New Roman" w:eastAsia="Times New Roman" w:hAnsi="Times New Roman" w:cs="Times New Roman"/>
          <w:sz w:val="24"/>
          <w:szCs w:val="24"/>
          <w:lang w:val="en-IN" w:eastAsia="en-IN"/>
        </w:rPr>
        <w:t xml:space="preserve">. 2015;88(1):103–110.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Mehrdad R, Dennerlein JT, Haghighat M, Aminian O. Association between psychosocial factors and musculoskeletal symptoms among Iranian nurses. </w:t>
      </w:r>
      <w:r w:rsidRPr="00E31F9F">
        <w:rPr>
          <w:rFonts w:ascii="Times New Roman" w:eastAsia="Times New Roman" w:hAnsi="Times New Roman" w:cs="Times New Roman"/>
          <w:i/>
          <w:iCs/>
          <w:sz w:val="24"/>
          <w:szCs w:val="24"/>
          <w:lang w:val="en-IN" w:eastAsia="en-IN"/>
        </w:rPr>
        <w:t>American Journal of Industrial Medicine</w:t>
      </w:r>
      <w:r w:rsidRPr="00E31F9F">
        <w:rPr>
          <w:rFonts w:ascii="Times New Roman" w:eastAsia="Times New Roman" w:hAnsi="Times New Roman" w:cs="Times New Roman"/>
          <w:sz w:val="24"/>
          <w:szCs w:val="24"/>
          <w:lang w:val="en-IN" w:eastAsia="en-IN"/>
        </w:rPr>
        <w:t xml:space="preserve">. 2010;53(10):1032–1039.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Alexopoulos EC, Burdorf A, Kalokerinou A. Risk factors for musculoskeletal disorders among nursing personnel in Greek hospitals. </w:t>
      </w:r>
      <w:r w:rsidRPr="00E31F9F">
        <w:rPr>
          <w:rFonts w:ascii="Times New Roman" w:eastAsia="Times New Roman" w:hAnsi="Times New Roman" w:cs="Times New Roman"/>
          <w:i/>
          <w:iCs/>
          <w:sz w:val="24"/>
          <w:szCs w:val="24"/>
          <w:lang w:val="en-IN" w:eastAsia="en-IN"/>
        </w:rPr>
        <w:t>International Archives of Occupational and Environmental Health</w:t>
      </w:r>
      <w:r w:rsidRPr="00E31F9F">
        <w:rPr>
          <w:rFonts w:ascii="Times New Roman" w:eastAsia="Times New Roman" w:hAnsi="Times New Roman" w:cs="Times New Roman"/>
          <w:sz w:val="24"/>
          <w:szCs w:val="24"/>
          <w:lang w:val="en-IN" w:eastAsia="en-IN"/>
        </w:rPr>
        <w:t xml:space="preserve">. 2003;76(4):289–294.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Dawson AP, Schluter PJ, Hodges PW, Stewart S, Turner C. Fear of movement, low back pain, and self-reported disability among nurses. </w:t>
      </w:r>
      <w:r w:rsidRPr="00E31F9F">
        <w:rPr>
          <w:rFonts w:ascii="Times New Roman" w:eastAsia="Times New Roman" w:hAnsi="Times New Roman" w:cs="Times New Roman"/>
          <w:i/>
          <w:iCs/>
          <w:sz w:val="24"/>
          <w:szCs w:val="24"/>
          <w:lang w:val="en-IN" w:eastAsia="en-IN"/>
        </w:rPr>
        <w:t>Pain</w:t>
      </w:r>
      <w:r w:rsidRPr="00E31F9F">
        <w:rPr>
          <w:rFonts w:ascii="Times New Roman" w:eastAsia="Times New Roman" w:hAnsi="Times New Roman" w:cs="Times New Roman"/>
          <w:sz w:val="24"/>
          <w:szCs w:val="24"/>
          <w:lang w:val="en-IN" w:eastAsia="en-IN"/>
        </w:rPr>
        <w:t xml:space="preserve">. 2011;152(3):616–623. </w:t>
      </w:r>
    </w:p>
    <w:p w:rsidR="00C2125F" w:rsidRPr="00E31F9F" w:rsidRDefault="00C2125F" w:rsidP="001357B9">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E31F9F">
        <w:rPr>
          <w:rFonts w:ascii="Times New Roman" w:eastAsia="Times New Roman" w:hAnsi="Times New Roman" w:cs="Times New Roman"/>
          <w:sz w:val="24"/>
          <w:szCs w:val="24"/>
          <w:lang w:val="en-IN" w:eastAsia="en-IN"/>
        </w:rPr>
        <w:t xml:space="preserve">Jellad A, Lajili H, Boudokhane S, Migaou H, Maatallah S, Frih ZBS. Musculoskeletal disorders among Tunisian hospital staff: Prevalence and risk factors. </w:t>
      </w:r>
      <w:r w:rsidRPr="00E31F9F">
        <w:rPr>
          <w:rFonts w:ascii="Times New Roman" w:eastAsia="Times New Roman" w:hAnsi="Times New Roman" w:cs="Times New Roman"/>
          <w:i/>
          <w:iCs/>
          <w:sz w:val="24"/>
          <w:szCs w:val="24"/>
          <w:lang w:val="en-IN" w:eastAsia="en-IN"/>
        </w:rPr>
        <w:t>The Egyptian Rheumatologist</w:t>
      </w:r>
      <w:r w:rsidRPr="00E31F9F">
        <w:rPr>
          <w:rFonts w:ascii="Times New Roman" w:eastAsia="Times New Roman" w:hAnsi="Times New Roman" w:cs="Times New Roman"/>
          <w:sz w:val="24"/>
          <w:szCs w:val="24"/>
          <w:lang w:val="en-IN" w:eastAsia="en-IN"/>
        </w:rPr>
        <w:t xml:space="preserve">. 2013;35(2):59–63. </w:t>
      </w:r>
    </w:p>
    <w:p w:rsidR="00C2125F" w:rsidRPr="001357B9" w:rsidRDefault="00C2125F" w:rsidP="001357B9">
      <w:pPr>
        <w:ind w:left="360"/>
        <w:jc w:val="both"/>
        <w:rPr>
          <w:rFonts w:ascii="Times New Roman" w:hAnsi="Times New Roman" w:cs="Times New Roman"/>
          <w:sz w:val="24"/>
          <w:szCs w:val="24"/>
        </w:rPr>
      </w:pPr>
    </w:p>
    <w:sectPr w:rsidR="00C2125F" w:rsidRPr="001357B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E1E" w:rsidRDefault="002D0E1E" w:rsidP="001357B9">
      <w:pPr>
        <w:spacing w:after="0" w:line="240" w:lineRule="auto"/>
      </w:pPr>
      <w:r>
        <w:separator/>
      </w:r>
    </w:p>
  </w:endnote>
  <w:endnote w:type="continuationSeparator" w:id="0">
    <w:p w:rsidR="002D0E1E" w:rsidRDefault="002D0E1E" w:rsidP="00135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E1E" w:rsidRDefault="002D0E1E" w:rsidP="001357B9">
      <w:pPr>
        <w:spacing w:after="0" w:line="240" w:lineRule="auto"/>
      </w:pPr>
      <w:r>
        <w:separator/>
      </w:r>
    </w:p>
  </w:footnote>
  <w:footnote w:type="continuationSeparator" w:id="0">
    <w:p w:rsidR="002D0E1E" w:rsidRDefault="002D0E1E" w:rsidP="001357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3E6BEB"/>
    <w:multiLevelType w:val="multilevel"/>
    <w:tmpl w:val="ECC2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36A3946"/>
    <w:multiLevelType w:val="multilevel"/>
    <w:tmpl w:val="F93A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D14B31"/>
    <w:multiLevelType w:val="multilevel"/>
    <w:tmpl w:val="B618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D80E3A"/>
    <w:multiLevelType w:val="multilevel"/>
    <w:tmpl w:val="D0749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436C2F"/>
    <w:multiLevelType w:val="hybridMultilevel"/>
    <w:tmpl w:val="36ACF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A507602"/>
    <w:multiLevelType w:val="multilevel"/>
    <w:tmpl w:val="018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827D81"/>
    <w:multiLevelType w:val="hybridMultilevel"/>
    <w:tmpl w:val="EC74E2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FC065BF"/>
    <w:multiLevelType w:val="multilevel"/>
    <w:tmpl w:val="38B0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9A6684"/>
    <w:multiLevelType w:val="multilevel"/>
    <w:tmpl w:val="697E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B2075A"/>
    <w:multiLevelType w:val="multilevel"/>
    <w:tmpl w:val="830601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971AD3"/>
    <w:multiLevelType w:val="multilevel"/>
    <w:tmpl w:val="861A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FD74F7"/>
    <w:multiLevelType w:val="multilevel"/>
    <w:tmpl w:val="EC66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3"/>
  </w:num>
  <w:num w:numId="11">
    <w:abstractNumId w:val="9"/>
  </w:num>
  <w:num w:numId="12">
    <w:abstractNumId w:val="16"/>
  </w:num>
  <w:num w:numId="13">
    <w:abstractNumId w:val="11"/>
  </w:num>
  <w:num w:numId="14">
    <w:abstractNumId w:val="18"/>
  </w:num>
  <w:num w:numId="15">
    <w:abstractNumId w:val="10"/>
  </w:num>
  <w:num w:numId="16">
    <w:abstractNumId w:val="20"/>
  </w:num>
  <w:num w:numId="17">
    <w:abstractNumId w:val="14"/>
  </w:num>
  <w:num w:numId="18">
    <w:abstractNumId w:val="12"/>
  </w:num>
  <w:num w:numId="19">
    <w:abstractNumId w:val="19"/>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7DD0"/>
    <w:rsid w:val="0006063C"/>
    <w:rsid w:val="00091314"/>
    <w:rsid w:val="000A6BDA"/>
    <w:rsid w:val="001357B9"/>
    <w:rsid w:val="0015074B"/>
    <w:rsid w:val="00170762"/>
    <w:rsid w:val="001F7695"/>
    <w:rsid w:val="0029639D"/>
    <w:rsid w:val="002D0E1E"/>
    <w:rsid w:val="00305C80"/>
    <w:rsid w:val="00321E49"/>
    <w:rsid w:val="00326F90"/>
    <w:rsid w:val="00405E0C"/>
    <w:rsid w:val="00420CFA"/>
    <w:rsid w:val="0048430F"/>
    <w:rsid w:val="004A6EA8"/>
    <w:rsid w:val="004F3E8A"/>
    <w:rsid w:val="00502875"/>
    <w:rsid w:val="00661BAA"/>
    <w:rsid w:val="0067605E"/>
    <w:rsid w:val="006D795B"/>
    <w:rsid w:val="00705E22"/>
    <w:rsid w:val="00776CA3"/>
    <w:rsid w:val="007E2B29"/>
    <w:rsid w:val="00802296"/>
    <w:rsid w:val="00857A9F"/>
    <w:rsid w:val="008D62C4"/>
    <w:rsid w:val="00A33D79"/>
    <w:rsid w:val="00AA1D8D"/>
    <w:rsid w:val="00AB61D5"/>
    <w:rsid w:val="00B05AA6"/>
    <w:rsid w:val="00B15D25"/>
    <w:rsid w:val="00B47730"/>
    <w:rsid w:val="00BA3BA5"/>
    <w:rsid w:val="00C06304"/>
    <w:rsid w:val="00C2125F"/>
    <w:rsid w:val="00CB0664"/>
    <w:rsid w:val="00CB7C76"/>
    <w:rsid w:val="00E31F9F"/>
    <w:rsid w:val="00E74613"/>
    <w:rsid w:val="00F04B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712">
      <w:bodyDiv w:val="1"/>
      <w:marLeft w:val="0"/>
      <w:marRight w:val="0"/>
      <w:marTop w:val="0"/>
      <w:marBottom w:val="0"/>
      <w:divBdr>
        <w:top w:val="none" w:sz="0" w:space="0" w:color="auto"/>
        <w:left w:val="none" w:sz="0" w:space="0" w:color="auto"/>
        <w:bottom w:val="none" w:sz="0" w:space="0" w:color="auto"/>
        <w:right w:val="none" w:sz="0" w:space="0" w:color="auto"/>
      </w:divBdr>
    </w:div>
    <w:div w:id="122190521">
      <w:bodyDiv w:val="1"/>
      <w:marLeft w:val="0"/>
      <w:marRight w:val="0"/>
      <w:marTop w:val="0"/>
      <w:marBottom w:val="0"/>
      <w:divBdr>
        <w:top w:val="none" w:sz="0" w:space="0" w:color="auto"/>
        <w:left w:val="none" w:sz="0" w:space="0" w:color="auto"/>
        <w:bottom w:val="none" w:sz="0" w:space="0" w:color="auto"/>
        <w:right w:val="none" w:sz="0" w:space="0" w:color="auto"/>
      </w:divBdr>
    </w:div>
    <w:div w:id="235092028">
      <w:bodyDiv w:val="1"/>
      <w:marLeft w:val="0"/>
      <w:marRight w:val="0"/>
      <w:marTop w:val="0"/>
      <w:marBottom w:val="0"/>
      <w:divBdr>
        <w:top w:val="none" w:sz="0" w:space="0" w:color="auto"/>
        <w:left w:val="none" w:sz="0" w:space="0" w:color="auto"/>
        <w:bottom w:val="none" w:sz="0" w:space="0" w:color="auto"/>
        <w:right w:val="none" w:sz="0" w:space="0" w:color="auto"/>
      </w:divBdr>
    </w:div>
    <w:div w:id="251090671">
      <w:bodyDiv w:val="1"/>
      <w:marLeft w:val="0"/>
      <w:marRight w:val="0"/>
      <w:marTop w:val="0"/>
      <w:marBottom w:val="0"/>
      <w:divBdr>
        <w:top w:val="none" w:sz="0" w:space="0" w:color="auto"/>
        <w:left w:val="none" w:sz="0" w:space="0" w:color="auto"/>
        <w:bottom w:val="none" w:sz="0" w:space="0" w:color="auto"/>
        <w:right w:val="none" w:sz="0" w:space="0" w:color="auto"/>
      </w:divBdr>
    </w:div>
    <w:div w:id="387649817">
      <w:bodyDiv w:val="1"/>
      <w:marLeft w:val="0"/>
      <w:marRight w:val="0"/>
      <w:marTop w:val="0"/>
      <w:marBottom w:val="0"/>
      <w:divBdr>
        <w:top w:val="none" w:sz="0" w:space="0" w:color="auto"/>
        <w:left w:val="none" w:sz="0" w:space="0" w:color="auto"/>
        <w:bottom w:val="none" w:sz="0" w:space="0" w:color="auto"/>
        <w:right w:val="none" w:sz="0" w:space="0" w:color="auto"/>
      </w:divBdr>
    </w:div>
    <w:div w:id="466513575">
      <w:bodyDiv w:val="1"/>
      <w:marLeft w:val="0"/>
      <w:marRight w:val="0"/>
      <w:marTop w:val="0"/>
      <w:marBottom w:val="0"/>
      <w:divBdr>
        <w:top w:val="none" w:sz="0" w:space="0" w:color="auto"/>
        <w:left w:val="none" w:sz="0" w:space="0" w:color="auto"/>
        <w:bottom w:val="none" w:sz="0" w:space="0" w:color="auto"/>
        <w:right w:val="none" w:sz="0" w:space="0" w:color="auto"/>
      </w:divBdr>
    </w:div>
    <w:div w:id="506794620">
      <w:bodyDiv w:val="1"/>
      <w:marLeft w:val="0"/>
      <w:marRight w:val="0"/>
      <w:marTop w:val="0"/>
      <w:marBottom w:val="0"/>
      <w:divBdr>
        <w:top w:val="none" w:sz="0" w:space="0" w:color="auto"/>
        <w:left w:val="none" w:sz="0" w:space="0" w:color="auto"/>
        <w:bottom w:val="none" w:sz="0" w:space="0" w:color="auto"/>
        <w:right w:val="none" w:sz="0" w:space="0" w:color="auto"/>
      </w:divBdr>
    </w:div>
    <w:div w:id="604847706">
      <w:bodyDiv w:val="1"/>
      <w:marLeft w:val="0"/>
      <w:marRight w:val="0"/>
      <w:marTop w:val="0"/>
      <w:marBottom w:val="0"/>
      <w:divBdr>
        <w:top w:val="none" w:sz="0" w:space="0" w:color="auto"/>
        <w:left w:val="none" w:sz="0" w:space="0" w:color="auto"/>
        <w:bottom w:val="none" w:sz="0" w:space="0" w:color="auto"/>
        <w:right w:val="none" w:sz="0" w:space="0" w:color="auto"/>
      </w:divBdr>
    </w:div>
    <w:div w:id="635531126">
      <w:bodyDiv w:val="1"/>
      <w:marLeft w:val="0"/>
      <w:marRight w:val="0"/>
      <w:marTop w:val="0"/>
      <w:marBottom w:val="0"/>
      <w:divBdr>
        <w:top w:val="none" w:sz="0" w:space="0" w:color="auto"/>
        <w:left w:val="none" w:sz="0" w:space="0" w:color="auto"/>
        <w:bottom w:val="none" w:sz="0" w:space="0" w:color="auto"/>
        <w:right w:val="none" w:sz="0" w:space="0" w:color="auto"/>
      </w:divBdr>
      <w:divsChild>
        <w:div w:id="816608385">
          <w:marLeft w:val="0"/>
          <w:marRight w:val="0"/>
          <w:marTop w:val="0"/>
          <w:marBottom w:val="0"/>
          <w:divBdr>
            <w:top w:val="none" w:sz="0" w:space="0" w:color="auto"/>
            <w:left w:val="none" w:sz="0" w:space="0" w:color="auto"/>
            <w:bottom w:val="none" w:sz="0" w:space="0" w:color="auto"/>
            <w:right w:val="none" w:sz="0" w:space="0" w:color="auto"/>
          </w:divBdr>
          <w:divsChild>
            <w:div w:id="1534031311">
              <w:marLeft w:val="0"/>
              <w:marRight w:val="0"/>
              <w:marTop w:val="0"/>
              <w:marBottom w:val="0"/>
              <w:divBdr>
                <w:top w:val="none" w:sz="0" w:space="0" w:color="auto"/>
                <w:left w:val="none" w:sz="0" w:space="0" w:color="auto"/>
                <w:bottom w:val="none" w:sz="0" w:space="0" w:color="auto"/>
                <w:right w:val="none" w:sz="0" w:space="0" w:color="auto"/>
              </w:divBdr>
            </w:div>
          </w:divsChild>
        </w:div>
        <w:div w:id="1834683447">
          <w:marLeft w:val="0"/>
          <w:marRight w:val="0"/>
          <w:marTop w:val="0"/>
          <w:marBottom w:val="0"/>
          <w:divBdr>
            <w:top w:val="none" w:sz="0" w:space="0" w:color="auto"/>
            <w:left w:val="none" w:sz="0" w:space="0" w:color="auto"/>
            <w:bottom w:val="none" w:sz="0" w:space="0" w:color="auto"/>
            <w:right w:val="none" w:sz="0" w:space="0" w:color="auto"/>
          </w:divBdr>
          <w:divsChild>
            <w:div w:id="11571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98534">
      <w:bodyDiv w:val="1"/>
      <w:marLeft w:val="0"/>
      <w:marRight w:val="0"/>
      <w:marTop w:val="0"/>
      <w:marBottom w:val="0"/>
      <w:divBdr>
        <w:top w:val="none" w:sz="0" w:space="0" w:color="auto"/>
        <w:left w:val="none" w:sz="0" w:space="0" w:color="auto"/>
        <w:bottom w:val="none" w:sz="0" w:space="0" w:color="auto"/>
        <w:right w:val="none" w:sz="0" w:space="0" w:color="auto"/>
      </w:divBdr>
    </w:div>
    <w:div w:id="680619639">
      <w:bodyDiv w:val="1"/>
      <w:marLeft w:val="0"/>
      <w:marRight w:val="0"/>
      <w:marTop w:val="0"/>
      <w:marBottom w:val="0"/>
      <w:divBdr>
        <w:top w:val="none" w:sz="0" w:space="0" w:color="auto"/>
        <w:left w:val="none" w:sz="0" w:space="0" w:color="auto"/>
        <w:bottom w:val="none" w:sz="0" w:space="0" w:color="auto"/>
        <w:right w:val="none" w:sz="0" w:space="0" w:color="auto"/>
      </w:divBdr>
    </w:div>
    <w:div w:id="909541055">
      <w:bodyDiv w:val="1"/>
      <w:marLeft w:val="0"/>
      <w:marRight w:val="0"/>
      <w:marTop w:val="0"/>
      <w:marBottom w:val="0"/>
      <w:divBdr>
        <w:top w:val="none" w:sz="0" w:space="0" w:color="auto"/>
        <w:left w:val="none" w:sz="0" w:space="0" w:color="auto"/>
        <w:bottom w:val="none" w:sz="0" w:space="0" w:color="auto"/>
        <w:right w:val="none" w:sz="0" w:space="0" w:color="auto"/>
      </w:divBdr>
    </w:div>
    <w:div w:id="936406140">
      <w:bodyDiv w:val="1"/>
      <w:marLeft w:val="0"/>
      <w:marRight w:val="0"/>
      <w:marTop w:val="0"/>
      <w:marBottom w:val="0"/>
      <w:divBdr>
        <w:top w:val="none" w:sz="0" w:space="0" w:color="auto"/>
        <w:left w:val="none" w:sz="0" w:space="0" w:color="auto"/>
        <w:bottom w:val="none" w:sz="0" w:space="0" w:color="auto"/>
        <w:right w:val="none" w:sz="0" w:space="0" w:color="auto"/>
      </w:divBdr>
    </w:div>
    <w:div w:id="959725915">
      <w:bodyDiv w:val="1"/>
      <w:marLeft w:val="0"/>
      <w:marRight w:val="0"/>
      <w:marTop w:val="0"/>
      <w:marBottom w:val="0"/>
      <w:divBdr>
        <w:top w:val="none" w:sz="0" w:space="0" w:color="auto"/>
        <w:left w:val="none" w:sz="0" w:space="0" w:color="auto"/>
        <w:bottom w:val="none" w:sz="0" w:space="0" w:color="auto"/>
        <w:right w:val="none" w:sz="0" w:space="0" w:color="auto"/>
      </w:divBdr>
    </w:div>
    <w:div w:id="982928315">
      <w:bodyDiv w:val="1"/>
      <w:marLeft w:val="0"/>
      <w:marRight w:val="0"/>
      <w:marTop w:val="0"/>
      <w:marBottom w:val="0"/>
      <w:divBdr>
        <w:top w:val="none" w:sz="0" w:space="0" w:color="auto"/>
        <w:left w:val="none" w:sz="0" w:space="0" w:color="auto"/>
        <w:bottom w:val="none" w:sz="0" w:space="0" w:color="auto"/>
        <w:right w:val="none" w:sz="0" w:space="0" w:color="auto"/>
      </w:divBdr>
    </w:div>
    <w:div w:id="1113749189">
      <w:bodyDiv w:val="1"/>
      <w:marLeft w:val="0"/>
      <w:marRight w:val="0"/>
      <w:marTop w:val="0"/>
      <w:marBottom w:val="0"/>
      <w:divBdr>
        <w:top w:val="none" w:sz="0" w:space="0" w:color="auto"/>
        <w:left w:val="none" w:sz="0" w:space="0" w:color="auto"/>
        <w:bottom w:val="none" w:sz="0" w:space="0" w:color="auto"/>
        <w:right w:val="none" w:sz="0" w:space="0" w:color="auto"/>
      </w:divBdr>
    </w:div>
    <w:div w:id="1224222429">
      <w:bodyDiv w:val="1"/>
      <w:marLeft w:val="0"/>
      <w:marRight w:val="0"/>
      <w:marTop w:val="0"/>
      <w:marBottom w:val="0"/>
      <w:divBdr>
        <w:top w:val="none" w:sz="0" w:space="0" w:color="auto"/>
        <w:left w:val="none" w:sz="0" w:space="0" w:color="auto"/>
        <w:bottom w:val="none" w:sz="0" w:space="0" w:color="auto"/>
        <w:right w:val="none" w:sz="0" w:space="0" w:color="auto"/>
      </w:divBdr>
    </w:div>
    <w:div w:id="1253590975">
      <w:bodyDiv w:val="1"/>
      <w:marLeft w:val="0"/>
      <w:marRight w:val="0"/>
      <w:marTop w:val="0"/>
      <w:marBottom w:val="0"/>
      <w:divBdr>
        <w:top w:val="none" w:sz="0" w:space="0" w:color="auto"/>
        <w:left w:val="none" w:sz="0" w:space="0" w:color="auto"/>
        <w:bottom w:val="none" w:sz="0" w:space="0" w:color="auto"/>
        <w:right w:val="none" w:sz="0" w:space="0" w:color="auto"/>
      </w:divBdr>
    </w:div>
    <w:div w:id="1564290628">
      <w:bodyDiv w:val="1"/>
      <w:marLeft w:val="0"/>
      <w:marRight w:val="0"/>
      <w:marTop w:val="0"/>
      <w:marBottom w:val="0"/>
      <w:divBdr>
        <w:top w:val="none" w:sz="0" w:space="0" w:color="auto"/>
        <w:left w:val="none" w:sz="0" w:space="0" w:color="auto"/>
        <w:bottom w:val="none" w:sz="0" w:space="0" w:color="auto"/>
        <w:right w:val="none" w:sz="0" w:space="0" w:color="auto"/>
      </w:divBdr>
    </w:div>
    <w:div w:id="1582328450">
      <w:bodyDiv w:val="1"/>
      <w:marLeft w:val="0"/>
      <w:marRight w:val="0"/>
      <w:marTop w:val="0"/>
      <w:marBottom w:val="0"/>
      <w:divBdr>
        <w:top w:val="none" w:sz="0" w:space="0" w:color="auto"/>
        <w:left w:val="none" w:sz="0" w:space="0" w:color="auto"/>
        <w:bottom w:val="none" w:sz="0" w:space="0" w:color="auto"/>
        <w:right w:val="none" w:sz="0" w:space="0" w:color="auto"/>
      </w:divBdr>
    </w:div>
    <w:div w:id="1999263935">
      <w:bodyDiv w:val="1"/>
      <w:marLeft w:val="0"/>
      <w:marRight w:val="0"/>
      <w:marTop w:val="0"/>
      <w:marBottom w:val="0"/>
      <w:divBdr>
        <w:top w:val="none" w:sz="0" w:space="0" w:color="auto"/>
        <w:left w:val="none" w:sz="0" w:space="0" w:color="auto"/>
        <w:bottom w:val="none" w:sz="0" w:space="0" w:color="auto"/>
        <w:right w:val="none" w:sz="0" w:space="0" w:color="auto"/>
      </w:divBdr>
    </w:div>
    <w:div w:id="2009937198">
      <w:bodyDiv w:val="1"/>
      <w:marLeft w:val="0"/>
      <w:marRight w:val="0"/>
      <w:marTop w:val="0"/>
      <w:marBottom w:val="0"/>
      <w:divBdr>
        <w:top w:val="none" w:sz="0" w:space="0" w:color="auto"/>
        <w:left w:val="none" w:sz="0" w:space="0" w:color="auto"/>
        <w:bottom w:val="none" w:sz="0" w:space="0" w:color="auto"/>
        <w:right w:val="none" w:sz="0" w:space="0" w:color="auto"/>
      </w:divBdr>
    </w:div>
    <w:div w:id="2054770963">
      <w:bodyDiv w:val="1"/>
      <w:marLeft w:val="0"/>
      <w:marRight w:val="0"/>
      <w:marTop w:val="0"/>
      <w:marBottom w:val="0"/>
      <w:divBdr>
        <w:top w:val="none" w:sz="0" w:space="0" w:color="auto"/>
        <w:left w:val="none" w:sz="0" w:space="0" w:color="auto"/>
        <w:bottom w:val="none" w:sz="0" w:space="0" w:color="auto"/>
        <w:right w:val="none" w:sz="0" w:space="0" w:color="auto"/>
      </w:divBdr>
    </w:div>
    <w:div w:id="2114789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E84A1-B946-4450-92C4-CAE55748B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7428</TotalTime>
  <Pages>9</Pages>
  <Words>2305</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qwert</cp:lastModifiedBy>
  <cp:revision>18</cp:revision>
  <dcterms:created xsi:type="dcterms:W3CDTF">2013-12-23T23:15:00Z</dcterms:created>
  <dcterms:modified xsi:type="dcterms:W3CDTF">2026-04-29T11:07:00Z</dcterms:modified>
  <cp:category/>
</cp:coreProperties>
</file>