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8E2AD" w14:textId="77777777" w:rsidR="00570128" w:rsidRDefault="00570128">
      <w:pPr>
        <w:pageBreakBefore/>
        <w:spacing w:after="0" w:line="480" w:lineRule="auto"/>
        <w:ind w:left="360" w:right="374"/>
        <w:jc w:val="both"/>
        <w:rPr>
          <w:rFonts w:ascii="Times New Roman" w:hAnsi="Times New Roman" w:cs="Times New Roman"/>
          <w:sz w:val="24"/>
          <w:szCs w:val="24"/>
        </w:rPr>
      </w:pPr>
    </w:p>
    <w:p w14:paraId="27C19B73" w14:textId="2D2997D3" w:rsidR="00570128" w:rsidRDefault="00000000" w:rsidP="005514C8">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Integrating Technology Adoption and Workforce Training to Improve Indoor Environmental Quality in Hospital</w:t>
      </w:r>
    </w:p>
    <w:p w14:paraId="4D20AAC2" w14:textId="77777777" w:rsidR="00570128" w:rsidRDefault="00570128">
      <w:pPr>
        <w:pageBreakBefore/>
        <w:spacing w:after="0" w:line="480" w:lineRule="auto"/>
        <w:ind w:left="360" w:right="374"/>
        <w:jc w:val="both"/>
        <w:rPr>
          <w:rFonts w:ascii="Times New Roman" w:hAnsi="Times New Roman" w:cs="Times New Roman"/>
          <w:sz w:val="24"/>
          <w:szCs w:val="24"/>
        </w:rPr>
      </w:pPr>
    </w:p>
    <w:p w14:paraId="7943C026" w14:textId="77777777" w:rsidR="00570128" w:rsidRDefault="00000000">
      <w:pPr>
        <w:spacing w:after="0" w:line="480" w:lineRule="auto"/>
        <w:ind w:left="360" w:right="374"/>
        <w:jc w:val="both"/>
        <w:rPr>
          <w:rFonts w:ascii="Times New Roman" w:hAnsi="Times New Roman" w:cs="Times New Roman"/>
          <w:sz w:val="24"/>
          <w:szCs w:val="24"/>
        </w:rPr>
      </w:pPr>
      <w:r>
        <w:rPr>
          <w:rFonts w:ascii="Times New Roman" w:eastAsia="Arial" w:hAnsi="Times New Roman" w:cs="Times New Roman"/>
          <w:b/>
          <w:color w:val="252525"/>
          <w:sz w:val="24"/>
          <w:szCs w:val="24"/>
        </w:rPr>
        <w:t>Keywords:</w:t>
      </w:r>
      <w:r>
        <w:rPr>
          <w:rFonts w:ascii="Times New Roman" w:eastAsia="Arial" w:hAnsi="Times New Roman" w:cs="Times New Roman"/>
          <w:color w:val="252525"/>
          <w:sz w:val="24"/>
          <w:szCs w:val="24"/>
        </w:rPr>
        <w:t xml:space="preserve"> Evolving technologies, vocational training, workforce development, indoor environmental quality.</w:t>
      </w:r>
    </w:p>
    <w:p w14:paraId="372F6352" w14:textId="77777777" w:rsidR="00570128" w:rsidRDefault="00000000">
      <w:pPr>
        <w:spacing w:after="0" w:line="480" w:lineRule="auto"/>
        <w:ind w:left="360" w:right="374"/>
        <w:jc w:val="both"/>
        <w:rPr>
          <w:rFonts w:ascii="Times New Roman" w:hAnsi="Times New Roman" w:cs="Times New Roman"/>
          <w:sz w:val="24"/>
          <w:szCs w:val="24"/>
        </w:rPr>
      </w:pPr>
      <w:r>
        <w:rPr>
          <w:rFonts w:ascii="Times New Roman" w:eastAsia="Arial" w:hAnsi="Times New Roman" w:cs="Times New Roman"/>
          <w:b/>
          <w:color w:val="252525"/>
          <w:sz w:val="24"/>
          <w:szCs w:val="24"/>
        </w:rPr>
        <w:t>Abstract</w:t>
      </w:r>
    </w:p>
    <w:p w14:paraId="300221D3" w14:textId="77777777" w:rsidR="00570128" w:rsidRDefault="00000000">
      <w:pPr>
        <w:pStyle w:val="NormalWeb"/>
        <w:spacing w:line="480" w:lineRule="auto"/>
        <w:ind w:left="360"/>
        <w:jc w:val="both"/>
      </w:pPr>
      <w:r>
        <w:rPr>
          <w:rFonts w:eastAsia="Arial"/>
          <w:color w:val="252525"/>
        </w:rPr>
        <w:t xml:space="preserve">Hospitals require optimal Indoor Environmental Quality (IEQ) to promote patient recovery, staff efficiency, and overall well-being. However, the integration of evolving construction technologies into hospital design, construction, operation, and maintenance in many developing regions remains hindered by workforce skill gaps. This paper assessed the level of awareness and adoption of IEQ technology by architects and the awareness level of the users of the space. A mixed-method approach was applied to examine the parameter readings, users’ perceptions, and awareness. Findings reveal that 20% of the selected hospitals made use of passive technology (buoyancy) to enhance air quality, systemic lighting failure, high noise levels, and varying humidity/thermal issues. </w:t>
      </w:r>
      <w:r>
        <w:t>Only 10% of architect respondents reported using enhancement technologies to improve IEQ metrics beyond air quality</w:t>
      </w:r>
      <w:r>
        <w:rPr>
          <w:rFonts w:eastAsia="Arial"/>
          <w:color w:val="252525"/>
        </w:rPr>
        <w:t xml:space="preserve">. One out of every four user respondents admitted to being unfamiliar with the concept, while only 15% reported being very familiar, and 52.6% of respondents reported being unaware of IEQ monitoring systems. </w:t>
      </w:r>
      <w:r>
        <w:t xml:space="preserve">Users are primarily concerned with ventilation, airborne pollutants, and infection control. </w:t>
      </w:r>
      <w:r>
        <w:rPr>
          <w:rFonts w:eastAsia="Arial"/>
          <w:color w:val="252525"/>
        </w:rPr>
        <w:t>Recommendations are proposed for embedding IEQ-focused competencies into training curricula and aligning construction policies with global sustainability and healthcare facility standards.</w:t>
      </w:r>
    </w:p>
    <w:p w14:paraId="5CD857BE" w14:textId="77777777" w:rsidR="00570128" w:rsidRDefault="00000000">
      <w:pPr>
        <w:spacing w:after="0" w:line="480" w:lineRule="auto"/>
        <w:ind w:left="360" w:right="374"/>
        <w:jc w:val="both"/>
        <w:rPr>
          <w:rFonts w:ascii="Times New Roman" w:hAnsi="Times New Roman" w:cs="Times New Roman"/>
          <w:sz w:val="24"/>
          <w:szCs w:val="24"/>
        </w:rPr>
      </w:pPr>
      <w:r>
        <w:rPr>
          <w:rFonts w:ascii="Times New Roman" w:eastAsia="Arial" w:hAnsi="Times New Roman" w:cs="Times New Roman"/>
          <w:b/>
          <w:color w:val="252525"/>
          <w:sz w:val="24"/>
          <w:szCs w:val="24"/>
        </w:rPr>
        <w:t>1. Introduction</w:t>
      </w:r>
    </w:p>
    <w:p w14:paraId="72AB07C9" w14:textId="77777777" w:rsidR="00570128" w:rsidRDefault="00000000">
      <w:pPr>
        <w:spacing w:after="0" w:line="480" w:lineRule="auto"/>
        <w:ind w:left="36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Hospitals are critical infrastructure requiring high-performance environmental conditions. </w:t>
      </w:r>
      <w:r>
        <w:rPr>
          <w:rFonts w:ascii="Times New Roman" w:eastAsia="Times New Roman" w:hAnsi="Times New Roman" w:cs="Times New Roman"/>
          <w:sz w:val="24"/>
          <w:szCs w:val="24"/>
          <w:lang w:eastAsia="en-GB"/>
        </w:rPr>
        <w:t xml:space="preserve">Conducive Indoor Environmental Quality </w:t>
      </w:r>
      <w:r>
        <w:rPr>
          <w:rFonts w:ascii="Times New Roman" w:eastAsia="Arial" w:hAnsi="Times New Roman" w:cs="Times New Roman"/>
          <w:color w:val="252525"/>
          <w:sz w:val="24"/>
          <w:szCs w:val="24"/>
        </w:rPr>
        <w:t>(IEQ),</w:t>
      </w:r>
      <w:r>
        <w:rPr>
          <w:rFonts w:ascii="Times New Roman" w:eastAsia="Times New Roman" w:hAnsi="Times New Roman" w:cs="Times New Roman"/>
          <w:sz w:val="24"/>
          <w:szCs w:val="24"/>
          <w:lang w:eastAsia="en-GB"/>
        </w:rPr>
        <w:t xml:space="preserve"> refers to the psychological effects on patients as well as the physical elements within the setting, including architectural elements, furniture, design, lighting, and ventilation. These components, taken together, provide the general interior and outdoor stimuli and settings that mold a person's experience in a healthcare setting </w:t>
      </w:r>
      <w:r>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ADDIN ZOTERO_ITEM CSL_CITATION {"citationID":"P9wJ5rbD","properties":{"formattedCitation":"(Ackley et al., 2024)","plainCitation":"(Ackley et al., 2024)","noteIndex":0},"citationItems":[{"id":19,"uris":["http://zotero.org/users/17799514/items/78FMR6K2"],"itemData":{"id":19,"type":"article-journal","container-title":"Journal of Building Engineering","DOI":"10.1016/j.jobe.2024.108787","ISSN":"23527102","journalAbbreviation":"Journal of Building Engineering","language":"en","page":"108787","source":"DOI.org (Crossref)","title":"Indoor environmental quality (IEQ) in healthcare facilities: A systematic literature review and gap analysis","title-short":"Indoor environmental quality (IEQ) in healthcare facilities","URL":"https://linkinghub.elsevier.com/retrieve/pii/S2352710224003553","volume":"86","author":[{"family":"Ackley","given":"Aniebietabasi"},{"family":"Olanrewaju","given":"Oludolapo Ibrahim"},{"family":"Oyefusi","given":"Oluwatobi Nurudeen"},{"family":"Enegbuma","given":"Wallace Imoudu"},{"family":"Olaoye","given":"Toba Samuel"},{"family":"Ehimatie","given":"Atamewan Eugene"},{"family":"Ukpong","given":"Edidiong"},{"family":"Akpan-Idiok","given":"Paulina"}],"accessed":{"date-parts":[["2025",8,21]]},"issued":{"date-parts":[["2024",6]]}}}],"schema":"https://github.com/citation-style-language/schema/raw/master/csl-citation.json"} </w:instrText>
      </w:r>
      <w:r>
        <w:rPr>
          <w:rFonts w:ascii="Times New Roman" w:eastAsia="Times New Roman" w:hAnsi="Times New Roman" w:cs="Times New Roman"/>
          <w:sz w:val="24"/>
          <w:szCs w:val="24"/>
          <w:lang w:eastAsia="en-GB"/>
        </w:rPr>
        <w:fldChar w:fldCharType="separate"/>
      </w:r>
      <w:r>
        <w:rPr>
          <w:rFonts w:ascii="Times New Roman" w:hAnsi="Times New Roman" w:cs="Times New Roman"/>
          <w:sz w:val="24"/>
        </w:rPr>
        <w:t>(Ackley et al., 2024)</w:t>
      </w:r>
      <w:r>
        <w:rPr>
          <w:rFonts w:ascii="Times New Roman" w:eastAsia="Times New Roman" w:hAnsi="Times New Roman" w:cs="Times New Roman"/>
          <w:sz w:val="24"/>
          <w:szCs w:val="24"/>
          <w:lang w:eastAsia="en-GB"/>
        </w:rPr>
        <w:fldChar w:fldCharType="end"/>
      </w:r>
      <w:r>
        <w:rPr>
          <w:rFonts w:ascii="Times New Roman" w:hAnsi="Times New Roman" w:cs="Times New Roman"/>
          <w:color w:val="000000"/>
          <w:sz w:val="24"/>
          <w:szCs w:val="24"/>
          <w:shd w:val="clear" w:color="auto" w:fill="FFFFFF"/>
        </w:rPr>
        <w:t xml:space="preserve">. </w:t>
      </w:r>
      <w:r>
        <w:rPr>
          <w:rFonts w:ascii="Times New Roman" w:eastAsia="Arial" w:hAnsi="Times New Roman" w:cs="Times New Roman"/>
          <w:color w:val="252525"/>
          <w:sz w:val="24"/>
          <w:szCs w:val="24"/>
        </w:rPr>
        <w:t xml:space="preserve">Indoor Environmental Quality parameters (air quality, thermal comfort, daylighting, and acoustics) significantly influence patient recovery and staff productivity </w:t>
      </w:r>
      <w:r>
        <w:rPr>
          <w:rFonts w:ascii="Times New Roman" w:eastAsia="Arial" w:hAnsi="Times New Roman" w:cs="Times New Roman"/>
          <w:color w:val="252525"/>
          <w:sz w:val="24"/>
          <w:szCs w:val="24"/>
        </w:rPr>
        <w:fldChar w:fldCharType="begin"/>
      </w:r>
      <w:r>
        <w:rPr>
          <w:rFonts w:ascii="Times New Roman" w:eastAsia="Arial" w:hAnsi="Times New Roman" w:cs="Times New Roman"/>
          <w:color w:val="252525"/>
          <w:sz w:val="24"/>
          <w:szCs w:val="24"/>
        </w:rPr>
        <w:instrText xml:space="preserve"> ADDIN ZOTERO_ITEM CSL_CITATION {"citationID":"D0zmQbOi","properties":{"formattedCitation":"(Nimlyat et al., 2024)","plainCitation":"(Nimlyat et al., 2024)","noteIndex":0},"citationItems":[{"id":10,"uris":["http://zotero.org/users/17799514/items/JB9LE4J7"],"itemData":{"id":10,"type":"article-journal","abstract":"Purpose\n              The most challenging aspect of hospital design is the creation of an environment that heals rather than the one acting as a barrier to healing. Much has not been done in the aspect of ascertaining the level of impact “indoor environmental quality (IEQ)” has on building occupants in healthcare facilities. Therefore, this study aims to investigate the impact of IEQ on patients' health and well-being.\n            \n            \n              Design/methodology/approach\n              The study investigates the hypothesis that four IEQ parameters (thermal quality, acoustic quality, lighting quality and indoor air quality [IAQ]) influence patients' overall satisfaction with the performance of hospital wards. Questionnaire responses were sought from the patients as the main occupants of hospital ward buildings. A proposed weighted structural model for IEQ establishing the relationship between IEQ parameters, patients' overall satisfaction and patients' health outcome was analyzed using structural equation modeling (SEM).\n            \n            \n              Findings\n              The most influential IEQ parameters on patients' overall satisfaction with IEQ in hospital wards are thermal quality, IAQ and lighting quality. The findings from this study revealed that the parameters of influence on patients' overall satisfaction and health outcomes vary with hospital ward orientation and design configuration.\n            \n            \n              Originality/value\n              This study has explored the need for the integration of all factors of IEQ at the building design stage towards providing a hospital environmental setting that reflects occupants' requirements and expectations and also promotes patient healing processes. This should be the focus of architects and healthcare managers and providers.","container-title":"International Journal of Building Pathology and Adaptation","DOI":"10.1108/IJBPA-06-2021-0089","ISSN":"2398-4708","issue":"4","journalAbbreviation":"IJBPA","language":"en","license":"https://www.emerald.com/insight/site-policies","page":"510-530","source":"DOI.org (Crossref)","title":"The impact of indoor environmental quality (IEQ) on patients' health and comfort in Nigeria","URL":"http://www.emerald.com/ijbpa/article/42/4/510-530/1224465","volume":"42","author":[{"family":"Nimlyat","given":"Pontip Stephen"},{"family":"Salihu","given":"Bala"},{"family":"Wang","given":"Grace Pam"}],"accessed":{"date-parts":[["2025",8,21]]},"issued":{"date-parts":[["2024",8,12]]}}}],"schema":"https://github.com/citation-style-language/schema/raw/master/csl-citation.json"} </w:instrText>
      </w:r>
      <w:r>
        <w:rPr>
          <w:rFonts w:ascii="Times New Roman" w:eastAsia="Arial" w:hAnsi="Times New Roman" w:cs="Times New Roman"/>
          <w:color w:val="252525"/>
          <w:sz w:val="24"/>
          <w:szCs w:val="24"/>
        </w:rPr>
        <w:fldChar w:fldCharType="separate"/>
      </w:r>
      <w:r>
        <w:rPr>
          <w:rFonts w:ascii="Times New Roman" w:hAnsi="Times New Roman" w:cs="Times New Roman"/>
          <w:sz w:val="24"/>
        </w:rPr>
        <w:t>(Nimlyat et al., 2024)</w:t>
      </w:r>
      <w:r>
        <w:rPr>
          <w:rFonts w:ascii="Times New Roman" w:eastAsia="Arial" w:hAnsi="Times New Roman" w:cs="Times New Roman"/>
          <w:color w:val="252525"/>
          <w:sz w:val="24"/>
          <w:szCs w:val="24"/>
        </w:rPr>
        <w:fldChar w:fldCharType="end"/>
      </w:r>
      <w:r>
        <w:rPr>
          <w:rFonts w:ascii="Times New Roman" w:eastAsia="Arial" w:hAnsi="Times New Roman" w:cs="Times New Roman"/>
          <w:color w:val="252525"/>
          <w:sz w:val="24"/>
          <w:szCs w:val="24"/>
        </w:rPr>
        <w:t xml:space="preserve">. Health buildings </w:t>
      </w:r>
    </w:p>
    <w:p w14:paraId="26569C36" w14:textId="77777777" w:rsidR="00570128" w:rsidRDefault="00000000">
      <w:pPr>
        <w:spacing w:after="0" w:line="480" w:lineRule="auto"/>
        <w:ind w:left="36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are set apart from other types of buildings by their unique combination of emergency power, medical-</w:t>
      </w:r>
    </w:p>
    <w:p w14:paraId="63B39690" w14:textId="77777777" w:rsidR="00570128" w:rsidRDefault="00570128">
      <w:pPr>
        <w:spacing w:after="0" w:line="480" w:lineRule="auto"/>
        <w:ind w:left="360"/>
        <w:jc w:val="both"/>
        <w:rPr>
          <w:rFonts w:ascii="Times New Roman" w:eastAsia="Arial" w:hAnsi="Times New Roman" w:cs="Times New Roman"/>
          <w:color w:val="252525"/>
          <w:sz w:val="24"/>
          <w:szCs w:val="24"/>
        </w:rPr>
      </w:pPr>
    </w:p>
    <w:p w14:paraId="7BA3EF12" w14:textId="77777777" w:rsidR="00570128" w:rsidRDefault="00570128">
      <w:pPr>
        <w:spacing w:after="0" w:line="480" w:lineRule="auto"/>
        <w:ind w:left="360"/>
        <w:jc w:val="both"/>
        <w:rPr>
          <w:rFonts w:ascii="Times New Roman" w:eastAsia="Arial" w:hAnsi="Times New Roman" w:cs="Times New Roman"/>
          <w:color w:val="252525"/>
          <w:sz w:val="24"/>
          <w:szCs w:val="24"/>
        </w:rPr>
      </w:pPr>
    </w:p>
    <w:p w14:paraId="5B1780CB" w14:textId="77777777" w:rsidR="00570128" w:rsidRDefault="00000000">
      <w:pPr>
        <w:spacing w:after="0" w:line="480" w:lineRule="auto"/>
        <w:ind w:left="36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gas systems, and fire protection, which necessitate complex installation, operation, or maintenance</w:t>
      </w:r>
    </w:p>
    <w:p w14:paraId="2FB4E44F" w14:textId="77777777" w:rsidR="00570128" w:rsidRDefault="00000000">
      <w:pPr>
        <w:spacing w:after="0" w:line="480" w:lineRule="auto"/>
        <w:ind w:left="36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 </w:t>
      </w:r>
      <w:r>
        <w:rPr>
          <w:rFonts w:ascii="Times New Roman" w:eastAsia="Arial" w:hAnsi="Times New Roman" w:cs="Times New Roman"/>
          <w:color w:val="252525"/>
          <w:sz w:val="24"/>
          <w:szCs w:val="24"/>
        </w:rPr>
        <w:fldChar w:fldCharType="begin"/>
      </w:r>
      <w:r>
        <w:rPr>
          <w:rFonts w:ascii="Times New Roman" w:eastAsia="Arial" w:hAnsi="Times New Roman" w:cs="Times New Roman"/>
          <w:color w:val="252525"/>
          <w:sz w:val="24"/>
          <w:szCs w:val="24"/>
        </w:rPr>
        <w:instrText xml:space="preserve"> ADDIN ZOTERO_ITEM CSL_CITATION {"citationID":"5rmJLPzf","properties":{"formattedCitation":"({\\i{}District Health Facilities}, 1998)","plainCitation":"(District Health Facilities, 1998)","noteIndex":0},"citationItems":[{"id":29,"uris":["http://zotero.org/users/17799514/items/9BURKZ2P"],"itemData":{"id":29,"type":"book","event-place":"Manila, Philippines","ISBN":"978-92-9061-121-9","language":"eng","note":"OCLC: 41133816","publisher":"World Health Organization, Regional Office for the Western Pacific","publisher-place":"Manila, Philippines","source":"Open WorldCat","title":"District health facilities: guidelines for development &amp; operations","title-short":"District health facilities","issued":{"date-parts":[["1998"]]}}}],"schema":"https://github.com/citation-style-language/schema/raw/master/csl-citation.json"} </w:instrText>
      </w:r>
      <w:r>
        <w:rPr>
          <w:rFonts w:ascii="Times New Roman" w:eastAsia="Arial" w:hAnsi="Times New Roman" w:cs="Times New Roman"/>
          <w:color w:val="252525"/>
          <w:sz w:val="24"/>
          <w:szCs w:val="24"/>
        </w:rPr>
        <w:fldChar w:fldCharType="separate"/>
      </w:r>
      <w:r>
        <w:rPr>
          <w:rFonts w:ascii="Times New Roman" w:hAnsi="Times New Roman" w:cs="Times New Roman"/>
          <w:sz w:val="24"/>
          <w:szCs w:val="24"/>
        </w:rPr>
        <w:t>(</w:t>
      </w:r>
      <w:r>
        <w:rPr>
          <w:rFonts w:ascii="Times New Roman" w:hAnsi="Times New Roman" w:cs="Times New Roman"/>
          <w:iCs/>
          <w:sz w:val="24"/>
          <w:szCs w:val="24"/>
        </w:rPr>
        <w:t>District Health Facilitie</w:t>
      </w:r>
      <w:r>
        <w:rPr>
          <w:rFonts w:ascii="Times New Roman" w:hAnsi="Times New Roman" w:cs="Times New Roman"/>
          <w:i/>
          <w:iCs/>
          <w:sz w:val="24"/>
          <w:szCs w:val="24"/>
        </w:rPr>
        <w:t>s</w:t>
      </w:r>
      <w:r>
        <w:rPr>
          <w:rFonts w:ascii="Times New Roman" w:hAnsi="Times New Roman" w:cs="Times New Roman"/>
          <w:sz w:val="24"/>
          <w:szCs w:val="24"/>
        </w:rPr>
        <w:t>, 1998)</w:t>
      </w:r>
      <w:r>
        <w:rPr>
          <w:rFonts w:ascii="Times New Roman" w:eastAsia="Arial" w:hAnsi="Times New Roman" w:cs="Times New Roman"/>
          <w:color w:val="252525"/>
          <w:sz w:val="24"/>
          <w:szCs w:val="24"/>
        </w:rPr>
        <w:fldChar w:fldCharType="end"/>
      </w:r>
      <w:r>
        <w:rPr>
          <w:rFonts w:ascii="Times New Roman" w:eastAsia="Arial" w:hAnsi="Times New Roman" w:cs="Times New Roman"/>
          <w:color w:val="252525"/>
          <w:sz w:val="24"/>
          <w:szCs w:val="24"/>
        </w:rPr>
        <w:t xml:space="preserve">. It is controlled by a system of Heating, Ventilation, and Air Conditioning (HVAC), which maintains the temperature, humidity, airflow, and pressure within the building. It guarantees the confinement, diluting, and purging of pathogens/toxins within certain room conditions </w:t>
      </w:r>
      <w:r>
        <w:rPr>
          <w:rFonts w:ascii="Times New Roman" w:eastAsia="Arial" w:hAnsi="Times New Roman" w:cs="Times New Roman"/>
          <w:color w:val="252525"/>
          <w:sz w:val="24"/>
          <w:szCs w:val="24"/>
        </w:rPr>
        <w:fldChar w:fldCharType="begin"/>
      </w:r>
      <w:r>
        <w:rPr>
          <w:rFonts w:ascii="Times New Roman" w:eastAsia="Arial" w:hAnsi="Times New Roman" w:cs="Times New Roman"/>
          <w:color w:val="252525"/>
          <w:sz w:val="24"/>
          <w:szCs w:val="24"/>
        </w:rPr>
        <w:instrText xml:space="preserve"> ADDIN ZOTERO_ITEM CSL_CITATION {"citationID":"cBSy0JDW","properties":{"formattedCitation":"(Silva et al., 2024)","plainCitation":"(Silva et al., 2024)","noteIndex":0},"citationItems":[{"id":30,"uris":["http://zotero.org/users/17799514/items/SV7VMYIJ"],"itemData":{"id":30,"type":"article-journal","container-title":"Sustainable Cities and Society","DOI":"10.1016/j.scs.2023.105013","ISSN":"22106707","journalAbbreviation":"Sustainable Cities and Society","language":"en","page":"105013","source":"DOI.org (Crossref)","title":"Sustainable, green, or smart? Pathways for energy-efficient healthcare buildings","title-short":"Sustainable, green, or smart?","URL":"https://linkinghub.elsevier.com/retrieve/pii/S2210670723006248","volume":"100","author":[{"family":"Silva","given":"Brenda V.F."},{"family":"Holm-Nielsen","given":"Jens Bo"},{"family":"Sadrizadeh","given":"Sasan"},{"family":"Teles","given":"Mavd P.R."},{"family":"Kiani-Moghaddam","given":"Mohammad"},{"family":"Arabkoohsar","given":"Ahmad"}],"accessed":{"date-parts":[["2025",8,26]]},"issued":{"date-parts":[["2024",1]]}}}],"schema":"https://github.com/citation-style-language/schema/raw/master/csl-citation.json"} </w:instrText>
      </w:r>
      <w:r>
        <w:rPr>
          <w:rFonts w:ascii="Times New Roman" w:eastAsia="Arial" w:hAnsi="Times New Roman" w:cs="Times New Roman"/>
          <w:color w:val="252525"/>
          <w:sz w:val="24"/>
          <w:szCs w:val="24"/>
        </w:rPr>
        <w:fldChar w:fldCharType="separate"/>
      </w:r>
      <w:r>
        <w:rPr>
          <w:rFonts w:ascii="Times New Roman" w:hAnsi="Times New Roman" w:cs="Times New Roman"/>
          <w:sz w:val="24"/>
        </w:rPr>
        <w:t>(Silva et al., 2024)</w:t>
      </w:r>
      <w:r>
        <w:rPr>
          <w:rFonts w:ascii="Times New Roman" w:eastAsia="Arial" w:hAnsi="Times New Roman" w:cs="Times New Roman"/>
          <w:color w:val="252525"/>
          <w:sz w:val="24"/>
          <w:szCs w:val="24"/>
        </w:rPr>
        <w:fldChar w:fldCharType="end"/>
      </w:r>
      <w:r>
        <w:rPr>
          <w:rFonts w:ascii="Times New Roman" w:eastAsia="Arial" w:hAnsi="Times New Roman" w:cs="Times New Roman"/>
          <w:color w:val="252525"/>
          <w:sz w:val="24"/>
          <w:szCs w:val="24"/>
        </w:rPr>
        <w:t>.</w:t>
      </w:r>
    </w:p>
    <w:p w14:paraId="49A76824" w14:textId="77777777" w:rsidR="00570128" w:rsidRDefault="00000000">
      <w:pPr>
        <w:spacing w:after="0" w:line="480" w:lineRule="auto"/>
        <w:ind w:left="36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The application of evolving technologies, including AI-controlled ventilation, Building Information Modelling (BIM) simulations for IEQ optimization, and real-time monitoring systems, is increasingly essential for sustainable hospital environments</w:t>
      </w:r>
      <w:r>
        <w:rPr>
          <w:rFonts w:ascii="Times New Roman" w:eastAsia="Arial" w:hAnsi="Times New Roman" w:cs="Times New Roman"/>
          <w:color w:val="252525"/>
          <w:sz w:val="24"/>
          <w:szCs w:val="24"/>
        </w:rPr>
        <w:fldChar w:fldCharType="begin"/>
      </w:r>
      <w:r>
        <w:rPr>
          <w:rFonts w:ascii="Times New Roman" w:eastAsia="Arial" w:hAnsi="Times New Roman" w:cs="Times New Roman"/>
          <w:color w:val="252525"/>
          <w:sz w:val="24"/>
          <w:szCs w:val="24"/>
        </w:rPr>
        <w:instrText xml:space="preserve"> ADDIN ZOTERO_ITEM CSL_CITATION {"citationID":"zEWZRZdS","properties":{"formattedCitation":"(Jiang et al., 2025; Niza et al., 2024)","plainCitation":"(Jiang et al., 2025; Niza et al., 2024)","noteIndex":0},"citationItems":[{"id":31,"uris":["http://zotero.org/users/17799514/items/UQCJXQX7"],"itemData":{"id":31,"type":"article-journal","abstract":"Traditional HVAC designs often struggle to respond promptly and accurately to dynamic changes in complex environments like hospital usage. This paper introduces a novel framework that integrates Building Information Modeling (BIM), digital twin technology, and practical medical processes to transform HVAC design for hospital construction. The framework ensured a smarter (with a reduction of 90% in calculation time and an improvement of 38.20–53.24% in respondence speed) and cleaner environment after identifying and calculating the rational layout of functional areas and optimizing intersecting flow lines. A key innovation of this research was the application of Support Vector Machine (SVM) and deep learning algorithm (Long Short-Term Memory) networks for real-time pedestrian traffic prediction. The implementation was validated through multiple simulations and applications including horizontal and vertical traffic flow and negative pressure analyses for three distinct departments. The findings underline the potential of BIM and digital twins to optimize HVAC systems and hospital design, providing adaptive, data-driven solutions for both routine operations and emergency scenarios. This framework offers a scalable approach for modernizing healthcare infrastructure, ensuring resilience and efficiency in diverse operational contexts.","container-title":"Sustainability","DOI":"10.3390/su17083312","ISSN":"2071-1050","issue":"8","journalAbbreviation":"Sustainability","language":"en","license":"https://creativecommons.org/licenses/by/4.0/","page":"3312","source":"DOI.org (Crossref)","title":"Transforming Hospital HVAC Design with BIM and Digital Twins: Addressing Real-Time Use Changes","title-short":"Transforming Hospital HVAC Design with BIM and Digital Twins","URL":"https://www.mdpi.com/2071-1050/17/8/3312","volume":"17","author":[{"family":"Jiang","given":"Fengchang"},{"family":"Xie","given":"Haiyan"},{"family":"Gandla","given":"Sai Ram"},{"family":"Fei","given":"Shibo"}],"accessed":{"date-parts":[["2025",8,26]]},"issued":{"date-parts":[["2025",4,8]]}}},{"id":32,"uris":["http://zotero.org/users/17799514/items/U3TLCQAG"],"itemData":{"id":32,"type":"article-journal","container-title":"Results in Engineering","DOI":"10.1016/j.rineng.2024.103157","ISSN":"25901230","journalAbbreviation":"Results in Engineering","language":"en","page":"103157","source":"DOI.org (Crossref)","title":"Air quality and ventilation: Exploring solutions for healthy and sustainable urban environments in times of climate change","title-short":"Air quality and ventilation","URL":"https://linkinghub.elsevier.com/retrieve/pii/S2590123024014129","volume":"24","author":[{"family":"Niza","given":"Iasmin Lourenço"},{"family":"Bueno","given":"Ana Maria"},{"family":"Gameiro Da Silva","given":"Manuel"},{"family":"Broday","given":"Evandro Eduardo"}],"accessed":{"date-parts":[["2025",8,26]]},"issued":{"date-parts":[["2024",12]]}}}],"schema":"https://github.com/citation-style-language/schema/raw/master/csl-citation.json"} </w:instrText>
      </w:r>
      <w:r>
        <w:rPr>
          <w:rFonts w:ascii="Times New Roman" w:eastAsia="Arial" w:hAnsi="Times New Roman" w:cs="Times New Roman"/>
          <w:color w:val="252525"/>
          <w:sz w:val="24"/>
          <w:szCs w:val="24"/>
        </w:rPr>
        <w:fldChar w:fldCharType="separate"/>
      </w:r>
      <w:r>
        <w:rPr>
          <w:rFonts w:ascii="Times New Roman" w:hAnsi="Times New Roman" w:cs="Times New Roman"/>
          <w:sz w:val="24"/>
        </w:rPr>
        <w:t>(Jiang et al., 2025; Niza et al., 2024)</w:t>
      </w:r>
      <w:r>
        <w:rPr>
          <w:rFonts w:ascii="Times New Roman" w:eastAsia="Arial" w:hAnsi="Times New Roman" w:cs="Times New Roman"/>
          <w:color w:val="252525"/>
          <w:sz w:val="24"/>
          <w:szCs w:val="24"/>
        </w:rPr>
        <w:fldChar w:fldCharType="end"/>
      </w:r>
      <w:r>
        <w:rPr>
          <w:rFonts w:ascii="Times New Roman" w:eastAsia="Arial" w:hAnsi="Times New Roman" w:cs="Times New Roman"/>
          <w:color w:val="252525"/>
          <w:sz w:val="24"/>
          <w:szCs w:val="24"/>
        </w:rPr>
        <w:t>. Howbeit, it has been realized that skill shortages in the construction workforce, particularly in emerging economies, hinder optimal IEQ outcomes</w:t>
      </w:r>
      <w:r>
        <w:rPr>
          <w:rFonts w:ascii="Times New Roman" w:eastAsia="Arial" w:hAnsi="Times New Roman" w:cs="Times New Roman"/>
          <w:color w:val="252525"/>
          <w:sz w:val="24"/>
          <w:szCs w:val="24"/>
        </w:rPr>
        <w:fldChar w:fldCharType="begin"/>
      </w:r>
      <w:r>
        <w:rPr>
          <w:rFonts w:ascii="Times New Roman" w:eastAsia="Arial" w:hAnsi="Times New Roman" w:cs="Times New Roman"/>
          <w:color w:val="252525"/>
          <w:sz w:val="24"/>
          <w:szCs w:val="24"/>
        </w:rPr>
        <w:instrText xml:space="preserve"> ADDIN ZOTERO_ITEM CSL_CITATION {"citationID":"7syKOMQv","properties":{"formattedCitation":"(Idris et al., 2024)","plainCitation":"(Idris et al., 2024)","noteIndex":0},"citationItems":[{"id":33,"uris":["http://zotero.org/users/17799514/items/UQ9C4Q3F"],"itemData":{"id":33,"type":"article-journal","abstract":"A number of issues arise from Nigeria's lack of a regulated and effective system for evaluating the credentials and abilities of artisans in the building sector, including ineffective verification, subjective evaluation, restricted accessibility, a lack of standardisation, and security issues. The study aimed to assess severity of skill shortages in the Nigerian building construction artisans. The study adopts descriptive survey design and quantitative approach was used as study approach, survey strategy was adopted and data were collected through questionnaire survey. The study also adopts simple random sampling technique and SPSS software version 22 was used for data analysis tools. A descriptive analysis type using mean ranking technique and (percentage) were used for the analysis. The study revealed that practicing building construction artisans in Nigeria lack the requisite anger management skills at their workplaces, delay in building projects delivery in Nigeria. Also, practicing building construction artisans in Nigeria lack the requisite health, safety and house-keeping skills at their workplaces and lack of institutionalization of the NSQ leads to skill shortages for the industry were the major points of consideration when looking at the skill shortages for the building construction delivery in Nigeria. Provision of adequate competency-based trainers was rated the most important strategy, suggesting that qualified trainers are essential for effective skill development. Periodic capacity building for practicing artisans, regular training and development programs for existing artisans was considered crucial for maintaining and enhancing their skills. Also, enactment of enabling legislation for the national building code enforcement and a strong regulatory framework is seen as necessary to ensure industry standards and compliance.","container-title":"International Journal of Civil Engineering, Construction and Estate Management","DOI":"10.37745/ijcecem.14/vol12n395109","ISSN":"20556578, 20556586","issue":"3","journalAbbreviation":"IJCECEM","page":"95-109","source":"DOI.org (Crossref)","title":"The Severity of Skill Shortages in the Nigerian Building Construction Artisans","URL":"https://eajournals.org/ijcecem/vol12-issue-3-2024/the-severity-of-skill-shortages-in-the-nigerian-building-construction-artisans/","volume":"12","author":[{"family":"Idris","given":"Abubakar Sadiq"},{"family":"Mohammed","given":"I. Y."},{"family":"Kunya","given":"U. S."},{"family":"Usman","given":"Nuruddeen"}],"accessed":{"date-parts":[["2025",8,26]]},"issued":{"date-parts":[["2024",3,26]]}}}],"schema":"https://github.com/citation-style-language/schema/raw/master/csl-citation.json"} </w:instrText>
      </w:r>
      <w:r>
        <w:rPr>
          <w:rFonts w:ascii="Times New Roman" w:eastAsia="Arial" w:hAnsi="Times New Roman" w:cs="Times New Roman"/>
          <w:color w:val="252525"/>
          <w:sz w:val="24"/>
          <w:szCs w:val="24"/>
        </w:rPr>
        <w:fldChar w:fldCharType="separate"/>
      </w:r>
      <w:r>
        <w:rPr>
          <w:rFonts w:ascii="Times New Roman" w:hAnsi="Times New Roman" w:cs="Times New Roman"/>
          <w:sz w:val="24"/>
        </w:rPr>
        <w:t>(Idris et al., 2024)</w:t>
      </w:r>
      <w:r>
        <w:rPr>
          <w:rFonts w:ascii="Times New Roman" w:eastAsia="Arial" w:hAnsi="Times New Roman" w:cs="Times New Roman"/>
          <w:color w:val="252525"/>
          <w:sz w:val="24"/>
          <w:szCs w:val="24"/>
        </w:rPr>
        <w:fldChar w:fldCharType="end"/>
      </w:r>
      <w:r>
        <w:rPr>
          <w:rFonts w:ascii="Times New Roman" w:eastAsia="Arial" w:hAnsi="Times New Roman" w:cs="Times New Roman"/>
          <w:color w:val="252525"/>
          <w:sz w:val="24"/>
          <w:szCs w:val="24"/>
        </w:rPr>
        <w:t xml:space="preserve">. </w:t>
      </w:r>
    </w:p>
    <w:p w14:paraId="365304D2" w14:textId="77777777" w:rsidR="00570128" w:rsidRDefault="00000000">
      <w:pPr>
        <w:spacing w:after="0" w:line="480" w:lineRule="auto"/>
        <w:ind w:left="36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This paper addresses the integration of IEQ-centered technologies into vocational training and workforce development frameworks for sustainable hospital construction, management, and operation.</w:t>
      </w:r>
    </w:p>
    <w:p w14:paraId="29ECBAAA" w14:textId="77777777" w:rsidR="00570128" w:rsidRDefault="00000000">
      <w:pPr>
        <w:spacing w:after="0" w:line="480" w:lineRule="auto"/>
        <w:ind w:left="360" w:right="374"/>
        <w:jc w:val="both"/>
        <w:rPr>
          <w:rFonts w:ascii="Times New Roman" w:hAnsi="Times New Roman" w:cs="Times New Roman"/>
          <w:sz w:val="24"/>
          <w:szCs w:val="24"/>
        </w:rPr>
      </w:pPr>
      <w:r>
        <w:rPr>
          <w:rFonts w:ascii="Times New Roman" w:eastAsia="Arial" w:hAnsi="Times New Roman" w:cs="Times New Roman"/>
          <w:b/>
          <w:color w:val="252525"/>
          <w:sz w:val="24"/>
          <w:szCs w:val="24"/>
        </w:rPr>
        <w:t>2. Literature Review</w:t>
      </w:r>
    </w:p>
    <w:p w14:paraId="79C1E572" w14:textId="77777777" w:rsidR="00570128" w:rsidRDefault="00000000">
      <w:pPr>
        <w:spacing w:after="0" w:line="480" w:lineRule="auto"/>
        <w:ind w:left="360" w:right="374"/>
        <w:jc w:val="both"/>
        <w:rPr>
          <w:rFonts w:ascii="Times New Roman" w:hAnsi="Times New Roman" w:cs="Times New Roman"/>
          <w:sz w:val="24"/>
          <w:szCs w:val="24"/>
        </w:rPr>
      </w:pPr>
      <w:r>
        <w:rPr>
          <w:rFonts w:ascii="Times New Roman" w:eastAsia="Arial" w:hAnsi="Times New Roman" w:cs="Times New Roman"/>
          <w:b/>
          <w:color w:val="252525"/>
          <w:sz w:val="24"/>
          <w:szCs w:val="24"/>
        </w:rPr>
        <w:t>2.1 Indoor Environmental Quality in Hospitals</w:t>
      </w:r>
    </w:p>
    <w:p w14:paraId="1E8C3084" w14:textId="77777777" w:rsidR="00570128" w:rsidRDefault="00000000">
      <w:pPr>
        <w:spacing w:after="0" w:line="480" w:lineRule="auto"/>
        <w:ind w:left="360" w:right="374"/>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Early studies on Indoor Environmental Quality dates back to the fourth century BC in Greece when Vitruvius Pollio established building performance criteria </w:t>
      </w:r>
      <w:r>
        <w:rPr>
          <w:rFonts w:ascii="Times New Roman" w:hAnsi="Times New Roman" w:cs="Times New Roman"/>
          <w:color w:val="1F1F1F"/>
          <w:sz w:val="24"/>
          <w:szCs w:val="24"/>
        </w:rPr>
        <w:fldChar w:fldCharType="begin"/>
      </w:r>
      <w:r>
        <w:rPr>
          <w:rFonts w:ascii="Times New Roman" w:hAnsi="Times New Roman" w:cs="Times New Roman"/>
          <w:color w:val="1F1F1F"/>
          <w:sz w:val="24"/>
          <w:szCs w:val="24"/>
        </w:rPr>
        <w:instrText xml:space="preserve"> ADDIN ZOTERO_ITEM CSL_CITATION {"citationID":"eb08xihm","properties":{"formattedCitation":"(Efthymiou et al., 2021)","plainCitation":"(Efthymiou et al., 2021)","noteIndex":0},"citationItems":[{"id":34,"uris":["http://zotero.org/users/17799514/items/GDCKEH5T"],"itemData":{"id":34,"type":"article-journal","abstract":"The assessment of indoor environmental quality in historic buildings converted to museums is a significant tool in deep energy renovation processes, as it provides insights for the microclimatic conditions in the interiors of the building where vast numbers of visitors walk every year and where artifacts that are vulnerable to pollution are exhibited. In this work, aiming to contribute to the development of an energy retrofitting protocol applied in the Mediterranean region (HAPPEN MedZeb protocol) for museums hosted in historic buildings by providing useful data, an experimental campaign to evaluate the indoor environmental quality of a museum housed in a historic building located in Athens took place from February 2019 to April 2021 and was divided into two periods. The findings revealed high concentrations of volatile organic compounds as well as poor thermal comfort levels since the sensors recorded low acceptable percentages of T values within the limits from 7 to 33% for the entire experimental period. Based on the findings, recommendations for retrofitting interventions are made.","container-title":"Applied Sciences","DOI":"10.3390/app112110133","ISSN":"2076-3417","issue":"21","journalAbbreviation":"Applied Sciences","language":"en","license":"https://creativecommons.org/licenses/by/4.0/","page":"10133","source":"DOI.org (Crossref)","title":"Indoor Environmental Quality Evaluation Strategy as an Upgrade (Renovation) Measure in a Historic Building Located in the Mediterranean Zone (Athens, Greece)","URL":"https://www.mdpi.com/2076-3417/11/21/10133","volume":"11","author":[{"family":"Efthymiou","given":"Chrysanthi"},{"family":"Barmparesos","given":"Nikolaos"},{"family":"Tasios","given":"Panagiotis"},{"family":"Ntouros","given":"Vasileios"},{"family":"Zoulis","given":"Vasileios"},{"family":"Karlessi","given":"Theoni"},{"family":"Salmerón Lissén","given":"José Manuel"},{"family":"Assimakopoulos","given":"Margarita Niki"}],"accessed":{"date-parts":[["2025",8,26]]},"issued":{"date-parts":[["2021",10,28]]}}}],"schema":"https://github.com/citation-style-language/schema/raw/master/csl-citation.json"} </w:instrText>
      </w:r>
      <w:r>
        <w:rPr>
          <w:rFonts w:ascii="Times New Roman" w:hAnsi="Times New Roman" w:cs="Times New Roman"/>
          <w:color w:val="1F1F1F"/>
          <w:sz w:val="24"/>
          <w:szCs w:val="24"/>
        </w:rPr>
        <w:fldChar w:fldCharType="separate"/>
      </w:r>
      <w:r>
        <w:rPr>
          <w:rFonts w:ascii="Times New Roman" w:hAnsi="Times New Roman" w:cs="Times New Roman"/>
          <w:sz w:val="24"/>
        </w:rPr>
        <w:t>(Efthymiou et al., 2021)</w:t>
      </w:r>
      <w:r>
        <w:rPr>
          <w:rFonts w:ascii="Times New Roman" w:hAnsi="Times New Roman" w:cs="Times New Roman"/>
          <w:color w:val="1F1F1F"/>
          <w:sz w:val="24"/>
          <w:szCs w:val="24"/>
        </w:rPr>
        <w:fldChar w:fldCharType="end"/>
      </w:r>
      <w:r>
        <w:rPr>
          <w:rFonts w:ascii="Times New Roman" w:hAnsi="Times New Roman" w:cs="Times New Roman"/>
          <w:color w:val="1F1F1F"/>
          <w:sz w:val="24"/>
          <w:szCs w:val="24"/>
        </w:rPr>
        <w:t xml:space="preserve">. </w:t>
      </w:r>
      <w:r>
        <w:rPr>
          <w:rFonts w:ascii="Times New Roman" w:eastAsia="Arial" w:hAnsi="Times New Roman" w:cs="Times New Roman"/>
          <w:color w:val="252525"/>
          <w:sz w:val="24"/>
          <w:szCs w:val="24"/>
        </w:rPr>
        <w:t>Hospitals require strict compliance with environmental parameters due to their impact on health outcomes. Poor IEQ has been linked to increased infection rates, slower recovery, and reduced staff efficiency</w:t>
      </w:r>
      <w:r>
        <w:rPr>
          <w:rFonts w:ascii="Times New Roman" w:eastAsia="Arial" w:hAnsi="Times New Roman" w:cs="Times New Roman"/>
          <w:color w:val="252525"/>
          <w:sz w:val="24"/>
          <w:szCs w:val="24"/>
        </w:rPr>
        <w:fldChar w:fldCharType="begin"/>
      </w:r>
      <w:r>
        <w:rPr>
          <w:rFonts w:ascii="Times New Roman" w:eastAsia="Arial" w:hAnsi="Times New Roman" w:cs="Times New Roman"/>
          <w:color w:val="252525"/>
          <w:sz w:val="24"/>
          <w:szCs w:val="24"/>
        </w:rPr>
        <w:instrText xml:space="preserve"> ADDIN ZOTERO_ITEM CSL_CITATION {"citationID":"JSPDUh9c","properties":{"formattedCitation":"(John Agmada Bawa &amp; Muhammad Ahmed Ismaila, 2025; Wu et al., 2023)","plainCitation":"(John Agmada Bawa &amp; Muhammad Ahmed Ismaila, 2025; Wu et al., 2023)","noteIndex":0},"citationItems":[{"id":38,"uris":["http://zotero.org/users/17799514/items/R7MZTZF9"],"itemData":{"id":38,"type":"article-journal","abstract":"Poor indoor air quality (P-IAQ) poses significant challenges to public health, environmental sustainability, and socio-economic development, particularly in urban areas of developing countries. This issue aligns with the United Nations Sustainable Development Goal (SDG) 3 (Good Health and Well-being) and intersects with other SDGs. Despite the urgency of the problem, research exploring the interplay between urban air pollution, PIAQ, and health outcomes in healthcare settings remains limited. This study conducts a systematic literature review (SLR) of peer-reviewed articles published between 2020 and 2024 across major databases, including PubMed, Scopus, ScienceDirect, and Web of Science. It examines the impacts of P-IAQ on health outcomes in urban healthcare facilities in Nigeria, focusing on indoor environmental quality (IEQ) factors such as ventilation, thermal comfort, and air quality. The review identifies that improved indoor air quality significantly enhances patient recovery rates, reduces stress, shortens hospital stays, and boosts the performance of healthcare staff. The study further explores the disparities in health outcomes between purpose-built and retrofitted healthcare facilities, highlighting the combined effects of urban air pollution and IAQ dynamics. Based on these findings, an evidence-informed conceptual framework is proposed, integrating urban air pollution sources, IAQ determinants, and health outcomes. The framework also outlines actionable mitigation strategies, emphasizing the role of building design and urban policies in enhancing IAQ standards in healthcare facilities. The insights from this research provide a critical foundation for advancing sustainable building practices and informed policymaking aimed at mitigating P-IAQ and improving health outcomes in urban environments.","container-title":"International Journal of Latest Technology in Engineering Management &amp; Applied Science","DOI":"10.51583/IJLTEMAS.2024.131205","ISSN":"2278-2540","issue":"12","journalAbbreviation":"IJLTEMAS","license":"https://creativecommons.org/licenses/by/4.0","page":"49-56","source":"DOI.org (Crossref)","title":"An Assessment of the Impact of Poor Indoor Air Quality on Public Health in Nigerian Urban Environments; Case Study of FCT, Abuja","URL":"https://www.ijltemas.in/submission/index.php/online/article/view/1159","volume":"13","author":[{"literal":"John Agmada Bawa"},{"literal":"Muhammad Ahmed Ismaila"}],"accessed":{"date-parts":[["2025",8,26]]},"issued":{"date-parts":[["2025",1,1]]}}},{"id":37,"uris":["http://zotero.org/users/17799514/items/NMWHTMUD"],"itemData":{"id":37,"type":"article-journal","container-title":"Building and Environment","DOI":"10.1016/j.buildenv.2023.110918","ISSN":"03601323","journalAbbreviation":"Building and Environment","language":"en","page":"110918","source":"DOI.org (Crossref)","title":"Impact of indoor environmental quality (IEQ) factors on occupants' environmental perception and satisfaction in hospital wards","URL":"https://linkinghub.elsevier.com/retrieve/pii/S0360132323009459","volume":"245","author":[{"family":"Wu","given":"Qi"},{"family":"Li","given":"Nianping"},{"family":"Cai","given":"Xinran"},{"family":"He","given":"Yingdong"},{"family":"Du","given":"Yujiao"}],"accessed":{"date-parts":[["2025",8,26]]},"issued":{"date-parts":[["2023",11]]}}}],"schema":"https://github.com/citation-style-language/schema/raw/master/csl-citation.json"} </w:instrText>
      </w:r>
      <w:r>
        <w:rPr>
          <w:rFonts w:ascii="Times New Roman" w:eastAsia="Arial" w:hAnsi="Times New Roman" w:cs="Times New Roman"/>
          <w:color w:val="252525"/>
          <w:sz w:val="24"/>
          <w:szCs w:val="24"/>
        </w:rPr>
        <w:fldChar w:fldCharType="separate"/>
      </w:r>
      <w:r>
        <w:rPr>
          <w:rFonts w:ascii="Times New Roman" w:hAnsi="Times New Roman" w:cs="Times New Roman"/>
          <w:sz w:val="24"/>
        </w:rPr>
        <w:t>(John Agmada Bawa and Muhammad Ahmed Ismaila, 2025; Wu et al., 2023)</w:t>
      </w:r>
      <w:r>
        <w:rPr>
          <w:rFonts w:ascii="Times New Roman" w:eastAsia="Arial" w:hAnsi="Times New Roman" w:cs="Times New Roman"/>
          <w:color w:val="252525"/>
          <w:sz w:val="24"/>
          <w:szCs w:val="24"/>
        </w:rPr>
        <w:fldChar w:fldCharType="end"/>
      </w:r>
      <w:r>
        <w:rPr>
          <w:rFonts w:ascii="Times New Roman" w:eastAsia="Arial" w:hAnsi="Times New Roman" w:cs="Times New Roman"/>
          <w:color w:val="252525"/>
          <w:sz w:val="24"/>
          <w:szCs w:val="24"/>
        </w:rPr>
        <w:t xml:space="preserve">. </w:t>
      </w:r>
      <w:r>
        <w:rPr>
          <w:rFonts w:ascii="Times New Roman" w:eastAsia="Times New Roman" w:hAnsi="Times New Roman" w:cs="Times New Roman"/>
          <w:sz w:val="24"/>
          <w:szCs w:val="24"/>
          <w:lang w:eastAsia="en-GB"/>
        </w:rPr>
        <w:t xml:space="preserve">Studies </w:t>
      </w:r>
      <w:r>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ADDIN ZOTERO_ITEM CSL_CITATION {"citationID":"3l8Tyojd","properties":{"formattedCitation":"(Ackley et al., 2024; Mansouri et al., 2022)","plainCitation":"(Ackley et al., 2024; Mansouri et al., 2022)","noteIndex":0},"citationItems":[{"id":19,"uris":["http://zotero.org/users/17799514/items/78FMR6K2"],"itemData":{"id":19,"type":"article-journal","container-title":"Journal of Building Engineering","DOI":"10.1016/j.jobe.2024.108787","ISSN":"23527102","journalAbbreviation":"Journal of Building Engineering","language":"en","page":"108787","source":"DOI.org (Crossref)","title":"Indoor environmental quality (IEQ) in healthcare facilities: A systematic literature review and gap analysis","title-short":"Indoor environmental quality (IEQ) in healthcare facilities","URL":"https://linkinghub.elsevier.com/retrieve/pii/S2352710224003553","volume":"86","author":[{"family":"Ackley","given":"Aniebietabasi"},{"family":"Olanrewaju","given":"Oludolapo Ibrahim"},{"family":"Oyefusi","given":"Oluwatobi Nurudeen"},{"family":"Enegbuma","given":"Wallace Imoudu"},{"family":"Olaoye","given":"Toba Samuel"},{"family":"Ehimatie","given":"Atamewan Eugene"},{"family":"Ukpong","given":"Edidiong"},{"family":"Akpan-Idiok","given":"Paulina"}],"accessed":{"date-parts":[["2025",8,21]]},"issued":{"date-parts":[["2024",6]]}}},{"id":15,"uris":["http://zotero.org/users/17799514/items/BFKDZIW7"],"itemData":{"id":15,"type":"article-journal","abstract":"Climate change can affect the indoor environment due to heat and mass transfers between indoor and outdoor environments. To mitigate climate change impacts and adapt buildings to the changing environment, changes in building characteristics and occupants’ behavior may occur. To characterize the effects of climate change on indoor air quality (IAQ), the present review focused on four aspects: (1) experimental and modeling studies that relate IAQ to future environmental conditions, (2) evolution of indoor and outdoor air concentrations in the coming years with regard to temperature rise, (3) climate change mitigation and adaptation actions in the building sector, and (4) evolution of human behavior in the context of climate change. In the indoor environment, experimental and modeling studies on indoor air pollutants highlighted a combined effect of temperature and relative humidity on pollutant emissions from indoor sources. Five IAQ models developed for future climate data were identified in the literature. In the outdoor environment, the increasing ambient temperature may lead directly or indirectly to changes in ozone, particle, nitrogen oxides, and volatile organic compound concentrations in some regions of the world depending on the assumptions made about temperature evolution, anthropogenic emissions, and regional regulation. Infiltration into buildings of outdoor air pollutants is governed by many factors, including temperature difference between indoors and outdoors, and might increase in the years to come during summer and decrease during other seasons. On the other hand, building codes in some countries require a higher airtightness for new and retrofitted buildings. The building adaptation actions include the reinforcement of insulation, implementation of new materials and smart building technologies, and a more systematic and possibly longer use of air conditioning systems in summer compared to nowadays. Moreover, warmer winters, springs, and autumns may induce an increasing duration of open windows in these seasons, while the use of air conditioning in summer may reduce the duration of open windows.","container-title":"International Journal of Environmental Research and Public Health","DOI":"10.3390/ijerph192315616","ISSN":"1660-4601","issue":"23","journalAbbreviation":"IJERPH","language":"en","license":"https://creativecommons.org/licenses/by/4.0/","page":"15616","source":"DOI.org (Crossref)","title":"Impact of Climate Change on Indoor Air Quality: A Review","title-short":"Impact of Climate Change on Indoor Air Quality","URL":"https://www.mdpi.com/1660-4601/19/23/15616","volume":"19","author":[{"family":"Mansouri","given":"Aya"},{"family":"Wei","given":"Wenjuan"},{"family":"Alessandrini","given":"Jean-Marie"},{"family":"Mandin","given":"Corinne"},{"family":"Blondeau","given":"Patrice"}],"accessed":{"date-parts":[["2025",8,21]]},"issued":{"date-parts":[["2022",11,24]]}}}],"schema":"https://github.com/citation-style-language/schema/raw/master/csl-citation.json"} </w:instrText>
      </w:r>
      <w:r>
        <w:rPr>
          <w:rFonts w:ascii="Times New Roman" w:eastAsia="Times New Roman" w:hAnsi="Times New Roman" w:cs="Times New Roman"/>
          <w:sz w:val="24"/>
          <w:szCs w:val="24"/>
          <w:lang w:eastAsia="en-GB"/>
        </w:rPr>
        <w:fldChar w:fldCharType="separate"/>
      </w:r>
      <w:r>
        <w:rPr>
          <w:rFonts w:ascii="Times New Roman" w:hAnsi="Times New Roman" w:cs="Times New Roman"/>
          <w:sz w:val="24"/>
        </w:rPr>
        <w:t>(Ackley et al., 2024; Mansouri et al., 2022)</w:t>
      </w:r>
      <w:r>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xml:space="preserve"> have repeatedly established that a healthy building may significantly benefit the well-being and comfort of its residents over its entire life cycle, satisfying social requirements and enhancing productivity. </w:t>
      </w:r>
      <w:r>
        <w:rPr>
          <w:rStyle w:val="Text"/>
          <w:rFonts w:ascii="Times New Roman" w:hAnsi="Times New Roman" w:cs="Times New Roman"/>
          <w:sz w:val="24"/>
          <w:szCs w:val="24"/>
        </w:rPr>
        <w:t xml:space="preserve"> </w:t>
      </w:r>
      <w:r>
        <w:rPr>
          <w:rFonts w:ascii="Times New Roman" w:eastAsia="Times New Roman" w:hAnsi="Times New Roman" w:cs="Times New Roman"/>
          <w:sz w:val="24"/>
          <w:szCs w:val="24"/>
          <w:lang w:eastAsia="en-GB"/>
        </w:rPr>
        <w:t xml:space="preserve">The indoor environment is a complex setting vital for the psychological health, happiness, and dignity of residents </w:t>
      </w:r>
      <w:r>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ADDIN ZOTERO_ITEM CSL_CITATION {"citationID":"lcdkHaAH","properties":{"formattedCitation":"(Kalilu et al., 2022)","plainCitation":"(Kalilu et al., 2022)","noteIndex":0},"citationItems":[{"id":14,"uris":["http://zotero.org/users/17799514/items/YJQIEFI2"],"itemData":{"id":14,"type":"article-journal","page":"pp.,40-58","title":"The Factor  of House Forms in Indoor Environmental Quality of Houses in Selected Cities in Oyo State, Nigeria,  International Journal of Energy and Environmental Research.","volume":"Vol.10, No.2","author":[{"family":"Kalilu","given":"Razaq"},{"family":"Ayinla","given":"Abdulrasaq"},{"family":"Amole","given":"Dolapo"}],"issued":{"date-parts":[["2022"]]}}}],"schema":"https://github.com/citation-style-language/schema/raw/master/csl-citation.json"} </w:instrText>
      </w:r>
      <w:r>
        <w:rPr>
          <w:rFonts w:ascii="Times New Roman" w:eastAsia="Times New Roman" w:hAnsi="Times New Roman" w:cs="Times New Roman"/>
          <w:sz w:val="24"/>
          <w:szCs w:val="24"/>
          <w:lang w:eastAsia="en-GB"/>
        </w:rPr>
        <w:fldChar w:fldCharType="separate"/>
      </w:r>
      <w:r>
        <w:rPr>
          <w:rFonts w:ascii="Times New Roman" w:hAnsi="Times New Roman" w:cs="Times New Roman"/>
          <w:sz w:val="24"/>
        </w:rPr>
        <w:t>(Kalilu et al., 2022)</w:t>
      </w:r>
      <w:r>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xml:space="preserve">. </w:t>
      </w:r>
      <w:r>
        <w:rPr>
          <w:rFonts w:ascii="Times New Roman" w:hAnsi="Times New Roman" w:cs="Times New Roman"/>
          <w:color w:val="1F1F1F"/>
          <w:sz w:val="24"/>
          <w:szCs w:val="24"/>
        </w:rPr>
        <w:t xml:space="preserve">Establishment of IEQ parameter paved the way for the scientific investigation of environmental impacts on buildings and the occupants </w:t>
      </w:r>
      <w:r>
        <w:rPr>
          <w:rFonts w:ascii="Times New Roman" w:hAnsi="Times New Roman" w:cs="Times New Roman"/>
          <w:color w:val="1F1F1F"/>
          <w:sz w:val="24"/>
          <w:szCs w:val="24"/>
        </w:rPr>
        <w:fldChar w:fldCharType="begin"/>
      </w:r>
      <w:r>
        <w:rPr>
          <w:rFonts w:ascii="Times New Roman" w:hAnsi="Times New Roman" w:cs="Times New Roman"/>
          <w:color w:val="1F1F1F"/>
          <w:sz w:val="24"/>
          <w:szCs w:val="24"/>
        </w:rPr>
        <w:instrText xml:space="preserve"> ADDIN ZOTERO_ITEM CSL_CITATION {"citationID":"7q8GHqqA","properties":{"formattedCitation":"(Perera et al., 2025; Vergerio &amp; Becchio, 2022)","plainCitation":"(Perera et al., 2025; Vergerio &amp; Becchio, 2022)","noteIndex":0},"citationItems":[{"id":40,"uris":["http://zotero.org/users/17799514/items/5GZHKRMQ"],"itemData":{"id":40,"type":"article-journal","abstract":"The indoor environmental quality (IEQ) in buildings is vital for health, work efficiency, productivity, and the overall sustainability of buildings. IEQ is governed by four parameters: indoor air quality and thermal, acoustic, and visual comfort. The recent pandemic has compelled people to think beyond energy efficiency and refocus on the health, well-being, and productivity of building occupants. Despite numerous IEQ guidelines and standards, there remains a paucity of systematic research that critically examines the relationship between IEQ and building energy efficiency. This systematic review explores the existing equilibrium and identifies gaps between IEQ standards and building energy codes. Firstly, this review examined the status of the IEQ standards and identified that most of the North American IEQ guidelines cannot achieve energy efficiency targets. Secondly, existing building energy codes were reviewed to determine how well these codes fare with IEQ requirements. It was revealed that the expensive energy certification documents are more focused on IEQ than traditional energy codes. The identified factors indicate that most building energy codes can meet only indoor air quality thresholds (a subset of IEQ), while other parameters are inadequately addressed. This review revealed 19 relationships between IEQs and energy efficiency. Building energy code/IEQ guidelines developers could consider the identified 19 relationships to develop a combined set of guidelines/standards for future building stock. An integration model between IEQ and energy efficiency is proposed as a future research direction to contribute to the better design and construction of modern buildings. The findings will facilitate the construction of healthy and sustainable buildings, and they aim to generate new residential communities that achieve an optimal health–energy–carbon nexus.","container-title":"Energies","DOI":"10.3390/en18071740","ISSN":"1996-1073","issue":"7","journalAbbreviation":"Energies","language":"en","license":"https://creativecommons.org/licenses/by/4.0/","page":"1740","source":"DOI.org (Crossref)","title":"Combining Energy Performance and Indoor Environmental Quality (IEQ) in Buildings: A Systematic Review on Common IEQ Guidelines and Energy Codes in North America","title-short":"Combining Energy Performance and Indoor Environmental Quality (IEQ) in Buildings","URL":"https://www.mdpi.com/1996-1073/18/7/1740","volume":"18","author":[{"family":"Perera","given":"Ishanka"},{"family":"Hewage","given":"Kasun"},{"family":"Rana","given":"Anber"},{"family":"Sadiq","given":"Rehan"}],"accessed":{"date-parts":[["2025",8,26]]},"issued":{"date-parts":[["2025",3,31]]}}},{"id":39,"uris":["http://zotero.org/users/17799514/items/QVGNK5SR"],"itemData":{"id":39,"type":"article-journal","container-title":"Building and Environment","DOI":"10.1016/j.buildenv.2022.109447","ISSN":"03601323","journalAbbreviation":"Building and Environment","language":"en","page":"109447","source":"DOI.org (Crossref)","title":"Pursuing occupants’ health and well-being in building management: Definition of new metrics based on indoor air parameters","title-short":"Pursuing occupants’ health and well-being in building management","URL":"https://linkinghub.elsevier.com/retrieve/pii/S0360132322006783","volume":"223","author":[{"family":"Vergerio","given":"Giulia"},{"family":"Becchio","given":"Cristina"}],"accessed":{"date-parts":[["2025",8,26]]},"issued":{"date-parts":[["2022",9]]}}}],"schema":"https://github.com/citation-style-language/schema/raw/master/csl-citation.json"} </w:instrText>
      </w:r>
      <w:r>
        <w:rPr>
          <w:rFonts w:ascii="Times New Roman" w:hAnsi="Times New Roman" w:cs="Times New Roman"/>
          <w:color w:val="1F1F1F"/>
          <w:sz w:val="24"/>
          <w:szCs w:val="24"/>
        </w:rPr>
        <w:fldChar w:fldCharType="separate"/>
      </w:r>
      <w:r>
        <w:rPr>
          <w:rFonts w:ascii="Times New Roman" w:hAnsi="Times New Roman" w:cs="Times New Roman"/>
          <w:sz w:val="24"/>
        </w:rPr>
        <w:t>(Perera et al., 2025; Vergerio and Becchio, 2022)</w:t>
      </w:r>
      <w:r>
        <w:rPr>
          <w:rFonts w:ascii="Times New Roman" w:hAnsi="Times New Roman" w:cs="Times New Roman"/>
          <w:color w:val="1F1F1F"/>
          <w:sz w:val="24"/>
          <w:szCs w:val="24"/>
        </w:rPr>
        <w:fldChar w:fldCharType="end"/>
      </w:r>
      <w:r>
        <w:rPr>
          <w:rFonts w:ascii="Times New Roman" w:hAnsi="Times New Roman" w:cs="Times New Roman"/>
          <w:color w:val="1F1F1F"/>
          <w:sz w:val="24"/>
          <w:szCs w:val="24"/>
        </w:rPr>
        <w:t>.</w:t>
      </w:r>
    </w:p>
    <w:p w14:paraId="032DF33A" w14:textId="77777777" w:rsidR="00570128" w:rsidRDefault="00570128">
      <w:pPr>
        <w:spacing w:after="0" w:line="480" w:lineRule="auto"/>
        <w:ind w:left="360" w:right="374"/>
        <w:jc w:val="both"/>
        <w:rPr>
          <w:rFonts w:ascii="Times New Roman" w:hAnsi="Times New Roman" w:cs="Times New Roman"/>
          <w:sz w:val="24"/>
          <w:szCs w:val="24"/>
        </w:rPr>
      </w:pPr>
    </w:p>
    <w:p w14:paraId="14D89F30" w14:textId="77777777" w:rsidR="00570128" w:rsidRDefault="00570128">
      <w:pPr>
        <w:spacing w:after="0" w:line="480" w:lineRule="auto"/>
        <w:ind w:left="360" w:right="374"/>
        <w:jc w:val="both"/>
        <w:rPr>
          <w:rFonts w:ascii="Times New Roman" w:hAnsi="Times New Roman" w:cs="Times New Roman"/>
          <w:sz w:val="24"/>
          <w:szCs w:val="24"/>
        </w:rPr>
      </w:pPr>
    </w:p>
    <w:p w14:paraId="555FA0DF"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50AB70D7" w14:textId="77777777" w:rsidR="00570128" w:rsidRDefault="00000000">
      <w:pPr>
        <w:spacing w:after="0" w:line="480" w:lineRule="auto"/>
        <w:ind w:left="360" w:right="374"/>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2.2 Technologies for IEQ Enhancement</w:t>
      </w:r>
    </w:p>
    <w:p w14:paraId="5C14BC2C" w14:textId="77777777" w:rsidR="00570128" w:rsidRDefault="00000000">
      <w:pPr>
        <w:spacing w:after="0" w:line="480" w:lineRule="auto"/>
        <w:ind w:left="360" w:right="374"/>
        <w:jc w:val="both"/>
        <w:rPr>
          <w:rFonts w:ascii="Times New Roman" w:hAnsi="Times New Roman" w:cs="Times New Roman"/>
          <w:color w:val="1F1F1F"/>
        </w:rPr>
      </w:pPr>
      <w:r>
        <w:rPr>
          <w:rFonts w:ascii="Times New Roman" w:hAnsi="Times New Roman" w:cs="Times New Roman"/>
          <w:color w:val="1F1F1F"/>
        </w:rPr>
        <w:t xml:space="preserve">Emerging construction technologies to improve the IEQ of an internal space could be passive or active. </w:t>
      </w:r>
    </w:p>
    <w:p w14:paraId="2283DC8C" w14:textId="77777777" w:rsidR="00570128" w:rsidRDefault="00000000">
      <w:pPr>
        <w:spacing w:after="0" w:line="480" w:lineRule="auto"/>
        <w:ind w:left="360" w:right="374"/>
        <w:jc w:val="both"/>
        <w:rPr>
          <w:rFonts w:ascii="Times New Roman" w:hAnsi="Times New Roman" w:cs="Times New Roman"/>
          <w:color w:val="1F1F1F"/>
        </w:rPr>
      </w:pPr>
      <w:r>
        <w:rPr>
          <w:rFonts w:ascii="Times New Roman" w:hAnsi="Times New Roman" w:cs="Times New Roman"/>
          <w:color w:val="1F1F1F"/>
        </w:rPr>
        <w:t>Passive Technologies</w:t>
      </w:r>
      <w:r>
        <w:rPr>
          <w:rFonts w:ascii="Times New Roman" w:hAnsi="Times New Roman" w:cs="Times New Roman"/>
          <w:color w:val="1F1F1F"/>
          <w:sz w:val="24"/>
          <w:szCs w:val="24"/>
        </w:rPr>
        <w:t xml:space="preserve">: </w:t>
      </w:r>
      <w:r>
        <w:rPr>
          <w:rFonts w:ascii="Times New Roman" w:hAnsi="Times New Roman" w:cs="Times New Roman"/>
          <w:sz w:val="24"/>
          <w:szCs w:val="24"/>
        </w:rPr>
        <w:t xml:space="preserve">strategies and techniques that improve IEQ without relying on active mechanical means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{"citationID":"x555qnhq","properties":{"formattedCitation":"(Xi et al., 2025)","plainCitation":"(Xi et al., 2025)","noteIndex":0},"citationItems":[{"id":41,"uris":["http://zotero.org/users/17799514/items/BLUNHMSK"],"itemData":{"id":41,"type":"article-journal","abstract":"Thermal comfort is a fundamental goal of architecture aiming at protecting individuals from harsh weather conditions. In Nigeria’s savanna climate zone, such as Kaduna, poor indoor thermal comfort leads to over-reliance on air-conditioning systems. There is limited research on the application of passive design strategies in the Nigerian savanna climate, which creates a barrier to their widespread implementation in residential buildings. In response to the increased awareness of climate change and the need for sustainable design, this study explores the potential of passive design strategies, focusing on the combination of rooftop insulation and reflective materials with mechanical ventilation as a means of improving indoor thermal comfort solutions. This study conducted a 3-day field experiment of typical dwellings in Kaduna, a major city in the Nigerian savanna climate zone. The data collected from this experiment served as the basis for a simulation study using EnergyPlus software, which tested and evaluated 3 different strategies: passive design (roof insulation + reflective materials), mechanical ventilation, and a combination of passive design and mechanical ventilation. This study highlights the potential for passive design strategies to provide a more sustainable, cost-effective solution, reducing dependence on air conditioning while supporting indoor comfort. Additionally, the research methodology and insights gained offer a basis for developing future building codes in Nigeria that emphasize sustainable practices. Such codes would guide architects, builders, and policymakers in designing homes that respond to local climate needs and align with broader sustainability goals. Further research could explore additional passive measures, including advanced window technologies, shading, and natural ventilation, to maximize sustainable residential design potential in tropical savanna climates.","container-title":"Energies","DOI":"10.3390/en18030450","ISSN":"1996-1073","issue":"3","journalAbbreviation":"Energies","language":"en","license":"https://creativecommons.org/licenses/by/4.0/","page":"450","source":"DOI.org (Crossref)","title":"Optimization of Residential Indoor Thermal Environment by Passive Design and Mechanical Ventilation in Tropical Savanna Climate Zone in Nigeria, Africa","URL":"https://www.mdpi.com/1996-1073/18/3/450","volume":"18","author":[{"family":"Xi","given":"Tianyu"},{"family":"Sa’ad","given":"Salanke Umar"},{"family":"Liu","given":"Xinyu"},{"family":"Sun","given":"Haibo"},{"family":"Wang","given":"Ming"},{"family":"Guo","given":"Fei"}],"accessed":{"date-parts":[["2025",8,26]]},"issued":{"date-parts":[["2025",1,21]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(Xi et al., 2025)</w:t>
      </w:r>
      <w:r>
        <w:rPr>
          <w:rFonts w:ascii="Times New Roman" w:hAnsi="Times New Roman" w:cs="Times New Roman"/>
          <w:sz w:val="24"/>
          <w:szCs w:val="24"/>
        </w:rPr>
        <w:fldChar w:fldCharType="end"/>
      </w:r>
      <w:r>
        <w:rPr>
          <w:rFonts w:ascii="Times New Roman" w:hAnsi="Times New Roman" w:cs="Times New Roman"/>
          <w:color w:val="001D35"/>
          <w:sz w:val="27"/>
          <w:szCs w:val="27"/>
          <w:shd w:val="clear" w:color="auto" w:fill="FFFFFF"/>
        </w:rPr>
        <w:t>.</w:t>
      </w:r>
      <w:r>
        <w:rPr>
          <w:rFonts w:ascii="Times New Roman" w:eastAsia="Arial" w:hAnsi="Times New Roman" w:cs="Times New Roman"/>
          <w:color w:val="252525"/>
          <w:sz w:val="24"/>
          <w:szCs w:val="24"/>
        </w:rPr>
        <w:t xml:space="preserve"> These include, the choice of materials (Antimicrobial coatings and low-VOC finishes), Zoning of spaces (space planning), Information Technology (Building Information Modelling (BIM), digital twins) and Design strategy (</w:t>
      </w:r>
      <w:r>
        <w:rPr>
          <w:rFonts w:ascii="Times New Roman" w:hAnsi="Times New Roman" w:cs="Times New Roman"/>
          <w:color w:val="1F1F1F"/>
        </w:rPr>
        <w:t>biophilic design).</w:t>
      </w:r>
    </w:p>
    <w:p w14:paraId="37B0A44D" w14:textId="77777777" w:rsidR="00570128" w:rsidRDefault="00000000">
      <w:pPr>
        <w:spacing w:after="0" w:line="480" w:lineRule="auto"/>
        <w:ind w:left="360" w:right="374"/>
        <w:jc w:val="both"/>
        <w:rPr>
          <w:rFonts w:ascii="Times New Roman" w:hAnsi="Times New Roman" w:cs="Times New Roman"/>
          <w:sz w:val="24"/>
          <w:szCs w:val="24"/>
        </w:rPr>
      </w:pPr>
      <w:r>
        <w:rPr>
          <w:rStyle w:val="Strong"/>
          <w:rFonts w:ascii="Times New Roman" w:hAnsi="Times New Roman" w:cs="Times New Roman"/>
          <w:b w:val="0"/>
          <w:sz w:val="24"/>
          <w:szCs w:val="24"/>
        </w:rPr>
        <w:t xml:space="preserve">Natural Ventilation: </w:t>
      </w:r>
      <w:r>
        <w:rPr>
          <w:rFonts w:ascii="Times New Roman" w:hAnsi="Times New Roman" w:cs="Times New Roman"/>
          <w:sz w:val="24"/>
          <w:szCs w:val="24"/>
        </w:rPr>
        <w:t xml:space="preserve">The indoor air circulation can be induced by horizontal air pressure difference (single-sided or cross ventilation), buoyancy phenomenon with the rising of vertical warm air (also known as stack effect) or concurrently both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{"citationID":"S38hkVjb","properties":{"formattedCitation":"(Ahmed et al., 2021; Esfeh et al., 2021)","plainCitation":"(Ahmed et al., 2021; Esfeh et al., 2021)","noteIndex":0},"citationItems":[{"id":43,"uris":["http://zotero.org/users/17799514/items/AKKWC9LE"],"itemData":{"id":43,"type":"article-journal","container-title":"Renewable and Sustainable Energy Reviews","DOI":"10.1016/j.rser.2020.110669","ISSN":"13640321","journalAbbreviation":"Renewable and Sustainable Energy Reviews","language":"en","page":"110669","source":"DOI.org (Crossref)","title":"Natural ventilation in warm climates: The challenges of thermal comfort, heatwave resilience and indoor air quality","title-short":"Natural ventilation in warm climates","URL":"https://linkinghub.elsevier.com/retrieve/pii/S1364032120309539","volume":"138","author":[{"family":"Ahmed","given":"Tariq"},{"family":"Kumar","given":"Prashant"},{"family":"Mottet","given":"Laetitia"}],"accessed":{"date-parts":[["2025",8,26]]},"issued":{"date-parts":[["2021",3]]}}},{"id":44,"uris":["http://zotero.org/users/17799514/items/F86SCFW7"],"itemData":{"id":44,"type":"article-journal","container-title":"Building and Environment","DOI":"10.1016/j.buildenv.2021.108275","ISSN":"03601323","journalAbbreviation":"Building and Environment","language":"en","page":"108275","source":"DOI.org (Crossref)","title":"Experimental and numerical evaluation of wind-driven natural ventilation of a curved roof for various wind angles","URL":"https://linkinghub.elsevier.com/retrieve/pii/S0360132321006752","volume":"205","author":[{"family":"Esfeh","given":"M. Kazemi"},{"family":"Sohankar","given":"A."},{"family":"Shahsavari","given":"A.R."},{"family":"Rastan","given":"M.R."},{"family":"Ghodrat","given":"M."},{"family":"Nili","given":"M."}],"accessed":{"date-parts":[["2025",8,26]]},"issued":{"date-parts":[["2021",11]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(Ahmed et al., 2021; Esfeh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Hence, natural ventilation uses very little energy, contrary to mechanical ventilation, which on fans or other mechanical equipment. The efficiency of natural ventilation can be enhanced through features and/or elements such as the atrium, windcatcher, solar chimney and window type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{"citationID":"hTeRGPsi","properties":{"formattedCitation":"(Obeidat et al., 2023)","plainCitation":"(Obeidat et al., 2023)","noteIndex":0},"citationItems":[{"id":45,"uris":["http://zotero.org/users/17799514/items/JRCCYGDM"],"itemData":{"id":45,"type":"article-journal","abstract":"Window-windcatchers, a passive ventilation method, have been shown to improve ventilation and enhance thermal comfort. Preliminary characterization of a novel window-windcatcher has been undertaken in a previous work, but no relationship had been identified between the actual ventilation rate (Qact), the wind velocity (VTw) and crucial design parameters such as the fins angle (ϴ)). In this paper, the relationship that quantifies how the window-windcatcher’s performance depends on VTw and ϴ was determined. Additionally, for the first time, the ventilation performance of the window-windcatcher was optimized by studying the effects of ϴ and the fins-wall distance (DW−f) through a Computational Fluid Dynamics parametric study (ANSYS)|. In this optimization approach, the angle ϴ and the distance DW−f corresponding to the maximum actual-to-required ventilation rate were found to be 80° and 45 cm, respectively. The actual ventilation rate increased by approximately 13.2% compared with the baseline design of the windcatcher (ϴ and DW−f equal to 40° and 45 cm, respectively); this corresponds to an increase of approximately 8.6% in the actual-to-required ventilation rate, according to the ASHRAE standards.","container-title":"Atmosphere","DOI":"10.3390/atmos14050844","ISSN":"2073-4433","issue":"5","journalAbbreviation":"Atmosphere","language":"en","license":"https://creativecommons.org/licenses/by/4.0/","page":"844","source":"DOI.org (Crossref)","title":"Parametric Enhancement of a Window-Windcatcher for Enhanced Thermal Comfort and Natural Ventilation","URL":"https://www.mdpi.com/2073-4433/14/5/844","volume":"14","author":[{"family":"Obeidat","given":"Laith M."},{"family":"Alrebei","given":"Odi Fawwaz"},{"family":"Nouh Ma’bdeh","given":"Shouib"},{"family":"Al-Radaideh","given":"Tamer"},{"family":"Amhamed","given":"Abdulkarem I."}],"accessed":{"date-parts":[["2025",8,26]]},"issued":{"date-parts":[["2023",5,9]]}}}],"schema":"https://github.com/citation-style-language/schema/raw/master/csl-citation.json"}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(Obeidat et al., 2023)</w:t>
      </w:r>
      <w:r>
        <w:rPr>
          <w:rFonts w:ascii="Times New Roman" w:hAnsi="Times New Roman" w:cs="Times New Roman"/>
          <w:sz w:val="24"/>
          <w:szCs w:val="24"/>
        </w:rPr>
        <w:fldChar w:fldCharType="end"/>
      </w:r>
      <w:r>
        <w:rPr>
          <w:rFonts w:ascii="Times New Roman" w:hAnsi="Times New Roman" w:cs="Times New Roman"/>
          <w:sz w:val="24"/>
          <w:szCs w:val="24"/>
        </w:rPr>
        <w:t>.</w:t>
      </w:r>
    </w:p>
    <w:p w14:paraId="0E9BF5B8" w14:textId="77777777" w:rsidR="00570128" w:rsidRDefault="00000000">
      <w:pPr>
        <w:shd w:val="clear" w:color="auto" w:fill="FFFFFF"/>
        <w:spacing w:line="480" w:lineRule="auto"/>
        <w:ind w:left="374" w:right="374"/>
        <w:jc w:val="both"/>
        <w:rPr>
          <w:rFonts w:ascii="Times New Roman" w:eastAsia="Times New Roman" w:hAnsi="Times New Roman" w:cs="Times New Roman"/>
          <w:color w:val="000000" w:themeColor="text1"/>
          <w:sz w:val="24"/>
          <w:szCs w:val="24"/>
        </w:rPr>
      </w:pPr>
      <w:r>
        <w:rPr>
          <w:rStyle w:val="Strong"/>
          <w:rFonts w:ascii="Times New Roman" w:hAnsi="Times New Roman" w:cs="Times New Roman"/>
          <w:b w:val="0"/>
          <w:sz w:val="24"/>
          <w:szCs w:val="24"/>
        </w:rPr>
        <w:t>Thermal Envelope Design:</w:t>
      </w:r>
      <w:r>
        <w:rPr>
          <w:rStyle w:val="Strong"/>
          <w:rFonts w:ascii="Times New Roman" w:hAnsi="Times New Roman" w:cs="Times New Roman"/>
          <w:sz w:val="24"/>
          <w:szCs w:val="24"/>
        </w:rPr>
        <w:t xml:space="preserve"> </w:t>
      </w:r>
      <w:r>
        <w:rPr>
          <w:rFonts w:ascii="Times New Roman" w:eastAsia="Times New Roman" w:hAnsi="Times New Roman" w:cs="Times New Roman"/>
          <w:color w:val="001D35"/>
          <w:sz w:val="24"/>
          <w:szCs w:val="24"/>
        </w:rPr>
        <w:t xml:space="preserve">A thermal envelope is the part of a building's structure that separates the internal space from the external, to reduce thermal energy transfer and achieve optimum temperature. It's an important aspect of energy-efficient building design, involving walls, roofs, floors, windows, and doors. Effective thermal envelope design ensures that heat is retained during rainy season and kept out dry season, thus reducing the need for mechanical heating and cooling </w:t>
      </w:r>
      <w:r>
        <w:rPr>
          <w:rFonts w:ascii="Times New Roman" w:eastAsia="Times New Roman" w:hAnsi="Times New Roman" w:cs="Times New Roman"/>
          <w:color w:val="001D35"/>
          <w:sz w:val="24"/>
          <w:szCs w:val="24"/>
        </w:rPr>
        <w:fldChar w:fldCharType="begin"/>
      </w:r>
      <w:r>
        <w:rPr>
          <w:rFonts w:ascii="Times New Roman" w:eastAsia="Times New Roman" w:hAnsi="Times New Roman" w:cs="Times New Roman"/>
          <w:color w:val="001D35"/>
          <w:sz w:val="24"/>
          <w:szCs w:val="24"/>
        </w:rPr>
        <w:instrText xml:space="preserve"> ADDIN ZOTERO_ITEM CSL_CITATION {"citationID":"h81Ew7cC","properties":{"formattedCitation":"(Kalua, 2016; Rodr\\uc0\\u237{}guez-Soria et al., 2014)","plainCitation":"(Kalua, 2016; Rodríguez-Soria et al., 2014)","noteIndex":0},"citationItems":[{"id":47,"uris":["http://zotero.org/users/17799514/items/HHWWRKMU"],"itemData":{"id":47,"type":"article-journal","abstract":"This study sought to optimize the envelope thermal design of free-running urban residential buildings in Malawi. It specifically set out to improve the urban residential buildings’ thermal comfort and suggest optimal envelope thermal design features for these buildings. The research study was primarily dependent on computer simulations in EnergyPlus to replicate the typical Malawian urban residential building’s thermal behaviour and then study the impacts of various envelope configurations on the thermal comfort conditions registered in the building. The simulation model was experimentally validated to check its appropriateness to the climatic design conditions prevalent in Malawi and out of the three major cities that were considered, the model was found to be appropriate for use in the two cities of Mzuzu and Lilongwe leaving out the city of Blantyre. The optimization methodology that was employed involved the use of orthogonal arrays, statistical analyses and the listing method. It was found that the optimal envelope thermal design, which registered up to 18% lower discomfort hours than that of the typical urban residential building, consists of a 50 mm concrete floor slab, 230 mm burnt brick walls with an external layer of 19 mm EPS, tiled roof with an internal layer of sarking and 50 mm EPS, double Low-E Glazing with a transparency ratio of 45% and 0.2408 m2 of adaptable operational surface area for the air bricks. Out of all the envelope features that were studied, air infiltration registered the most significant contribution towards the ultimate residential building thermal performance. It was demonstrated that controlled air infiltration through the use of operable air bricks whose operational surface area is adaptable can be very effective in enhancing the building’s comfort levels. It was further observed that excessive insulation of the building envelope generally has a detrimental effect on the indoor space thermal comfort levels.","container-title":"Buildings","DOI":"10.3390/buildings6020013","ISSN":"2075-5309","issue":"2","journalAbbreviation":"Buildings","language":"en","license":"https://creativecommons.org/licenses/by/4.0/","page":"13","source":"DOI.org (Crossref)","title":"Envelope Thermal Design Optimization for Urban Residential Buildings in Malawi","URL":"https://www.mdpi.com/2075-5309/6/2/13","volume":"6","author":[{"family":"Kalua","given":"Amos"}],"accessed":{"date-parts":[["2025",8,26]]},"issued":{"date-parts":[["2016",4,13]]}}},{"id":49,"uris":["http://zotero.org/users/17799514/items/MSIU8VFY"],"itemData":{"id":49,"type":"article-journal","container-title":"Renewable and Sustainable Energy Reviews","DOI":"10.1016/j.rser.2014.03.009","ISSN":"13640321","journalAbbreviation":"Renewable and Sustainable Energy Reviews","language":"en","page":"78-90","source":"DOI.org (Crossref)","title":"Review of international regulations governing the thermal insulation requirements of residential buildings and the harmonization of envelope energy loss","URL":"https://linkinghub.elsevier.com/retrieve/pii/S136403211400166X","volume":"34","author":[{"family":"Rodríguez-Soria","given":"Beatriz"},{"family":"Domínguez-Hernández","given":"Javier"},{"family":"Pérez-Bella","given":"José M."},{"family":"Del Coz-Díaz","given":"Juan J."}],"accessed":{"date-parts":[["2025",8,26]]},"issued":{"date-parts":[["2014",6]]}}}],"schema":"https://github.com/citation-style-language/schema/raw/master/csl-citation.json"} </w:instrText>
      </w:r>
      <w:r>
        <w:rPr>
          <w:rFonts w:ascii="Times New Roman" w:eastAsia="Times New Roman" w:hAnsi="Times New Roman" w:cs="Times New Roman"/>
          <w:color w:val="001D35"/>
          <w:sz w:val="24"/>
          <w:szCs w:val="24"/>
        </w:rPr>
        <w:fldChar w:fldCharType="separate"/>
      </w:r>
      <w:r>
        <w:rPr>
          <w:rFonts w:ascii="Times New Roman" w:hAnsi="Times New Roman" w:cs="Times New Roman"/>
          <w:sz w:val="24"/>
          <w:szCs w:val="24"/>
        </w:rPr>
        <w:t>(Kalua, 2016; Rodríguez-Soria et al., 2014)</w:t>
      </w:r>
      <w:r>
        <w:rPr>
          <w:rFonts w:ascii="Times New Roman" w:eastAsia="Times New Roman" w:hAnsi="Times New Roman" w:cs="Times New Roman"/>
          <w:color w:val="001D35"/>
          <w:sz w:val="24"/>
          <w:szCs w:val="24"/>
        </w:rPr>
        <w:fldChar w:fldCharType="end"/>
      </w:r>
      <w:r>
        <w:rPr>
          <w:rFonts w:ascii="Times New Roman" w:eastAsia="Times New Roman" w:hAnsi="Times New Roman" w:cs="Times New Roman"/>
          <w:color w:val="000000" w:themeColor="text1"/>
          <w:sz w:val="24"/>
          <w:szCs w:val="24"/>
        </w:rPr>
        <w:t>. Key Elements of a thermal envelope are :</w:t>
      </w:r>
      <w:hyperlink r:id="rId8" w:tgtFrame="_blank" w:history="1">
        <w:r>
          <w:rPr>
            <w:rFonts w:ascii="Times New Roman" w:eastAsia="Times New Roman" w:hAnsi="Times New Roman" w:cs="Times New Roman"/>
            <w:bCs/>
            <w:color w:val="000000" w:themeColor="text1"/>
            <w:sz w:val="24"/>
            <w:szCs w:val="24"/>
          </w:rPr>
          <w:t>Insulation</w:t>
        </w:r>
      </w:hyperlink>
      <w:r>
        <w:rPr>
          <w:rFonts w:ascii="Times New Roman" w:eastAsia="Times New Roman" w:hAnsi="Times New Roman" w:cs="Times New Roman"/>
          <w:bCs/>
          <w:color w:val="000000" w:themeColor="text1"/>
          <w:sz w:val="24"/>
          <w:szCs w:val="24"/>
        </w:rPr>
        <w:t xml:space="preserve">, </w:t>
      </w:r>
      <w:hyperlink r:id="rId9" w:tgtFrame="_blank" w:history="1">
        <w:r>
          <w:rPr>
            <w:rFonts w:ascii="Times New Roman" w:eastAsia="Times New Roman" w:hAnsi="Times New Roman" w:cs="Times New Roman"/>
            <w:bCs/>
            <w:color w:val="000000" w:themeColor="text1"/>
            <w:sz w:val="24"/>
            <w:szCs w:val="24"/>
          </w:rPr>
          <w:t>Air Barrier</w:t>
        </w:r>
      </w:hyperlink>
      <w:r>
        <w:rPr>
          <w:rFonts w:ascii="Times New Roman" w:eastAsia="Times New Roman" w:hAnsi="Times New Roman" w:cs="Times New Roman"/>
          <w:bCs/>
          <w:color w:val="000000" w:themeColor="text1"/>
          <w:sz w:val="24"/>
          <w:szCs w:val="24"/>
        </w:rPr>
        <w:t xml:space="preserve">, </w:t>
      </w:r>
      <w:hyperlink r:id="rId10" w:tgtFrame="_blank" w:history="1">
        <w:r>
          <w:rPr>
            <w:rFonts w:ascii="Times New Roman" w:eastAsia="Times New Roman" w:hAnsi="Times New Roman" w:cs="Times New Roman"/>
            <w:bCs/>
            <w:color w:val="000000" w:themeColor="text1"/>
            <w:sz w:val="24"/>
            <w:szCs w:val="24"/>
          </w:rPr>
          <w:t>Vapor Retarder</w:t>
        </w:r>
      </w:hyperlink>
      <w:r>
        <w:rPr>
          <w:rFonts w:ascii="Times New Roman" w:eastAsia="Times New Roman" w:hAnsi="Times New Roman" w:cs="Times New Roman"/>
          <w:bCs/>
          <w:color w:val="000000" w:themeColor="text1"/>
          <w:sz w:val="24"/>
          <w:szCs w:val="24"/>
        </w:rPr>
        <w:t xml:space="preserve">, </w:t>
      </w:r>
      <w:hyperlink r:id="rId11" w:tgtFrame="_blank" w:history="1">
        <w:r>
          <w:rPr>
            <w:rFonts w:ascii="Times New Roman" w:eastAsia="Times New Roman" w:hAnsi="Times New Roman" w:cs="Times New Roman"/>
            <w:bCs/>
            <w:color w:val="000000" w:themeColor="text1"/>
            <w:sz w:val="24"/>
            <w:szCs w:val="24"/>
          </w:rPr>
          <w:t>Windows and Doors</w:t>
        </w:r>
      </w:hyperlink>
      <w:r>
        <w:rPr>
          <w:rFonts w:ascii="Times New Roman" w:eastAsia="Times New Roman" w:hAnsi="Times New Roman" w:cs="Times New Roman"/>
          <w:bCs/>
          <w:color w:val="000000" w:themeColor="text1"/>
          <w:sz w:val="24"/>
          <w:szCs w:val="24"/>
        </w:rPr>
        <w:fldChar w:fldCharType="begin"/>
      </w:r>
      <w:r>
        <w:rPr>
          <w:rFonts w:ascii="Times New Roman" w:eastAsia="Times New Roman" w:hAnsi="Times New Roman" w:cs="Times New Roman"/>
          <w:bCs/>
          <w:color w:val="000000" w:themeColor="text1"/>
          <w:sz w:val="24"/>
          <w:szCs w:val="24"/>
        </w:rPr>
        <w:instrText xml:space="preserve"> ADDIN ZOTERO_ITEM CSL_CITATION {"citationID":"3Ao1yE63","properties":{"formattedCitation":"(Rathore &amp; Shukla, 2021)","plainCitation":"(Rathore &amp; Shukla, 2021)","noteIndex":0},"citationItems":[{"id":51,"uris":["http://zotero.org/users/17799514/items/CNHYR7B8"],"itemData":{"id":51,"type":"article-journal","container-title":"Energy and Buildings","DOI":"10.1016/j.enbuild.2021.110799","ISSN":"03787788","journalAbbreviation":"Energy and Buildings","language":"en","page":"110799","source":"DOI.org (Crossref)","title":"Enhanced thermophysical properties of organic PCM through shape stabilization for thermal energy storage in buildings: A state of the art review","title-short":"Enhanced thermophysical properties of organic PCM through shape stabilization for thermal energy storage in buildings","URL":"https://linkinghub.elsevier.com/retrieve/pii/S0378778821000839","volume":"236","author":[{"family":"Rathore","given":"Pushpendra Kumar Singh"},{"family":"Shukla","given":"Shailendra Kumar"}],"accessed":{"date-parts":[["2025",8,26]]},"issued":{"date-parts":[["2021",4]]}}}],"schema":"https://github.com/citation-style-language/schema/raw/master/csl-citation.json"} </w:instrText>
      </w:r>
      <w:r>
        <w:rPr>
          <w:rFonts w:ascii="Times New Roman" w:eastAsia="Times New Roman" w:hAnsi="Times New Roman" w:cs="Times New Roman"/>
          <w:bCs/>
          <w:color w:val="000000" w:themeColor="text1"/>
          <w:sz w:val="24"/>
          <w:szCs w:val="24"/>
        </w:rPr>
        <w:fldChar w:fldCharType="separate"/>
      </w:r>
      <w:r>
        <w:rPr>
          <w:rFonts w:ascii="Times New Roman" w:hAnsi="Times New Roman" w:cs="Times New Roman"/>
          <w:sz w:val="24"/>
        </w:rPr>
        <w:t>(Rathore and Shukla, 2021)</w:t>
      </w:r>
      <w:r>
        <w:rPr>
          <w:rFonts w:ascii="Times New Roman" w:eastAsia="Times New Roman" w:hAnsi="Times New Roman" w:cs="Times New Roman"/>
          <w:bCs/>
          <w:color w:val="000000" w:themeColor="text1"/>
          <w:sz w:val="24"/>
          <w:szCs w:val="24"/>
        </w:rPr>
        <w:fldChar w:fldCharType="end"/>
      </w:r>
      <w:r>
        <w:rPr>
          <w:rFonts w:ascii="Times New Roman" w:eastAsia="Times New Roman" w:hAnsi="Times New Roman" w:cs="Times New Roman"/>
          <w:bCs/>
          <w:color w:val="000000" w:themeColor="text1"/>
          <w:sz w:val="24"/>
          <w:szCs w:val="24"/>
        </w:rPr>
        <w:t>.</w:t>
      </w:r>
    </w:p>
    <w:p w14:paraId="102E3BDC" w14:textId="77777777" w:rsidR="00570128" w:rsidRDefault="00000000">
      <w:pPr>
        <w:pStyle w:val="NormalWeb"/>
        <w:spacing w:line="480" w:lineRule="auto"/>
        <w:ind w:left="374" w:right="374"/>
        <w:jc w:val="both"/>
      </w:pPr>
      <w:r>
        <w:t xml:space="preserve"> </w:t>
      </w:r>
      <w:r>
        <w:rPr>
          <w:rStyle w:val="Strong"/>
          <w:b w:val="0"/>
        </w:rPr>
        <w:t xml:space="preserve">Passive Air Cleaning Materials: </w:t>
      </w:r>
      <w:r>
        <w:t xml:space="preserve">Nanomaterials could be used to improve the indoor environmental condition of hospitals by providing highly efficient solutions for pollutant prevention and removal </w:t>
      </w:r>
      <w:r>
        <w:fldChar w:fldCharType="begin"/>
      </w:r>
      <w:r>
        <w:instrText xml:space="preserve"> ADDIN ZOTERO_ITEM CSL_CITATION {"citationID":"7z7HXKYq","properties":{"formattedCitation":"(Vijayakumar et al., 2025)","plainCitation":"(Vijayakumar et al., 2025)","noteIndex":0},"citationItems":[{"id":52,"uris":["http://zotero.org/users/17799514/items/9PQCINR7"],"itemData":{"id":52,"type":"article-journal","container-title":"Environmental Technology &amp; Innovation","DOI":"10.1016/j.eti.2025.104129","ISSN":"23521864","journalAbbreviation":"Environmental Technology &amp; Innovation","language":"en","page":"104129","source":"DOI.org (Crossref)","title":"A critical review on the prospective role of nanomaterials in the effectual removal of radionuclides from wastewater – State of the art and future challenges","URL":"https://linkinghub.elsevier.com/retrieve/pii/S2352186425001154","volume":"38","author":[{"family":"Vijayakumar","given":"G."},{"family":"Thangavel","given":"Elangovan"},{"family":"Alshamsi","given":"Dalal"},{"family":"Sherif","given":"Mohsen"},{"family":"Murad","given":"Ahmed A."},{"family":"Sangaraju","given":"Sambasivam"}],"accessed":{"date-parts":[["2025",8,26]]},"issued":{"date-parts":[["2025",5]]}}}],"schema":"https://github.com/citation-style-language/schema/raw/master/csl-citation.json"} </w:instrText>
      </w:r>
      <w:r>
        <w:fldChar w:fldCharType="separate"/>
      </w:r>
      <w:r>
        <w:t>(Vijayakumar et al., 2025)</w:t>
      </w:r>
      <w:r>
        <w:fldChar w:fldCharType="end"/>
      </w:r>
      <w:r>
        <w:t xml:space="preserve">. The unique nanoscale properties address contamination challenges more effectively compared to the normal ones. The introduction of nanotechnology in maintaining good IEQ requires preventing issues related to material toxicity, dispersion, and the long-term environmental impact </w:t>
      </w:r>
      <w:r>
        <w:fldChar w:fldCharType="begin"/>
      </w:r>
      <w:r>
        <w:instrText xml:space="preserve"> ADDIN ZOTERO_ITEM CSL_CITATION {"citationID":"5p8RmWHA","properties":{"formattedCitation":"(Nel et al., 2011; Ray et al., 2009)","plainCitation":"(Nel et al., 2011; Ray et al., 2009)","noteIndex":0},"citationItems":[{"id":55,"uris":["http://zotero.org/users/17799514/items/NKMWKHH2"],"itemData":{"id":55,"type":"chapter","container-title":"Nanotechnology Research Directions for Societal Needs in 2020","event-place":"Dordrecht","ISBN":"978-94-007-1167-9","language":"en","note":"DOI: 10.1007/978-94-007-1168-6_5","page":"159-220","publisher":"Springer Netherlands","publisher-place":"Dordrecht","source":"DOI.org (Crossref)","title":"Nanotechnology Environmental, Health, and Safety Issues","URL":"https://link.springer.com/10.1007/978-94-007-1168-6_5","container-author":[{"family":"Roco","given":"Mihail C."},{"family":"Hersam","given":"Mark C."},{"family":"Mirkin","given":"Chad A."}],"author":[{"family":"Nel","given":"André"},{"family":"Grainger","given":"David"},{"family":"Alvarez","given":"Pedro J."},{"family":"Badesha","given":"Santokh"},{"family":"Castranova","given":"Vincent"},{"family":"Ferrari","given":"Mauro"},{"family":"Godwin","given":"Hilary"},{"family":"Grodzinski","given":"Piotr"},{"family":"Morris","given":"Jeff"},{"family":"Savage","given":"Nora"},{"family":"Scott","given":"Norman"},{"family":"Wiesner","given":"Mark"}],"accessed":{"date-parts":[["2025",8,26]]},"issued":{"date-parts":[["2011"]]}}},{"id":53,"uris":["http://zotero.org/users/17799514/items/MUU5RG4B"],"itemData":{"id":53,"type":"article-journal","container-title":"Journal of Environmental Science and Health, Part C","DOI":"10.1080/10590500802708267","ISSN":"1059-0501, 1532-4095","issue":"1","journalAbbreviation":"Journal of Environmental Science and Health, Part C","language":"en","page":"1-35","source":"DOI.org (Crossref)","title":"Toxicity and Environmental Risks of Nanomaterials: Challenges and Future Needs","title-short":"Toxicity and Environmental Risks of Nanomaterials","URL":"http://www.tandfonline.com/doi/abs/10.1080/10590500802708267","volume":"27","author":[{"family":"Ray","given":"Paresh Chandra"},{"family":"Yu","given":"Hongtao"},{"family":"Fu","given":"Peter P."}],"accessed":{"date-parts":[["2025",8,26]]},"issued":{"date-parts":[["2009",2,17]]}}}],"schema":"https://github.com/citation-style-language/schema/raw/master/csl-citation.json"} </w:instrText>
      </w:r>
      <w:r>
        <w:fldChar w:fldCharType="separate"/>
      </w:r>
      <w:r>
        <w:t>(Nel et al., 2011; Ray et al., 2009)</w:t>
      </w:r>
      <w:r>
        <w:fldChar w:fldCharType="end"/>
      </w:r>
      <w:r>
        <w:t>.</w:t>
      </w:r>
    </w:p>
    <w:p w14:paraId="58BB1A3F" w14:textId="77777777" w:rsidR="00570128" w:rsidRDefault="00000000">
      <w:pPr>
        <w:pStyle w:val="NormalWeb"/>
        <w:spacing w:line="480" w:lineRule="auto"/>
        <w:ind w:left="374" w:right="374"/>
        <w:jc w:val="both"/>
        <w:rPr>
          <w:rStyle w:val="Strong"/>
          <w:b w:val="0"/>
        </w:rPr>
      </w:pPr>
      <w:r>
        <w:lastRenderedPageBreak/>
        <w:t>Other passive means of enhancing IEQ include:</w:t>
      </w:r>
      <w:r>
        <w:rPr>
          <w:b/>
        </w:rPr>
        <w:t xml:space="preserve"> </w:t>
      </w:r>
      <w:r>
        <w:rPr>
          <w:rStyle w:val="Strong"/>
          <w:b w:val="0"/>
        </w:rPr>
        <w:t>Green Roofs and Vegetative Elements, Acoustic Enhancements, Adaptive Lighting, and Daylighting.</w:t>
      </w:r>
    </w:p>
    <w:p w14:paraId="1CEACCFD" w14:textId="77777777" w:rsidR="00570128" w:rsidRDefault="00000000">
      <w:pPr>
        <w:pStyle w:val="NormalWeb"/>
        <w:spacing w:line="480" w:lineRule="auto"/>
        <w:ind w:left="374" w:right="374"/>
        <w:jc w:val="both"/>
        <w:rPr>
          <w:color w:val="000000"/>
        </w:rPr>
      </w:pPr>
      <w:r>
        <w:rPr>
          <w:color w:val="000000"/>
        </w:rPr>
        <w:t>Nanomaterials hold great potential in transforming environmental remediation practices by providing highly efficient solutions for pollutant removal. Their unique nanoscale properties allow them to address contamination issues more effectively than conventional methods.  However, the successful implementation of nanotechnology in environmental remediation requires overcoming challenges related to material toxicity, dispersion, and the long-term environmental impact.</w:t>
      </w:r>
    </w:p>
    <w:p w14:paraId="76C6C12D" w14:textId="77777777" w:rsidR="00570128" w:rsidRDefault="00000000">
      <w:pPr>
        <w:shd w:val="clear" w:color="auto" w:fill="FFFFFF"/>
        <w:spacing w:after="0" w:line="480" w:lineRule="auto"/>
        <w:ind w:left="374" w:right="3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Nanomaterials hold great potential in transforming environmental remediation practices by providing highly efficient solutions for pollutant removal. Their unique nanoscale properties allow them to address contamination issues more effectively than conventional methods.  However, the successful implementation of nanotechnology in environmental remediation requires overcoming challenges related to material toxicity, dispersion, and the long-term environmental impact.</w:t>
      </w:r>
    </w:p>
    <w:p w14:paraId="41EDCF30" w14:textId="77777777" w:rsidR="00570128" w:rsidRDefault="00000000">
      <w:pPr>
        <w:shd w:val="clear" w:color="auto" w:fill="FFFFFF"/>
        <w:spacing w:after="0" w:line="480" w:lineRule="auto"/>
        <w:ind w:left="374" w:right="3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Nanomaterials hold great potential in transforming environmental remediation practices by providing highly efficient solutions for pollutant removal. Their unique nanoscale properties allow them to address contamination issues more effectively than conventional methods.  However, the successful implementation of nanotechnology in environmental remediation requires overcoming challenges related to material toxicity, dispersion, and the long-term environmental impact</w:t>
      </w:r>
    </w:p>
    <w:p w14:paraId="5B323762" w14:textId="77777777" w:rsidR="00570128" w:rsidRDefault="00000000">
      <w:pPr>
        <w:spacing w:after="0" w:line="480" w:lineRule="auto"/>
        <w:ind w:left="360" w:right="374"/>
        <w:jc w:val="both"/>
        <w:rPr>
          <w:rFonts w:ascii="Times New Roman" w:hAnsi="Times New Roman" w:cs="Times New Roman"/>
          <w:color w:val="1F1F1F"/>
        </w:rPr>
      </w:pPr>
      <w:r>
        <w:rPr>
          <w:rFonts w:ascii="Times New Roman" w:hAnsi="Times New Roman" w:cs="Times New Roman"/>
          <w:color w:val="1F1F1F"/>
        </w:rPr>
        <w:t xml:space="preserve">Active Technologies: </w:t>
      </w:r>
      <w:r>
        <w:rPr>
          <w:rFonts w:ascii="Times New Roman" w:eastAsia="Arial" w:hAnsi="Times New Roman" w:cs="Times New Roman"/>
          <w:color w:val="252525"/>
          <w:sz w:val="24"/>
          <w:szCs w:val="24"/>
        </w:rPr>
        <w:t xml:space="preserve">Smart HVAC and AI control, </w:t>
      </w:r>
      <w:r>
        <w:rPr>
          <w:rFonts w:ascii="Times New Roman" w:hAnsi="Times New Roman" w:cs="Times New Roman"/>
          <w:color w:val="1F1F1F"/>
        </w:rPr>
        <w:t>air purifier technologies, circadian</w:t>
      </w:r>
      <w:r>
        <w:rPr>
          <w:rFonts w:ascii="Times New Roman" w:eastAsia="Arial" w:hAnsi="Times New Roman" w:cs="Times New Roman"/>
          <w:color w:val="252525"/>
          <w:sz w:val="24"/>
          <w:szCs w:val="24"/>
        </w:rPr>
        <w:t xml:space="preserve"> lighting systems, </w:t>
      </w:r>
      <w:r>
        <w:rPr>
          <w:rFonts w:ascii="Times New Roman" w:hAnsi="Times New Roman" w:cs="Times New Roman"/>
          <w:color w:val="1F1F1F"/>
        </w:rPr>
        <w:t>and automation systems,</w:t>
      </w:r>
      <w:r>
        <w:rPr>
          <w:rFonts w:ascii="Times New Roman" w:eastAsia="Arial" w:hAnsi="Times New Roman" w:cs="Times New Roman"/>
          <w:color w:val="252525"/>
          <w:sz w:val="24"/>
          <w:szCs w:val="24"/>
        </w:rPr>
        <w:t xml:space="preserve"> IoT monitoring, and</w:t>
      </w:r>
      <w:r>
        <w:rPr>
          <w:rFonts w:ascii="Times New Roman" w:hAnsi="Times New Roman" w:cs="Times New Roman"/>
          <w:color w:val="1F1F1F"/>
        </w:rPr>
        <w:t xml:space="preserve"> advanced ventilation systems have the ability to improve IEQ conditions actively.</w:t>
      </w:r>
    </w:p>
    <w:p w14:paraId="3083875D" w14:textId="77777777" w:rsidR="00570128" w:rsidRDefault="00000000">
      <w:pPr>
        <w:spacing w:after="0" w:line="480" w:lineRule="auto"/>
        <w:ind w:left="374"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Smart HVAC and Artificial Intelligence (AI) control: AI can enhance IAQ management by continuously monitoring and establishing real-time air quality parameters. These sensors are built into elements of construction like floor and wall finish, window and door openings etc to adjust ventilation and filtration Systems as the sensor deems fit based on machine learning </w:t>
      </w:r>
      <w:r>
        <w:rPr>
          <w:rFonts w:ascii="Times New Roman" w:eastAsia="Arial" w:hAnsi="Times New Roman" w:cs="Times New Roman"/>
          <w:color w:val="252525"/>
          <w:sz w:val="24"/>
          <w:szCs w:val="24"/>
        </w:rPr>
        <w:fldChar w:fldCharType="begin"/>
      </w:r>
      <w:r>
        <w:rPr>
          <w:rFonts w:ascii="Times New Roman" w:eastAsia="Arial" w:hAnsi="Times New Roman" w:cs="Times New Roman"/>
          <w:color w:val="252525"/>
          <w:sz w:val="24"/>
          <w:szCs w:val="24"/>
        </w:rPr>
        <w:instrText xml:space="preserve"> ADDIN ZOTERO_ITEM CSL_CITATION {"citationID":"wXA1WTbJ","properties":{"formattedCitation":"(Dong et al., 2019; Rudavskyi et al., 2024)","plainCitation":"(Dong et al., 2019; Rudavskyi et al., 2024)","noteIndex":0},"citationItems":[{"id":56,"uris":["http://zotero.org/users/17799514/items/366YCMIN"],"itemData":{"id":56,"type":"article-journal","container-title":"Energy and Buildings","DOI":"10.1016/j.enbuild.2019.06.025","ISSN":"03787788","journalAbbreviation":"Energy and Buildings","language":"en","page":"29-46","source":"DOI.org (Crossref)","title":"A review of smart building sensing system for better indoor environment control","URL":"https://linkinghub.elsevier.com/retrieve/pii/S0378778819309302","volume":"199","author":[{"family":"Dong","given":"Bing"},{"family":"Prakash","given":"Vishnu"},{"family":"Feng","given":"Fan"},{"family":"O'Neill","given":"Zheng"}],"accessed":{"date-parts":[["2025",8,26]]},"issued":{"date-parts":[["2019",9]]}}},{"id":58,"uris":["http://zotero.org/users/17799514/items/EXFPZ8S3"],"itemData":{"id":58,"type":"article-journal","abstract":"This study presents an air quality monitoring system that employs the Arduino Uno microcontroller. The system is augmented with a moving average filter and data fusion techniques from BME680 and CCS811 sensors, which are designed to process and combine data from these sensors. The system was tested and analyzed empirically across a range of residential environments in order to validate its efficacy. The findings indicated that the typical IAQ level in a bedroom was approximately 20 units. However, this level increased significantly, reaching 140 units, within minutes after the introduction of a 17% perfume spray. In contrast, the use of an aromatic diffuser resulted in a smaller increase in IAQ to 40 units, which returned to normal levels after ventilation. Moreover, the analysis demonstrated that the kitchen and bathroom exhibited inferior air quality in comparison to the bedroom. This was evidenced by elevated VOC and humidity levels, which were observed to be 10–20% higher due to the combined effects of household activities and inadequate ventilation. This study makes a significant contribution to the field of air quality monitoring by proposing a solution that employs sensor technology and data processing methods to enhance the quality of life within residential spaces.","container-title":"Applied Sciences","DOI":"10.3390/app14199012","ISSN":"2076-3417","issue":"19","journalAbbreviation":"Applied Sciences","language":"en","license":"https://creativecommons.org/licenses/by/4.0/","page":"9012","source":"DOI.org (Crossref)","title":"Utilizing an Arduino Uno-Based System with Integrated Sensor Data Fusion and Filtration Techniques for Enhanced Air Quality Monitoring in Residential Spaces","URL":"https://www.mdpi.com/2076-3417/14/19/9012","volume":"14","author":[{"family":"Rudavskyi","given":"Ivan"},{"family":"Klym","given":"Halyna"},{"family":"Kostiv","given":"Yuriy"},{"family":"Karbovnyk","given":"Ivan"},{"family":"Zhydenko","given":"Illia"},{"family":"Popov","given":"Anatoli I."},{"family":"Konuhova","given":"Marina"}],"accessed":{"date-parts":[["2025",8,26]]},"issued":{"date-parts":[["2024",10,6]]}}}],"schema":"https://github.com/citation-style-language/schema/raw/master/csl-citation.json"} </w:instrText>
      </w:r>
      <w:r>
        <w:rPr>
          <w:rFonts w:ascii="Times New Roman" w:eastAsia="Arial" w:hAnsi="Times New Roman" w:cs="Times New Roman"/>
          <w:color w:val="252525"/>
          <w:sz w:val="24"/>
          <w:szCs w:val="24"/>
        </w:rPr>
        <w:fldChar w:fldCharType="separate"/>
      </w:r>
      <w:r>
        <w:rPr>
          <w:rFonts w:ascii="Times New Roman" w:hAnsi="Times New Roman" w:cs="Times New Roman"/>
          <w:sz w:val="24"/>
        </w:rPr>
        <w:t>(Dong et al., 2019; Rudavskyi et al., 2024)</w:t>
      </w:r>
      <w:r>
        <w:rPr>
          <w:rFonts w:ascii="Times New Roman" w:eastAsia="Arial" w:hAnsi="Times New Roman" w:cs="Times New Roman"/>
          <w:color w:val="252525"/>
          <w:sz w:val="24"/>
          <w:szCs w:val="24"/>
        </w:rPr>
        <w:fldChar w:fldCharType="end"/>
      </w:r>
      <w:r>
        <w:rPr>
          <w:rFonts w:ascii="Times New Roman" w:eastAsia="Arial" w:hAnsi="Times New Roman" w:cs="Times New Roman"/>
          <w:color w:val="252525"/>
          <w:sz w:val="24"/>
          <w:szCs w:val="24"/>
        </w:rPr>
        <w:t>.</w:t>
      </w:r>
    </w:p>
    <w:p w14:paraId="40ECCFAE" w14:textId="77777777" w:rsidR="00570128" w:rsidRDefault="00000000">
      <w:pPr>
        <w:spacing w:after="0" w:line="480" w:lineRule="auto"/>
        <w:ind w:left="374" w:right="374"/>
        <w:jc w:val="both"/>
        <w:rPr>
          <w:rFonts w:ascii="Times New Roman" w:hAnsi="Times New Roman" w:cs="Times New Roman"/>
          <w:color w:val="212529"/>
          <w:sz w:val="24"/>
          <w:szCs w:val="24"/>
          <w:shd w:val="clear" w:color="auto" w:fill="FFFFFF"/>
        </w:rPr>
      </w:pPr>
      <w:r>
        <w:rPr>
          <w:rFonts w:ascii="Times New Roman" w:eastAsia="Arial" w:hAnsi="Times New Roman" w:cs="Times New Roman"/>
          <w:color w:val="252525"/>
          <w:sz w:val="24"/>
          <w:szCs w:val="24"/>
        </w:rPr>
        <w:t xml:space="preserve"> </w:t>
      </w:r>
      <w:r>
        <w:rPr>
          <w:rFonts w:ascii="Times New Roman" w:hAnsi="Times New Roman" w:cs="Times New Roman"/>
          <w:sz w:val="24"/>
          <w:szCs w:val="24"/>
        </w:rPr>
        <w:t xml:space="preserve">Adaptive glazing technology: </w:t>
      </w:r>
      <w:r>
        <w:rPr>
          <w:rFonts w:ascii="Times New Roman" w:hAnsi="Times New Roman" w:cs="Times New Roman"/>
          <w:color w:val="212529"/>
          <w:sz w:val="24"/>
          <w:szCs w:val="24"/>
          <w:shd w:val="clear" w:color="auto" w:fill="FFFFFF"/>
        </w:rPr>
        <w:t xml:space="preserve">By adjusting its optical and thermal properties in response to environmental conditions, such as sunlight and temperature (to optimize daylighting, reduce solar </w:t>
      </w:r>
    </w:p>
    <w:p w14:paraId="57E81855" w14:textId="77777777" w:rsidR="00570128" w:rsidRDefault="00000000">
      <w:pPr>
        <w:spacing w:after="0" w:line="480" w:lineRule="auto"/>
        <w:ind w:left="374" w:right="374"/>
        <w:jc w:val="both"/>
        <w:rPr>
          <w:rFonts w:ascii="Times New Roman" w:hAnsi="Times New Roman" w:cs="Times New Roman"/>
          <w:sz w:val="24"/>
          <w:szCs w:val="24"/>
        </w:rPr>
      </w:pPr>
      <w:r>
        <w:rPr>
          <w:rFonts w:ascii="Times New Roman" w:hAnsi="Times New Roman" w:cs="Times New Roman"/>
          <w:color w:val="212529"/>
          <w:sz w:val="24"/>
          <w:szCs w:val="24"/>
          <w:shd w:val="clear" w:color="auto" w:fill="FFFFFF"/>
        </w:rPr>
        <w:lastRenderedPageBreak/>
        <w:t xml:space="preserve">heat gain, and improve thermal comfort within a building. This could be through thermochromic, electrochromic, Photochromic </w:t>
      </w:r>
      <w:r>
        <w:rPr>
          <w:rFonts w:ascii="Times New Roman" w:hAnsi="Times New Roman" w:cs="Times New Roman"/>
          <w:color w:val="212529"/>
          <w:sz w:val="24"/>
          <w:szCs w:val="24"/>
          <w:shd w:val="clear" w:color="auto" w:fill="FFFFFF"/>
        </w:rPr>
        <w:fldChar w:fldCharType="begin"/>
      </w:r>
      <w:r>
        <w:rPr>
          <w:rFonts w:ascii="Times New Roman" w:hAnsi="Times New Roman" w:cs="Times New Roman"/>
          <w:color w:val="212529"/>
          <w:sz w:val="24"/>
          <w:szCs w:val="24"/>
          <w:shd w:val="clear" w:color="auto" w:fill="FFFFFF"/>
        </w:rPr>
        <w:instrText xml:space="preserve"> ADDIN ZOTERO_ITEM CSL_CITATION {"citationID":"jKrGusxK","properties":{"formattedCitation":"(Liu &amp; Wu, 2022; Wijewardane &amp; Santamouris, 2025)","plainCitation":"(Liu &amp; Wu, 2022; Wijewardane &amp; Santamouris, 2025)","noteIndex":0},"citationItems":[{"id":62,"uris":["http://zotero.org/users/17799514/items/YMLGASV9"],"itemData":{"id":62,"type":"article-journal","abstract":"Abstract\n            Efficient management of solar radiation through architectural glazing is a key strategy for achieving a comfortable indoor environment with minimum energy consumption. Conventional glazing consisting of a single or multiple glass pane(s) exhibits high visible light transmittance and solar heat gain coefficient, which can be a double-edged sword, i.e., it allows sufficient sunlight to enter the building interior space for passive heating and lighting; on the other hand, it can cause glare discomfort and large cooling energy consumption. Among the various advanced glazing technologies being developed, Building Integrated Photovoltaic (BIPV) glazing has a prominent position due to its ability to reduce cooling load and visual discomfort while simultaneously generating electricity from sunlight. Recent years have witnessed remarkable advances in low-concentration optics such as Dielectric based Compound Parabolic Concentrators (DiCPCs), with a growing interest in the development of Building Integrated Concentrating Photovoltaic (BICPV) glazing to improve light harvesting and electric power output. One of the challenges faced by traditional BIPV glazing systems is the lack of dynamic control over daylight and solar heat transmission to cope with variations in weather conditions and seasonal heating/cooling demands of buildings. A promising solution is to integrate an optically switchable smart material into a BIPV glazing system, which enables dynamic daylighting control in addition to solar power conversion. Thermotropic (TT) hydrogel materials such as poly(N-isopropylacrylamide) (PNIPAm) and Hydroxypropyl Cellulose (HPC) are potential candidates for hybrid BIPV smart glazing applications, due to their unique features such as high visible transparency (in the clear state), strong light-scattering capability (in the translucent state) and large solar energy modulation. This paper reviews various types of electricity-generating glazing technologies including BIPV glazing and BICPV glazing, as well as smart glazing technologies with a particular focus on TT hydrogel integrated glazing. The characteristics, benefits and limitations of hybrid BIPV smart glazing are also evaluated. Finally, the challenges and research opportunities in this emerging field are discussed.","container-title":"Architectural Intelligence","DOI":"10.1007/s44223-022-00009-6","ISSN":"2731-6726","issue":"1","journalAbbreviation":"ARIN","language":"en","page":"10","source":"DOI.org (Crossref)","title":"A review of advanced architectural glazing technologies for solar energy conversion and intelligent daylighting control","URL":"https://link.springer.com/10.1007/s44223-022-00009-6","volume":"1","author":[{"family":"Liu","given":"Xiao"},{"family":"Wu","given":"Yupeng"}],"accessed":{"date-parts":[["2025",8,26]]},"issued":{"date-parts":[["2022",12]]}}},{"id":60,"uris":["http://zotero.org/users/17799514/items/TLDRUZQ5"],"itemData":{"id":60,"type":"article-journal","container-title":"Solar Compass","DOI":"10.1016/j.solcom.2025.100114","ISSN":"27729400","journalAbbreviation":"Solar Compass","language":"en","page":"100114","source":"DOI.org (Crossref)","title":"Smart glazing systems: An industrial outlook","title-short":"Smart glazing systems","URL":"https://linkinghub.elsevier.com/retrieve/pii/S2772940025000098","volume":"14","author":[{"family":"Wijewardane","given":"Samantha"},{"family":"Santamouris","given":"Matthaios"}],"accessed":{"date-parts":[["2025",8,26]]},"issued":{"date-parts":[["2025",6]]}}}],"schema":"https://github.com/citation-style-language/schema/raw/master/csl-citation.json"} </w:instrText>
      </w:r>
      <w:r>
        <w:rPr>
          <w:rFonts w:ascii="Times New Roman" w:hAnsi="Times New Roman" w:cs="Times New Roman"/>
          <w:color w:val="212529"/>
          <w:sz w:val="24"/>
          <w:szCs w:val="24"/>
          <w:shd w:val="clear" w:color="auto" w:fill="FFFFFF"/>
        </w:rPr>
        <w:fldChar w:fldCharType="separate"/>
      </w:r>
      <w:r>
        <w:rPr>
          <w:rFonts w:ascii="Times New Roman" w:hAnsi="Times New Roman" w:cs="Times New Roman"/>
          <w:sz w:val="24"/>
        </w:rPr>
        <w:t>(Liu and Wu, 2022; Wijewardane and Santamouris, 2025)</w:t>
      </w:r>
      <w:r>
        <w:rPr>
          <w:rFonts w:ascii="Times New Roman" w:hAnsi="Times New Roman" w:cs="Times New Roman"/>
          <w:color w:val="212529"/>
          <w:sz w:val="24"/>
          <w:szCs w:val="24"/>
          <w:shd w:val="clear" w:color="auto" w:fill="FFFFFF"/>
        </w:rPr>
        <w:fldChar w:fldCharType="end"/>
      </w:r>
      <w:r>
        <w:rPr>
          <w:rFonts w:ascii="Times New Roman" w:hAnsi="Times New Roman" w:cs="Times New Roman"/>
          <w:color w:val="212529"/>
          <w:sz w:val="24"/>
          <w:szCs w:val="24"/>
          <w:shd w:val="clear" w:color="auto" w:fill="FFFFFF"/>
        </w:rPr>
        <w:t>.</w:t>
      </w:r>
    </w:p>
    <w:p w14:paraId="7DFA51B6" w14:textId="77777777" w:rsidR="00570128" w:rsidRDefault="00000000">
      <w:pPr>
        <w:spacing w:after="0" w:line="480" w:lineRule="auto"/>
        <w:ind w:left="374" w:right="374"/>
        <w:jc w:val="both"/>
        <w:rPr>
          <w:rFonts w:ascii="Times New Roman" w:hAnsi="Times New Roman" w:cs="Times New Roman"/>
          <w:sz w:val="24"/>
          <w:szCs w:val="24"/>
        </w:rPr>
      </w:pPr>
      <w:r>
        <w:rPr>
          <w:rFonts w:ascii="Times New Roman" w:eastAsia="Arial" w:hAnsi="Times New Roman" w:cs="Times New Roman"/>
          <w:color w:val="252525"/>
          <w:sz w:val="24"/>
          <w:szCs w:val="24"/>
        </w:rPr>
        <w:t>Circadian lighting systems: this</w:t>
      </w:r>
      <w:r>
        <w:rPr>
          <w:rFonts w:ascii="Times New Roman" w:hAnsi="Times New Roman" w:cs="Times New Roman"/>
          <w:color w:val="001D35"/>
          <w:sz w:val="24"/>
          <w:szCs w:val="24"/>
          <w:shd w:val="clear" w:color="auto" w:fill="FFFFFF"/>
        </w:rPr>
        <w:t xml:space="preserve"> optimizes illumination exposure to be in tandem with the human nature, which can enhance rest, attitude, brain activity, and total health. Circadian lighting reduce stress and improve patient recovery times, while also contributing to a more comfortable and efficient work environment for healthcare professionals.</w:t>
      </w:r>
      <w:r>
        <w:rPr>
          <w:rStyle w:val="uv3um"/>
          <w:rFonts w:ascii="Times New Roman" w:hAnsi="Times New Roman" w:cs="Times New Roman"/>
          <w:color w:val="001D35"/>
          <w:sz w:val="27"/>
          <w:szCs w:val="27"/>
          <w:shd w:val="clear" w:color="auto" w:fill="FFFFFF"/>
        </w:rPr>
        <w:t> </w:t>
      </w:r>
    </w:p>
    <w:p w14:paraId="071DB559" w14:textId="77777777" w:rsidR="00570128" w:rsidRDefault="00000000">
      <w:pPr>
        <w:spacing w:after="0" w:line="480" w:lineRule="auto"/>
        <w:ind w:left="374" w:right="374"/>
        <w:jc w:val="both"/>
        <w:rPr>
          <w:rFonts w:ascii="Times New Roman" w:hAnsi="Times New Roman" w:cs="Times New Roman"/>
          <w:color w:val="212529"/>
          <w:sz w:val="24"/>
          <w:szCs w:val="24"/>
          <w:shd w:val="clear" w:color="auto" w:fill="FFFFFF"/>
        </w:rPr>
      </w:pPr>
      <w:r>
        <w:rPr>
          <w:rFonts w:ascii="Times New Roman" w:eastAsia="Arial" w:hAnsi="Times New Roman" w:cs="Times New Roman"/>
          <w:color w:val="252525"/>
          <w:sz w:val="24"/>
          <w:szCs w:val="24"/>
        </w:rPr>
        <w:t>BIM and digital twins: Pre-construction simulation of environmental performance.</w:t>
      </w:r>
      <w:r>
        <w:rPr>
          <w:rFonts w:ascii="Times New Roman" w:hAnsi="Times New Roman" w:cs="Times New Roman"/>
          <w:color w:val="212529"/>
          <w:sz w:val="24"/>
          <w:szCs w:val="24"/>
          <w:shd w:val="clear" w:color="auto" w:fill="FFFFFF"/>
        </w:rPr>
        <w:t xml:space="preserve"> The hospital's HVAC system can be digitally simulated and used to predict and manage the IEQ of the hospital. </w:t>
      </w:r>
    </w:p>
    <w:p w14:paraId="19C2BF1F" w14:textId="77777777" w:rsidR="00570128" w:rsidRDefault="00000000">
      <w:pPr>
        <w:spacing w:after="0" w:line="480" w:lineRule="auto"/>
        <w:ind w:left="374" w:right="374"/>
        <w:jc w:val="both"/>
        <w:rPr>
          <w:rFonts w:ascii="Times New Roman" w:hAnsi="Times New Roman" w:cs="Times New Roman"/>
          <w:b/>
          <w:sz w:val="24"/>
          <w:szCs w:val="24"/>
        </w:rPr>
      </w:pPr>
      <w:r>
        <w:rPr>
          <w:rFonts w:ascii="Times New Roman" w:eastAsia="Arial" w:hAnsi="Times New Roman" w:cs="Times New Roman"/>
          <w:b/>
          <w:color w:val="252525"/>
          <w:sz w:val="24"/>
          <w:szCs w:val="24"/>
        </w:rPr>
        <w:t>2.3 Gaps</w:t>
      </w:r>
    </w:p>
    <w:p w14:paraId="5F2ACD0B" w14:textId="77777777" w:rsidR="00570128" w:rsidRDefault="00000000">
      <w:pPr>
        <w:spacing w:after="0" w:line="480" w:lineRule="auto"/>
        <w:ind w:left="374" w:right="374"/>
        <w:jc w:val="both"/>
        <w:rPr>
          <w:rFonts w:ascii="Times New Roman" w:eastAsia="Arial" w:hAnsi="Times New Roman" w:cs="Times New Roman"/>
          <w:color w:val="252525"/>
          <w:sz w:val="24"/>
          <w:szCs w:val="24"/>
        </w:rPr>
      </w:pPr>
      <w:r>
        <w:rPr>
          <w:rFonts w:ascii="Times New Roman" w:hAnsi="Times New Roman" w:cs="Times New Roman"/>
          <w:color w:val="001D35"/>
          <w:sz w:val="24"/>
          <w:szCs w:val="24"/>
          <w:shd w:val="clear" w:color="auto" w:fill="FFFFFF"/>
        </w:rPr>
        <w:t xml:space="preserve">While the benefits of improved IEQ, such as enhanced patient and staff well-being </w:t>
      </w:r>
      <w:r>
        <w:rPr>
          <w:rFonts w:ascii="Times New Roman" w:hAnsi="Times New Roman" w:cs="Times New Roman"/>
          <w:color w:val="001D35"/>
          <w:sz w:val="24"/>
          <w:szCs w:val="24"/>
          <w:shd w:val="clear" w:color="auto" w:fill="FFFFFF"/>
        </w:rPr>
        <w:fldChar w:fldCharType="begin"/>
      </w:r>
      <w:r>
        <w:rPr>
          <w:rFonts w:ascii="Times New Roman" w:hAnsi="Times New Roman" w:cs="Times New Roman"/>
          <w:color w:val="001D35"/>
          <w:sz w:val="24"/>
          <w:szCs w:val="24"/>
          <w:shd w:val="clear" w:color="auto" w:fill="FFFFFF"/>
        </w:rPr>
        <w:instrText xml:space="preserve"> ADDIN ZOTERO_ITEM CSL_CITATION {"citationID":"Pbnt25YI","properties":{"formattedCitation":"(Ackley et al., 2024; Perera et al., 2025)","plainCitation":"(Ackley et al., 2024; Perera et al., 2025)","noteIndex":0},"citationItems":[{"id":19,"uris":["http://zotero.org/users/17799514/items/78FMR6K2"],"itemData":{"id":19,"type":"article-journal","container-title":"Journal of Building Engineering","DOI":"10.1016/j.jobe.2024.108787","ISSN":"23527102","journalAbbreviation":"Journal of Building Engineering","language":"en","page":"108787","source":"DOI.org (Crossref)","title":"Indoor environmental quality (IEQ) in healthcare facilities: A systematic literature review and gap analysis","title-short":"Indoor environmental quality (IEQ) in healthcare facilities","URL":"https://linkinghub.elsevier.com/retrieve/pii/S2352710224003553","volume":"86","author":[{"family":"Ackley","given":"Aniebietabasi"},{"family":"Olanrewaju","given":"Oludolapo Ibrahim"},{"family":"Oyefusi","given":"Oluwatobi Nurudeen"},{"family":"Enegbuma","given":"Wallace Imoudu"},{"family":"Olaoye","given":"Toba Samuel"},{"family":"Ehimatie","given":"Atamewan Eugene"},{"family":"Ukpong","given":"Edidiong"},{"family":"Akpan-Idiok","given":"Paulina"}],"accessed":{"date-parts":[["2025",8,21]]},"issued":{"date-parts":[["2024",6]]}}},{"id":40,"uris":["http://zotero.org/users/17799514/items/5GZHKRMQ"],"itemData":{"id":40,"type":"article-journal","abstract":"The indoor environmental quality (IEQ) in buildings is vital for health, work efficiency, productivity, and the overall sustainability of buildings. IEQ is governed by four parameters: indoor air quality and thermal, acoustic, and visual comfort. The recent pandemic has compelled people to think beyond energy efficiency and refocus on the health, well-being, and productivity of building occupants. Despite numerous IEQ guidelines and standards, there remains a paucity of systematic research that critically examines the relationship between IEQ and building energy efficiency. This systematic review explores the existing equilibrium and identifies gaps between IEQ standards and building energy codes. Firstly, this review examined the status of the IEQ standards and identified that most of the North American IEQ guidelines cannot achieve energy efficiency targets. Secondly, existing building energy codes were reviewed to determine how well these codes fare with IEQ requirements. It was revealed that the expensive energy certification documents are more focused on IEQ than traditional energy codes. The identified factors indicate that most building energy codes can meet only indoor air quality thresholds (a subset of IEQ), while other parameters are inadequately addressed. This review revealed 19 relationships between IEQs and energy efficiency. Building energy code/IEQ guidelines developers could consider the identified 19 relationships to develop a combined set of guidelines/standards for future building stock. An integration model between IEQ and energy efficiency is proposed as a future research direction to contribute to the better design and construction of modern buildings. The findings will facilitate the construction of healthy and sustainable buildings, and they aim to generate new residential communities that achieve an optimal health–energy–carbon nexus.","container-title":"Energies","DOI":"10.3390/en18071740","ISSN":"1996-1073","issue":"7","journalAbbreviation":"Energies","language":"en","license":"https://creativecommons.org/licenses/by/4.0/","page":"1740","source":"DOI.org (Crossref)","title":"Combining Energy Performance and Indoor Environmental Quality (IEQ) in Buildings: A Systematic Review on Common IEQ Guidelines and Energy Codes in North America","title-short":"Combining Energy Performance and Indoor Environmental Quality (IEQ) in Buildings","URL":"https://www.mdpi.com/1996-1073/18/7/1740","volume":"18","author":[{"family":"Perera","given":"Ishanka"},{"family":"Hewage","given":"Kasun"},{"family":"Rana","given":"Anber"},{"family":"Sadiq","given":"Rehan"}],"accessed":{"date-parts":[["2025",8,26]]},"issued":{"date-parts":[["2025",3,31]]}}}],"schema":"https://github.com/citation-style-language/schema/raw/master/csl-citation.json"} </w:instrText>
      </w:r>
      <w:r>
        <w:rPr>
          <w:rFonts w:ascii="Times New Roman" w:hAnsi="Times New Roman" w:cs="Times New Roman"/>
          <w:color w:val="001D35"/>
          <w:sz w:val="24"/>
          <w:szCs w:val="24"/>
          <w:shd w:val="clear" w:color="auto" w:fill="FFFFFF"/>
        </w:rPr>
        <w:fldChar w:fldCharType="separate"/>
      </w:r>
      <w:r>
        <w:rPr>
          <w:rFonts w:ascii="Times New Roman" w:hAnsi="Times New Roman" w:cs="Times New Roman"/>
          <w:sz w:val="24"/>
        </w:rPr>
        <w:t>(Ackley et al., 2024; Perera et al., 2025)</w:t>
      </w:r>
      <w:r>
        <w:rPr>
          <w:rFonts w:ascii="Times New Roman" w:hAnsi="Times New Roman" w:cs="Times New Roman"/>
          <w:color w:val="001D35"/>
          <w:sz w:val="24"/>
          <w:szCs w:val="24"/>
          <w:shd w:val="clear" w:color="auto" w:fill="FFFFFF"/>
        </w:rPr>
        <w:fldChar w:fldCharType="end"/>
      </w:r>
      <w:r>
        <w:rPr>
          <w:rFonts w:ascii="Times New Roman" w:hAnsi="Times New Roman" w:cs="Times New Roman"/>
          <w:color w:val="001D35"/>
          <w:sz w:val="24"/>
          <w:szCs w:val="24"/>
          <w:shd w:val="clear" w:color="auto" w:fill="FFFFFF"/>
        </w:rPr>
        <w:t xml:space="preserve">, are increasingly recognized, barriers related to cost, complexity, and a lack of clear understanding of the technology's value hinder widespread implementation </w:t>
      </w:r>
      <w:r>
        <w:rPr>
          <w:rFonts w:ascii="Times New Roman" w:eastAsia="Arial" w:hAnsi="Times New Roman" w:cs="Times New Roman"/>
          <w:color w:val="252525"/>
          <w:sz w:val="24"/>
          <w:szCs w:val="24"/>
        </w:rPr>
        <w:t xml:space="preserve">among </w:t>
      </w:r>
    </w:p>
    <w:p w14:paraId="08091576" w14:textId="77777777" w:rsidR="00570128" w:rsidRDefault="00000000">
      <w:pPr>
        <w:spacing w:after="0" w:line="480" w:lineRule="auto"/>
        <w:ind w:left="374"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professionals and technical workers, leading to underutilization of available innovations.</w:t>
      </w:r>
    </w:p>
    <w:p w14:paraId="5F890A03" w14:textId="77777777" w:rsidR="00570128" w:rsidRDefault="00000000">
      <w:pPr>
        <w:spacing w:after="0" w:line="480" w:lineRule="auto"/>
        <w:ind w:left="360" w:right="374"/>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3. Methodology</w:t>
      </w:r>
    </w:p>
    <w:p w14:paraId="2751ED22" w14:textId="77777777" w:rsidR="00570128" w:rsidRDefault="00000000">
      <w:pPr>
        <w:spacing w:after="0" w:line="480" w:lineRule="auto"/>
        <w:ind w:left="360" w:right="374"/>
        <w:jc w:val="both"/>
        <w:rPr>
          <w:rFonts w:ascii="Times New Roman" w:hAnsi="Times New Roman" w:cs="Times New Roman"/>
          <w:sz w:val="24"/>
          <w:szCs w:val="24"/>
        </w:rPr>
      </w:pPr>
      <w:r>
        <w:rPr>
          <w:rFonts w:ascii="Times New Roman" w:hAnsi="Times New Roman" w:cs="Times New Roman"/>
          <w:sz w:val="24"/>
          <w:szCs w:val="24"/>
        </w:rPr>
        <w:t xml:space="preserve">Mixed-methods study was employed to provide a comprehensive understanding of the effectiveness of the technologies deployed in enhancing Indoor Environmental Quality (IEQ), using both qualitative and quantitative strategies. The collection of quantitative data involved organized surveys, environmental monitoring, and standardized measurement of significant IEQ factors such as thermal comfort, air quality, acoustics, lighting, etc. Those objective measurements provided reliability and allowed for statistical analysis of trends and correlations. The indoor environment was analyzed through qualitative methods like interviews, and observational studies to determine users' perceptions, experiences, or satisfaction. By combining quantitative evidence with qualitative insights, the results were triangulated to account for both </w:t>
      </w:r>
    </w:p>
    <w:p w14:paraId="0D02F53D" w14:textId="77777777" w:rsidR="00570128" w:rsidRDefault="00000000">
      <w:pPr>
        <w:spacing w:after="0" w:line="480" w:lineRule="auto"/>
        <w:ind w:left="360" w:right="374"/>
        <w:jc w:val="both"/>
        <w:rPr>
          <w:rFonts w:ascii="Times New Roman" w:hAnsi="Times New Roman" w:cs="Times New Roman"/>
          <w:sz w:val="24"/>
          <w:szCs w:val="24"/>
        </w:rPr>
      </w:pPr>
      <w:r>
        <w:rPr>
          <w:rFonts w:ascii="Times New Roman" w:hAnsi="Times New Roman" w:cs="Times New Roman"/>
          <w:sz w:val="24"/>
          <w:szCs w:val="24"/>
        </w:rPr>
        <w:t>building performance and occupant experience. This was done through measurement. The methodological integration provided a more comprehensive evaluation of IEQ, which reinforced the study's conclusions.</w:t>
      </w:r>
    </w:p>
    <w:p w14:paraId="4586EE5D" w14:textId="77777777" w:rsidR="00570128" w:rsidRDefault="00570128">
      <w:pPr>
        <w:spacing w:after="0" w:line="480" w:lineRule="auto"/>
        <w:ind w:left="360" w:right="374"/>
        <w:jc w:val="both"/>
        <w:rPr>
          <w:rFonts w:ascii="Times New Roman" w:hAnsi="Times New Roman" w:cs="Times New Roman"/>
          <w:sz w:val="24"/>
          <w:szCs w:val="24"/>
        </w:rPr>
      </w:pPr>
    </w:p>
    <w:p w14:paraId="64735161" w14:textId="77777777" w:rsidR="00570128" w:rsidRDefault="00570128">
      <w:pPr>
        <w:spacing w:after="0" w:line="480" w:lineRule="auto"/>
        <w:ind w:left="360" w:right="374"/>
        <w:jc w:val="both"/>
        <w:rPr>
          <w:rFonts w:ascii="Times New Roman" w:hAnsi="Times New Roman" w:cs="Times New Roman"/>
          <w:sz w:val="24"/>
          <w:szCs w:val="24"/>
        </w:rPr>
      </w:pPr>
    </w:p>
    <w:p w14:paraId="3705F026" w14:textId="77777777" w:rsidR="00570128" w:rsidRDefault="00570128">
      <w:pPr>
        <w:spacing w:after="0" w:line="480" w:lineRule="auto"/>
        <w:ind w:left="360" w:right="374"/>
        <w:jc w:val="both"/>
        <w:rPr>
          <w:rFonts w:ascii="Times New Roman" w:hAnsi="Times New Roman" w:cs="Times New Roman"/>
          <w:sz w:val="24"/>
          <w:szCs w:val="24"/>
        </w:rPr>
      </w:pPr>
    </w:p>
    <w:p w14:paraId="79DAA995" w14:textId="77777777" w:rsidR="00570128" w:rsidRDefault="00570128">
      <w:pPr>
        <w:spacing w:after="0" w:line="480" w:lineRule="auto"/>
        <w:ind w:left="360" w:right="374"/>
        <w:jc w:val="both"/>
        <w:rPr>
          <w:rFonts w:ascii="Times New Roman" w:hAnsi="Times New Roman" w:cs="Times New Roman"/>
          <w:sz w:val="24"/>
          <w:szCs w:val="24"/>
        </w:rPr>
      </w:pPr>
    </w:p>
    <w:p w14:paraId="54A8B9C8" w14:textId="77777777" w:rsidR="00570128" w:rsidRDefault="00000000">
      <w:pPr>
        <w:spacing w:after="0" w:line="480" w:lineRule="auto"/>
        <w:ind w:left="360" w:right="374"/>
        <w:jc w:val="both"/>
        <w:rPr>
          <w:rFonts w:ascii="Times New Roman" w:hAnsi="Times New Roman" w:cs="Times New Roman"/>
          <w:b/>
          <w:sz w:val="24"/>
          <w:szCs w:val="24"/>
        </w:rPr>
      </w:pPr>
      <w:r>
        <w:rPr>
          <w:rFonts w:ascii="Times New Roman" w:eastAsia="Arial" w:hAnsi="Times New Roman" w:cs="Times New Roman"/>
          <w:b/>
          <w:color w:val="252525"/>
          <w:sz w:val="24"/>
          <w:szCs w:val="24"/>
        </w:rPr>
        <w:t>3.1 Study Area</w:t>
      </w:r>
    </w:p>
    <w:p w14:paraId="67EC02D9" w14:textId="77777777" w:rsidR="00570128" w:rsidRDefault="00000000">
      <w:pPr>
        <w:spacing w:after="0" w:line="480" w:lineRule="auto"/>
        <w:ind w:left="360" w:right="374"/>
        <w:jc w:val="both"/>
        <w:rPr>
          <w:rFonts w:ascii="Times New Roman" w:hAnsi="Times New Roman" w:cs="Times New Roman"/>
          <w:sz w:val="24"/>
          <w:szCs w:val="24"/>
        </w:rPr>
      </w:pPr>
      <w:r>
        <w:rPr>
          <w:rFonts w:ascii="Times New Roman" w:eastAsia="Arial" w:hAnsi="Times New Roman" w:cs="Times New Roman"/>
          <w:color w:val="252525"/>
          <w:sz w:val="24"/>
          <w:szCs w:val="24"/>
        </w:rPr>
        <w:t>Five public and private hospitals in Kwara State were selected based on size, service type, and recent construction or renovation.</w:t>
      </w:r>
    </w:p>
    <w:p w14:paraId="64362CD3" w14:textId="77777777" w:rsidR="00570128" w:rsidRDefault="00000000">
      <w:pPr>
        <w:spacing w:after="0" w:line="480" w:lineRule="auto"/>
        <w:ind w:left="360" w:right="374"/>
        <w:jc w:val="both"/>
        <w:rPr>
          <w:rFonts w:ascii="Times New Roman" w:hAnsi="Times New Roman" w:cs="Times New Roman"/>
          <w:b/>
          <w:sz w:val="24"/>
          <w:szCs w:val="24"/>
        </w:rPr>
      </w:pPr>
      <w:r>
        <w:rPr>
          <w:rFonts w:ascii="Times New Roman" w:eastAsia="Arial" w:hAnsi="Times New Roman" w:cs="Times New Roman"/>
          <w:b/>
          <w:color w:val="252525"/>
          <w:sz w:val="24"/>
          <w:szCs w:val="24"/>
        </w:rPr>
        <w:t>3.2 Data Collection</w:t>
      </w:r>
    </w:p>
    <w:p w14:paraId="0D628D5F" w14:textId="77777777" w:rsidR="00570128" w:rsidRDefault="00000000">
      <w:pPr>
        <w:spacing w:after="0" w:line="480" w:lineRule="auto"/>
        <w:ind w:left="360" w:right="374"/>
        <w:jc w:val="both"/>
        <w:rPr>
          <w:rFonts w:ascii="Times New Roman" w:hAnsi="Times New Roman" w:cs="Times New Roman"/>
          <w:sz w:val="24"/>
          <w:szCs w:val="24"/>
        </w:rPr>
      </w:pPr>
      <w:r>
        <w:rPr>
          <w:rFonts w:ascii="Times New Roman" w:eastAsia="Arial" w:hAnsi="Times New Roman" w:cs="Times New Roman"/>
          <w:color w:val="252525"/>
          <w:sz w:val="24"/>
          <w:szCs w:val="24"/>
        </w:rPr>
        <w:t>Field Measurements</w:t>
      </w:r>
      <w:r>
        <w:rPr>
          <w:rFonts w:ascii="Times New Roman" w:eastAsia="Arial" w:hAnsi="Times New Roman" w:cs="Times New Roman"/>
          <w:b/>
          <w:color w:val="252525"/>
          <w:sz w:val="24"/>
          <w:szCs w:val="24"/>
        </w:rPr>
        <w:t>:</w:t>
      </w:r>
      <w:r>
        <w:rPr>
          <w:rFonts w:ascii="Times New Roman" w:eastAsia="Arial" w:hAnsi="Times New Roman" w:cs="Times New Roman"/>
          <w:color w:val="252525"/>
          <w:sz w:val="24"/>
          <w:szCs w:val="24"/>
        </w:rPr>
        <w:t xml:space="preserve"> CO₂ levels, temperature, relative humidity, noise levels, and illuminance.</w:t>
      </w:r>
    </w:p>
    <w:p w14:paraId="18D62C83"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Questionnaire: Construction professionals and hospital workforce. </w:t>
      </w:r>
    </w:p>
    <w:p w14:paraId="6B765D80" w14:textId="77777777" w:rsidR="00570128" w:rsidRDefault="00000000">
      <w:pPr>
        <w:spacing w:after="0" w:line="480" w:lineRule="auto"/>
        <w:ind w:left="360" w:right="374"/>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3.3 Analysis</w:t>
      </w:r>
    </w:p>
    <w:p w14:paraId="36EDF561"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Table 1. 0 Parameter Readings of Selected Hospitals in Ilorin Metropolis</w:t>
      </w:r>
    </w:p>
    <w:tbl>
      <w:tblPr>
        <w:tblStyle w:val="PlainTable21"/>
        <w:tblW w:w="0" w:type="auto"/>
        <w:tblLook w:val="04A0" w:firstRow="1" w:lastRow="0" w:firstColumn="1" w:lastColumn="0" w:noHBand="0" w:noVBand="1"/>
      </w:tblPr>
      <w:tblGrid>
        <w:gridCol w:w="2257"/>
        <w:gridCol w:w="566"/>
        <w:gridCol w:w="566"/>
        <w:gridCol w:w="566"/>
        <w:gridCol w:w="566"/>
        <w:gridCol w:w="566"/>
        <w:gridCol w:w="5083"/>
      </w:tblGrid>
      <w:tr w:rsidR="00570128" w14:paraId="390798E5" w14:textId="77777777" w:rsidTr="00570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EB6A12" w14:textId="77777777" w:rsidR="00570128" w:rsidRDefault="00000000">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Parameter</w:t>
            </w:r>
          </w:p>
        </w:tc>
        <w:tc>
          <w:tcPr>
            <w:tcW w:w="0" w:type="auto"/>
          </w:tcPr>
          <w:p w14:paraId="1F511A98" w14:textId="77777777" w:rsidR="00570128"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H1</w:t>
            </w:r>
          </w:p>
        </w:tc>
        <w:tc>
          <w:tcPr>
            <w:tcW w:w="0" w:type="auto"/>
          </w:tcPr>
          <w:p w14:paraId="0575FBD5" w14:textId="77777777" w:rsidR="00570128"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H2</w:t>
            </w:r>
          </w:p>
        </w:tc>
        <w:tc>
          <w:tcPr>
            <w:tcW w:w="0" w:type="auto"/>
          </w:tcPr>
          <w:p w14:paraId="1A4AE037" w14:textId="77777777" w:rsidR="00570128"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H3</w:t>
            </w:r>
          </w:p>
        </w:tc>
        <w:tc>
          <w:tcPr>
            <w:tcW w:w="0" w:type="auto"/>
          </w:tcPr>
          <w:p w14:paraId="45885C8C" w14:textId="77777777" w:rsidR="00570128"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H4</w:t>
            </w:r>
          </w:p>
        </w:tc>
        <w:tc>
          <w:tcPr>
            <w:tcW w:w="0" w:type="auto"/>
          </w:tcPr>
          <w:p w14:paraId="1B53340A" w14:textId="77777777" w:rsidR="00570128"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H5</w:t>
            </w:r>
          </w:p>
        </w:tc>
        <w:tc>
          <w:tcPr>
            <w:tcW w:w="0" w:type="auto"/>
          </w:tcPr>
          <w:p w14:paraId="62001A8E" w14:textId="77777777" w:rsidR="00570128"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Key Insights</w:t>
            </w:r>
          </w:p>
        </w:tc>
      </w:tr>
      <w:tr w:rsidR="00570128" w14:paraId="1C408B7A" w14:textId="77777777" w:rsidTr="00570128">
        <w:tc>
          <w:tcPr>
            <w:cnfStyle w:val="001000000000" w:firstRow="0" w:lastRow="0" w:firstColumn="1" w:lastColumn="0" w:oddVBand="0" w:evenVBand="0" w:oddHBand="0" w:evenHBand="0" w:firstRowFirstColumn="0" w:firstRowLastColumn="0" w:lastRowFirstColumn="0" w:lastRowLastColumn="0"/>
            <w:tcW w:w="0" w:type="auto"/>
          </w:tcPr>
          <w:p w14:paraId="738164D3" w14:textId="77777777" w:rsidR="00570128" w:rsidRDefault="00000000">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Temp (°C)</w:t>
            </w:r>
          </w:p>
        </w:tc>
        <w:tc>
          <w:tcPr>
            <w:tcW w:w="0" w:type="auto"/>
          </w:tcPr>
          <w:p w14:paraId="4605F879"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26.2</w:t>
            </w:r>
          </w:p>
        </w:tc>
        <w:tc>
          <w:tcPr>
            <w:tcW w:w="0" w:type="auto"/>
          </w:tcPr>
          <w:p w14:paraId="6E1A23AE"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25.4</w:t>
            </w:r>
          </w:p>
        </w:tc>
        <w:tc>
          <w:tcPr>
            <w:tcW w:w="0" w:type="auto"/>
          </w:tcPr>
          <w:p w14:paraId="7BD7AF5C"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c>
          <w:tcPr>
            <w:tcW w:w="0" w:type="auto"/>
          </w:tcPr>
          <w:p w14:paraId="1C6F6505"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27.3</w:t>
            </w:r>
          </w:p>
        </w:tc>
        <w:tc>
          <w:tcPr>
            <w:tcW w:w="0" w:type="auto"/>
          </w:tcPr>
          <w:p w14:paraId="78832962"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24.6</w:t>
            </w:r>
          </w:p>
        </w:tc>
        <w:tc>
          <w:tcPr>
            <w:tcW w:w="0" w:type="auto"/>
          </w:tcPr>
          <w:p w14:paraId="5AD79A1F"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H5 best (comfort band). H3 and H4 warmest (above 27 °C).</w:t>
            </w:r>
          </w:p>
        </w:tc>
      </w:tr>
      <w:tr w:rsidR="00570128" w14:paraId="522C1184" w14:textId="77777777" w:rsidTr="00570128">
        <w:tc>
          <w:tcPr>
            <w:cnfStyle w:val="001000000000" w:firstRow="0" w:lastRow="0" w:firstColumn="1" w:lastColumn="0" w:oddVBand="0" w:evenVBand="0" w:oddHBand="0" w:evenHBand="0" w:firstRowFirstColumn="0" w:firstRowLastColumn="0" w:lastRowFirstColumn="0" w:lastRowLastColumn="0"/>
            <w:tcW w:w="0" w:type="auto"/>
          </w:tcPr>
          <w:p w14:paraId="73339697" w14:textId="77777777" w:rsidR="00570128" w:rsidRDefault="00000000">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Humidity (%)</w:t>
            </w:r>
          </w:p>
        </w:tc>
        <w:tc>
          <w:tcPr>
            <w:tcW w:w="0" w:type="auto"/>
          </w:tcPr>
          <w:p w14:paraId="1D2525CE"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63.1</w:t>
            </w:r>
          </w:p>
        </w:tc>
        <w:tc>
          <w:tcPr>
            <w:tcW w:w="0" w:type="auto"/>
          </w:tcPr>
          <w:p w14:paraId="3528088F"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63.1</w:t>
            </w:r>
          </w:p>
        </w:tc>
        <w:tc>
          <w:tcPr>
            <w:tcW w:w="0" w:type="auto"/>
          </w:tcPr>
          <w:p w14:paraId="5BDD1CAE"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59.6</w:t>
            </w:r>
          </w:p>
        </w:tc>
        <w:tc>
          <w:tcPr>
            <w:tcW w:w="0" w:type="auto"/>
          </w:tcPr>
          <w:p w14:paraId="4CA22B08"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57.0</w:t>
            </w:r>
          </w:p>
        </w:tc>
        <w:tc>
          <w:tcPr>
            <w:tcW w:w="0" w:type="auto"/>
          </w:tcPr>
          <w:p w14:paraId="0459BA5C"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54.7</w:t>
            </w:r>
          </w:p>
        </w:tc>
        <w:tc>
          <w:tcPr>
            <w:tcW w:w="0" w:type="auto"/>
          </w:tcPr>
          <w:p w14:paraId="014F16D8"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H1 and H2 too high (≥63%). H5 closest to ideal 45–55%.</w:t>
            </w:r>
          </w:p>
        </w:tc>
      </w:tr>
      <w:tr w:rsidR="00570128" w14:paraId="79C2EFE9" w14:textId="77777777" w:rsidTr="00570128">
        <w:tc>
          <w:tcPr>
            <w:cnfStyle w:val="001000000000" w:firstRow="0" w:lastRow="0" w:firstColumn="1" w:lastColumn="0" w:oddVBand="0" w:evenVBand="0" w:oddHBand="0" w:evenHBand="0" w:firstRowFirstColumn="0" w:firstRowLastColumn="0" w:lastRowFirstColumn="0" w:lastRowLastColumn="0"/>
            <w:tcW w:w="0" w:type="auto"/>
          </w:tcPr>
          <w:p w14:paraId="7FA8E5DE" w14:textId="77777777" w:rsidR="00570128" w:rsidRDefault="00000000">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AQI</w:t>
            </w:r>
          </w:p>
        </w:tc>
        <w:tc>
          <w:tcPr>
            <w:tcW w:w="0" w:type="auto"/>
          </w:tcPr>
          <w:p w14:paraId="0D87770E"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0" w:type="auto"/>
          </w:tcPr>
          <w:p w14:paraId="20EEFBE0"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0" w:type="auto"/>
          </w:tcPr>
          <w:p w14:paraId="0B41852A"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0" w:type="auto"/>
          </w:tcPr>
          <w:p w14:paraId="6B9E45FE"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0" w:type="auto"/>
          </w:tcPr>
          <w:p w14:paraId="31F001C8"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0" w:type="auto"/>
          </w:tcPr>
          <w:p w14:paraId="5F812DB2"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All “Good” outdoors (&lt;50). Indoor pollutants (CO₂, PM</w:t>
            </w:r>
            <w:proofErr w:type="gramStart"/>
            <w:r>
              <w:rPr>
                <w:rFonts w:ascii="Times New Roman" w:eastAsia="Times New Roman" w:hAnsi="Times New Roman" w:cs="Times New Roman"/>
                <w:sz w:val="20"/>
                <w:szCs w:val="20"/>
              </w:rPr>
              <w:t>₂.₅</w:t>
            </w:r>
            <w:proofErr w:type="gramEnd"/>
            <w:r>
              <w:rPr>
                <w:rFonts w:ascii="Times New Roman" w:eastAsia="Times New Roman" w:hAnsi="Times New Roman" w:cs="Times New Roman"/>
                <w:sz w:val="20"/>
                <w:szCs w:val="20"/>
              </w:rPr>
              <w:t>, TVOCs) still unverified.</w:t>
            </w:r>
          </w:p>
        </w:tc>
      </w:tr>
      <w:tr w:rsidR="00570128" w14:paraId="1394826F" w14:textId="77777777" w:rsidTr="00570128">
        <w:tc>
          <w:tcPr>
            <w:cnfStyle w:val="001000000000" w:firstRow="0" w:lastRow="0" w:firstColumn="1" w:lastColumn="0" w:oddVBand="0" w:evenVBand="0" w:oddHBand="0" w:evenHBand="0" w:firstRowFirstColumn="0" w:firstRowLastColumn="0" w:lastRowFirstColumn="0" w:lastRowLastColumn="0"/>
            <w:tcW w:w="0" w:type="auto"/>
          </w:tcPr>
          <w:p w14:paraId="467AAD36" w14:textId="77777777" w:rsidR="00570128" w:rsidRDefault="00000000">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Daylight (lx, natural)</w:t>
            </w:r>
          </w:p>
        </w:tc>
        <w:tc>
          <w:tcPr>
            <w:tcW w:w="0" w:type="auto"/>
          </w:tcPr>
          <w:p w14:paraId="6B53DC49"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0" w:type="auto"/>
          </w:tcPr>
          <w:p w14:paraId="0B36DD66"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0" w:type="auto"/>
          </w:tcPr>
          <w:p w14:paraId="52D855B7"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0" w:type="auto"/>
          </w:tcPr>
          <w:p w14:paraId="505D2825"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tcPr>
          <w:p w14:paraId="20D9E50A"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tcPr>
          <w:p w14:paraId="6234830D"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All very poor (&lt;100 lx). H2 slightly better due to higher window ratio.</w:t>
            </w:r>
          </w:p>
        </w:tc>
      </w:tr>
      <w:tr w:rsidR="00570128" w14:paraId="34F0B6B1" w14:textId="77777777" w:rsidTr="00570128">
        <w:tc>
          <w:tcPr>
            <w:cnfStyle w:val="001000000000" w:firstRow="0" w:lastRow="0" w:firstColumn="1" w:lastColumn="0" w:oddVBand="0" w:evenVBand="0" w:oddHBand="0" w:evenHBand="0" w:firstRowFirstColumn="0" w:firstRowLastColumn="0" w:lastRowFirstColumn="0" w:lastRowLastColumn="0"/>
            <w:tcW w:w="0" w:type="auto"/>
          </w:tcPr>
          <w:p w14:paraId="435CA7B4" w14:textId="77777777" w:rsidR="00570128" w:rsidRDefault="00000000">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Electric light (lx, ON)</w:t>
            </w:r>
          </w:p>
        </w:tc>
        <w:tc>
          <w:tcPr>
            <w:tcW w:w="0" w:type="auto"/>
          </w:tcPr>
          <w:p w14:paraId="549A73E3"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0" w:type="auto"/>
          </w:tcPr>
          <w:p w14:paraId="445CC0F4"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0" w:type="auto"/>
          </w:tcPr>
          <w:p w14:paraId="3563234A"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0" w:type="auto"/>
          </w:tcPr>
          <w:p w14:paraId="374D8EC6"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0" w:type="auto"/>
          </w:tcPr>
          <w:p w14:paraId="356B00F2"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0" w:type="auto"/>
          </w:tcPr>
          <w:p w14:paraId="65101489"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All far below hospital needs (≥100–300 lx). Critical deficiency.</w:t>
            </w:r>
          </w:p>
        </w:tc>
      </w:tr>
      <w:tr w:rsidR="00570128" w14:paraId="6F173570" w14:textId="77777777" w:rsidTr="00570128">
        <w:tc>
          <w:tcPr>
            <w:cnfStyle w:val="001000000000" w:firstRow="0" w:lastRow="0" w:firstColumn="1" w:lastColumn="0" w:oddVBand="0" w:evenVBand="0" w:oddHBand="0" w:evenHBand="0" w:firstRowFirstColumn="0" w:firstRowLastColumn="0" w:lastRowFirstColumn="0" w:lastRowLastColumn="0"/>
            <w:tcW w:w="0" w:type="auto"/>
          </w:tcPr>
          <w:p w14:paraId="119D85DC" w14:textId="77777777" w:rsidR="00570128" w:rsidRDefault="00000000">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Acoustics (dB)</w:t>
            </w:r>
          </w:p>
        </w:tc>
        <w:tc>
          <w:tcPr>
            <w:tcW w:w="0" w:type="auto"/>
          </w:tcPr>
          <w:p w14:paraId="63250F6D"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0" w:type="auto"/>
          </w:tcPr>
          <w:p w14:paraId="1FCDC5E1"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47.2</w:t>
            </w:r>
          </w:p>
        </w:tc>
        <w:tc>
          <w:tcPr>
            <w:tcW w:w="0" w:type="auto"/>
          </w:tcPr>
          <w:p w14:paraId="342D1730"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61.8</w:t>
            </w:r>
          </w:p>
        </w:tc>
        <w:tc>
          <w:tcPr>
            <w:tcW w:w="0" w:type="auto"/>
          </w:tcPr>
          <w:p w14:paraId="40DF6D18"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70.1</w:t>
            </w:r>
          </w:p>
        </w:tc>
        <w:tc>
          <w:tcPr>
            <w:tcW w:w="0" w:type="auto"/>
          </w:tcPr>
          <w:p w14:paraId="566917B2"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0" w:type="auto"/>
          </w:tcPr>
          <w:p w14:paraId="18BEE9AC"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H3 and H4 very noisy (severe issue). H1, H2, H5 slightly high (&gt;45 dB).</w:t>
            </w:r>
          </w:p>
        </w:tc>
      </w:tr>
      <w:tr w:rsidR="00570128" w14:paraId="618DE8FE" w14:textId="77777777" w:rsidTr="00570128">
        <w:tc>
          <w:tcPr>
            <w:cnfStyle w:val="001000000000" w:firstRow="0" w:lastRow="0" w:firstColumn="1" w:lastColumn="0" w:oddVBand="0" w:evenVBand="0" w:oddHBand="0" w:evenHBand="0" w:firstRowFirstColumn="0" w:firstRowLastColumn="0" w:lastRowFirstColumn="0" w:lastRowLastColumn="0"/>
            <w:tcW w:w="0" w:type="auto"/>
          </w:tcPr>
          <w:p w14:paraId="6869EE3D" w14:textId="77777777" w:rsidR="00570128" w:rsidRDefault="00000000">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Window-to-wall ratio (WWR)</w:t>
            </w:r>
          </w:p>
        </w:tc>
        <w:tc>
          <w:tcPr>
            <w:tcW w:w="0" w:type="auto"/>
          </w:tcPr>
          <w:p w14:paraId="42E5915F"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0" w:type="auto"/>
          </w:tcPr>
          <w:p w14:paraId="7C06C2F9"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0.34</w:t>
            </w:r>
          </w:p>
        </w:tc>
        <w:tc>
          <w:tcPr>
            <w:tcW w:w="0" w:type="auto"/>
          </w:tcPr>
          <w:p w14:paraId="2A72C604"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0.33</w:t>
            </w:r>
          </w:p>
        </w:tc>
        <w:tc>
          <w:tcPr>
            <w:tcW w:w="0" w:type="auto"/>
          </w:tcPr>
          <w:p w14:paraId="10234F2A"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c>
          <w:tcPr>
            <w:tcW w:w="0" w:type="auto"/>
          </w:tcPr>
          <w:p w14:paraId="35A0AB37"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0" w:type="auto"/>
          </w:tcPr>
          <w:p w14:paraId="6FD53638" w14:textId="77777777" w:rsidR="00570128" w:rsidRDefault="00000000">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H4 very high (not delivering daylight). H1 and H5 very low (explains darkness).</w:t>
            </w:r>
          </w:p>
        </w:tc>
      </w:tr>
    </w:tbl>
    <w:p w14:paraId="1C3052C9" w14:textId="77777777" w:rsidR="00570128" w:rsidRDefault="00000000">
      <w:pPr>
        <w:spacing w:after="0" w:line="480" w:lineRule="auto"/>
        <w:ind w:left="360" w:right="374"/>
        <w:jc w:val="both"/>
        <w:rPr>
          <w:rFonts w:ascii="Times New Roman" w:eastAsia="Arial" w:hAnsi="Times New Roman" w:cs="Times New Roman"/>
          <w:b/>
          <w:bCs/>
          <w:i/>
          <w:iCs/>
          <w:color w:val="252525"/>
          <w:sz w:val="24"/>
          <w:szCs w:val="24"/>
        </w:rPr>
      </w:pPr>
      <w:r>
        <w:rPr>
          <w:rFonts w:ascii="Times New Roman" w:eastAsia="Arial" w:hAnsi="Times New Roman" w:cs="Times New Roman"/>
          <w:b/>
          <w:bCs/>
          <w:i/>
          <w:iCs/>
          <w:color w:val="252525"/>
          <w:sz w:val="24"/>
          <w:szCs w:val="24"/>
        </w:rPr>
        <w:t>Source: Author’s compilation; 2025.</w:t>
      </w:r>
    </w:p>
    <w:p w14:paraId="04E49BD3"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513AA6F9"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52247692"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5BE5B041"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15A79910"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59A7C06B"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138DBF43"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3FEF2084"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53BF441D"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Table 1.0 shows the readings across the 5 hospitals exhibiting systemic lighting failure, high noise levels, and varying humidity/thermal issues.</w:t>
      </w:r>
    </w:p>
    <w:p w14:paraId="6BA4F668" w14:textId="77777777" w:rsidR="00570128" w:rsidRDefault="00000000">
      <w:pPr>
        <w:spacing w:after="0" w:line="480" w:lineRule="auto"/>
        <w:ind w:left="360" w:right="374"/>
        <w:jc w:val="both"/>
        <w:rPr>
          <w:rFonts w:ascii="Times New Roman" w:hAnsi="Times New Roman" w:cs="Times New Roman"/>
          <w:color w:val="212529"/>
          <w:sz w:val="24"/>
          <w:szCs w:val="24"/>
          <w:shd w:val="clear" w:color="auto" w:fill="FFFFFF"/>
        </w:rPr>
      </w:pPr>
      <w:r>
        <w:rPr>
          <w:rFonts w:ascii="Times New Roman" w:eastAsia="Arial" w:hAnsi="Times New Roman" w:cs="Times New Roman"/>
          <w:b/>
          <w:color w:val="252525"/>
          <w:sz w:val="24"/>
          <w:szCs w:val="24"/>
        </w:rPr>
        <w:t>Use of Passive IEQ Technologies</w:t>
      </w:r>
      <w:r>
        <w:rPr>
          <w:rFonts w:ascii="Times New Roman" w:eastAsia="Arial" w:hAnsi="Times New Roman" w:cs="Times New Roman"/>
          <w:color w:val="252525"/>
          <w:sz w:val="24"/>
          <w:szCs w:val="24"/>
        </w:rPr>
        <w:t xml:space="preserve">: </w:t>
      </w:r>
      <w:r>
        <w:rPr>
          <w:rFonts w:ascii="Times New Roman" w:hAnsi="Times New Roman" w:cs="Times New Roman"/>
          <w:color w:val="212529"/>
          <w:sz w:val="24"/>
          <w:szCs w:val="24"/>
          <w:shd w:val="clear" w:color="auto" w:fill="FFFFFF"/>
        </w:rPr>
        <w:t xml:space="preserve">Among architects, 90% reported using passive techniques to enhance IEQ. This demonstrates strong support for design-driven, low-energy solutions such as </w:t>
      </w:r>
    </w:p>
    <w:p w14:paraId="328DE6DF" w14:textId="77777777" w:rsidR="00570128" w:rsidRDefault="00000000">
      <w:pPr>
        <w:spacing w:after="0" w:line="480" w:lineRule="auto"/>
        <w:ind w:left="360" w:right="374"/>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natural ventilation, daylight optimization, thermal massing, shading devices, and strategic material choices that promote non-toxic indoor environments. This tendency towards the passive suggests both a conscious design of sustainable practices, and also sensitivity to cost within the context of </w:t>
      </w:r>
    </w:p>
    <w:p w14:paraId="08DED2DB" w14:textId="77777777" w:rsidR="00570128" w:rsidRDefault="00000000">
      <w:pPr>
        <w:spacing w:after="0" w:line="480" w:lineRule="auto"/>
        <w:ind w:left="360" w:right="374"/>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architectural forms commonly found in Nigeria. Passive strategies are more suited to climatic conditions in Ilorin, </w:t>
      </w:r>
    </w:p>
    <w:p w14:paraId="674BC6DD" w14:textId="77777777" w:rsidR="00570128" w:rsidRDefault="00000000">
      <w:pPr>
        <w:spacing w:after="0" w:line="480" w:lineRule="auto"/>
        <w:ind w:left="360" w:right="374"/>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where solar radiation and ventilation issues are prevalent, making them both environmentally sustainable and economically viable.</w:t>
      </w:r>
    </w:p>
    <w:p w14:paraId="61190C09"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b/>
          <w:color w:val="252525"/>
          <w:sz w:val="24"/>
          <w:szCs w:val="24"/>
        </w:rPr>
        <w:t>Use of Active IEQ Technologies</w:t>
      </w:r>
      <w:r>
        <w:rPr>
          <w:rFonts w:ascii="Times New Roman" w:eastAsia="Arial" w:hAnsi="Times New Roman" w:cs="Times New Roman"/>
          <w:color w:val="252525"/>
          <w:sz w:val="24"/>
          <w:szCs w:val="24"/>
        </w:rPr>
        <w:t>: In comparison, 60% of architects surveyed reported using active technologies, but these were primarily focused on improving indoor air quality (IAQ). Examples of this are mechanical ventilation systems, HVAC units and air purifiers installed. It implies less consideration of the role of active systems and more emphasis on adequate air flow and reduction of aerosol pollutants rather than a holistic integration across all relevant IEQ parameters. Certain architects prioritize immediate functionality and user comfort over operational energy due to the reliance on active systems.</w:t>
      </w:r>
    </w:p>
    <w:p w14:paraId="18EFA9DC" w14:textId="77777777" w:rsidR="00570128" w:rsidRDefault="0000000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reported using enhancement technologies to improve IEQ metrics beyond air quality, including acoustics, lighting, and occupant comfort, using advanced materials or smart technology. This demonstrates a considerable gap in the implementation of complete IEQ strategies in reality. It means that, while awareness of IEQ exists, its practical implementation is mostly focused on air quality, leaving other crucial aspects unexplored.</w:t>
      </w:r>
    </w:p>
    <w:p w14:paraId="3D5428AD" w14:textId="77777777" w:rsidR="00570128" w:rsidRDefault="0000000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outcomes indicate three crucial elements:</w:t>
      </w:r>
    </w:p>
    <w:p w14:paraId="60A940D3" w14:textId="77777777" w:rsidR="00570128" w:rsidRDefault="00570128">
      <w:pPr>
        <w:spacing w:after="0" w:line="480" w:lineRule="auto"/>
        <w:ind w:left="360"/>
        <w:jc w:val="both"/>
        <w:rPr>
          <w:rFonts w:ascii="Times New Roman" w:eastAsia="Times New Roman" w:hAnsi="Times New Roman" w:cs="Times New Roman"/>
          <w:sz w:val="24"/>
          <w:szCs w:val="24"/>
        </w:rPr>
      </w:pPr>
    </w:p>
    <w:p w14:paraId="5828BF89" w14:textId="77777777" w:rsidR="00570128" w:rsidRDefault="00570128">
      <w:pPr>
        <w:spacing w:after="0" w:line="480" w:lineRule="auto"/>
        <w:ind w:left="360"/>
        <w:jc w:val="both"/>
        <w:rPr>
          <w:rFonts w:ascii="Times New Roman" w:eastAsia="Times New Roman" w:hAnsi="Times New Roman" w:cs="Times New Roman"/>
          <w:sz w:val="24"/>
          <w:szCs w:val="24"/>
        </w:rPr>
      </w:pPr>
    </w:p>
    <w:p w14:paraId="2E48BF4A" w14:textId="77777777" w:rsidR="00570128" w:rsidRDefault="00570128">
      <w:pPr>
        <w:spacing w:after="0" w:line="480" w:lineRule="auto"/>
        <w:ind w:left="360"/>
        <w:jc w:val="both"/>
        <w:rPr>
          <w:rFonts w:ascii="Times New Roman" w:eastAsia="Times New Roman" w:hAnsi="Times New Roman" w:cs="Times New Roman"/>
          <w:sz w:val="24"/>
          <w:szCs w:val="24"/>
        </w:rPr>
      </w:pPr>
    </w:p>
    <w:p w14:paraId="37DF4F87" w14:textId="77777777" w:rsidR="00570128" w:rsidRDefault="0000000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on passive design is a significant factor in the success of architects in Ilorin, as they align with global sustainability standards. Still, it may indicate inadequate access to or affordability of modern active technologies.</w:t>
      </w:r>
    </w:p>
    <w:p w14:paraId="0CFAB920" w14:textId="77777777" w:rsidR="00570128" w:rsidRDefault="0000000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Focusing on Indoor Air Quality: This indicates general awareness of the health relates to IEQ, but it shows limited knowledge across all areas of IEQ (thermal, acoustic and visual comfort, psychological comfort).</w:t>
      </w:r>
    </w:p>
    <w:p w14:paraId="099CB441" w14:textId="77777777" w:rsidR="00570128" w:rsidRDefault="0000000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Insufficient understanding in Holistic IEQ Integration: With only 10% utilizing comprehensive IEQ technologies, there's a clear need for professional training, updated design guidelines, and policy frameworks to promote wider adoption. Additionally, effective implementation of holistic IQC technologies is highly sought after.</w:t>
      </w:r>
    </w:p>
    <w:p w14:paraId="5BBBDADB" w14:textId="77777777" w:rsidR="00570128" w:rsidRDefault="0000000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study, architects in Ilorin and other similar environments are accustomed to passive IEQ methods, but the utilization of active and inventive technologies is still restricted and uneven. </w:t>
      </w:r>
    </w:p>
    <w:p w14:paraId="50C7FB12" w14:textId="77777777" w:rsidR="00570128" w:rsidRDefault="0000000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project design education and professional practice should emphasize the integration of holistic approaches that incorporate both passive and active solutions, with the aim of enhancing occupant well-being and environmental sustainability.</w:t>
      </w:r>
    </w:p>
    <w:p w14:paraId="22F7B084"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Despite architects being familiar with passive IEQ approaches in environments like Ilorin, the study indicates that the utilization of active and inventive technologies is still limited and uneven. The focus of future design education and professional practice should be on educating architects on holistic approaches to balancing passive and active solutions, with the aim of enhancing occupant well-being and environmental sustainability in building projects.</w:t>
      </w:r>
    </w:p>
    <w:p w14:paraId="133B7CAA"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6C2A4EE3"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2E213F18"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4C7E5376"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2554A43E"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3B2DB837"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6400D9B7"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0FAD231E"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0028DD04"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3AB38EE3" w14:textId="77777777" w:rsidR="00570128" w:rsidRDefault="00000000">
      <w:pPr>
        <w:spacing w:after="0" w:line="480" w:lineRule="auto"/>
        <w:ind w:left="360" w:right="374"/>
        <w:jc w:val="both"/>
        <w:rPr>
          <w:rFonts w:ascii="Times New Roman" w:hAnsi="Times New Roman" w:cs="Times New Roman"/>
          <w:b/>
          <w:sz w:val="24"/>
          <w:szCs w:val="24"/>
        </w:rPr>
      </w:pPr>
      <w:r>
        <w:rPr>
          <w:rFonts w:ascii="Times New Roman" w:hAnsi="Times New Roman" w:cs="Times New Roman"/>
          <w:b/>
          <w:sz w:val="24"/>
          <w:szCs w:val="24"/>
        </w:rPr>
        <w:t>Study Analysis of Users’ Perception and Awareness of IEQ</w:t>
      </w:r>
    </w:p>
    <w:p w14:paraId="157D694B"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Demographic Characteristics of Respondents.</w:t>
      </w:r>
    </w:p>
    <w:p w14:paraId="073D2769"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Figure 1.0 shows, there was a nearly equal number of responses from females (47.4%) and males (52.6%). The results were similar. Gender bias in IEQ perception is lessened by this balance. Middle age distribution shows a significant concentration in middle adulthood, with 65% falling </w:t>
      </w:r>
    </w:p>
    <w:p w14:paraId="501D8D5B"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within the age range of 36-45 years, 15% between 46-55 years and only 10% between 26-35 years. There was a small percentage of individuals aged between 18-25 years, with the highest age group being 56 years and above (5%). </w:t>
      </w:r>
    </w:p>
    <w:p w14:paraId="18C4CE54"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Figure 1.0 Perception and Awareness of IEQ by Age</w:t>
      </w:r>
    </w:p>
    <w:p w14:paraId="512C2011"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noProof/>
          <w:color w:val="252525"/>
        </w:rPr>
        <w:drawing>
          <wp:inline distT="0" distB="0" distL="0" distR="0" wp14:anchorId="1C0A9B89" wp14:editId="5DFD89A6">
            <wp:extent cx="5103495" cy="2147570"/>
            <wp:effectExtent l="0" t="0" r="1905" b="5080"/>
            <wp:docPr id="3" name="Picture 3" descr="C:\Users\User Hi\AppData\Local\Microsoft\Windows\INetCache\Content.MSO\9ECAE4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 Hi\AppData\Local\Microsoft\Windows\INetCache\Content.MSO\9ECAE4D8.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56305" cy="2169624"/>
                    </a:xfrm>
                    <a:prstGeom prst="rect">
                      <a:avLst/>
                    </a:prstGeom>
                    <a:noFill/>
                    <a:ln>
                      <a:noFill/>
                    </a:ln>
                  </pic:spPr>
                </pic:pic>
              </a:graphicData>
            </a:graphic>
          </wp:inline>
        </w:drawing>
      </w:r>
    </w:p>
    <w:p w14:paraId="24D704D1"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The majority of users are in their prime working years, as indicated by this profile, which is a crucial stage where indoor environments have repercussions on health (and therefore productivity), and require professional training, updated design guidelines, and policy frameworks to encourage wider implementation.</w:t>
      </w:r>
      <w:r>
        <w:rPr>
          <w:rFonts w:ascii="Times New Roman" w:eastAsia="Arial" w:hAnsi="Times New Roman" w:cs="Times New Roman"/>
          <w:color w:val="252525"/>
        </w:rPr>
        <w:t xml:space="preserve"> </w:t>
      </w:r>
    </w:p>
    <w:p w14:paraId="67E09B31"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Of those surveyed, 85 per cent were medical professionals and 15 percent were administrative or support staff, figure 2.0. This corresponds to the hospital environment examined and suggests that the perceptions largely reflect the experiences of actual healthcare professionals. Those who responded had different experience years, which meant that the responses were representative of both junior and senior staff.</w:t>
      </w:r>
    </w:p>
    <w:p w14:paraId="2EAE9BC4"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7B9A766E"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6FBE5E0F"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752B4847"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1880BC1D"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Figure 2.0 Professional Perception and Awareness of IEQ </w:t>
      </w:r>
    </w:p>
    <w:p w14:paraId="1DBD62CE"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noProof/>
          <w:color w:val="252525"/>
        </w:rPr>
        <w:drawing>
          <wp:inline distT="0" distB="0" distL="0" distR="0" wp14:anchorId="62967C98" wp14:editId="4236C483">
            <wp:extent cx="4735830" cy="2121535"/>
            <wp:effectExtent l="0" t="0" r="7620" b="0"/>
            <wp:docPr id="5" name="Picture 5" descr="C:\Users\User Hi\AppData\Local\Microsoft\Windows\INetCache\Content.MSO\8E1D53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 Hi\AppData\Local\Microsoft\Windows\INetCache\Content.MSO\8E1D53A4.tmp"/>
                    <pic:cNvPicPr>
                      <a:picLocks noChangeAspect="1" noChangeArrowheads="1"/>
                    </pic:cNvPicPr>
                  </pic:nvPicPr>
                  <pic:blipFill>
                    <a:blip r:embed="rId13" cstate="print">
                      <a:extLst>
                        <a:ext uri="{28A0092B-C50C-407E-A947-70E740481C1C}">
                          <a14:useLocalDpi xmlns:a14="http://schemas.microsoft.com/office/drawing/2010/main" val="0"/>
                        </a:ext>
                      </a:extLst>
                    </a:blip>
                    <a:srcRect l="19103" t="21906" r="7544"/>
                    <a:stretch>
                      <a:fillRect/>
                    </a:stretch>
                  </pic:blipFill>
                  <pic:spPr>
                    <a:xfrm>
                      <a:off x="0" y="0"/>
                      <a:ext cx="4737083" cy="2122064"/>
                    </a:xfrm>
                    <a:prstGeom prst="rect">
                      <a:avLst/>
                    </a:prstGeom>
                    <a:noFill/>
                    <a:ln>
                      <a:noFill/>
                    </a:ln>
                  </pic:spPr>
                </pic:pic>
              </a:graphicData>
            </a:graphic>
          </wp:inline>
        </w:drawing>
      </w:r>
    </w:p>
    <w:p w14:paraId="05842A25" w14:textId="77777777" w:rsidR="00570128" w:rsidRDefault="00000000">
      <w:pPr>
        <w:spacing w:after="0" w:line="480" w:lineRule="auto"/>
        <w:ind w:left="360" w:right="374"/>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Awareness and Familiarity with IEQ.</w:t>
      </w:r>
    </w:p>
    <w:p w14:paraId="3A516E7C"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The study shows that IEQ is not widely understood by users. One out of every four respondents admitted to being unfamiliar with the concept, while only 15% reported being very familiar. The overall framework and terminology of IEQ may not be well-defined, but users do have some knowledge about the specific factors that affect their work environment.</w:t>
      </w:r>
    </w:p>
    <w:p w14:paraId="610868DB"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Despite the lack of training and technological integration, only 52.6% of respondents reported being unaware of IEQ monitoring systems.</w:t>
      </w:r>
    </w:p>
    <w:p w14:paraId="1AAB8349" w14:textId="77777777" w:rsidR="00570128" w:rsidRDefault="00570128">
      <w:pPr>
        <w:spacing w:after="0" w:line="480" w:lineRule="auto"/>
        <w:ind w:right="374"/>
        <w:jc w:val="both"/>
        <w:rPr>
          <w:rFonts w:ascii="Times New Roman" w:eastAsia="Arial" w:hAnsi="Times New Roman" w:cs="Times New Roman"/>
          <w:color w:val="252525"/>
          <w:sz w:val="24"/>
          <w:szCs w:val="24"/>
        </w:rPr>
      </w:pPr>
    </w:p>
    <w:p w14:paraId="40D8464F" w14:textId="77777777" w:rsidR="00570128" w:rsidRDefault="00000000">
      <w:pPr>
        <w:spacing w:after="0" w:line="480" w:lineRule="auto"/>
        <w:ind w:left="360" w:right="374"/>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Perceptions of Key IEQ Parameters.</w:t>
      </w:r>
    </w:p>
    <w:p w14:paraId="440E26C8"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Regarding, the most important factor, the selection of air quality and ventilation was made by 75%, 12.5% chose light quality, 8.3% mentioned acoustic quality others 4.3%, was thermal comfort, figure 3.0.</w:t>
      </w:r>
    </w:p>
    <w:p w14:paraId="6DF29794" w14:textId="77777777" w:rsidR="00570128" w:rsidRDefault="00000000">
      <w:pPr>
        <w:spacing w:after="0" w:line="480" w:lineRule="auto"/>
        <w:ind w:left="360" w:right="374"/>
        <w:jc w:val="both"/>
        <w:rPr>
          <w:rFonts w:ascii="Times New Roman" w:eastAsia="Arial" w:hAnsi="Times New Roman" w:cs="Times New Roman"/>
          <w:color w:val="252525"/>
        </w:rPr>
      </w:pPr>
      <w:r>
        <w:rPr>
          <w:rFonts w:ascii="Times New Roman" w:eastAsia="Arial" w:hAnsi="Times New Roman" w:cs="Times New Roman"/>
          <w:color w:val="252525"/>
          <w:sz w:val="24"/>
          <w:szCs w:val="24"/>
        </w:rPr>
        <w:t>Users' concerns about ventilation, airborne pollutants, and infection control are reflected in the strong emphasis on improving air quality within healthcare settings. The lack of attention given to thermal comfort, lighting and acoustics suggests that these factors are either less important in the current workplace or more subtle but still have disproportionate effects on health and productivity. However, there is little evidence to support this conclusion.</w:t>
      </w:r>
      <w:r>
        <w:rPr>
          <w:rFonts w:ascii="Times New Roman" w:eastAsia="Arial" w:hAnsi="Times New Roman" w:cs="Times New Roman"/>
          <w:color w:val="252525"/>
        </w:rPr>
        <w:t xml:space="preserve"> </w:t>
      </w:r>
    </w:p>
    <w:p w14:paraId="0EADE934" w14:textId="77777777" w:rsidR="00570128" w:rsidRDefault="00570128">
      <w:pPr>
        <w:spacing w:after="0" w:line="480" w:lineRule="auto"/>
        <w:ind w:left="360" w:right="374"/>
        <w:jc w:val="both"/>
        <w:rPr>
          <w:rFonts w:ascii="Times New Roman" w:eastAsia="Arial" w:hAnsi="Times New Roman" w:cs="Times New Roman"/>
          <w:color w:val="252525"/>
        </w:rPr>
      </w:pPr>
    </w:p>
    <w:p w14:paraId="40D81AAD" w14:textId="77777777" w:rsidR="00570128" w:rsidRDefault="00570128">
      <w:pPr>
        <w:spacing w:after="0" w:line="480" w:lineRule="auto"/>
        <w:ind w:left="360" w:right="374"/>
        <w:jc w:val="both"/>
        <w:rPr>
          <w:rFonts w:ascii="Times New Roman" w:eastAsia="Arial" w:hAnsi="Times New Roman" w:cs="Times New Roman"/>
          <w:color w:val="252525"/>
        </w:rPr>
      </w:pPr>
    </w:p>
    <w:p w14:paraId="3D842DD3"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12DEBC5D"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05ED04EB"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70E269A2"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38FB69E2" w14:textId="77777777" w:rsidR="00570128" w:rsidRDefault="00000000">
      <w:pPr>
        <w:spacing w:after="0" w:line="480" w:lineRule="auto"/>
        <w:ind w:left="360" w:right="374"/>
        <w:jc w:val="both"/>
        <w:rPr>
          <w:rFonts w:ascii="Times New Roman" w:eastAsia="Arial" w:hAnsi="Times New Roman" w:cs="Times New Roman"/>
          <w:color w:val="252525"/>
        </w:rPr>
      </w:pPr>
      <w:r>
        <w:rPr>
          <w:rFonts w:ascii="Times New Roman" w:eastAsia="Arial" w:hAnsi="Times New Roman" w:cs="Times New Roman"/>
          <w:noProof/>
          <w:color w:val="252525"/>
        </w:rPr>
        <w:drawing>
          <wp:inline distT="0" distB="0" distL="0" distR="0" wp14:anchorId="4A1DA1A4" wp14:editId="6DCEF86D">
            <wp:extent cx="4528820" cy="2052955"/>
            <wp:effectExtent l="0" t="0" r="5080" b="4445"/>
            <wp:docPr id="6" name="Picture 6" descr="C:\Users\User Hi\AppData\Local\Microsoft\Windows\INetCache\Content.MSO\63648D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 Hi\AppData\Local\Microsoft\Windows\INetCache\Content.MSO\63648D52.tmp"/>
                    <pic:cNvPicPr>
                      <a:picLocks noChangeAspect="1" noChangeArrowheads="1"/>
                    </pic:cNvPicPr>
                  </pic:nvPicPr>
                  <pic:blipFill>
                    <a:blip r:embed="rId14" cstate="print">
                      <a:extLst>
                        <a:ext uri="{28A0092B-C50C-407E-A947-70E740481C1C}">
                          <a14:useLocalDpi xmlns:a14="http://schemas.microsoft.com/office/drawing/2010/main" val="0"/>
                        </a:ext>
                      </a:extLst>
                    </a:blip>
                    <a:srcRect l="16297" t="21272" r="13553" b="3150"/>
                    <a:stretch>
                      <a:fillRect/>
                    </a:stretch>
                  </pic:blipFill>
                  <pic:spPr>
                    <a:xfrm>
                      <a:off x="0" y="0"/>
                      <a:ext cx="4530219" cy="2053698"/>
                    </a:xfrm>
                    <a:prstGeom prst="rect">
                      <a:avLst/>
                    </a:prstGeom>
                    <a:noFill/>
                    <a:ln>
                      <a:noFill/>
                    </a:ln>
                  </pic:spPr>
                </pic:pic>
              </a:graphicData>
            </a:graphic>
          </wp:inline>
        </w:drawing>
      </w:r>
    </w:p>
    <w:p w14:paraId="2019CAA9" w14:textId="77777777" w:rsidR="00570128" w:rsidRDefault="00000000">
      <w:pPr>
        <w:spacing w:after="0" w:line="480" w:lineRule="auto"/>
        <w:ind w:left="360" w:right="374"/>
        <w:jc w:val="both"/>
        <w:rPr>
          <w:rFonts w:ascii="Times New Roman" w:eastAsia="Arial" w:hAnsi="Times New Roman" w:cs="Times New Roman"/>
          <w:color w:val="252525"/>
        </w:rPr>
      </w:pPr>
      <w:r>
        <w:rPr>
          <w:rFonts w:ascii="Times New Roman" w:eastAsia="Arial" w:hAnsi="Times New Roman" w:cs="Times New Roman"/>
          <w:color w:val="252525"/>
        </w:rPr>
        <w:t>Figure 3.0 Perception of IEQ Parameters</w:t>
      </w:r>
    </w:p>
    <w:p w14:paraId="18807AC8"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13F305C7"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b/>
          <w:color w:val="252525"/>
          <w:sz w:val="24"/>
          <w:szCs w:val="24"/>
        </w:rPr>
        <w:t>Challenges in Maintaining IEQ</w:t>
      </w:r>
      <w:r>
        <w:rPr>
          <w:rFonts w:ascii="Times New Roman" w:eastAsia="Arial" w:hAnsi="Times New Roman" w:cs="Times New Roman"/>
          <w:color w:val="252525"/>
          <w:sz w:val="24"/>
          <w:szCs w:val="24"/>
        </w:rPr>
        <w:t>.</w:t>
      </w:r>
    </w:p>
    <w:p w14:paraId="6D3162D4"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Respondents identified several impediments to achieving and maintaining satisfactory IEQ levels in the facilities, Figure 4.0. These barriers included:</w:t>
      </w:r>
    </w:p>
    <w:p w14:paraId="1AA9606B" w14:textId="77777777" w:rsidR="00570128" w:rsidRDefault="00000000">
      <w:pPr>
        <w:pStyle w:val="ListParagraph"/>
        <w:numPr>
          <w:ilvl w:val="0"/>
          <w:numId w:val="1"/>
        </w:numPr>
        <w:spacing w:after="0" w:line="480" w:lineRule="auto"/>
        <w:ind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Poor maintenance practices lead to the downfall of building systems.</w:t>
      </w:r>
    </w:p>
    <w:p w14:paraId="6EE4B705" w14:textId="77777777" w:rsidR="00570128" w:rsidRDefault="00000000">
      <w:pPr>
        <w:pStyle w:val="ListParagraph"/>
        <w:numPr>
          <w:ilvl w:val="0"/>
          <w:numId w:val="1"/>
        </w:numPr>
        <w:spacing w:after="0" w:line="480" w:lineRule="auto"/>
        <w:ind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Limited demand for IEQ improvements due to staff being uninformed.</w:t>
      </w:r>
    </w:p>
    <w:p w14:paraId="574E25F6" w14:textId="77777777" w:rsidR="00570128" w:rsidRDefault="00000000">
      <w:pPr>
        <w:pStyle w:val="ListParagraph"/>
        <w:numPr>
          <w:ilvl w:val="0"/>
          <w:numId w:val="1"/>
        </w:numPr>
        <w:spacing w:after="0" w:line="480" w:lineRule="auto"/>
        <w:ind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Financial constraints, which hinder investment in modern technologies and regular upkeep.</w:t>
      </w:r>
    </w:p>
    <w:p w14:paraId="6C1344FA" w14:textId="77777777" w:rsidR="00570128" w:rsidRDefault="00000000">
      <w:pPr>
        <w:pStyle w:val="ListParagraph"/>
        <w:numPr>
          <w:ilvl w:val="0"/>
          <w:numId w:val="1"/>
        </w:numPr>
        <w:spacing w:after="0" w:line="480" w:lineRule="auto"/>
        <w:ind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Outdated building materials and systems that do not meet current IEQ benchmarks. </w:t>
      </w:r>
    </w:p>
    <w:p w14:paraId="3A4A1944" w14:textId="77777777" w:rsidR="00570128" w:rsidRDefault="00000000">
      <w:pPr>
        <w:pStyle w:val="ListParagraph"/>
        <w:numPr>
          <w:ilvl w:val="0"/>
          <w:numId w:val="1"/>
        </w:numPr>
        <w:spacing w:after="0" w:line="480" w:lineRule="auto"/>
        <w:ind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Technical expertise, which makes it difficult to install and operate high tech systems.</w:t>
      </w:r>
    </w:p>
    <w:p w14:paraId="47B815A7" w14:textId="77777777" w:rsidR="00570128" w:rsidRDefault="00000000">
      <w:pPr>
        <w:pStyle w:val="ListParagraph"/>
        <w:spacing w:after="0" w:line="480" w:lineRule="auto"/>
        <w:ind w:right="374"/>
        <w:jc w:val="both"/>
        <w:rPr>
          <w:rFonts w:ascii="Times New Roman" w:eastAsia="Arial" w:hAnsi="Times New Roman" w:cs="Times New Roman"/>
          <w:color w:val="252525"/>
        </w:rPr>
      </w:pPr>
      <w:r>
        <w:rPr>
          <w:rFonts w:ascii="Times New Roman" w:eastAsia="Arial" w:hAnsi="Times New Roman" w:cs="Times New Roman"/>
          <w:noProof/>
          <w:color w:val="252525"/>
        </w:rPr>
        <w:drawing>
          <wp:inline distT="0" distB="0" distL="0" distR="0" wp14:anchorId="381D645C" wp14:editId="5A9FF383">
            <wp:extent cx="4761865" cy="2137410"/>
            <wp:effectExtent l="0" t="0" r="635" b="0"/>
            <wp:docPr id="9" name="Picture 9" descr="C:\Users\User Hi\AppData\Local\Microsoft\Windows\INetCache\Content.MSO\A50071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 Hi\AppData\Local\Microsoft\Windows\INetCache\Content.MSO\A500717C.tmp"/>
                    <pic:cNvPicPr>
                      <a:picLocks noChangeAspect="1" noChangeArrowheads="1"/>
                    </pic:cNvPicPr>
                  </pic:nvPicPr>
                  <pic:blipFill>
                    <a:blip r:embed="rId15" cstate="print">
                      <a:extLst>
                        <a:ext uri="{28A0092B-C50C-407E-A947-70E740481C1C}">
                          <a14:useLocalDpi xmlns:a14="http://schemas.microsoft.com/office/drawing/2010/main" val="0"/>
                        </a:ext>
                      </a:extLst>
                    </a:blip>
                    <a:srcRect l="15815" t="24361" r="10428" b="2536"/>
                    <a:stretch>
                      <a:fillRect/>
                    </a:stretch>
                  </pic:blipFill>
                  <pic:spPr>
                    <a:xfrm>
                      <a:off x="0" y="0"/>
                      <a:ext cx="4763270" cy="2138126"/>
                    </a:xfrm>
                    <a:prstGeom prst="rect">
                      <a:avLst/>
                    </a:prstGeom>
                    <a:noFill/>
                    <a:ln>
                      <a:noFill/>
                    </a:ln>
                  </pic:spPr>
                </pic:pic>
              </a:graphicData>
            </a:graphic>
          </wp:inline>
        </w:drawing>
      </w:r>
    </w:p>
    <w:p w14:paraId="7C237A3C" w14:textId="77777777" w:rsidR="00570128" w:rsidRDefault="00000000">
      <w:pPr>
        <w:pStyle w:val="ListParagraph"/>
        <w:spacing w:after="0" w:line="480" w:lineRule="auto"/>
        <w:ind w:right="374"/>
        <w:jc w:val="both"/>
        <w:rPr>
          <w:rFonts w:ascii="Times New Roman" w:eastAsia="Arial" w:hAnsi="Times New Roman" w:cs="Times New Roman"/>
          <w:color w:val="252525"/>
        </w:rPr>
      </w:pPr>
      <w:r>
        <w:rPr>
          <w:rFonts w:ascii="Times New Roman" w:eastAsia="Arial" w:hAnsi="Times New Roman" w:cs="Times New Roman"/>
          <w:color w:val="252525"/>
        </w:rPr>
        <w:t>Figure 4.0 Barriers of Maintaining IEQ in Hospitals</w:t>
      </w:r>
    </w:p>
    <w:p w14:paraId="78155671"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65A2169F"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164ACF6B"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The difficulties highlight the systemic challenges that hinder the long-term viability of IEQ initiatives in hospital infrastructure within the study area.</w:t>
      </w:r>
    </w:p>
    <w:p w14:paraId="4F0406CC"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Health care professionals make up the majority of participants, so occupational health priorities, specifically infection control and ventilation are likely to impact perceptions. The insufficient </w:t>
      </w:r>
    </w:p>
    <w:p w14:paraId="6885B286"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knowledge of IEQ monitoring systems and the identified hindrances implies a requirement for Staff development and capacity building based on IEQ principles. The reforms in policy and finances to focus on IEQ-related advancements. Modernized building materials and systems to ensure their quality meets current requirements. Institutional changes that promote regular observation and proactive upkeep.</w:t>
      </w:r>
    </w:p>
    <w:p w14:paraId="6C1EA687" w14:textId="77777777" w:rsidR="00570128" w:rsidRDefault="00000000">
      <w:pPr>
        <w:spacing w:after="0" w:line="480" w:lineRule="auto"/>
        <w:ind w:left="360" w:right="374"/>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Analysis of Adoption Potential and Workforce Development Gaps for IEQ.</w:t>
      </w:r>
    </w:p>
    <w:p w14:paraId="6EE77FCD"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Overall, the respondents expressed a positive attitude towards technology adoption. The percentage of people who were willing to adopt automated IEQ solutions varied, with 35% being very open, 50% moderately open and only 15% not ready for adoption. Despite the enthusiasm for technology-based advancements, there is still a lack of willingness among some due to cost, technical skills, or uncertainty about long-term benefits. The combination of strong moderate and high openness (85%) provides a solid foundation for the gradual implementation of automated systems through appropriate sensitization and training.</w:t>
      </w:r>
    </w:p>
    <w:p w14:paraId="421ED7EE"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344E9410"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4592F20B"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315C6DBC"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41EA81B0"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5C7E2636"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6E8CC752"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29C78F99"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67DCAF54"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183F260D"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49A36FDA"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1E06E1B4"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090D7243" w14:textId="77777777" w:rsidR="00570128" w:rsidRDefault="00000000">
      <w:pPr>
        <w:spacing w:after="0" w:line="480" w:lineRule="auto"/>
        <w:ind w:left="360" w:right="374"/>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Training Exposure and Gaps.</w:t>
      </w:r>
    </w:p>
    <w:p w14:paraId="63E52CD5" w14:textId="77777777" w:rsidR="00570128" w:rsidRDefault="00000000">
      <w:pPr>
        <w:spacing w:after="0" w:line="480" w:lineRule="auto"/>
        <w:ind w:left="360" w:right="374"/>
        <w:jc w:val="both"/>
        <w:rPr>
          <w:rFonts w:ascii="Times New Roman" w:eastAsia="Arial" w:hAnsi="Times New Roman" w:cs="Times New Roman"/>
          <w:color w:val="252525"/>
        </w:rPr>
      </w:pPr>
      <w:r>
        <w:rPr>
          <w:rFonts w:ascii="Times New Roman" w:eastAsia="Arial" w:hAnsi="Times New Roman" w:cs="Times New Roman"/>
          <w:color w:val="252525"/>
          <w:sz w:val="24"/>
          <w:szCs w:val="24"/>
        </w:rPr>
        <w:t>Findings reveal a significant gap in IEQ practices regarding knowledge and abilities: Figure 5.0 shows, an overwhelming 81% of those polled admitted to not having received any prior training for improving their IEQ, 19% of them had undergone some form of training, either through on-the-job learning or formal vocational certification.</w:t>
      </w:r>
      <w:r>
        <w:rPr>
          <w:rFonts w:ascii="Times New Roman" w:eastAsia="Arial" w:hAnsi="Times New Roman" w:cs="Times New Roman"/>
          <w:color w:val="252525"/>
        </w:rPr>
        <w:t xml:space="preserve"> </w:t>
      </w:r>
    </w:p>
    <w:p w14:paraId="69F5E5EE" w14:textId="77777777" w:rsidR="00570128" w:rsidRDefault="00000000">
      <w:pPr>
        <w:spacing w:after="0" w:line="480" w:lineRule="auto"/>
        <w:ind w:left="360" w:right="374"/>
        <w:jc w:val="both"/>
        <w:rPr>
          <w:rFonts w:ascii="Times New Roman" w:eastAsia="Arial" w:hAnsi="Times New Roman" w:cs="Times New Roman"/>
          <w:color w:val="252525"/>
        </w:rPr>
      </w:pPr>
      <w:r>
        <w:rPr>
          <w:rFonts w:ascii="Times New Roman" w:eastAsia="Arial" w:hAnsi="Times New Roman" w:cs="Times New Roman"/>
          <w:noProof/>
          <w:color w:val="252525"/>
        </w:rPr>
        <w:drawing>
          <wp:inline distT="0" distB="0" distL="0" distR="0" wp14:anchorId="454DDD7A" wp14:editId="573678F2">
            <wp:extent cx="3823335" cy="1875790"/>
            <wp:effectExtent l="0" t="0" r="5715" b="0"/>
            <wp:docPr id="10" name="Picture 10" descr="C:\Users\User Hi\AppData\Local\Microsoft\Windows\INetCache\Content.MSO\D4CE0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 Hi\AppData\Local\Microsoft\Windows\INetCache\Content.MSO\D4CE0EA.tmp"/>
                    <pic:cNvPicPr>
                      <a:picLocks noChangeAspect="1" noChangeArrowheads="1"/>
                    </pic:cNvPicPr>
                  </pic:nvPicPr>
                  <pic:blipFill>
                    <a:blip r:embed="rId16" cstate="print">
                      <a:extLst>
                        <a:ext uri="{28A0092B-C50C-407E-A947-70E740481C1C}">
                          <a14:useLocalDpi xmlns:a14="http://schemas.microsoft.com/office/drawing/2010/main" val="0"/>
                        </a:ext>
                      </a:extLst>
                    </a:blip>
                    <a:srcRect l="13426" t="24458" r="27342" b="6522"/>
                    <a:stretch>
                      <a:fillRect/>
                    </a:stretch>
                  </pic:blipFill>
                  <pic:spPr>
                    <a:xfrm>
                      <a:off x="0" y="0"/>
                      <a:ext cx="3825216" cy="1876970"/>
                    </a:xfrm>
                    <a:prstGeom prst="rect">
                      <a:avLst/>
                    </a:prstGeom>
                    <a:noFill/>
                    <a:ln>
                      <a:noFill/>
                    </a:ln>
                  </pic:spPr>
                </pic:pic>
              </a:graphicData>
            </a:graphic>
          </wp:inline>
        </w:drawing>
      </w:r>
    </w:p>
    <w:p w14:paraId="1982D3A6" w14:textId="77777777" w:rsidR="00570128" w:rsidRDefault="00000000">
      <w:pPr>
        <w:spacing w:after="0" w:line="480" w:lineRule="auto"/>
        <w:ind w:left="360" w:right="374"/>
        <w:jc w:val="both"/>
        <w:rPr>
          <w:rFonts w:ascii="Times New Roman" w:eastAsia="Arial" w:hAnsi="Times New Roman" w:cs="Times New Roman"/>
          <w:color w:val="252525"/>
        </w:rPr>
      </w:pPr>
      <w:r>
        <w:rPr>
          <w:rFonts w:ascii="Times New Roman" w:eastAsia="Arial" w:hAnsi="Times New Roman" w:cs="Times New Roman"/>
          <w:color w:val="252525"/>
        </w:rPr>
        <w:t>Figure 5.0 Knowledge and Training on IEQ</w:t>
      </w:r>
    </w:p>
    <w:p w14:paraId="4AFE4844"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Even though architects and healthcare workers have a daily interaction with indoor environments, the importance of systematic IEQ training is seldom acknowledged. Structured education and professional retooling are now essential components of workforce development initiatives.</w:t>
      </w:r>
    </w:p>
    <w:p w14:paraId="1827450D"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3590D03A" w14:textId="77777777" w:rsidR="00570128" w:rsidRDefault="00000000">
      <w:pPr>
        <w:spacing w:after="0" w:line="480" w:lineRule="auto"/>
        <w:ind w:left="360" w:right="374"/>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Enhanced IEQ Training Areas with better training outcomes.</w:t>
      </w:r>
    </w:p>
    <w:p w14:paraId="0F910602"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The preferences of respondents regarding the most effective training to enhance IEQ in their facilities were divided into different areas. In healthcare facilities, infection control is a significant environmental issue, leading to 28.6% emphasis on waste management and hygiene best practices.</w:t>
      </w:r>
    </w:p>
    <w:p w14:paraId="49A03266"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Figure 6.0 shows, energy efficient lighting and thermal control were emphasized as the primary focus for 21.4% of respondents, reflecting a recognition of the importance of both energy efficiency and occupant comfort.</w:t>
      </w:r>
    </w:p>
    <w:p w14:paraId="21BA4B53" w14:textId="77777777" w:rsidR="00570128" w:rsidRDefault="00000000">
      <w:pPr>
        <w:spacing w:after="0" w:line="480" w:lineRule="auto"/>
        <w:ind w:left="360" w:right="374"/>
        <w:jc w:val="both"/>
        <w:rPr>
          <w:rFonts w:ascii="Times New Roman" w:eastAsia="Arial" w:hAnsi="Times New Roman" w:cs="Times New Roman"/>
          <w:color w:val="252525"/>
        </w:rPr>
      </w:pPr>
      <w:r>
        <w:rPr>
          <w:rFonts w:ascii="Times New Roman" w:eastAsia="Arial" w:hAnsi="Times New Roman" w:cs="Times New Roman"/>
          <w:noProof/>
          <w:color w:val="252525"/>
        </w:rPr>
        <w:lastRenderedPageBreak/>
        <w:drawing>
          <wp:inline distT="0" distB="0" distL="0" distR="0" wp14:anchorId="5FCABDC5" wp14:editId="2FB24ED9">
            <wp:extent cx="5082540" cy="2030095"/>
            <wp:effectExtent l="0" t="0" r="3810" b="8255"/>
            <wp:docPr id="11" name="Picture 11" descr="C:\Users\User Hi\AppData\Local\Microsoft\Windows\INetCache\Content.MSO\A1DDF8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 Hi\AppData\Local\Microsoft\Windows\INetCache\Content.MSO\A1DDF888.tmp"/>
                    <pic:cNvPicPr>
                      <a:picLocks noChangeAspect="1" noChangeArrowheads="1"/>
                    </pic:cNvPicPr>
                  </pic:nvPicPr>
                  <pic:blipFill>
                    <a:blip r:embed="rId17" cstate="print">
                      <a:extLst>
                        <a:ext uri="{28A0092B-C50C-407E-A947-70E740481C1C}">
                          <a14:useLocalDpi xmlns:a14="http://schemas.microsoft.com/office/drawing/2010/main" val="0"/>
                        </a:ext>
                      </a:extLst>
                    </a:blip>
                    <a:srcRect l="17102" t="25985" r="4187" b="4579"/>
                    <a:stretch>
                      <a:fillRect/>
                    </a:stretch>
                  </pic:blipFill>
                  <pic:spPr>
                    <a:xfrm>
                      <a:off x="0" y="0"/>
                      <a:ext cx="5083107" cy="2030868"/>
                    </a:xfrm>
                    <a:prstGeom prst="rect">
                      <a:avLst/>
                    </a:prstGeom>
                    <a:noFill/>
                    <a:ln>
                      <a:noFill/>
                    </a:ln>
                  </pic:spPr>
                </pic:pic>
              </a:graphicData>
            </a:graphic>
          </wp:inline>
        </w:drawing>
      </w:r>
    </w:p>
    <w:p w14:paraId="02E86195" w14:textId="77777777" w:rsidR="00570128" w:rsidRDefault="00000000">
      <w:pPr>
        <w:spacing w:after="0" w:line="480" w:lineRule="auto"/>
        <w:ind w:left="360" w:right="374"/>
        <w:jc w:val="both"/>
        <w:rPr>
          <w:rFonts w:ascii="Times New Roman" w:eastAsia="Arial" w:hAnsi="Times New Roman" w:cs="Times New Roman"/>
          <w:color w:val="252525"/>
        </w:rPr>
      </w:pPr>
      <w:r>
        <w:rPr>
          <w:rFonts w:ascii="Times New Roman" w:eastAsia="Arial" w:hAnsi="Times New Roman" w:cs="Times New Roman"/>
          <w:color w:val="252525"/>
        </w:rPr>
        <w:t>Figure 6.0 IEQ Training Areas in Hospitals</w:t>
      </w:r>
    </w:p>
    <w:p w14:paraId="27F44DF9"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Users' perceptions of IEQ are primarily influenced by air circulation and cooling, which is why 17.2% preferred training on HVAC and ventilation system maintenance. Among the respondents, 17.2% reported using contemporary construction materials and finishes. This suggests some familiarity with material off-gassing, its durability, and ease of maintenance. Although indoor air quality monitoring and acoustic control were noted in 10.3% of cases, there was less emphasis on sophisticated methods like advanced monitoring or sound design, possibly due to limited exposure.</w:t>
      </w:r>
    </w:p>
    <w:p w14:paraId="62600FD1"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Based on their responses in this spread, respondents perceive that basic operational practices (waste and hygiene management) and technical building system maintenance are equally important. A </w:t>
      </w:r>
    </w:p>
    <w:p w14:paraId="1A4BA4E9"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Real-time monitoring and acoustic comfort are not given as much importance, suggesting knowledge and exposure gaps.</w:t>
      </w:r>
    </w:p>
    <w:p w14:paraId="63024C45"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6A34D3CC"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07AE260F"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3EF6C4F9"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1BEF4ECA"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46AE560D"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2928132E"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0174991E"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7122B95C"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5C2DF7BB"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6A85A94E"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24BD1684"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05157F21" w14:textId="77777777" w:rsidR="00570128" w:rsidRDefault="00570128">
      <w:pPr>
        <w:spacing w:after="0" w:line="480" w:lineRule="auto"/>
        <w:ind w:left="360" w:right="374"/>
        <w:jc w:val="both"/>
        <w:rPr>
          <w:rFonts w:ascii="Times New Roman" w:eastAsia="Arial" w:hAnsi="Times New Roman" w:cs="Times New Roman"/>
          <w:b/>
          <w:color w:val="252525"/>
          <w:sz w:val="24"/>
          <w:szCs w:val="24"/>
        </w:rPr>
      </w:pPr>
    </w:p>
    <w:p w14:paraId="24BAB8CE" w14:textId="77777777" w:rsidR="00570128" w:rsidRDefault="00000000">
      <w:pPr>
        <w:spacing w:after="0" w:line="480" w:lineRule="auto"/>
        <w:ind w:left="360" w:right="374"/>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Continuous Workforce Development.</w:t>
      </w:r>
    </w:p>
    <w:p w14:paraId="2A5089EF" w14:textId="77777777" w:rsidR="00570128" w:rsidRDefault="00000000">
      <w:pPr>
        <w:spacing w:after="0" w:line="480" w:lineRule="auto"/>
        <w:ind w:left="360" w:right="374"/>
        <w:jc w:val="both"/>
        <w:rPr>
          <w:rFonts w:ascii="Times New Roman" w:eastAsia="Arial" w:hAnsi="Times New Roman" w:cs="Times New Roman"/>
          <w:color w:val="252525"/>
        </w:rPr>
      </w:pPr>
      <w:r>
        <w:rPr>
          <w:rFonts w:ascii="Times New Roman" w:eastAsia="Arial" w:hAnsi="Times New Roman" w:cs="Times New Roman"/>
          <w:color w:val="252525"/>
          <w:sz w:val="24"/>
          <w:szCs w:val="24"/>
        </w:rPr>
        <w:t>In terms of the importance of ongoing workforce development, the study shows as revealed by Figure 7.0 that 71.4% rated it as highly significant. Both groups expressed strong support. This agreement emphasizes the importance of continuous training, retraining, and institutional support to achieve sustainable improvement in IEQ, rather than solely using one-time interventions.</w:t>
      </w:r>
      <w:r>
        <w:rPr>
          <w:rFonts w:ascii="Times New Roman" w:eastAsia="Arial" w:hAnsi="Times New Roman" w:cs="Times New Roman"/>
          <w:color w:val="252525"/>
        </w:rPr>
        <w:t xml:space="preserve"> </w:t>
      </w:r>
      <w:r>
        <w:rPr>
          <w:rFonts w:ascii="Times New Roman" w:eastAsia="Arial" w:hAnsi="Times New Roman" w:cs="Times New Roman"/>
          <w:noProof/>
          <w:color w:val="252525"/>
        </w:rPr>
        <w:drawing>
          <wp:inline distT="0" distB="0" distL="0" distR="0" wp14:anchorId="2B9A00B6" wp14:editId="4E1A1611">
            <wp:extent cx="4168140" cy="2066290"/>
            <wp:effectExtent l="0" t="0" r="3810" b="0"/>
            <wp:docPr id="12" name="Picture 12" descr="C:\Users\User Hi\AppData\Local\Microsoft\Windows\INetCache\Content.MSO\36B357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 Hi\AppData\Local\Microsoft\Windows\INetCache\Content.MSO\36B357D6.tmp"/>
                    <pic:cNvPicPr>
                      <a:picLocks noChangeAspect="1" noChangeArrowheads="1"/>
                    </pic:cNvPicPr>
                  </pic:nvPicPr>
                  <pic:blipFill>
                    <a:blip r:embed="rId18" cstate="print">
                      <a:extLst>
                        <a:ext uri="{28A0092B-C50C-407E-A947-70E740481C1C}">
                          <a14:useLocalDpi xmlns:a14="http://schemas.microsoft.com/office/drawing/2010/main" val="0"/>
                        </a:ext>
                      </a:extLst>
                    </a:blip>
                    <a:srcRect l="19308" t="25985" r="16145" b="3364"/>
                    <a:stretch>
                      <a:fillRect/>
                    </a:stretch>
                  </pic:blipFill>
                  <pic:spPr>
                    <a:xfrm>
                      <a:off x="0" y="0"/>
                      <a:ext cx="4168422" cy="2066397"/>
                    </a:xfrm>
                    <a:prstGeom prst="rect">
                      <a:avLst/>
                    </a:prstGeom>
                    <a:noFill/>
                    <a:ln>
                      <a:noFill/>
                    </a:ln>
                  </pic:spPr>
                </pic:pic>
              </a:graphicData>
            </a:graphic>
          </wp:inline>
        </w:drawing>
      </w:r>
    </w:p>
    <w:p w14:paraId="6EC85A28" w14:textId="77777777" w:rsidR="00570128" w:rsidRDefault="00000000">
      <w:pPr>
        <w:spacing w:after="0" w:line="480" w:lineRule="auto"/>
        <w:ind w:left="360" w:right="374"/>
        <w:jc w:val="both"/>
        <w:rPr>
          <w:rFonts w:ascii="Times New Roman" w:eastAsia="Arial" w:hAnsi="Times New Roman" w:cs="Times New Roman"/>
          <w:color w:val="252525"/>
        </w:rPr>
      </w:pPr>
      <w:r>
        <w:rPr>
          <w:rFonts w:ascii="Times New Roman" w:eastAsia="Arial" w:hAnsi="Times New Roman" w:cs="Times New Roman"/>
          <w:color w:val="252525"/>
        </w:rPr>
        <w:t>Figure 7.0 Continuous Workforce Development Importance</w:t>
      </w:r>
    </w:p>
    <w:p w14:paraId="1737A38D" w14:textId="77777777" w:rsidR="00570128" w:rsidRDefault="00000000">
      <w:pPr>
        <w:spacing w:after="0" w:line="480" w:lineRule="auto"/>
        <w:ind w:left="360" w:right="374"/>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Preparation for Innovation</w:t>
      </w:r>
    </w:p>
    <w:p w14:paraId="4C8A04CE"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 Despite constraints in infrastructure and funding, the majority of users are willing to adopt automated IEQ technologies. The possibility of gradually integrating smart solutions exists, starting with low-cost systems like low energy ventilation sensors or automated lighting.</w:t>
      </w:r>
    </w:p>
    <w:p w14:paraId="65E72F98"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Only 85% of respondents reported receiving structured IEQ training, which highlights the urgent</w:t>
      </w:r>
    </w:p>
    <w:p w14:paraId="7119D579"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 need for vocational programs, professional workshops, and policy frameworks that mandate IEQ awareness in the healthcare sector.</w:t>
      </w:r>
    </w:p>
    <w:p w14:paraId="071F7B72"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Practical interventions are prioritized over waste management, HVAC maintenance, and energy-efficient lighting by respondents, indicating that their priorities are primarily focused on immediate, practical issues. The infrequent use of acoustics and monitoring systems highlights the necessity for broadening the overall IEQ scheme. This is particularly evident in this context.</w:t>
      </w:r>
    </w:p>
    <w:p w14:paraId="5DCF7AE3"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Consistent training and professional development programs for healthcare staff and facility managers are crucial in achieving sustainable IEQ, as they are widely recognized.</w:t>
      </w:r>
    </w:p>
    <w:p w14:paraId="7BAA3253"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 </w:t>
      </w:r>
    </w:p>
    <w:p w14:paraId="4B598E84" w14:textId="77777777" w:rsidR="00570128" w:rsidRDefault="00570128">
      <w:pPr>
        <w:spacing w:after="0" w:line="480" w:lineRule="auto"/>
        <w:ind w:right="374"/>
        <w:jc w:val="both"/>
        <w:rPr>
          <w:rFonts w:ascii="Times New Roman" w:eastAsia="Arial" w:hAnsi="Times New Roman" w:cs="Times New Roman"/>
          <w:color w:val="252525"/>
          <w:sz w:val="24"/>
          <w:szCs w:val="24"/>
        </w:rPr>
      </w:pPr>
    </w:p>
    <w:p w14:paraId="45BD3B3D" w14:textId="77777777" w:rsidR="00570128" w:rsidRDefault="00570128">
      <w:pPr>
        <w:spacing w:after="0" w:line="480" w:lineRule="auto"/>
        <w:ind w:right="374" w:firstLine="360"/>
        <w:jc w:val="both"/>
        <w:rPr>
          <w:rFonts w:ascii="Times New Roman" w:eastAsia="Arial" w:hAnsi="Times New Roman" w:cs="Times New Roman"/>
          <w:b/>
          <w:color w:val="252525"/>
          <w:sz w:val="24"/>
          <w:szCs w:val="24"/>
        </w:rPr>
      </w:pPr>
    </w:p>
    <w:p w14:paraId="07967279" w14:textId="77777777" w:rsidR="00570128" w:rsidRDefault="00000000">
      <w:pPr>
        <w:spacing w:after="0" w:line="480" w:lineRule="auto"/>
        <w:ind w:right="374" w:firstLine="360"/>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Conclusion</w:t>
      </w:r>
    </w:p>
    <w:p w14:paraId="31B2413B"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Evidence from hospital indoor environmental assessments demonstrates the pressing need for deliberate improvement of Indoor Environmental Quality (IEQ) as an integral part of healthcare delivery. In hospitals with such buildings, temperature and humidity as well as lighting, acoustics and air quality have important effects on patient safety/comfort levels and overall health of the staff. To make significant improvements, interventions must be implemented across multiple dimensions.</w:t>
      </w:r>
    </w:p>
    <w:p w14:paraId="1E7D53E5" w14:textId="77777777" w:rsidR="00570128" w:rsidRDefault="00000000">
      <w:pPr>
        <w:spacing w:after="0" w:line="480" w:lineRule="auto"/>
        <w:ind w:right="374" w:firstLine="360"/>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Pedagogical system.</w:t>
      </w:r>
    </w:p>
    <w:p w14:paraId="49083B67"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Awareness of IEQ principles is fostered through training and education among architects, engineers, medical planners and facility managers. The foundational knowledge ensures that IEQ considerations are not optional but fundamental to healthcare architecture and building performance.</w:t>
      </w:r>
    </w:p>
    <w:p w14:paraId="5BDBB5A2" w14:textId="77777777" w:rsidR="00570128" w:rsidRDefault="00000000">
      <w:pPr>
        <w:spacing w:after="0" w:line="480" w:lineRule="auto"/>
        <w:ind w:right="374" w:firstLine="360"/>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The Construction system.</w:t>
      </w:r>
    </w:p>
    <w:p w14:paraId="16D3F22D" w14:textId="77777777" w:rsidR="00570128" w:rsidRDefault="00000000">
      <w:pPr>
        <w:spacing w:after="0" w:line="480" w:lineRule="auto"/>
        <w:ind w:right="374" w:firstLine="36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It is necessary to implement these principles in practice through deliberate design strategies:</w:t>
      </w:r>
    </w:p>
    <w:p w14:paraId="5BFE7885" w14:textId="77777777" w:rsidR="00570128" w:rsidRDefault="00000000">
      <w:pPr>
        <w:spacing w:after="0" w:line="480" w:lineRule="auto"/>
        <w:ind w:right="374" w:firstLine="36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Passive technologies </w:t>
      </w:r>
    </w:p>
    <w:p w14:paraId="4C626DCB"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Strategies such as optimal window-to wall ratios, natural ventilation techniques (such as acoustic insulation and thermal massing), daylighting strategies, etc.</w:t>
      </w:r>
    </w:p>
    <w:p w14:paraId="771AD8AA" w14:textId="77777777" w:rsidR="00570128" w:rsidRDefault="00000000">
      <w:pPr>
        <w:spacing w:after="0" w:line="480" w:lineRule="auto"/>
        <w:ind w:right="374" w:firstLine="36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Active technologies</w:t>
      </w:r>
    </w:p>
    <w:p w14:paraId="5BF6DC61"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Integrated HVAC systems with filtration and dehumidification, artificial lighting controls, and noise-reduction equipment are essential for making hospital facilities resilient and adaptable.</w:t>
      </w:r>
    </w:p>
    <w:p w14:paraId="2871615D" w14:textId="77777777" w:rsidR="00570128" w:rsidRDefault="00000000">
      <w:pPr>
        <w:spacing w:after="0" w:line="480" w:lineRule="auto"/>
        <w:ind w:right="374" w:firstLine="360"/>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Operation system.</w:t>
      </w:r>
    </w:p>
    <w:p w14:paraId="20B0E462"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Contributes to the preservation of IEQ quality over time. Maintaining ventilation systems is essential for the continued safety, comfort and sustainability of hospitals after construction is completed. This is achieved through regular maintenance checks of indoor pollutants, adjustments to lighting and temperature controls, and ongoing evaluation of environmental parameters. Hospitals can establish healthier, more sustainable environments by integrating IEQawareness into pedagogy, intentionally incorporating it into construction practices and </w:t>
      </w:r>
    </w:p>
    <w:p w14:paraId="3D3654E6"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6863D877"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5974300F" w14:textId="77777777" w:rsidR="00570128" w:rsidRDefault="00000000">
      <w:pPr>
        <w:spacing w:after="0" w:line="480" w:lineRule="auto"/>
        <w:ind w:left="360" w:right="37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maintaining strong operational management. In addition to improving clinical outcomes, this tripartite approach synchronizes healthcare infrastructure with worldwide standards of sustainable building performance.</w:t>
      </w:r>
    </w:p>
    <w:p w14:paraId="59649FB1"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044F26E4" w14:textId="77777777" w:rsidR="00570128" w:rsidRDefault="00000000">
      <w:pPr>
        <w:spacing w:after="0" w:line="480" w:lineRule="auto"/>
        <w:ind w:right="374" w:firstLine="360"/>
        <w:jc w:val="both"/>
        <w:rPr>
          <w:rFonts w:ascii="Times New Roman" w:hAnsi="Times New Roman" w:cs="Times New Roman"/>
          <w:b/>
          <w:sz w:val="24"/>
          <w:szCs w:val="24"/>
        </w:rPr>
      </w:pPr>
      <w:r>
        <w:rPr>
          <w:rFonts w:ascii="Times New Roman" w:eastAsia="Arial" w:hAnsi="Times New Roman" w:cs="Times New Roman"/>
          <w:b/>
          <w:color w:val="252525"/>
          <w:sz w:val="24"/>
          <w:szCs w:val="24"/>
        </w:rPr>
        <w:t>Acknowledgements</w:t>
      </w:r>
    </w:p>
    <w:p w14:paraId="6B93A748" w14:textId="77777777" w:rsidR="00570128" w:rsidRDefault="00000000">
      <w:pPr>
        <w:spacing w:after="0" w:line="480" w:lineRule="auto"/>
        <w:ind w:left="360" w:right="374"/>
        <w:jc w:val="both"/>
        <w:rPr>
          <w:rFonts w:ascii="Times New Roman" w:eastAsia="Arial" w:hAnsi="Times New Roman" w:cs="Times New Roman"/>
          <w:color w:val="252525"/>
          <w:sz w:val="24"/>
          <w:szCs w:val="24"/>
        </w:rPr>
        <w:sectPr w:rsidR="00570128">
          <w:footerReference w:type="default" r:id="rId19"/>
          <w:pgSz w:w="11900" w:h="16840"/>
          <w:pgMar w:top="0" w:right="1100" w:bottom="270" w:left="630" w:header="720" w:footer="720" w:gutter="0"/>
          <w:cols w:space="720"/>
        </w:sectPr>
      </w:pPr>
      <w:r>
        <w:rPr>
          <w:rFonts w:ascii="Times New Roman" w:eastAsia="Arial" w:hAnsi="Times New Roman" w:cs="Times New Roman"/>
          <w:color w:val="252525"/>
          <w:sz w:val="24"/>
          <w:szCs w:val="24"/>
        </w:rPr>
        <w:t>The author acknowledges the support of hospital administrators and the Nigerian Institute of Architects in Kwara State for their cooperation during data collection.</w:t>
      </w:r>
    </w:p>
    <w:p w14:paraId="1A8566AD" w14:textId="77777777" w:rsidR="00570128" w:rsidRDefault="00570128">
      <w:pPr>
        <w:spacing w:after="0" w:line="480" w:lineRule="auto"/>
        <w:ind w:left="360" w:right="374"/>
        <w:jc w:val="both"/>
        <w:rPr>
          <w:rFonts w:ascii="Times New Roman" w:eastAsia="Arial" w:hAnsi="Times New Roman" w:cs="Times New Roman"/>
          <w:color w:val="252525"/>
          <w:sz w:val="24"/>
          <w:szCs w:val="24"/>
        </w:rPr>
      </w:pPr>
    </w:p>
    <w:p w14:paraId="0AC0B585" w14:textId="77777777" w:rsidR="00570128" w:rsidRDefault="00570128">
      <w:pPr>
        <w:pStyle w:val="Bibliography1"/>
        <w:jc w:val="both"/>
        <w:rPr>
          <w:rFonts w:ascii="Times New Roman" w:hAnsi="Times New Roman" w:cs="Times New Roman"/>
        </w:rPr>
      </w:pPr>
    </w:p>
    <w:p w14:paraId="1E006B69" w14:textId="77777777" w:rsidR="00570128" w:rsidRDefault="00000000">
      <w:pPr>
        <w:pStyle w:val="Bibliography1"/>
        <w:ind w:firstLine="0"/>
        <w:jc w:val="both"/>
        <w:rPr>
          <w:rFonts w:ascii="Times New Roman" w:hAnsi="Times New Roman" w:cs="Times New Roman"/>
          <w:sz w:val="24"/>
          <w:szCs w:val="24"/>
        </w:rPr>
      </w:pPr>
      <w:r>
        <w:rPr>
          <w:rFonts w:ascii="Times New Roman" w:hAnsi="Times New Roman" w:cs="Times New Roman"/>
          <w:sz w:val="24"/>
          <w:szCs w:val="24"/>
        </w:rPr>
        <w:t>Reference</w:t>
      </w:r>
    </w:p>
    <w:p w14:paraId="1125688C" w14:textId="77777777" w:rsidR="00570128" w:rsidRDefault="00000000">
      <w:pPr>
        <w:pStyle w:val="Bibliography1"/>
        <w:jc w:val="both"/>
        <w:rPr>
          <w:rFonts w:ascii="Times New Roman" w:hAnsi="Times New Roman" w:cs="Times New Roman"/>
          <w:sz w:val="24"/>
        </w:rPr>
      </w:pPr>
      <w:r>
        <w:rPr>
          <w:rFonts w:ascii="Times New Roman" w:hAnsi="Times New Roman" w:cs="Times New Roman"/>
        </w:rPr>
        <w:fldChar w:fldCharType="begin"/>
      </w:r>
      <w:r>
        <w:rPr>
          <w:rFonts w:ascii="Times New Roman" w:hAnsi="Times New Roman" w:cs="Times New Roman"/>
        </w:rPr>
        <w:instrText xml:space="preserve"> ADDIN ZOTERO_BIBL {"uncited":[],"omitted":[],"custom":[]} CSL_BIBLIOGRAPHY </w:instrText>
      </w:r>
      <w:r>
        <w:rPr>
          <w:rFonts w:ascii="Times New Roman" w:hAnsi="Times New Roman" w:cs="Times New Roman"/>
        </w:rPr>
        <w:fldChar w:fldCharType="separate"/>
      </w:r>
      <w:r>
        <w:rPr>
          <w:rFonts w:ascii="Times New Roman" w:hAnsi="Times New Roman" w:cs="Times New Roman"/>
          <w:sz w:val="24"/>
        </w:rPr>
        <w:t xml:space="preserve">Ackley, A., Olanrewaju, O. I., Oyefusi, O. N., Enegbuma, W. I., Olaoye, T. S., Ehimatie, A. E., Ukpong, E., and Akpan-Idiok, P. (2024). Indoor environmental quality (IEQ) in healthcare facilities: A systematic literature review and gap analysis. </w:t>
      </w:r>
      <w:r>
        <w:rPr>
          <w:rFonts w:ascii="Times New Roman" w:hAnsi="Times New Roman" w:cs="Times New Roman"/>
          <w:i/>
          <w:iCs/>
          <w:sz w:val="24"/>
        </w:rPr>
        <w:t>Journal of Building Engineering</w:t>
      </w:r>
      <w:r>
        <w:rPr>
          <w:rFonts w:ascii="Times New Roman" w:hAnsi="Times New Roman" w:cs="Times New Roman"/>
          <w:sz w:val="24"/>
        </w:rPr>
        <w:t xml:space="preserve">, </w:t>
      </w:r>
      <w:r>
        <w:rPr>
          <w:rFonts w:ascii="Times New Roman" w:hAnsi="Times New Roman" w:cs="Times New Roman"/>
          <w:i/>
          <w:iCs/>
          <w:sz w:val="24"/>
        </w:rPr>
        <w:t>86</w:t>
      </w:r>
      <w:r>
        <w:rPr>
          <w:rFonts w:ascii="Times New Roman" w:hAnsi="Times New Roman" w:cs="Times New Roman"/>
          <w:sz w:val="24"/>
        </w:rPr>
        <w:t>, 108787. https://doi.org/10.1016/j.jobe.2024.108787</w:t>
      </w:r>
    </w:p>
    <w:p w14:paraId="63288EAF"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Ahmed, T., Kumar, P., and Mottet, L. (2021). Natural ventilation in warm climates: The challenges of thermal comfort, heatwave resilience and indoor air quality. </w:t>
      </w:r>
      <w:r>
        <w:rPr>
          <w:rFonts w:ascii="Times New Roman" w:hAnsi="Times New Roman" w:cs="Times New Roman"/>
          <w:i/>
          <w:iCs/>
          <w:sz w:val="24"/>
        </w:rPr>
        <w:t>Renewable and Sustainable Energy Reviews</w:t>
      </w:r>
      <w:r>
        <w:rPr>
          <w:rFonts w:ascii="Times New Roman" w:hAnsi="Times New Roman" w:cs="Times New Roman"/>
          <w:sz w:val="24"/>
        </w:rPr>
        <w:t xml:space="preserve">, </w:t>
      </w:r>
      <w:r>
        <w:rPr>
          <w:rFonts w:ascii="Times New Roman" w:hAnsi="Times New Roman" w:cs="Times New Roman"/>
          <w:i/>
          <w:iCs/>
          <w:sz w:val="24"/>
        </w:rPr>
        <w:t>138</w:t>
      </w:r>
      <w:r>
        <w:rPr>
          <w:rFonts w:ascii="Times New Roman" w:hAnsi="Times New Roman" w:cs="Times New Roman"/>
          <w:sz w:val="24"/>
        </w:rPr>
        <w:t>, 110669. https://doi.org/10.1016/j.rser.2020.110669</w:t>
      </w:r>
    </w:p>
    <w:p w14:paraId="25F6C8E3" w14:textId="77777777" w:rsidR="00570128" w:rsidRDefault="00000000">
      <w:pPr>
        <w:pStyle w:val="Bibliography1"/>
        <w:jc w:val="both"/>
        <w:rPr>
          <w:rFonts w:ascii="Times New Roman" w:hAnsi="Times New Roman" w:cs="Times New Roman"/>
          <w:sz w:val="24"/>
        </w:rPr>
      </w:pPr>
      <w:r>
        <w:rPr>
          <w:rFonts w:ascii="Times New Roman" w:hAnsi="Times New Roman" w:cs="Times New Roman"/>
          <w:i/>
          <w:iCs/>
          <w:sz w:val="24"/>
        </w:rPr>
        <w:t>District health facilities: Guidelines for development and operations</w:t>
      </w:r>
      <w:r>
        <w:rPr>
          <w:rFonts w:ascii="Times New Roman" w:hAnsi="Times New Roman" w:cs="Times New Roman"/>
          <w:sz w:val="24"/>
        </w:rPr>
        <w:t>. (1998). World Health Organization, Regional Office for the Western Pacific.</w:t>
      </w:r>
    </w:p>
    <w:p w14:paraId="078562DE"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Dong, B., Prakash, V., Feng, F., and O’Neill, Z. (2019). A review of smart building sensing system for better indoor environment control. </w:t>
      </w:r>
      <w:r>
        <w:rPr>
          <w:rFonts w:ascii="Times New Roman" w:hAnsi="Times New Roman" w:cs="Times New Roman"/>
          <w:i/>
          <w:iCs/>
          <w:sz w:val="24"/>
        </w:rPr>
        <w:t>Energy and Buildings</w:t>
      </w:r>
      <w:r>
        <w:rPr>
          <w:rFonts w:ascii="Times New Roman" w:hAnsi="Times New Roman" w:cs="Times New Roman"/>
          <w:sz w:val="24"/>
        </w:rPr>
        <w:t xml:space="preserve">, </w:t>
      </w:r>
      <w:r>
        <w:rPr>
          <w:rFonts w:ascii="Times New Roman" w:hAnsi="Times New Roman" w:cs="Times New Roman"/>
          <w:i/>
          <w:iCs/>
          <w:sz w:val="24"/>
        </w:rPr>
        <w:t>199</w:t>
      </w:r>
      <w:r>
        <w:rPr>
          <w:rFonts w:ascii="Times New Roman" w:hAnsi="Times New Roman" w:cs="Times New Roman"/>
          <w:sz w:val="24"/>
        </w:rPr>
        <w:t>, 29–46. https://doi.org/10.1016/j.enbuild.2019.06.025</w:t>
      </w:r>
    </w:p>
    <w:p w14:paraId="232E8D2E"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Efthymiou, C., Barmparesos, N., Tasios, P., Ntouros, V., Zoulis, V., Karlessi, T., Salmerón Lissén, J. M., and Assimakopoulos, M. N. (2021). Indoor Environmental Quality Evaluation Strategy as an Upgrade (Renovation) Measure in a Historic Building Located in the Mediterranean Zone (Athens, Greece). </w:t>
      </w:r>
      <w:r>
        <w:rPr>
          <w:rFonts w:ascii="Times New Roman" w:hAnsi="Times New Roman" w:cs="Times New Roman"/>
          <w:i/>
          <w:iCs/>
          <w:sz w:val="24"/>
        </w:rPr>
        <w:t>Applied Sciences</w:t>
      </w:r>
      <w:r>
        <w:rPr>
          <w:rFonts w:ascii="Times New Roman" w:hAnsi="Times New Roman" w:cs="Times New Roman"/>
          <w:sz w:val="24"/>
        </w:rPr>
        <w:t xml:space="preserve">, </w:t>
      </w:r>
      <w:r>
        <w:rPr>
          <w:rFonts w:ascii="Times New Roman" w:hAnsi="Times New Roman" w:cs="Times New Roman"/>
          <w:i/>
          <w:iCs/>
          <w:sz w:val="24"/>
        </w:rPr>
        <w:t>11</w:t>
      </w:r>
      <w:r>
        <w:rPr>
          <w:rFonts w:ascii="Times New Roman" w:hAnsi="Times New Roman" w:cs="Times New Roman"/>
          <w:sz w:val="24"/>
        </w:rPr>
        <w:t>(21), 10133. https://doi.org/10.3390/app112110133</w:t>
      </w:r>
    </w:p>
    <w:p w14:paraId="4BEAEFD5"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Esfeh, M. K., Sohankar, A., Shahsavari, A. R., Rastan, M. R., Ghodrat, M., and Nili, M. (2021). Experimental and numerical evaluation of wind-driven natural ventilation of a curved roof for various wind angles. </w:t>
      </w:r>
      <w:r>
        <w:rPr>
          <w:rFonts w:ascii="Times New Roman" w:hAnsi="Times New Roman" w:cs="Times New Roman"/>
          <w:i/>
          <w:iCs/>
          <w:sz w:val="24"/>
        </w:rPr>
        <w:t>Building and Environment</w:t>
      </w:r>
      <w:r>
        <w:rPr>
          <w:rFonts w:ascii="Times New Roman" w:hAnsi="Times New Roman" w:cs="Times New Roman"/>
          <w:sz w:val="24"/>
        </w:rPr>
        <w:t xml:space="preserve">, </w:t>
      </w:r>
      <w:r>
        <w:rPr>
          <w:rFonts w:ascii="Times New Roman" w:hAnsi="Times New Roman" w:cs="Times New Roman"/>
          <w:i/>
          <w:iCs/>
          <w:sz w:val="24"/>
        </w:rPr>
        <w:t>205</w:t>
      </w:r>
      <w:r>
        <w:rPr>
          <w:rFonts w:ascii="Times New Roman" w:hAnsi="Times New Roman" w:cs="Times New Roman"/>
          <w:sz w:val="24"/>
        </w:rPr>
        <w:t>, 108275. https://doi.org/10.1016/j.buildenv.2021.108275</w:t>
      </w:r>
    </w:p>
    <w:p w14:paraId="0EFF9B38"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Idris, A. S., Mohammed, I. Y., Kunya, U. S., and Usman, N. (2024). The Severity of Skill Shortages in the Nigerian Building Construction Artisans. </w:t>
      </w:r>
      <w:r>
        <w:rPr>
          <w:rFonts w:ascii="Times New Roman" w:hAnsi="Times New Roman" w:cs="Times New Roman"/>
          <w:i/>
          <w:iCs/>
          <w:sz w:val="24"/>
        </w:rPr>
        <w:t>International Journal of Civil Engineering, Construction and Estate Management</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(3), 95–109. https://doi.org/10.37745/ijcecem.14/vol12n395109</w:t>
      </w:r>
    </w:p>
    <w:p w14:paraId="7EF268D7"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lastRenderedPageBreak/>
        <w:t xml:space="preserve">Jiang, F., Xie, H., Gandla, S. R., and Fei, S. (2025). Transforming Hospital HVAC Design with BIM and Digital Twins: Addressing Real-Time Use Changes. </w:t>
      </w:r>
      <w:r>
        <w:rPr>
          <w:rFonts w:ascii="Times New Roman" w:hAnsi="Times New Roman" w:cs="Times New Roman"/>
          <w:i/>
          <w:iCs/>
          <w:sz w:val="24"/>
        </w:rPr>
        <w:t>Sustainability</w:t>
      </w:r>
      <w:r>
        <w:rPr>
          <w:rFonts w:ascii="Times New Roman" w:hAnsi="Times New Roman" w:cs="Times New Roman"/>
          <w:sz w:val="24"/>
        </w:rPr>
        <w:t xml:space="preserve">, </w:t>
      </w:r>
      <w:r>
        <w:rPr>
          <w:rFonts w:ascii="Times New Roman" w:hAnsi="Times New Roman" w:cs="Times New Roman"/>
          <w:i/>
          <w:iCs/>
          <w:sz w:val="24"/>
        </w:rPr>
        <w:t>17</w:t>
      </w:r>
      <w:r>
        <w:rPr>
          <w:rFonts w:ascii="Times New Roman" w:hAnsi="Times New Roman" w:cs="Times New Roman"/>
          <w:sz w:val="24"/>
        </w:rPr>
        <w:t>(8), 3312. https://doi.org/10.3390/su17083312</w:t>
      </w:r>
    </w:p>
    <w:p w14:paraId="34ACF478" w14:textId="77777777" w:rsidR="00570128" w:rsidRDefault="00570128">
      <w:pPr>
        <w:pStyle w:val="Bibliography1"/>
        <w:jc w:val="both"/>
        <w:rPr>
          <w:rFonts w:ascii="Times New Roman" w:hAnsi="Times New Roman" w:cs="Times New Roman"/>
          <w:sz w:val="24"/>
        </w:rPr>
      </w:pPr>
    </w:p>
    <w:p w14:paraId="6A2B7CE1" w14:textId="77777777" w:rsidR="00570128" w:rsidRDefault="00570128">
      <w:pPr>
        <w:pStyle w:val="Bibliography1"/>
        <w:jc w:val="both"/>
        <w:rPr>
          <w:rFonts w:ascii="Times New Roman" w:hAnsi="Times New Roman" w:cs="Times New Roman"/>
          <w:sz w:val="24"/>
        </w:rPr>
      </w:pPr>
    </w:p>
    <w:p w14:paraId="2162A30D"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John Agmada Bawa and Muhammad Ahmed Ismaila. (2025). An Assessment of the Impact of Poor Indoor Air Quality on Public Health in Nigerian Urban Environments; Case Study of FCT, Abuja. </w:t>
      </w:r>
    </w:p>
    <w:p w14:paraId="6015DEFF" w14:textId="77777777" w:rsidR="00570128" w:rsidRDefault="00000000">
      <w:pPr>
        <w:pStyle w:val="Bibliography1"/>
        <w:jc w:val="both"/>
        <w:rPr>
          <w:rFonts w:ascii="Times New Roman" w:hAnsi="Times New Roman" w:cs="Times New Roman"/>
          <w:sz w:val="24"/>
        </w:rPr>
      </w:pPr>
      <w:r>
        <w:rPr>
          <w:rFonts w:ascii="Times New Roman" w:hAnsi="Times New Roman" w:cs="Times New Roman"/>
          <w:i/>
          <w:iCs/>
          <w:sz w:val="24"/>
        </w:rPr>
        <w:t>International Journal of Latest Technology in Engineering Management and Applied Science</w:t>
      </w:r>
      <w:r>
        <w:rPr>
          <w:rFonts w:ascii="Times New Roman" w:hAnsi="Times New Roman" w:cs="Times New Roman"/>
          <w:sz w:val="24"/>
        </w:rPr>
        <w:t xml:space="preserve">, </w:t>
      </w:r>
      <w:r>
        <w:rPr>
          <w:rFonts w:ascii="Times New Roman" w:hAnsi="Times New Roman" w:cs="Times New Roman"/>
          <w:i/>
          <w:iCs/>
          <w:sz w:val="24"/>
        </w:rPr>
        <w:t>13</w:t>
      </w:r>
      <w:r>
        <w:rPr>
          <w:rFonts w:ascii="Times New Roman" w:hAnsi="Times New Roman" w:cs="Times New Roman"/>
          <w:sz w:val="24"/>
        </w:rPr>
        <w:t>(12), 49–56. https://doi.org/10.51583/IJLTEMAS.2024.131205</w:t>
      </w:r>
    </w:p>
    <w:p w14:paraId="4218BC18"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Kalilu, R., Ayinla, A., and Amole, D. (2022). </w:t>
      </w:r>
      <w:r>
        <w:rPr>
          <w:rFonts w:ascii="Times New Roman" w:hAnsi="Times New Roman" w:cs="Times New Roman"/>
          <w:i/>
          <w:iCs/>
          <w:sz w:val="24"/>
        </w:rPr>
        <w:t>The Factor  of House Forms in Indoor Environmental Quality of Houses in Selected Cities in Oyo State, Nigeria,  International Journal of Energy and Environmental Research.</w:t>
      </w:r>
      <w:r>
        <w:rPr>
          <w:rFonts w:ascii="Times New Roman" w:hAnsi="Times New Roman" w:cs="Times New Roman"/>
          <w:sz w:val="24"/>
        </w:rPr>
        <w:t xml:space="preserve"> </w:t>
      </w:r>
      <w:r>
        <w:rPr>
          <w:rFonts w:ascii="Times New Roman" w:hAnsi="Times New Roman" w:cs="Times New Roman"/>
          <w:i/>
          <w:iCs/>
          <w:sz w:val="24"/>
        </w:rPr>
        <w:t>Vol.10, No.2</w:t>
      </w:r>
      <w:r>
        <w:rPr>
          <w:rFonts w:ascii="Times New Roman" w:hAnsi="Times New Roman" w:cs="Times New Roman"/>
          <w:sz w:val="24"/>
        </w:rPr>
        <w:t>, pp.,40-58.</w:t>
      </w:r>
    </w:p>
    <w:p w14:paraId="49F4CE4B"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Kalua, A. (2016). Envelope Thermal Design Optimization for Urban Residential Buildings in Malawi. </w:t>
      </w:r>
      <w:r>
        <w:rPr>
          <w:rFonts w:ascii="Times New Roman" w:hAnsi="Times New Roman" w:cs="Times New Roman"/>
          <w:i/>
          <w:iCs/>
          <w:sz w:val="24"/>
        </w:rPr>
        <w:t>Buildings</w:t>
      </w:r>
      <w:r>
        <w:rPr>
          <w:rFonts w:ascii="Times New Roman" w:hAnsi="Times New Roman" w:cs="Times New Roman"/>
          <w:sz w:val="24"/>
        </w:rPr>
        <w:t xml:space="preserve">, </w:t>
      </w:r>
      <w:r>
        <w:rPr>
          <w:rFonts w:ascii="Times New Roman" w:hAnsi="Times New Roman" w:cs="Times New Roman"/>
          <w:i/>
          <w:iCs/>
          <w:sz w:val="24"/>
        </w:rPr>
        <w:t>6</w:t>
      </w:r>
      <w:r>
        <w:rPr>
          <w:rFonts w:ascii="Times New Roman" w:hAnsi="Times New Roman" w:cs="Times New Roman"/>
          <w:sz w:val="24"/>
        </w:rPr>
        <w:t>(2), 13. https://doi.org/10.3390/buildings6020013</w:t>
      </w:r>
    </w:p>
    <w:p w14:paraId="4F9AEA76"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Liu, X., and Wu, Y. (2022). A review of advanced architectural glazing technologies for solar energy conversion and intelligent daylighting control. </w:t>
      </w:r>
      <w:r>
        <w:rPr>
          <w:rFonts w:ascii="Times New Roman" w:hAnsi="Times New Roman" w:cs="Times New Roman"/>
          <w:i/>
          <w:iCs/>
          <w:sz w:val="24"/>
        </w:rPr>
        <w:t>Architectural Intelligence</w:t>
      </w:r>
      <w:r>
        <w:rPr>
          <w:rFonts w:ascii="Times New Roman" w:hAnsi="Times New Roman" w:cs="Times New Roman"/>
          <w:sz w:val="24"/>
        </w:rPr>
        <w:t xml:space="preserve">, </w:t>
      </w:r>
      <w:r>
        <w:rPr>
          <w:rFonts w:ascii="Times New Roman" w:hAnsi="Times New Roman" w:cs="Times New Roman"/>
          <w:i/>
          <w:iCs/>
          <w:sz w:val="24"/>
        </w:rPr>
        <w:t>1</w:t>
      </w:r>
      <w:r>
        <w:rPr>
          <w:rFonts w:ascii="Times New Roman" w:hAnsi="Times New Roman" w:cs="Times New Roman"/>
          <w:sz w:val="24"/>
        </w:rPr>
        <w:t>(1), 10. https://doi.org/10.1007/s44223-022-00009-6</w:t>
      </w:r>
    </w:p>
    <w:p w14:paraId="05219B32"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Mansouri, A., Wei, W., Alessandrini, J.-M., Mandin, C., and Blondeau, P. (2022). Impact of Climate Change on Indoor Air Quality: A Review. </w:t>
      </w:r>
      <w:r>
        <w:rPr>
          <w:rFonts w:ascii="Times New Roman" w:hAnsi="Times New Roman" w:cs="Times New Roman"/>
          <w:i/>
          <w:iCs/>
          <w:sz w:val="24"/>
        </w:rPr>
        <w:t>International Journal of Environmental Research and Public Health</w:t>
      </w:r>
      <w:r>
        <w:rPr>
          <w:rFonts w:ascii="Times New Roman" w:hAnsi="Times New Roman" w:cs="Times New Roman"/>
          <w:sz w:val="24"/>
        </w:rPr>
        <w:t xml:space="preserve">, </w:t>
      </w:r>
      <w:r>
        <w:rPr>
          <w:rFonts w:ascii="Times New Roman" w:hAnsi="Times New Roman" w:cs="Times New Roman"/>
          <w:i/>
          <w:iCs/>
          <w:sz w:val="24"/>
        </w:rPr>
        <w:t>19</w:t>
      </w:r>
      <w:r>
        <w:rPr>
          <w:rFonts w:ascii="Times New Roman" w:hAnsi="Times New Roman" w:cs="Times New Roman"/>
          <w:sz w:val="24"/>
        </w:rPr>
        <w:t>(23), 15616. https://doi.org/10.3390/ijerph192315616</w:t>
      </w:r>
    </w:p>
    <w:p w14:paraId="754B76F9"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Nel, A., Grainger, D., Alvarez, P. J., Badesha, S., Castranova, V., Ferrari, M., Godwin, H., Grodzinski, P., Morris, J., Savage, N., Scott, N., and Wiesner, M. (2011). Nanotechnology Environmental, Health, and Safety Issues. In M. C. Roco, M. C. Hersam, and C. A. Mirkin, </w:t>
      </w:r>
      <w:r>
        <w:rPr>
          <w:rFonts w:ascii="Times New Roman" w:hAnsi="Times New Roman" w:cs="Times New Roman"/>
          <w:i/>
          <w:iCs/>
          <w:sz w:val="24"/>
        </w:rPr>
        <w:t>Nanotechnology Research Directions for Societal Needs in 2020</w:t>
      </w:r>
      <w:r>
        <w:rPr>
          <w:rFonts w:ascii="Times New Roman" w:hAnsi="Times New Roman" w:cs="Times New Roman"/>
          <w:sz w:val="24"/>
        </w:rPr>
        <w:t xml:space="preserve"> (pp. 159–220). Springer Netherlands. https://doi.org/10.1007/978-94-007-1168-6_5</w:t>
      </w:r>
    </w:p>
    <w:p w14:paraId="6B2015EE"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Nimlyat, P. S., Salihu, B., and Wang, G. P. (2024). The impact of indoor environmental quality (IEQ) on patients’ health and comfort in Nigeria. </w:t>
      </w:r>
      <w:r>
        <w:rPr>
          <w:rFonts w:ascii="Times New Roman" w:hAnsi="Times New Roman" w:cs="Times New Roman"/>
          <w:i/>
          <w:iCs/>
          <w:sz w:val="24"/>
        </w:rPr>
        <w:t>International Journal of Building Pathology and Adaptation</w:t>
      </w:r>
      <w:r>
        <w:rPr>
          <w:rFonts w:ascii="Times New Roman" w:hAnsi="Times New Roman" w:cs="Times New Roman"/>
          <w:sz w:val="24"/>
        </w:rPr>
        <w:t xml:space="preserve">, </w:t>
      </w:r>
      <w:r>
        <w:rPr>
          <w:rFonts w:ascii="Times New Roman" w:hAnsi="Times New Roman" w:cs="Times New Roman"/>
          <w:i/>
          <w:iCs/>
          <w:sz w:val="24"/>
        </w:rPr>
        <w:t>42</w:t>
      </w:r>
      <w:r>
        <w:rPr>
          <w:rFonts w:ascii="Times New Roman" w:hAnsi="Times New Roman" w:cs="Times New Roman"/>
          <w:sz w:val="24"/>
        </w:rPr>
        <w:t>(4), 510–530. https://doi.org/10.1108/IJBPA-06-2021-0089</w:t>
      </w:r>
    </w:p>
    <w:p w14:paraId="48F645D2"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lastRenderedPageBreak/>
        <w:t xml:space="preserve">Niza, I. L., Bueno, A. M., Gameiro Da Silva, M., and Broday, E. E. (2024). Air quality and ventilation: Exploring solutions for healthy and sustainable urban environments in times of climate change. </w:t>
      </w:r>
      <w:r>
        <w:rPr>
          <w:rFonts w:ascii="Times New Roman" w:hAnsi="Times New Roman" w:cs="Times New Roman"/>
          <w:i/>
          <w:iCs/>
          <w:sz w:val="24"/>
        </w:rPr>
        <w:t>Results in Engineering</w:t>
      </w:r>
      <w:r>
        <w:rPr>
          <w:rFonts w:ascii="Times New Roman" w:hAnsi="Times New Roman" w:cs="Times New Roman"/>
          <w:sz w:val="24"/>
        </w:rPr>
        <w:t xml:space="preserve">, </w:t>
      </w:r>
      <w:r>
        <w:rPr>
          <w:rFonts w:ascii="Times New Roman" w:hAnsi="Times New Roman" w:cs="Times New Roman"/>
          <w:i/>
          <w:iCs/>
          <w:sz w:val="24"/>
        </w:rPr>
        <w:t>24</w:t>
      </w:r>
      <w:r>
        <w:rPr>
          <w:rFonts w:ascii="Times New Roman" w:hAnsi="Times New Roman" w:cs="Times New Roman"/>
          <w:sz w:val="24"/>
        </w:rPr>
        <w:t>, 103157. https://doi.org/10.1016/j.rineng.2024.103157</w:t>
      </w:r>
    </w:p>
    <w:p w14:paraId="2AE15498" w14:textId="77777777" w:rsidR="00570128" w:rsidRDefault="00570128">
      <w:pPr>
        <w:pStyle w:val="Bibliography1"/>
        <w:jc w:val="both"/>
        <w:rPr>
          <w:rFonts w:ascii="Times New Roman" w:hAnsi="Times New Roman" w:cs="Times New Roman"/>
          <w:sz w:val="24"/>
        </w:rPr>
      </w:pPr>
    </w:p>
    <w:p w14:paraId="217713C0" w14:textId="77777777" w:rsidR="00570128" w:rsidRDefault="00570128">
      <w:pPr>
        <w:pStyle w:val="Bibliography1"/>
        <w:jc w:val="both"/>
        <w:rPr>
          <w:rFonts w:ascii="Times New Roman" w:hAnsi="Times New Roman" w:cs="Times New Roman"/>
          <w:sz w:val="24"/>
        </w:rPr>
      </w:pPr>
    </w:p>
    <w:p w14:paraId="703D7FFE"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Obeidat, L. M., Alrebei, O. F., Nouh Ma’bdeh, S., Al-Radaideh, T., and Amhamed, A. I. (2023). Parametric Enhancement of a Window-Windcatcher for Enhanced Thermal Comfort and Natural Ventilation. </w:t>
      </w:r>
      <w:r>
        <w:rPr>
          <w:rFonts w:ascii="Times New Roman" w:hAnsi="Times New Roman" w:cs="Times New Roman"/>
          <w:i/>
          <w:iCs/>
          <w:sz w:val="24"/>
        </w:rPr>
        <w:t>Atmosphere</w:t>
      </w:r>
      <w:r>
        <w:rPr>
          <w:rFonts w:ascii="Times New Roman" w:hAnsi="Times New Roman" w:cs="Times New Roman"/>
          <w:sz w:val="24"/>
        </w:rPr>
        <w:t xml:space="preserve">, </w:t>
      </w:r>
      <w:r>
        <w:rPr>
          <w:rFonts w:ascii="Times New Roman" w:hAnsi="Times New Roman" w:cs="Times New Roman"/>
          <w:i/>
          <w:iCs/>
          <w:sz w:val="24"/>
        </w:rPr>
        <w:t>14</w:t>
      </w:r>
      <w:r>
        <w:rPr>
          <w:rFonts w:ascii="Times New Roman" w:hAnsi="Times New Roman" w:cs="Times New Roman"/>
          <w:sz w:val="24"/>
        </w:rPr>
        <w:t>(5), 844. https://doi.org/10.3390/atmos14050844</w:t>
      </w:r>
    </w:p>
    <w:p w14:paraId="02642BE9"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Perera, I., Hewage, K., Rana, A., and Sadiq, R. (2025). Combining Energy Performance and Indoor Environmental Quality (IEQ) in Buildings: A Systematic Review on Common IEQ Guidelines and Energy Codes in North America. </w:t>
      </w:r>
      <w:r>
        <w:rPr>
          <w:rFonts w:ascii="Times New Roman" w:hAnsi="Times New Roman" w:cs="Times New Roman"/>
          <w:i/>
          <w:iCs/>
          <w:sz w:val="24"/>
        </w:rPr>
        <w:t>Energies</w:t>
      </w:r>
      <w:r>
        <w:rPr>
          <w:rFonts w:ascii="Times New Roman" w:hAnsi="Times New Roman" w:cs="Times New Roman"/>
          <w:sz w:val="24"/>
        </w:rPr>
        <w:t xml:space="preserve">, </w:t>
      </w:r>
      <w:r>
        <w:rPr>
          <w:rFonts w:ascii="Times New Roman" w:hAnsi="Times New Roman" w:cs="Times New Roman"/>
          <w:i/>
          <w:iCs/>
          <w:sz w:val="24"/>
        </w:rPr>
        <w:t>18</w:t>
      </w:r>
      <w:r>
        <w:rPr>
          <w:rFonts w:ascii="Times New Roman" w:hAnsi="Times New Roman" w:cs="Times New Roman"/>
          <w:sz w:val="24"/>
        </w:rPr>
        <w:t>(7), 1740. https://doi.org/10.3390/en18071740</w:t>
      </w:r>
    </w:p>
    <w:p w14:paraId="57F54E34"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Rathore, P. K. S., and Shukla, S. K. (2021). Enhanced thermophysical properties of organic PCM through shape stabilization for thermal energy storage in buildings: A state of the art review. </w:t>
      </w:r>
      <w:r>
        <w:rPr>
          <w:rFonts w:ascii="Times New Roman" w:hAnsi="Times New Roman" w:cs="Times New Roman"/>
          <w:i/>
          <w:iCs/>
          <w:sz w:val="24"/>
        </w:rPr>
        <w:t>Energy and Buildings</w:t>
      </w:r>
      <w:r>
        <w:rPr>
          <w:rFonts w:ascii="Times New Roman" w:hAnsi="Times New Roman" w:cs="Times New Roman"/>
          <w:sz w:val="24"/>
        </w:rPr>
        <w:t xml:space="preserve">, </w:t>
      </w:r>
      <w:r>
        <w:rPr>
          <w:rFonts w:ascii="Times New Roman" w:hAnsi="Times New Roman" w:cs="Times New Roman"/>
          <w:i/>
          <w:iCs/>
          <w:sz w:val="24"/>
        </w:rPr>
        <w:t>236</w:t>
      </w:r>
      <w:r>
        <w:rPr>
          <w:rFonts w:ascii="Times New Roman" w:hAnsi="Times New Roman" w:cs="Times New Roman"/>
          <w:sz w:val="24"/>
        </w:rPr>
        <w:t>, 110799. https://doi.org/10.1016/j.enbuild.2021.110799</w:t>
      </w:r>
    </w:p>
    <w:p w14:paraId="78C60272"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Ray, P. C., Yu, H., and Fu, P. P. (2009). Toxicity and Environmental Risks of Nanomaterials: Challenges and Future Needs. </w:t>
      </w:r>
      <w:r>
        <w:rPr>
          <w:rFonts w:ascii="Times New Roman" w:hAnsi="Times New Roman" w:cs="Times New Roman"/>
          <w:i/>
          <w:iCs/>
          <w:sz w:val="24"/>
        </w:rPr>
        <w:t>Journal of Environmental Science and Health, Part C</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(1), 1–35. https://doi.org/10.1080/10590500802708267</w:t>
      </w:r>
    </w:p>
    <w:p w14:paraId="5F58D349"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Rodríguez-Soria, B., Domínguez-Hernández, J., Pérez-Bella, J. M., and Del Coz-Díaz, J. J. (2014). Review of international regulations governing the thermal insulation requirements of residential buildings and the harmonization of envelope energy loss. </w:t>
      </w:r>
      <w:r>
        <w:rPr>
          <w:rFonts w:ascii="Times New Roman" w:hAnsi="Times New Roman" w:cs="Times New Roman"/>
          <w:i/>
          <w:iCs/>
          <w:sz w:val="24"/>
        </w:rPr>
        <w:t>Renewable and Sustainable Energy Reviews</w:t>
      </w:r>
      <w:r>
        <w:rPr>
          <w:rFonts w:ascii="Times New Roman" w:hAnsi="Times New Roman" w:cs="Times New Roman"/>
          <w:sz w:val="24"/>
        </w:rPr>
        <w:t xml:space="preserve">, </w:t>
      </w:r>
      <w:r>
        <w:rPr>
          <w:rFonts w:ascii="Times New Roman" w:hAnsi="Times New Roman" w:cs="Times New Roman"/>
          <w:i/>
          <w:iCs/>
          <w:sz w:val="24"/>
        </w:rPr>
        <w:t>34</w:t>
      </w:r>
      <w:r>
        <w:rPr>
          <w:rFonts w:ascii="Times New Roman" w:hAnsi="Times New Roman" w:cs="Times New Roman"/>
          <w:sz w:val="24"/>
        </w:rPr>
        <w:t>, 78–90. https://doi.org/10.1016/j.rser.2014.03.009</w:t>
      </w:r>
    </w:p>
    <w:p w14:paraId="6DAE8BBB"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Rudavskyi, I., Klym, H., Kostiv, Y., Karbovnyk, I., Zhydenko, I., Popov, A. I., and Konuhova, M. (2024). Utilizing an Arduino Uno-Based System with Integrated Sensor Data Fusion and Filtration Techniques for Enhanced Air Quality Monitoring in Residential Spaces. </w:t>
      </w:r>
      <w:r>
        <w:rPr>
          <w:rFonts w:ascii="Times New Roman" w:hAnsi="Times New Roman" w:cs="Times New Roman"/>
          <w:i/>
          <w:iCs/>
          <w:sz w:val="24"/>
        </w:rPr>
        <w:t>Applied Sciences</w:t>
      </w:r>
      <w:r>
        <w:rPr>
          <w:rFonts w:ascii="Times New Roman" w:hAnsi="Times New Roman" w:cs="Times New Roman"/>
          <w:sz w:val="24"/>
        </w:rPr>
        <w:t xml:space="preserve">, </w:t>
      </w:r>
      <w:r>
        <w:rPr>
          <w:rFonts w:ascii="Times New Roman" w:hAnsi="Times New Roman" w:cs="Times New Roman"/>
          <w:i/>
          <w:iCs/>
          <w:sz w:val="24"/>
        </w:rPr>
        <w:t>14</w:t>
      </w:r>
      <w:r>
        <w:rPr>
          <w:rFonts w:ascii="Times New Roman" w:hAnsi="Times New Roman" w:cs="Times New Roman"/>
          <w:sz w:val="24"/>
        </w:rPr>
        <w:t>(19), 9012. https://doi.org/10.3390/app14199012</w:t>
      </w:r>
    </w:p>
    <w:p w14:paraId="5C337A92"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Silva, B. V. F., Holm-Nielsen, J. B., Sadrizadeh, S., Teles, M. P. R., Kiani-Moghaddam, M., and Arabkoohsar, A. (2024). Sustainable, green, or smart? Pathways for energy-efficient healthcare buildings. </w:t>
      </w:r>
      <w:r>
        <w:rPr>
          <w:rFonts w:ascii="Times New Roman" w:hAnsi="Times New Roman" w:cs="Times New Roman"/>
          <w:i/>
          <w:iCs/>
          <w:sz w:val="24"/>
        </w:rPr>
        <w:t>Sustainable Cities and Society</w:t>
      </w:r>
      <w:r>
        <w:rPr>
          <w:rFonts w:ascii="Times New Roman" w:hAnsi="Times New Roman" w:cs="Times New Roman"/>
          <w:sz w:val="24"/>
        </w:rPr>
        <w:t xml:space="preserve">, </w:t>
      </w:r>
      <w:r>
        <w:rPr>
          <w:rFonts w:ascii="Times New Roman" w:hAnsi="Times New Roman" w:cs="Times New Roman"/>
          <w:i/>
          <w:iCs/>
          <w:sz w:val="24"/>
        </w:rPr>
        <w:t>100</w:t>
      </w:r>
      <w:r>
        <w:rPr>
          <w:rFonts w:ascii="Times New Roman" w:hAnsi="Times New Roman" w:cs="Times New Roman"/>
          <w:sz w:val="24"/>
        </w:rPr>
        <w:t>, 105013. https://doi.org/10.1016/j.scs.2023.105013</w:t>
      </w:r>
    </w:p>
    <w:p w14:paraId="3DF213C6"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lastRenderedPageBreak/>
        <w:t xml:space="preserve">Vergerio, G., and Becchio, C. (2022). Pursuing occupants’ health and well-being in building management: Definition of new metrics based on indoor air parameters. </w:t>
      </w:r>
      <w:r>
        <w:rPr>
          <w:rFonts w:ascii="Times New Roman" w:hAnsi="Times New Roman" w:cs="Times New Roman"/>
          <w:i/>
          <w:iCs/>
          <w:sz w:val="24"/>
        </w:rPr>
        <w:t>Building and Environment</w:t>
      </w:r>
      <w:r>
        <w:rPr>
          <w:rFonts w:ascii="Times New Roman" w:hAnsi="Times New Roman" w:cs="Times New Roman"/>
          <w:sz w:val="24"/>
        </w:rPr>
        <w:t xml:space="preserve">, </w:t>
      </w:r>
      <w:r>
        <w:rPr>
          <w:rFonts w:ascii="Times New Roman" w:hAnsi="Times New Roman" w:cs="Times New Roman"/>
          <w:i/>
          <w:iCs/>
          <w:sz w:val="24"/>
        </w:rPr>
        <w:t>223</w:t>
      </w:r>
      <w:r>
        <w:rPr>
          <w:rFonts w:ascii="Times New Roman" w:hAnsi="Times New Roman" w:cs="Times New Roman"/>
          <w:sz w:val="24"/>
        </w:rPr>
        <w:t>, 109447. https://doi.org/10.1016/j.buildenv.2022.109447</w:t>
      </w:r>
    </w:p>
    <w:p w14:paraId="0AED5984" w14:textId="77777777" w:rsidR="00570128" w:rsidRDefault="00570128">
      <w:pPr>
        <w:pStyle w:val="Bibliography1"/>
        <w:jc w:val="both"/>
        <w:rPr>
          <w:rFonts w:ascii="Times New Roman" w:hAnsi="Times New Roman" w:cs="Times New Roman"/>
          <w:sz w:val="24"/>
        </w:rPr>
      </w:pPr>
    </w:p>
    <w:p w14:paraId="4E8FD479" w14:textId="77777777" w:rsidR="00570128" w:rsidRDefault="00570128">
      <w:pPr>
        <w:pStyle w:val="Bibliography1"/>
        <w:jc w:val="both"/>
        <w:rPr>
          <w:rFonts w:ascii="Times New Roman" w:hAnsi="Times New Roman" w:cs="Times New Roman"/>
          <w:sz w:val="24"/>
        </w:rPr>
      </w:pPr>
    </w:p>
    <w:p w14:paraId="7ED716A5"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Vijayakumar, G., Thangavel, E., Alshamsi, D., Sherif, M., Murad, A. A., and Sangaraju, S. (2025). A critical review on the prospective role of nanomaterials in the effectual removal of radionuclides from wastewater – State of the art and future challenges. </w:t>
      </w:r>
      <w:r>
        <w:rPr>
          <w:rFonts w:ascii="Times New Roman" w:hAnsi="Times New Roman" w:cs="Times New Roman"/>
          <w:i/>
          <w:iCs/>
          <w:sz w:val="24"/>
        </w:rPr>
        <w:t>Environmental Technology and Innovation</w:t>
      </w:r>
      <w:r>
        <w:rPr>
          <w:rFonts w:ascii="Times New Roman" w:hAnsi="Times New Roman" w:cs="Times New Roman"/>
          <w:sz w:val="24"/>
        </w:rPr>
        <w:t xml:space="preserve">, </w:t>
      </w:r>
      <w:r>
        <w:rPr>
          <w:rFonts w:ascii="Times New Roman" w:hAnsi="Times New Roman" w:cs="Times New Roman"/>
          <w:i/>
          <w:iCs/>
          <w:sz w:val="24"/>
        </w:rPr>
        <w:t>38</w:t>
      </w:r>
      <w:r>
        <w:rPr>
          <w:rFonts w:ascii="Times New Roman" w:hAnsi="Times New Roman" w:cs="Times New Roman"/>
          <w:sz w:val="24"/>
        </w:rPr>
        <w:t>, 104129. https://doi.org/10.1016/j.eti.2025.104129</w:t>
      </w:r>
    </w:p>
    <w:p w14:paraId="1C8CBF57"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Wijewardane, S., and Santamouris, M. (2025). Smart glazing systems: An industrial outlook. </w:t>
      </w:r>
      <w:r>
        <w:rPr>
          <w:rFonts w:ascii="Times New Roman" w:hAnsi="Times New Roman" w:cs="Times New Roman"/>
          <w:i/>
          <w:iCs/>
          <w:sz w:val="24"/>
        </w:rPr>
        <w:t>Solar Compass</w:t>
      </w:r>
      <w:r>
        <w:rPr>
          <w:rFonts w:ascii="Times New Roman" w:hAnsi="Times New Roman" w:cs="Times New Roman"/>
          <w:sz w:val="24"/>
        </w:rPr>
        <w:t xml:space="preserve">, </w:t>
      </w:r>
      <w:r>
        <w:rPr>
          <w:rFonts w:ascii="Times New Roman" w:hAnsi="Times New Roman" w:cs="Times New Roman"/>
          <w:i/>
          <w:iCs/>
          <w:sz w:val="24"/>
        </w:rPr>
        <w:t>14</w:t>
      </w:r>
      <w:r>
        <w:rPr>
          <w:rFonts w:ascii="Times New Roman" w:hAnsi="Times New Roman" w:cs="Times New Roman"/>
          <w:sz w:val="24"/>
        </w:rPr>
        <w:t>, 100114. https://doi.org/10.1016/j.solcom.2025.100114</w:t>
      </w:r>
    </w:p>
    <w:p w14:paraId="5E9528C5"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Wu, Q., Li, N., Cai, X., He, Y., and Du, Y. (2023). Impact of indoor environmental quality (IEQ) factors on occupants’ environmental perception and satisfaction in hospital wards. </w:t>
      </w:r>
      <w:r>
        <w:rPr>
          <w:rFonts w:ascii="Times New Roman" w:hAnsi="Times New Roman" w:cs="Times New Roman"/>
          <w:i/>
          <w:iCs/>
          <w:sz w:val="24"/>
        </w:rPr>
        <w:t>Building and Environment</w:t>
      </w:r>
      <w:r>
        <w:rPr>
          <w:rFonts w:ascii="Times New Roman" w:hAnsi="Times New Roman" w:cs="Times New Roman"/>
          <w:sz w:val="24"/>
        </w:rPr>
        <w:t xml:space="preserve">, </w:t>
      </w:r>
      <w:r>
        <w:rPr>
          <w:rFonts w:ascii="Times New Roman" w:hAnsi="Times New Roman" w:cs="Times New Roman"/>
          <w:i/>
          <w:iCs/>
          <w:sz w:val="24"/>
        </w:rPr>
        <w:t>245</w:t>
      </w:r>
      <w:r>
        <w:rPr>
          <w:rFonts w:ascii="Times New Roman" w:hAnsi="Times New Roman" w:cs="Times New Roman"/>
          <w:sz w:val="24"/>
        </w:rPr>
        <w:t>, 110918. https://doi.org/10.1016/j.buildenv.2023.110918</w:t>
      </w:r>
    </w:p>
    <w:p w14:paraId="1B4A084D" w14:textId="77777777" w:rsidR="00570128" w:rsidRDefault="00000000">
      <w:pPr>
        <w:pStyle w:val="Bibliography1"/>
        <w:jc w:val="both"/>
        <w:rPr>
          <w:rFonts w:ascii="Times New Roman" w:hAnsi="Times New Roman" w:cs="Times New Roman"/>
          <w:sz w:val="24"/>
        </w:rPr>
      </w:pPr>
      <w:r>
        <w:rPr>
          <w:rFonts w:ascii="Times New Roman" w:hAnsi="Times New Roman" w:cs="Times New Roman"/>
          <w:sz w:val="24"/>
        </w:rPr>
        <w:t xml:space="preserve">Xi, T., Sa’ad, S. U., Liu, X., Sun, H., Wang, M., and Guo, F. (2025). Optimization of Residential Indoor Thermal Environment by Passive Design and Mechanical Ventilation in Tropical Savanna Climate Zone in Nigeria, Africa. </w:t>
      </w:r>
      <w:r>
        <w:rPr>
          <w:rFonts w:ascii="Times New Roman" w:hAnsi="Times New Roman" w:cs="Times New Roman"/>
          <w:i/>
          <w:iCs/>
          <w:sz w:val="24"/>
        </w:rPr>
        <w:t>Energies</w:t>
      </w:r>
      <w:r>
        <w:rPr>
          <w:rFonts w:ascii="Times New Roman" w:hAnsi="Times New Roman" w:cs="Times New Roman"/>
          <w:sz w:val="24"/>
        </w:rPr>
        <w:t xml:space="preserve">, </w:t>
      </w:r>
      <w:r>
        <w:rPr>
          <w:rFonts w:ascii="Times New Roman" w:hAnsi="Times New Roman" w:cs="Times New Roman"/>
          <w:i/>
          <w:iCs/>
          <w:sz w:val="24"/>
        </w:rPr>
        <w:t>18</w:t>
      </w:r>
      <w:r>
        <w:rPr>
          <w:rFonts w:ascii="Times New Roman" w:hAnsi="Times New Roman" w:cs="Times New Roman"/>
          <w:sz w:val="24"/>
        </w:rPr>
        <w:t>(3), 450. https://doi.org/10.3390/en18030450</w:t>
      </w:r>
    </w:p>
    <w:p w14:paraId="022D39AF" w14:textId="77777777" w:rsidR="00570128" w:rsidRDefault="00000000">
      <w:pPr>
        <w:spacing w:after="0" w:line="480" w:lineRule="auto"/>
        <w:ind w:left="360" w:right="374"/>
        <w:jc w:val="both"/>
        <w:rPr>
          <w:rFonts w:ascii="Times New Roman" w:hAnsi="Times New Roman" w:cs="Times New Roman"/>
          <w:sz w:val="24"/>
          <w:szCs w:val="24"/>
        </w:rPr>
      </w:pPr>
      <w:r>
        <w:rPr>
          <w:rFonts w:ascii="Times New Roman" w:hAnsi="Times New Roman" w:cs="Times New Roman"/>
          <w:sz w:val="24"/>
          <w:szCs w:val="24"/>
        </w:rPr>
        <w:fldChar w:fldCharType="end"/>
      </w:r>
    </w:p>
    <w:sectPr w:rsidR="00570128">
      <w:pgSz w:w="11900" w:h="16840"/>
      <w:pgMar w:top="0" w:right="1094" w:bottom="274" w:left="6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98DA" w14:textId="77777777" w:rsidR="00C24173" w:rsidRDefault="00C24173">
      <w:pPr>
        <w:spacing w:line="240" w:lineRule="auto"/>
      </w:pPr>
      <w:r>
        <w:separator/>
      </w:r>
    </w:p>
  </w:endnote>
  <w:endnote w:type="continuationSeparator" w:id="0">
    <w:p w14:paraId="11C9DF88" w14:textId="77777777" w:rsidR="00C24173" w:rsidRDefault="00C241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047241"/>
    </w:sdtPr>
    <w:sdtContent>
      <w:p w14:paraId="283C0F75" w14:textId="77777777" w:rsidR="00570128" w:rsidRDefault="00000000">
        <w:pPr>
          <w:pStyle w:val="Footer"/>
          <w:jc w:val="center"/>
        </w:pPr>
        <w:r>
          <w:fldChar w:fldCharType="begin"/>
        </w:r>
        <w:r>
          <w:instrText xml:space="preserve"> PAGE   \* MERGEFORMAT </w:instrText>
        </w:r>
        <w:r>
          <w:fldChar w:fldCharType="separate"/>
        </w:r>
        <w:r>
          <w:t>2</w:t>
        </w:r>
        <w:r>
          <w:fldChar w:fldCharType="end"/>
        </w:r>
      </w:p>
    </w:sdtContent>
  </w:sdt>
  <w:p w14:paraId="2329C011" w14:textId="77777777" w:rsidR="00570128" w:rsidRDefault="00570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C304" w14:textId="77777777" w:rsidR="00C24173" w:rsidRDefault="00C24173">
      <w:pPr>
        <w:spacing w:after="0"/>
      </w:pPr>
      <w:r>
        <w:separator/>
      </w:r>
    </w:p>
  </w:footnote>
  <w:footnote w:type="continuationSeparator" w:id="0">
    <w:p w14:paraId="4797A430" w14:textId="77777777" w:rsidR="00C24173" w:rsidRDefault="00C241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B46"/>
    <w:multiLevelType w:val="multilevel"/>
    <w:tmpl w:val="003C3B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274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5CD"/>
    <w:rsid w:val="000529E0"/>
    <w:rsid w:val="00052B79"/>
    <w:rsid w:val="000635CD"/>
    <w:rsid w:val="00067010"/>
    <w:rsid w:val="0007533D"/>
    <w:rsid w:val="000A2258"/>
    <w:rsid w:val="000B750E"/>
    <w:rsid w:val="000C7ACC"/>
    <w:rsid w:val="000D0E06"/>
    <w:rsid w:val="001300CE"/>
    <w:rsid w:val="001308FF"/>
    <w:rsid w:val="00144040"/>
    <w:rsid w:val="00153DAE"/>
    <w:rsid w:val="0019076A"/>
    <w:rsid w:val="00193C69"/>
    <w:rsid w:val="00201BEF"/>
    <w:rsid w:val="002075F7"/>
    <w:rsid w:val="00213B66"/>
    <w:rsid w:val="0023277F"/>
    <w:rsid w:val="00235714"/>
    <w:rsid w:val="00294DB7"/>
    <w:rsid w:val="002A4B48"/>
    <w:rsid w:val="002F47E4"/>
    <w:rsid w:val="002F7DAF"/>
    <w:rsid w:val="003249FA"/>
    <w:rsid w:val="003446AC"/>
    <w:rsid w:val="00345456"/>
    <w:rsid w:val="00361AA1"/>
    <w:rsid w:val="00367922"/>
    <w:rsid w:val="00373E1D"/>
    <w:rsid w:val="003A2644"/>
    <w:rsid w:val="003B6C07"/>
    <w:rsid w:val="003D2841"/>
    <w:rsid w:val="003E7B9A"/>
    <w:rsid w:val="0043486F"/>
    <w:rsid w:val="00442F6E"/>
    <w:rsid w:val="00494096"/>
    <w:rsid w:val="004C43A3"/>
    <w:rsid w:val="004D427B"/>
    <w:rsid w:val="004E5068"/>
    <w:rsid w:val="004E6C1B"/>
    <w:rsid w:val="0054104A"/>
    <w:rsid w:val="00543972"/>
    <w:rsid w:val="005514C8"/>
    <w:rsid w:val="00570128"/>
    <w:rsid w:val="00587FD9"/>
    <w:rsid w:val="00595FBE"/>
    <w:rsid w:val="005F1945"/>
    <w:rsid w:val="00647F6C"/>
    <w:rsid w:val="006E42F2"/>
    <w:rsid w:val="006F58C0"/>
    <w:rsid w:val="00707352"/>
    <w:rsid w:val="0072031A"/>
    <w:rsid w:val="00725ABC"/>
    <w:rsid w:val="00786221"/>
    <w:rsid w:val="00787CFD"/>
    <w:rsid w:val="007F0307"/>
    <w:rsid w:val="00803C4E"/>
    <w:rsid w:val="008350A5"/>
    <w:rsid w:val="00842A44"/>
    <w:rsid w:val="00887021"/>
    <w:rsid w:val="008A1394"/>
    <w:rsid w:val="008B1588"/>
    <w:rsid w:val="008D073E"/>
    <w:rsid w:val="008E3370"/>
    <w:rsid w:val="008F0931"/>
    <w:rsid w:val="00911E22"/>
    <w:rsid w:val="00924129"/>
    <w:rsid w:val="00942680"/>
    <w:rsid w:val="0094726E"/>
    <w:rsid w:val="00952A7B"/>
    <w:rsid w:val="00975F8C"/>
    <w:rsid w:val="00986303"/>
    <w:rsid w:val="00A01184"/>
    <w:rsid w:val="00A26764"/>
    <w:rsid w:val="00A540B5"/>
    <w:rsid w:val="00A54455"/>
    <w:rsid w:val="00A65719"/>
    <w:rsid w:val="00A85D77"/>
    <w:rsid w:val="00A95146"/>
    <w:rsid w:val="00B2008A"/>
    <w:rsid w:val="00B21CD5"/>
    <w:rsid w:val="00B916EB"/>
    <w:rsid w:val="00BA523E"/>
    <w:rsid w:val="00BC3211"/>
    <w:rsid w:val="00BD5E3D"/>
    <w:rsid w:val="00C23D41"/>
    <w:rsid w:val="00C24173"/>
    <w:rsid w:val="00C459CC"/>
    <w:rsid w:val="00C479A1"/>
    <w:rsid w:val="00C61209"/>
    <w:rsid w:val="00C82913"/>
    <w:rsid w:val="00CC5CC6"/>
    <w:rsid w:val="00CE79CA"/>
    <w:rsid w:val="00CF1477"/>
    <w:rsid w:val="00D618B5"/>
    <w:rsid w:val="00D72181"/>
    <w:rsid w:val="00D76EAD"/>
    <w:rsid w:val="00D8088E"/>
    <w:rsid w:val="00D81166"/>
    <w:rsid w:val="00DA472E"/>
    <w:rsid w:val="00DE433E"/>
    <w:rsid w:val="00E066D7"/>
    <w:rsid w:val="00E37F87"/>
    <w:rsid w:val="00E53694"/>
    <w:rsid w:val="00E5540D"/>
    <w:rsid w:val="00E60CDC"/>
    <w:rsid w:val="00E906AC"/>
    <w:rsid w:val="00EA7862"/>
    <w:rsid w:val="00EC1995"/>
    <w:rsid w:val="00F20959"/>
    <w:rsid w:val="00F6513E"/>
    <w:rsid w:val="00F779A5"/>
    <w:rsid w:val="00FB72B4"/>
    <w:rsid w:val="00FE2FA1"/>
    <w:rsid w:val="00FF2C74"/>
    <w:rsid w:val="41BD78CA"/>
    <w:rsid w:val="47126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F6BF"/>
  <w15:docId w15:val="{70C0D597-81C0-41F0-9BE7-69201E7D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React-xocs-alternative-link">
    <w:name w:val="React-xocs-alternative-link"/>
    <w:basedOn w:val="DefaultParagraphFont"/>
    <w:uiPriority w:val="99"/>
    <w:qFormat/>
  </w:style>
  <w:style w:type="character" w:customStyle="1" w:styleId="Text">
    <w:name w:val="Text"/>
    <w:basedOn w:val="DefaultParagraphFont"/>
    <w:uiPriority w:val="99"/>
    <w:qFormat/>
  </w:style>
  <w:style w:type="character" w:customStyle="1" w:styleId="ms-1">
    <w:name w:val="ms-1"/>
    <w:basedOn w:val="DefaultParagraphFont"/>
  </w:style>
  <w:style w:type="character" w:customStyle="1" w:styleId="max-w-full">
    <w:name w:val="max-w-full"/>
    <w:basedOn w:val="DefaultParagraphFont"/>
    <w:qFormat/>
  </w:style>
  <w:style w:type="character" w:customStyle="1" w:styleId="-me-1">
    <w:name w:val="-me-1"/>
    <w:basedOn w:val="DefaultParagraphFont"/>
    <w:qFormat/>
  </w:style>
  <w:style w:type="character" w:customStyle="1" w:styleId="uv3um">
    <w:name w:val="uv3um"/>
    <w:basedOn w:val="DefaultParagraphFont"/>
  </w:style>
  <w:style w:type="character" w:customStyle="1" w:styleId="a">
    <w:name w:val="_"/>
    <w:basedOn w:val="DefaultParagraphFont"/>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Bibliography1">
    <w:name w:val="Bibliography1"/>
    <w:basedOn w:val="Normal"/>
    <w:next w:val="Normal"/>
    <w:uiPriority w:val="37"/>
    <w:unhideWhenUsed/>
    <w:qFormat/>
    <w:pPr>
      <w:spacing w:after="0" w:line="480" w:lineRule="auto"/>
      <w:ind w:left="720" w:hanging="720"/>
    </w:p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68280c2e20e84069&amp;sxsrf=AE3TifP4zTgkZnbfAI60gjTa-5StV6Rk0w%3A1754852858621&amp;q=Insulation&amp;sa=X&amp;ved=2ahUKEwiLhuyp-ICPAxUEQUEAHXfbDRYQxccNegQIDxAB&amp;mstk=AUtExfCatPiiJkgn8MbFdEDIRGX97SG1DS5rUB3kPdk3pVQSvVvgmR_5UrZ7jSn-bIsW2cwtAAtClY3vZmlsKQJnOJIfGVjK1bkMySGyiKTckT4WqYvfvLPv83-5g-DEKBoHbbdnukcKAihU_dbX4ZgRm6k1AzPpPD1TJImqFKQRFa1TFNI&amp;csui=3"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s=0&amp;sca_esv=68280c2e20e84069&amp;sxsrf=AE3TifP4zTgkZnbfAI60gjTa-5StV6Rk0w%3A1754852858621&amp;q=Windows+and+Doors&amp;sa=X&amp;ved=2ahUKEwiLhuyp-ICPAxUEQUEAHXfbDRYQxccNegQIDhAB&amp;mstk=AUtExfCatPiiJkgn8MbFdEDIRGX97SG1DS5rUB3kPdk3pVQSvVvgmR_5UrZ7jSn-bIsW2cwtAAtClY3vZmlsKQJnOJIfGVjK1bkMySGyiKTckT4WqYvfvLPv83-5g-DEKBoHbbdnukcKAihU_dbX4ZgRm6k1AzPpPD1TJImqFKQRFa1TFNI&amp;csui=3"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ogle.com/search?cs=0&amp;sca_esv=68280c2e20e84069&amp;sxsrf=AE3TifP4zTgkZnbfAI60gjTa-5StV6Rk0w%3A1754852858621&amp;q=Vapor+Retarder&amp;sa=X&amp;ved=2ahUKEwiLhuyp-ICPAxUEQUEAHXfbDRYQxccNegQIERAB&amp;mstk=AUtExfCatPiiJkgn8MbFdEDIRGX97SG1DS5rUB3kPdk3pVQSvVvgmR_5UrZ7jSn-bIsW2cwtAAtClY3vZmlsKQJnOJIfGVjK1bkMySGyiKTckT4WqYvfvLPv83-5g-DEKBoHbbdnukcKAihU_dbX4ZgRm6k1AzPpPD1TJImqFKQRFa1TFNI&amp;csui=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m/search?cs=0&amp;sca_esv=68280c2e20e84069&amp;sxsrf=AE3TifP4zTgkZnbfAI60gjTa-5StV6Rk0w%3A1754852858621&amp;q=Air+Barrier&amp;sa=X&amp;ved=2ahUKEwiLhuyp-ICPAxUEQUEAHXfbDRYQxccNegQIEBAB&amp;mstk=AUtExfCatPiiJkgn8MbFdEDIRGX97SG1DS5rUB3kPdk3pVQSvVvgmR_5UrZ7jSn-bIsW2cwtAAtClY3vZmlsKQJnOJIfGVjK1bkMySGyiKTckT4WqYvfvLPv83-5g-DEKBoHbbdnukcKAihU_dbX4ZgRm6k1AzPpPD1TJImqFKQRFa1TFNI&amp;csui=3"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Nim221</b:Tag>
    <b:SourceType>JournalArticle</b:SourceType>
    <b:Guid>{C6CF82A4-DEF3-4C77-B02A-0A18050ED36B}</b:Guid>
    <b:Author>
      <b:Author>
        <b:NameList>
          <b:Person>
            <b:Last>Nimlyat</b:Last>
            <b:First>Pontip.</b:First>
          </b:Person>
        </b:NameList>
      </b:Author>
    </b:Author>
    <b:Title>The impact of indoor environmental quality (IEQ) on patients' health and comfort in Nigeria.</b:Title>
    <b:JournalName> International Journal of Building Pathology and Adaptation</b:JournalName>
    <b:Year> 2022</b:Year>
    <b:RefOrder>1</b:RefOrder>
  </b:Source>
  <b:Source>
    <b:Tag>Ele24</b:Tag>
    <b:SourceType>JournalArticle</b:SourceType>
    <b:Guid>{362CCD49-2E84-4F10-AE9A-C03CE3DE27BF}</b:Guid>
    <b:Author>
      <b:Author>
        <b:Corporate>Elegbede, O. T. and Akinbile, B. F.</b:Corporate>
      </b:Author>
    </b:Author>
    <b:Title>Perception of professionals on factors influencing skilled labor shortages in the Nigerian</b:Title>
    <b:JournalName>Journal of Civil Engineering and Construction</b:JournalName>
    <b:Year>2024</b:Year>
    <b:RefOrder>3</b:RefOrder>
  </b:Source>
  <b:Source>
    <b:Tag>Joh25</b:Tag>
    <b:SourceType>JournalArticle</b:SourceType>
    <b:Guid>{D0903B46-D51A-4755-AFC8-10F2A501A8B0}</b:Guid>
    <b:Author>
      <b:Author>
        <b:Corporate>John Agmada Bawa, and Muhammad Ahmed Ismaila</b:Corporate>
      </b:Author>
    </b:Author>
    <b:Title>An Assessment of the Impact of Poor Indoor Air Quality on Public Health in Nigerian Urban Environments; Case Study of FCT,</b:Title>
    <b:JournalName>INTERNATIONAL JOURNAL OF LATEST TECHNOLOGY IN ENGINEERING, MANAGEMENT &amp; APPLIED SCIENCE (IJLTEMAS</b:JournalName>
    <b:Year>2025</b:Year>
    <b:RefOrder>4</b:RefOrder>
  </b:Source>
  <b:Source>
    <b:Tag>Tar21</b:Tag>
    <b:SourceType>JournalArticle</b:SourceType>
    <b:Guid>{8AB4BC45-38A2-41C9-81EC-4DFD4A4840FE}</b:Guid>
    <b:Author>
      <b:Author>
        <b:NameList>
          <b:Person>
            <b:Last>Ahmed</b:Last>
            <b:First>Tariq</b:First>
          </b:Person>
        </b:NameList>
      </b:Author>
    </b:Author>
    <b:Title>Natural ventilation in warm climates: The challenges of thermal comfort, heatwave resilience and indoor air quality .</b:Title>
    <b:JournalName>Renewable and Sustainable Energy Reviews </b:JournalName>
    <b:Year>2021</b:Year>
    <b:RefOrder>5</b:RefOrder>
  </b:Source>
  <b:Source>
    <b:Tag>Bea14</b:Tag>
    <b:SourceType>JournalArticle</b:SourceType>
    <b:Guid>{D811A365-9BAC-45D6-B340-F574B8B3D939}</b:Guid>
    <b:Author>
      <b:Author>
        <b:Corporate>Beatriz Rodríguez-Soria, Javier Domínguez-Hernánde, José M. Pérez-Bella and  Juan J. del Coz-Díaz </b:Corporate>
      </b:Author>
    </b:Author>
    <b:Title>Review of international regulations governing the thermal insulation requirements of residential buildings and the harmonization of envelope energy loss</b:Title>
    <b:JournalName>Renewable and Sustainable Energy Reviews</b:JournalName>
    <b:Year>2014</b:Year>
    <b:RefOrder>6</b:RefOrder>
  </b:Source>
  <b:Source>
    <b:Tag>Nam24</b:Tag>
    <b:SourceType>JournalArticle</b:SourceType>
    <b:Guid>{C5AF5AB5-91E8-4753-93D5-64942D99CE99}</b:Guid>
    <b:Author>
      <b:Author>
        <b:NameList>
          <b:Person>
            <b:Last>Prisca</b:Last>
            <b:First>Nampiima</b:First>
          </b:Person>
        </b:NameList>
      </b:Author>
    </b:Author>
    <b:Title>Nanomaterials for Environmental Remediation: Cleaning up Pollutants</b:Title>
    <b:JournalName>Research Output Journal of Engineering and Scientific</b:JournalName>
    <b:Year>2024</b:Year>
    <b:RefOrder>7</b:RefOrder>
  </b:Source>
  <b:Source>
    <b:Tag>Bre24</b:Tag>
    <b:SourceType>JournalArticle</b:SourceType>
    <b:Guid>{B77FEAA6-B489-4AD6-89EC-CDCC7D5C8141}</b:Guid>
    <b:Author>
      <b:Author>
        <b:Corporate>Brenda V.F., Jens Bo Holm-Nielsen, Sasan Sadrizadeh, and Mavd P.R. </b:Corporate>
      </b:Author>
    </b:Author>
    <b:Title>Sustainable, green, or smart? Pathways for energy-efficient healthcare buildings</b:Title>
    <b:JournalName>Sustainable Cities and Society</b:JournalName>
    <b:Year>2024</b:Year>
    <b:RefOrder>2</b:RefOrder>
  </b:Source>
  <b:Source>
    <b:Tag>Noo25</b:Tag>
    <b:SourceType>ArticleInAPeriodical</b:SourceType>
    <b:Guid>{570FB866-4334-4826-B4FB-E0DB191C9A22}</b:Guid>
    <b:Title>Sustainability Satellites</b:Title>
    <b:Year>2025</b:Year>
    <b:Author>
      <b:Author>
        <b:NameList>
          <b:Person>
            <b:Last>Noo</b:Last>
          </b:Person>
        </b:NameList>
      </b:Author>
    </b:Author>
    <b:PeriodicalTitle> Sustainability Directory</b:PeriodicalTitle>
    <b:Month>Febuary</b:Month>
    <b:Day>28</b:Day>
    <b:RefOrder>9</b:RefOrder>
  </b:Source>
  <b:Source>
    <b:Tag>Tra24</b:Tag>
    <b:SourceType>JournalArticle</b:SourceType>
    <b:Guid>{72A66214-7561-4695-9E78-77C26A1C19DA}</b:Guid>
    <b:Title>Artificial Intelligence in HVAC Industry</b:Title>
    <b:Year>2024</b:Year>
    <b:Author>
      <b:Author>
        <b:NameList>
          <b:Person>
            <b:Last>Trane</b:Last>
          </b:Person>
        </b:NameList>
      </b:Author>
    </b:Author>
    <b:JournalName> ENGINEERS NEWSLETTER</b:JournalName>
    <b:RefOrder>8</b:RefOrder>
  </b:Source>
</b:Sources>
</file>

<file path=customXml/itemProps1.xml><?xml version="1.0" encoding="utf-8"?>
<ds:datastoreItem xmlns:ds="http://schemas.openxmlformats.org/officeDocument/2006/customXml" ds:itemID="{97F3503B-7BD9-43B1-971C-A8A203C9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13795</Words>
  <Characters>78638</Characters>
  <Application>Microsoft Office Word</Application>
  <DocSecurity>0</DocSecurity>
  <Lines>655</Lines>
  <Paragraphs>184</Paragraphs>
  <ScaleCrop>false</ScaleCrop>
  <Company/>
  <LinksUpToDate>false</LinksUpToDate>
  <CharactersWithSpaces>92249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gbemi ayankola</dc:creator>
  <cp:lastModifiedBy>theaisha1707@gmail.com</cp:lastModifiedBy>
  <cp:revision>15</cp:revision>
  <cp:lastPrinted>2025-08-29T15:47:00Z</cp:lastPrinted>
  <dcterms:created xsi:type="dcterms:W3CDTF">2025-08-29T11:42:00Z</dcterms:created>
  <dcterms:modified xsi:type="dcterms:W3CDTF">2026-04-30T05:41:00Z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id="9a8AF4y9"/&gt;&lt;style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1033-12.2.0.23196</vt:lpwstr>
  </property>
  <property fmtid="{D5CDD505-2E9C-101B-9397-08002B2CF9AE}" pid="5" name="ICV">
    <vt:lpwstr>57E94AEA87CC4F578F4F3DD64B2A7416_12</vt:lpwstr>
  </property>
</Properties>
</file>