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3B3E" w14:textId="68BCFF23" w:rsidR="00B70C9E" w:rsidRPr="008E4EF8" w:rsidRDefault="000C51B3" w:rsidP="000C51B3">
      <w:pPr>
        <w:spacing w:line="240" w:lineRule="auto"/>
        <w:jc w:val="center"/>
        <w:rPr>
          <w:rFonts w:ascii="Times New Roman" w:hAnsi="Times New Roman" w:cs="Times New Roman"/>
          <w:b/>
          <w:bCs/>
          <w:sz w:val="36"/>
          <w:szCs w:val="36"/>
        </w:rPr>
      </w:pPr>
      <w:r w:rsidRPr="008E4EF8">
        <w:rPr>
          <w:rFonts w:ascii="Times New Roman" w:hAnsi="Times New Roman" w:cs="Times New Roman"/>
          <w:b/>
          <w:bCs/>
          <w:sz w:val="36"/>
          <w:szCs w:val="36"/>
        </w:rPr>
        <w:t>SOIL TESTING TECHNIQUES: CONSTRAINTS AND INTELLIGENT AGRICULTURAL DIRECTIONS</w:t>
      </w:r>
    </w:p>
    <w:p w14:paraId="48F31391" w14:textId="77777777" w:rsidR="004E0740" w:rsidRPr="008E4EF8" w:rsidRDefault="004E0740" w:rsidP="0012204C">
      <w:pPr>
        <w:spacing w:line="240" w:lineRule="auto"/>
        <w:jc w:val="both"/>
        <w:rPr>
          <w:rFonts w:ascii="Times New Roman" w:hAnsi="Times New Roman" w:cs="Times New Roman"/>
          <w:b/>
          <w:bCs/>
          <w:sz w:val="28"/>
          <w:szCs w:val="28"/>
        </w:rPr>
      </w:pPr>
    </w:p>
    <w:p w14:paraId="13114F97" w14:textId="06F0FE9F" w:rsidR="004E0740" w:rsidRPr="008E4EF8" w:rsidRDefault="004E0740" w:rsidP="0012204C">
      <w:pPr>
        <w:spacing w:line="240" w:lineRule="auto"/>
        <w:jc w:val="both"/>
        <w:rPr>
          <w:rFonts w:ascii="Times New Roman" w:hAnsi="Times New Roman" w:cs="Times New Roman"/>
          <w:b/>
          <w:bCs/>
          <w:sz w:val="28"/>
          <w:szCs w:val="28"/>
        </w:rPr>
      </w:pPr>
      <w:r w:rsidRPr="008E4EF8">
        <w:rPr>
          <w:rFonts w:ascii="Times New Roman" w:hAnsi="Times New Roman" w:cs="Times New Roman"/>
          <w:b/>
          <w:bCs/>
          <w:sz w:val="28"/>
          <w:szCs w:val="28"/>
        </w:rPr>
        <w:t>ABSTRACT</w:t>
      </w:r>
    </w:p>
    <w:p w14:paraId="2CF4F1A6" w14:textId="77777777" w:rsidR="00F52EAD" w:rsidRPr="00F52EAD" w:rsidRDefault="00F52EAD" w:rsidP="00F52EAD">
      <w:pPr>
        <w:spacing w:line="240" w:lineRule="auto"/>
        <w:jc w:val="both"/>
        <w:rPr>
          <w:rFonts w:ascii="Times New Roman" w:hAnsi="Times New Roman" w:cs="Times New Roman"/>
          <w:szCs w:val="24"/>
        </w:rPr>
      </w:pPr>
      <w:r w:rsidRPr="00F52EAD">
        <w:rPr>
          <w:rFonts w:ascii="Times New Roman" w:hAnsi="Times New Roman" w:cs="Times New Roman"/>
          <w:szCs w:val="24"/>
        </w:rPr>
        <w:t>Maintaining soil fertility is central to sustaining crop yields, managing input costs, and protecting the ecological balance of agricultural land. Soil testing serves as the primary scientific means through which farmers and agronomists gather the data needed to make informed decisions about nutrient application and land use. Parameters such as pH, nitrogen, phosphorus, potassium, organic carbon, and electrical conductivity form the foundation of any meaningful fertility assessment, directly shaping fertilizer strategies and crop planning outcomes. In practice, however, the systems currently in place for soil analysis have not kept pace with the scale and complexity of modern agricultural demands.</w:t>
      </w:r>
    </w:p>
    <w:p w14:paraId="4BE74B44" w14:textId="77777777" w:rsidR="00F52EAD" w:rsidRPr="00F52EAD" w:rsidRDefault="00F52EAD" w:rsidP="00F52EAD">
      <w:pPr>
        <w:spacing w:line="240" w:lineRule="auto"/>
        <w:jc w:val="both"/>
        <w:rPr>
          <w:rFonts w:ascii="Times New Roman" w:hAnsi="Times New Roman" w:cs="Times New Roman"/>
          <w:szCs w:val="24"/>
        </w:rPr>
      </w:pPr>
      <w:r w:rsidRPr="00F52EAD">
        <w:rPr>
          <w:rFonts w:ascii="Times New Roman" w:hAnsi="Times New Roman" w:cs="Times New Roman"/>
          <w:szCs w:val="24"/>
        </w:rPr>
        <w:t>Most testing continues to be carried out in centralized government or private laboratories, where samples must be physically transported, processed through standardized chemical procedures, and returned to farmers in the form of reports that are often difficult to act on without technical guidance. Procedural delays, geographic inaccessibility, and the limited interpretability of nutrient data remain persistent barriers to widespread adoption, particularly among smallholder farming communities.</w:t>
      </w:r>
    </w:p>
    <w:p w14:paraId="0F06C81C" w14:textId="2CAD79EA" w:rsidR="000C51B3" w:rsidRPr="00A46D85" w:rsidRDefault="00F52EAD" w:rsidP="0012204C">
      <w:pPr>
        <w:spacing w:line="240" w:lineRule="auto"/>
        <w:jc w:val="both"/>
        <w:rPr>
          <w:rFonts w:ascii="Times New Roman" w:hAnsi="Times New Roman" w:cs="Times New Roman"/>
          <w:szCs w:val="24"/>
        </w:rPr>
      </w:pPr>
      <w:r w:rsidRPr="00F52EAD">
        <w:rPr>
          <w:rFonts w:ascii="Times New Roman" w:hAnsi="Times New Roman" w:cs="Times New Roman"/>
          <w:szCs w:val="24"/>
        </w:rPr>
        <w:t>This paper reviews the structure and functioning of existing soil testing frameworks, examining laboratory organization, operational workflows, and result communication practices. Particular attention is given to the gap between data availability and practical decision-making at the farm level. The review further explores how portable sensing technologies, IoT-enabled data collection, and intelligent recommendation systems might address these shortcomings and support a transition toward more accessible, farmer-centric soil health solutions.</w:t>
      </w:r>
    </w:p>
    <w:p w14:paraId="1527650E" w14:textId="409AC2FB" w:rsidR="00842645" w:rsidRPr="008E4EF8" w:rsidRDefault="00CA0D3F" w:rsidP="008E4EF8">
      <w:pPr>
        <w:spacing w:before="240" w:after="240" w:line="240" w:lineRule="auto"/>
        <w:jc w:val="both"/>
        <w:rPr>
          <w:rFonts w:ascii="Times New Roman" w:hAnsi="Times New Roman" w:cs="Times New Roman"/>
          <w:szCs w:val="24"/>
        </w:rPr>
      </w:pPr>
      <w:r w:rsidRPr="008E4EF8">
        <w:rPr>
          <w:rFonts w:ascii="Times New Roman" w:hAnsi="Times New Roman" w:cs="Times New Roman"/>
          <w:b/>
          <w:bCs/>
          <w:szCs w:val="24"/>
        </w:rPr>
        <w:t>“Keywords:”</w:t>
      </w:r>
      <w:r w:rsidR="0011665D" w:rsidRPr="008E4EF8">
        <w:rPr>
          <w:rFonts w:ascii="Times New Roman" w:hAnsi="Times New Roman" w:cs="Times New Roman"/>
          <w:b/>
          <w:bCs/>
          <w:szCs w:val="24"/>
        </w:rPr>
        <w:t xml:space="preserve"> </w:t>
      </w:r>
      <w:r w:rsidR="008E4EF8" w:rsidRPr="008E4EF8">
        <w:rPr>
          <w:rFonts w:ascii="Times New Roman" w:hAnsi="Times New Roman" w:cs="Times New Roman"/>
          <w:szCs w:val="24"/>
        </w:rPr>
        <w:t>Soil Testing, Soil Health, Precision Agriculture, Sustainable Agriculture, IoT, Decision Support Systems</w:t>
      </w:r>
      <w:r w:rsidR="00F52EAD">
        <w:rPr>
          <w:rFonts w:ascii="Times New Roman" w:hAnsi="Times New Roman" w:cs="Times New Roman"/>
          <w:szCs w:val="24"/>
        </w:rPr>
        <w:t>.</w:t>
      </w:r>
    </w:p>
    <w:p w14:paraId="744236C5" w14:textId="77777777" w:rsidR="0081183B" w:rsidRPr="008E4EF8" w:rsidRDefault="008140B4" w:rsidP="0081183B">
      <w:pPr>
        <w:spacing w:before="240" w:after="240" w:line="240" w:lineRule="auto"/>
        <w:jc w:val="both"/>
        <w:rPr>
          <w:rFonts w:ascii="Times New Roman" w:hAnsi="Times New Roman" w:cs="Times New Roman"/>
          <w:b/>
          <w:bCs/>
          <w:sz w:val="28"/>
          <w:szCs w:val="28"/>
        </w:rPr>
      </w:pPr>
      <w:r w:rsidRPr="008E4EF8">
        <w:rPr>
          <w:rFonts w:ascii="Times New Roman" w:hAnsi="Times New Roman" w:cs="Times New Roman"/>
          <w:b/>
          <w:bCs/>
          <w:sz w:val="28"/>
          <w:szCs w:val="28"/>
        </w:rPr>
        <w:t>INTRODUCTION</w:t>
      </w:r>
    </w:p>
    <w:p w14:paraId="29F468BE" w14:textId="51DF07FC" w:rsidR="000C51B3" w:rsidRPr="008E4EF8" w:rsidRDefault="000C51B3" w:rsidP="0081183B">
      <w:pPr>
        <w:spacing w:before="240" w:after="240" w:line="240" w:lineRule="auto"/>
        <w:jc w:val="both"/>
        <w:rPr>
          <w:rFonts w:ascii="Times New Roman" w:hAnsi="Times New Roman" w:cs="Times New Roman"/>
          <w:b/>
          <w:bCs/>
          <w:sz w:val="28"/>
          <w:szCs w:val="28"/>
        </w:rPr>
      </w:pPr>
      <w:r w:rsidRPr="008E4EF8">
        <w:rPr>
          <w:rFonts w:ascii="Times New Roman" w:hAnsi="Times New Roman" w:cs="Times New Roman"/>
          <w:b/>
          <w:bCs/>
          <w:szCs w:val="24"/>
          <w:lang w:val="en"/>
        </w:rPr>
        <w:t>SOIL NUTRIENT ANALYSIS</w:t>
      </w:r>
    </w:p>
    <w:p w14:paraId="11C5E798" w14:textId="2B3C16CF"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Agriculture remains the backbone of food security and rural economies, particularly in developing countries where crop productivity is closely linked to soil fertility and resource management. Increasing global food demand, climate variability, and continuous cultivation practices have intensified pressure on agricultural lands, resulting in nutrient depletion, soil degradation, and declining productivity. In this context, soil testing has emerged as a fundamental scientific tool for assessing soil fertility status and enabling data-driven nutrient management.</w:t>
      </w:r>
    </w:p>
    <w:p w14:paraId="3526F408" w14:textId="77777777" w:rsidR="0081183B"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Soil testing provides quantitative information regarding soil chemical and physical properties such as pH, nitrogen, phosphorus, potassium, organic carbon, and salinity levels. These parameters directly influence crop growth, fertilizer efficiency, and long-term soil health. Accurate soil analysis allows farmers and agronomists to adopt balanced fertilizer strategies, reduce unnecessary input costs, and improve overall agricultural sustainability.</w:t>
      </w:r>
    </w:p>
    <w:p w14:paraId="33D0F1B3" w14:textId="20FD6C0D"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Conventional soil testing systems primarily rely on centralized laboratory-based analysis using standardized chemical procedures and specialized instrumentation. While such methods ensure high accuracy and reliability, they are often associated with structural challenges including time delays, accessibility constraints, procedural complexity, and limited interpretability of results. Farmers frequently encounter difficulties related to sample submission, travel requirements, report collection, and understanding numerical outputs that may not directly translate into actionable agricultural decisions.</w:t>
      </w:r>
    </w:p>
    <w:p w14:paraId="71D534C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Furthermore, existing soil testing frameworks largely emphasize nutrient quantification and fertilizer recommendations, with comparatively limited integration of holistic, sustainability-oriented guidance or real-time decision support mechanisms. As agriculture increasingly moves toward precision-based and technology-driven approaches, there is a growing need to re-evaluate the existing soil testing ecosystem and explore innovative directions that enhance accessibility, efficiency, and practical usability.</w:t>
      </w:r>
    </w:p>
    <w:p w14:paraId="59E5C1C3" w14:textId="326CB16C"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This paper presents a comprehensive review of the current soil testing scenario, including methodologies, laboratory infrastructure, procedural workflows, and operational limitations. The study critically analyses existing challenges and identifies research gaps that hinder large-scale adoption and effectiveness. Additionally, emerging technological </w:t>
      </w:r>
      <w:r w:rsidRPr="008E4EF8">
        <w:rPr>
          <w:rFonts w:ascii="Times New Roman" w:hAnsi="Times New Roman" w:cs="Times New Roman"/>
          <w:szCs w:val="24"/>
        </w:rPr>
        <w:lastRenderedPageBreak/>
        <w:t>directions aimed at modernizing soil testing practices are discussed, highlighting the potential transition toward decentralized, intelligent, and farmer-centric soil analysis systems.</w:t>
      </w:r>
    </w:p>
    <w:p w14:paraId="6E447DA1" w14:textId="0EDF3FE6" w:rsidR="000C51B3" w:rsidRPr="008E4EF8" w:rsidRDefault="000C51B3" w:rsidP="000C51B3">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SOIL TESTING: CONCEPTS AND FUNDAMENTALS</w:t>
      </w:r>
    </w:p>
    <w:p w14:paraId="54946A4B" w14:textId="184E8EF2" w:rsidR="000C51B3" w:rsidRPr="008E4EF8" w:rsidRDefault="008E4EF8" w:rsidP="000C51B3">
      <w:pPr>
        <w:spacing w:line="240" w:lineRule="auto"/>
        <w:jc w:val="both"/>
        <w:rPr>
          <w:rFonts w:ascii="Times New Roman" w:hAnsi="Times New Roman" w:cs="Times New Roman"/>
          <w:b/>
          <w:bCs/>
          <w:szCs w:val="24"/>
          <w:lang w:val="en"/>
        </w:rPr>
      </w:pPr>
      <w:r>
        <w:rPr>
          <w:rFonts w:ascii="Times New Roman" w:hAnsi="Times New Roman" w:cs="Times New Roman"/>
          <w:b/>
          <w:bCs/>
          <w:szCs w:val="24"/>
          <w:lang w:val="en"/>
        </w:rPr>
        <w:t>D</w:t>
      </w:r>
      <w:r w:rsidR="0081183B" w:rsidRPr="008E4EF8">
        <w:rPr>
          <w:rFonts w:ascii="Times New Roman" w:hAnsi="Times New Roman" w:cs="Times New Roman"/>
          <w:b/>
          <w:bCs/>
          <w:szCs w:val="24"/>
          <w:lang w:val="en"/>
        </w:rPr>
        <w:t>efinition and objectives of soil testing</w:t>
      </w:r>
    </w:p>
    <w:p w14:paraId="5CBEB32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Soil testing is a scientific process involving the collection, preparation, and laboratory analysis of soil samples to determine their nutrient content and physio-chemical characteristics relevant to crop growth. The primary objective of soil testing is to assess soil fertility status and provide recommendations for balanced nutrient application, crop suitability, and long-term soil management practices </w:t>
      </w:r>
      <w:r w:rsidRPr="008E4EF8">
        <w:rPr>
          <w:rFonts w:ascii="Times New Roman" w:hAnsi="Times New Roman" w:cs="Times New Roman"/>
          <w:szCs w:val="24"/>
          <w:vertAlign w:val="superscript"/>
          <w:lang w:val="en"/>
        </w:rPr>
        <w:t>[1], [2].</w:t>
      </w:r>
    </w:p>
    <w:p w14:paraId="1AEC05A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Soil testing plays a crucial role in improving fertilizer efficiency, minimizing environmental degradation, and enhancing agricultural productivity through informed nutrient management strategies </w:t>
      </w:r>
      <w:r w:rsidRPr="008E4EF8">
        <w:rPr>
          <w:rFonts w:ascii="Times New Roman" w:hAnsi="Times New Roman" w:cs="Times New Roman"/>
          <w:szCs w:val="24"/>
          <w:vertAlign w:val="superscript"/>
          <w:lang w:val="en"/>
        </w:rPr>
        <w:t>[3].</w:t>
      </w:r>
    </w:p>
    <w:p w14:paraId="6BA1EF18" w14:textId="3DAA20BE" w:rsidR="000C51B3" w:rsidRPr="008E4EF8" w:rsidRDefault="008E4EF8" w:rsidP="000C51B3">
      <w:pPr>
        <w:spacing w:line="240" w:lineRule="auto"/>
        <w:jc w:val="both"/>
        <w:rPr>
          <w:rFonts w:ascii="Times New Roman" w:hAnsi="Times New Roman" w:cs="Times New Roman"/>
          <w:b/>
          <w:bCs/>
          <w:szCs w:val="24"/>
        </w:rPr>
      </w:pPr>
      <w:r>
        <w:rPr>
          <w:rFonts w:ascii="Times New Roman" w:hAnsi="Times New Roman" w:cs="Times New Roman"/>
          <w:b/>
          <w:bCs/>
          <w:szCs w:val="24"/>
        </w:rPr>
        <w:t>C</w:t>
      </w:r>
      <w:r w:rsidR="0081183B" w:rsidRPr="008E4EF8">
        <w:rPr>
          <w:rFonts w:ascii="Times New Roman" w:hAnsi="Times New Roman" w:cs="Times New Roman"/>
          <w:b/>
          <w:bCs/>
          <w:szCs w:val="24"/>
        </w:rPr>
        <w:t>lassification of soil testing</w:t>
      </w:r>
    </w:p>
    <w:p w14:paraId="3E5E6F98"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Soil testing in agricultural practice can be broadly classified into chemical, physical, and biological analysis.</w:t>
      </w:r>
    </w:p>
    <w:p w14:paraId="3AB0F7A4" w14:textId="50106B5E" w:rsidR="0012204C"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Chemical Analysis: Chemical soil testing focuses on determining nutrient availability and soil reaction. Common parameters include soil pH, electrical conductivity (EC), macronutrients (N, P, K), secondary nutrients, and micronutrients. These parameters directly influence nutrient uptake and fertilizer response in crops </w:t>
      </w:r>
      <w:r w:rsidRPr="008E4EF8">
        <w:rPr>
          <w:rFonts w:ascii="Times New Roman" w:hAnsi="Times New Roman" w:cs="Times New Roman"/>
          <w:szCs w:val="24"/>
          <w:vertAlign w:val="superscript"/>
        </w:rPr>
        <w:t>[2], [4].</w:t>
      </w:r>
    </w:p>
    <w:p w14:paraId="575EF5A6" w14:textId="221B60DB"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Physical Analysis: Physical soil testing evaluates properties such as texture, moisture retention capacity, bulk density, and temperature. These factors influence water movement, root penetration, aeration, and nutrient mobility within the soil profile </w:t>
      </w:r>
      <w:r w:rsidRPr="008E4EF8">
        <w:rPr>
          <w:rFonts w:ascii="Times New Roman" w:hAnsi="Times New Roman" w:cs="Times New Roman"/>
          <w:szCs w:val="24"/>
          <w:vertAlign w:val="superscript"/>
        </w:rPr>
        <w:t>[5].</w:t>
      </w:r>
    </w:p>
    <w:p w14:paraId="09497808" w14:textId="3CF67B82" w:rsidR="00E014C9" w:rsidRPr="00E014C9" w:rsidRDefault="000C51B3" w:rsidP="00E014C9">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Biological Analysis: </w:t>
      </w:r>
      <w:r w:rsidR="00E014C9" w:rsidRPr="00E014C9">
        <w:rPr>
          <w:rFonts w:ascii="Times New Roman" w:hAnsi="Times New Roman" w:cs="Times New Roman"/>
          <w:szCs w:val="24"/>
        </w:rPr>
        <w:t xml:space="preserve">Biological soil testing evaluates the living components of soil that drive long-term fertility and ecosystem function. It examines </w:t>
      </w:r>
      <w:r w:rsidR="00E014C9" w:rsidRPr="00E014C9">
        <w:rPr>
          <w:rFonts w:ascii="Times New Roman" w:hAnsi="Times New Roman" w:cs="Times New Roman"/>
          <w:b/>
          <w:bCs/>
          <w:szCs w:val="24"/>
        </w:rPr>
        <w:t>s</w:t>
      </w:r>
      <w:r w:rsidR="00E014C9" w:rsidRPr="00E014C9">
        <w:rPr>
          <w:rFonts w:ascii="Times New Roman" w:hAnsi="Times New Roman" w:cs="Times New Roman"/>
          <w:szCs w:val="24"/>
        </w:rPr>
        <w:t>oil organic matter (SOM), which serves as the foundation for nutrient cycling and moisture retention. Microbial activity including bacteria, fungi, and other microorganisms is assessed because these organisms decompose organic material, release nutrients, and maintain soil structure.</w:t>
      </w:r>
    </w:p>
    <w:p w14:paraId="628E7B3C" w14:textId="77777777" w:rsidR="00E014C9" w:rsidRPr="00E014C9" w:rsidRDefault="00E014C9" w:rsidP="00E014C9">
      <w:pPr>
        <w:spacing w:line="240" w:lineRule="auto"/>
        <w:jc w:val="both"/>
        <w:rPr>
          <w:rFonts w:ascii="Times New Roman" w:hAnsi="Times New Roman" w:cs="Times New Roman"/>
          <w:szCs w:val="24"/>
        </w:rPr>
      </w:pPr>
      <w:r w:rsidRPr="00E014C9">
        <w:rPr>
          <w:rFonts w:ascii="Times New Roman" w:hAnsi="Times New Roman" w:cs="Times New Roman"/>
          <w:szCs w:val="24"/>
        </w:rPr>
        <w:t>Carbon dynamics are also central, tracking how carbon moves through soil systems, influencing both fertility and climate resilience. Key indicators include microbial biomass carbon, respiration rates, and enzymatic activity.</w:t>
      </w:r>
    </w:p>
    <w:p w14:paraId="7102D84A" w14:textId="710AE2B1" w:rsidR="000C51B3" w:rsidRPr="008E4EF8" w:rsidRDefault="00E014C9" w:rsidP="000C51B3">
      <w:pPr>
        <w:spacing w:line="240" w:lineRule="auto"/>
        <w:jc w:val="both"/>
        <w:rPr>
          <w:rFonts w:ascii="Times New Roman" w:hAnsi="Times New Roman" w:cs="Times New Roman"/>
          <w:szCs w:val="24"/>
        </w:rPr>
      </w:pPr>
      <w:r w:rsidRPr="00E014C9">
        <w:rPr>
          <w:rFonts w:ascii="Times New Roman" w:hAnsi="Times New Roman" w:cs="Times New Roman"/>
          <w:szCs w:val="24"/>
        </w:rPr>
        <w:t>Unlike chemical testing, biological analysis captures the functional health of soil rather than just its nutrient snapshot. It is increasingly integrated into sustainability planning, helping farmers make decisions that preserve soil vitality across generations rather than optimizing for short-term yields alone.</w:t>
      </w:r>
      <w:r>
        <w:rPr>
          <w:rFonts w:ascii="Times New Roman" w:hAnsi="Times New Roman" w:cs="Times New Roman"/>
          <w:szCs w:val="24"/>
        </w:rPr>
        <w:t xml:space="preserve"> </w:t>
      </w:r>
      <w:r w:rsidRPr="00E014C9">
        <w:rPr>
          <w:rFonts w:ascii="Times New Roman" w:hAnsi="Times New Roman" w:cs="Times New Roman"/>
          <w:szCs w:val="24"/>
          <w:vertAlign w:val="superscript"/>
        </w:rPr>
        <w:t>[6]</w:t>
      </w:r>
    </w:p>
    <w:p w14:paraId="153079CF" w14:textId="7F47FD30" w:rsidR="000C51B3" w:rsidRPr="008E4EF8" w:rsidRDefault="008E4EF8" w:rsidP="000C51B3">
      <w:pPr>
        <w:spacing w:line="240" w:lineRule="auto"/>
        <w:jc w:val="both"/>
        <w:rPr>
          <w:rFonts w:ascii="Times New Roman" w:hAnsi="Times New Roman" w:cs="Times New Roman"/>
          <w:b/>
          <w:bCs/>
          <w:szCs w:val="24"/>
        </w:rPr>
      </w:pPr>
      <w:r>
        <w:rPr>
          <w:rFonts w:ascii="Times New Roman" w:hAnsi="Times New Roman" w:cs="Times New Roman"/>
          <w:b/>
          <w:bCs/>
          <w:szCs w:val="24"/>
        </w:rPr>
        <w:t>P</w:t>
      </w:r>
      <w:r w:rsidR="0081183B" w:rsidRPr="008E4EF8">
        <w:rPr>
          <w:rFonts w:ascii="Times New Roman" w:hAnsi="Times New Roman" w:cs="Times New Roman"/>
          <w:b/>
          <w:bCs/>
          <w:szCs w:val="24"/>
        </w:rPr>
        <w:t>arameters commonly tested in agricultural soil laboratories</w:t>
      </w:r>
    </w:p>
    <w:p w14:paraId="7FBDB57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Routine soil testing programs in India and globally typically include measurement of soil pH, electrical conductivity (EC), organic carbon (OC), available nitrogen (N), available phosphorus (P), available potassium (K), and selected micronutrients such as zinc and iron </w:t>
      </w:r>
      <w:r w:rsidRPr="008E4EF8">
        <w:rPr>
          <w:rFonts w:ascii="Times New Roman" w:hAnsi="Times New Roman" w:cs="Times New Roman"/>
          <w:szCs w:val="24"/>
          <w:vertAlign w:val="superscript"/>
        </w:rPr>
        <w:t>[2], [7].</w:t>
      </w:r>
    </w:p>
    <w:p w14:paraId="6CA8A77B" w14:textId="4038EAC6"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These parameters form the basis of fertilizer recommendation frameworks and balanced nutrient management strategies. Studies analysing the soil testing scenario in India highlight that improper or imbalanced fertilizer use is often linked to inadequate soil testing coverage and interpretation of nutrient status, thereby emphasizing the importance of systematic soil analysis in sustainable agricultural development </w:t>
      </w:r>
      <w:r w:rsidRPr="008E4EF8">
        <w:rPr>
          <w:rFonts w:ascii="Times New Roman" w:hAnsi="Times New Roman" w:cs="Times New Roman"/>
          <w:szCs w:val="24"/>
          <w:vertAlign w:val="superscript"/>
        </w:rPr>
        <w:t>[7].</w:t>
      </w:r>
    </w:p>
    <w:p w14:paraId="1D2E1CD0" w14:textId="77777777" w:rsidR="000C51B3" w:rsidRPr="008E4EF8" w:rsidRDefault="000C51B3" w:rsidP="0081183B">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CURRENT SOIL TESTING SCENARIO IN INDIA</w:t>
      </w:r>
    </w:p>
    <w:p w14:paraId="54405895" w14:textId="50C9825E" w:rsidR="000C51B3" w:rsidRPr="008E4EF8" w:rsidRDefault="0081183B" w:rsidP="0081183B">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SOIL TESTING INFRASTRUCTURE IN INDIA</w:t>
      </w:r>
    </w:p>
    <w:p w14:paraId="439320B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Soil testing in India is primarily conducted through a network of government-operated soil testing laboratories supplemented by private laboratories and mobile soil testing units. These laboratories function under the Department of Agriculture and are often integrated with national initiatives such as the Soil Health Card (SHC) scheme.</w:t>
      </w:r>
    </w:p>
    <w:p w14:paraId="7E5B35D1"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Across India, soil testing infrastructure includes both static and mobile laboratories operating at district and sub-district levels. The national soil testing laboratory database indicates the presence of several hundred operational laboratories across different states </w:t>
      </w:r>
      <w:r w:rsidRPr="008E4EF8">
        <w:rPr>
          <w:rFonts w:ascii="Times New Roman" w:hAnsi="Times New Roman" w:cs="Times New Roman"/>
          <w:szCs w:val="24"/>
          <w:vertAlign w:val="superscript"/>
          <w:lang w:val="en"/>
        </w:rPr>
        <w:t>[8].</w:t>
      </w:r>
    </w:p>
    <w:p w14:paraId="2240CB54" w14:textId="5D9B2DA8"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In the state of Maharashtra specifically, there are 17 government-operated soil testing laboratories distributed across major districts </w:t>
      </w:r>
      <w:r w:rsidRPr="008E4EF8">
        <w:rPr>
          <w:rFonts w:ascii="Times New Roman" w:hAnsi="Times New Roman" w:cs="Times New Roman"/>
          <w:szCs w:val="24"/>
          <w:vertAlign w:val="superscript"/>
          <w:lang w:val="en"/>
        </w:rPr>
        <w:t>[9].</w:t>
      </w:r>
      <w:r w:rsidRPr="008E4EF8">
        <w:rPr>
          <w:rFonts w:ascii="Times New Roman" w:hAnsi="Times New Roman" w:cs="Times New Roman"/>
          <w:szCs w:val="24"/>
          <w:lang w:val="en"/>
        </w:rPr>
        <w:t xml:space="preserve"> These laboratories are responsible for conducting standardized chemical analysis of soil samples and issuing soil health reports.</w:t>
      </w:r>
    </w:p>
    <w:p w14:paraId="5B5648AD" w14:textId="35392301" w:rsidR="005B3C2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lastRenderedPageBreak/>
        <w:t xml:space="preserve">In addition to government laboratories, the Soil Health Portal database reports approximately 320 private laboratories offering soil testing services across India </w:t>
      </w:r>
      <w:r w:rsidRPr="008E4EF8">
        <w:rPr>
          <w:rFonts w:ascii="Times New Roman" w:hAnsi="Times New Roman" w:cs="Times New Roman"/>
          <w:szCs w:val="24"/>
          <w:vertAlign w:val="superscript"/>
          <w:lang w:val="en"/>
        </w:rPr>
        <w:t>[8].</w:t>
      </w:r>
      <w:r w:rsidRPr="008E4EF8">
        <w:rPr>
          <w:rFonts w:ascii="Times New Roman" w:hAnsi="Times New Roman" w:cs="Times New Roman"/>
          <w:szCs w:val="24"/>
          <w:lang w:val="en"/>
        </w:rPr>
        <w:t xml:space="preserve"> These private facilities provide similar nutrient analysis services, often with additional customized testing options.</w:t>
      </w:r>
    </w:p>
    <w:p w14:paraId="098302DC" w14:textId="1EB8AC77" w:rsidR="000C51B3" w:rsidRPr="008E4EF8" w:rsidRDefault="0081183B" w:rsidP="0081183B">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OPERATIONAL WORKFLOW AND STRUCTURE</w:t>
      </w:r>
    </w:p>
    <w:p w14:paraId="205DFEED" w14:textId="5449F112" w:rsidR="000C51B3" w:rsidRPr="008E4EF8" w:rsidRDefault="000C51B3" w:rsidP="0081183B">
      <w:pPr>
        <w:spacing w:line="240" w:lineRule="auto"/>
        <w:jc w:val="both"/>
        <w:rPr>
          <w:rFonts w:ascii="Times New Roman" w:hAnsi="Times New Roman" w:cs="Times New Roman"/>
          <w:szCs w:val="24"/>
        </w:rPr>
      </w:pPr>
      <w:r w:rsidRPr="008E4EF8">
        <w:rPr>
          <w:rFonts w:ascii="Times New Roman" w:hAnsi="Times New Roman" w:cs="Times New Roman"/>
          <w:szCs w:val="24"/>
        </w:rPr>
        <w:t>The conventional soil testing process involves:</w:t>
      </w:r>
      <w:r w:rsidR="0081183B" w:rsidRPr="008E4EF8">
        <w:rPr>
          <w:rFonts w:ascii="Times New Roman" w:hAnsi="Times New Roman" w:cs="Times New Roman"/>
          <w:szCs w:val="24"/>
        </w:rPr>
        <w:t xml:space="preserve"> </w:t>
      </w:r>
      <w:r w:rsidRPr="008E4EF8">
        <w:rPr>
          <w:rFonts w:ascii="Times New Roman" w:hAnsi="Times New Roman" w:cs="Times New Roman"/>
          <w:szCs w:val="24"/>
        </w:rPr>
        <w:t>Field-level sample collection</w:t>
      </w:r>
      <w:r w:rsidR="0081183B" w:rsidRPr="008E4EF8">
        <w:rPr>
          <w:rFonts w:ascii="Times New Roman" w:hAnsi="Times New Roman" w:cs="Times New Roman"/>
          <w:szCs w:val="24"/>
        </w:rPr>
        <w:t xml:space="preserve">, </w:t>
      </w:r>
      <w:r w:rsidRPr="008E4EF8">
        <w:rPr>
          <w:rFonts w:ascii="Times New Roman" w:hAnsi="Times New Roman" w:cs="Times New Roman"/>
          <w:szCs w:val="24"/>
        </w:rPr>
        <w:t>Sample preparation (drying, sieving, labelling)</w:t>
      </w:r>
      <w:r w:rsidR="0081183B" w:rsidRPr="008E4EF8">
        <w:rPr>
          <w:rFonts w:ascii="Times New Roman" w:hAnsi="Times New Roman" w:cs="Times New Roman"/>
          <w:szCs w:val="24"/>
        </w:rPr>
        <w:t xml:space="preserve">, </w:t>
      </w:r>
      <w:r w:rsidRPr="008E4EF8">
        <w:rPr>
          <w:rFonts w:ascii="Times New Roman" w:hAnsi="Times New Roman" w:cs="Times New Roman"/>
          <w:szCs w:val="24"/>
        </w:rPr>
        <w:t>Laboratory-based chemical and physical analysis</w:t>
      </w:r>
      <w:r w:rsidR="0081183B" w:rsidRPr="008E4EF8">
        <w:rPr>
          <w:rFonts w:ascii="Times New Roman" w:hAnsi="Times New Roman" w:cs="Times New Roman"/>
          <w:szCs w:val="24"/>
        </w:rPr>
        <w:t xml:space="preserve">, </w:t>
      </w:r>
      <w:r w:rsidRPr="008E4EF8">
        <w:rPr>
          <w:rFonts w:ascii="Times New Roman" w:hAnsi="Times New Roman" w:cs="Times New Roman"/>
          <w:szCs w:val="24"/>
        </w:rPr>
        <w:t>Generation of soil health reports</w:t>
      </w:r>
      <w:r w:rsidR="0081183B" w:rsidRPr="008E4EF8">
        <w:rPr>
          <w:rFonts w:ascii="Times New Roman" w:hAnsi="Times New Roman" w:cs="Times New Roman"/>
          <w:szCs w:val="24"/>
        </w:rPr>
        <w:t xml:space="preserve">, </w:t>
      </w:r>
      <w:r w:rsidRPr="008E4EF8">
        <w:rPr>
          <w:rFonts w:ascii="Times New Roman" w:hAnsi="Times New Roman" w:cs="Times New Roman"/>
          <w:szCs w:val="24"/>
        </w:rPr>
        <w:t>Fertilizer recommendation issuance</w:t>
      </w:r>
    </w:p>
    <w:p w14:paraId="773C9E61" w14:textId="33B21568"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While government laboratories provide subsidized testing, they are typically centralized at district headquarters, requiring farmers to travel for submission and report collection. Private laboratories are generally concentrated in urban and semi-urban regions.</w:t>
      </w:r>
    </w:p>
    <w:p w14:paraId="6B94D61D" w14:textId="69322AD4" w:rsidR="000C51B3" w:rsidRPr="008E4EF8" w:rsidRDefault="0081183B" w:rsidP="0081183B">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ADOPTION AND FERTILIZER IMBALANCE CONCERNS</w:t>
      </w:r>
    </w:p>
    <w:p w14:paraId="47E6FF8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Studies examining the soil testing scenario in India highlight that insufficient soil testing coverage contributes to imbalanced fertilizer usage, particularly over-application of nitrogen relative to phosphorus and potassium </w:t>
      </w:r>
      <w:r w:rsidRPr="008E4EF8">
        <w:rPr>
          <w:rFonts w:ascii="Times New Roman" w:hAnsi="Times New Roman" w:cs="Times New Roman"/>
          <w:szCs w:val="24"/>
          <w:vertAlign w:val="superscript"/>
        </w:rPr>
        <w:t>[7].</w:t>
      </w:r>
      <w:r w:rsidRPr="008E4EF8">
        <w:rPr>
          <w:rFonts w:ascii="Times New Roman" w:hAnsi="Times New Roman" w:cs="Times New Roman"/>
          <w:szCs w:val="24"/>
        </w:rPr>
        <w:t xml:space="preserve"> This imbalance not only increases input costs but also accelerates soil degradation and environmental stress.</w:t>
      </w:r>
    </w:p>
    <w:p w14:paraId="04D0960A" w14:textId="44A1E7C0"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Despite expansion of soil testing infrastructure, adoption remains uneven due to accessibility constraints, procedural delays, and limited awareness among farmers </w:t>
      </w:r>
      <w:r w:rsidRPr="008E4EF8">
        <w:rPr>
          <w:rFonts w:ascii="Times New Roman" w:hAnsi="Times New Roman" w:cs="Times New Roman"/>
          <w:szCs w:val="24"/>
          <w:vertAlign w:val="superscript"/>
        </w:rPr>
        <w:t>[7].</w:t>
      </w:r>
    </w:p>
    <w:p w14:paraId="5118A053" w14:textId="67A2D5C3" w:rsidR="000C51B3" w:rsidRPr="008E4EF8" w:rsidRDefault="0081183B" w:rsidP="0081183B">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STRUCTURAL CHARACTERISTICS OF THE CURRENT SYSTEM</w:t>
      </w:r>
    </w:p>
    <w:p w14:paraId="4886F162" w14:textId="1A0CF09B" w:rsidR="000C51B3" w:rsidRPr="008E4EF8" w:rsidRDefault="000C51B3" w:rsidP="0081183B">
      <w:pPr>
        <w:spacing w:line="240" w:lineRule="auto"/>
        <w:jc w:val="both"/>
        <w:rPr>
          <w:rFonts w:ascii="Times New Roman" w:hAnsi="Times New Roman" w:cs="Times New Roman"/>
          <w:szCs w:val="24"/>
        </w:rPr>
      </w:pPr>
      <w:r w:rsidRPr="008E4EF8">
        <w:rPr>
          <w:rFonts w:ascii="Times New Roman" w:hAnsi="Times New Roman" w:cs="Times New Roman"/>
          <w:szCs w:val="24"/>
        </w:rPr>
        <w:t>The existing soil testing ecosystem in India exhibits the following structural characteristics:</w:t>
      </w:r>
      <w:r w:rsidR="0081183B" w:rsidRPr="008E4EF8">
        <w:rPr>
          <w:rFonts w:ascii="Times New Roman" w:hAnsi="Times New Roman" w:cs="Times New Roman"/>
          <w:szCs w:val="24"/>
        </w:rPr>
        <w:t xml:space="preserve"> </w:t>
      </w:r>
      <w:r w:rsidRPr="008E4EF8">
        <w:rPr>
          <w:rFonts w:ascii="Times New Roman" w:hAnsi="Times New Roman" w:cs="Times New Roman"/>
          <w:szCs w:val="24"/>
        </w:rPr>
        <w:t>Predominantly centralized laboratory-based testing</w:t>
      </w:r>
      <w:r w:rsidR="0081183B" w:rsidRPr="008E4EF8">
        <w:rPr>
          <w:rFonts w:ascii="Times New Roman" w:hAnsi="Times New Roman" w:cs="Times New Roman"/>
          <w:szCs w:val="24"/>
        </w:rPr>
        <w:t xml:space="preserve">, </w:t>
      </w:r>
      <w:r w:rsidRPr="008E4EF8">
        <w:rPr>
          <w:rFonts w:ascii="Times New Roman" w:hAnsi="Times New Roman" w:cs="Times New Roman"/>
          <w:szCs w:val="24"/>
        </w:rPr>
        <w:t>Heavy reliance on chemical analytical instruments</w:t>
      </w:r>
      <w:r w:rsidR="0081183B" w:rsidRPr="008E4EF8">
        <w:rPr>
          <w:rFonts w:ascii="Times New Roman" w:hAnsi="Times New Roman" w:cs="Times New Roman"/>
          <w:szCs w:val="24"/>
        </w:rPr>
        <w:t xml:space="preserve">, </w:t>
      </w:r>
      <w:r w:rsidRPr="008E4EF8">
        <w:rPr>
          <w:rFonts w:ascii="Times New Roman" w:hAnsi="Times New Roman" w:cs="Times New Roman"/>
          <w:szCs w:val="24"/>
        </w:rPr>
        <w:t>Report formats primarily focused on nutrient quantification</w:t>
      </w:r>
      <w:r w:rsidR="0081183B" w:rsidRPr="008E4EF8">
        <w:rPr>
          <w:rFonts w:ascii="Times New Roman" w:hAnsi="Times New Roman" w:cs="Times New Roman"/>
          <w:szCs w:val="24"/>
        </w:rPr>
        <w:t xml:space="preserve">, </w:t>
      </w:r>
      <w:r w:rsidRPr="008E4EF8">
        <w:rPr>
          <w:rFonts w:ascii="Times New Roman" w:hAnsi="Times New Roman" w:cs="Times New Roman"/>
          <w:szCs w:val="24"/>
        </w:rPr>
        <w:t>Limited integration of real-time or on-field testing mechanisms</w:t>
      </w:r>
      <w:r w:rsidR="0081183B" w:rsidRPr="008E4EF8">
        <w:rPr>
          <w:rFonts w:ascii="Times New Roman" w:hAnsi="Times New Roman" w:cs="Times New Roman"/>
          <w:szCs w:val="24"/>
        </w:rPr>
        <w:t xml:space="preserve">, </w:t>
      </w:r>
      <w:r w:rsidRPr="008E4EF8">
        <w:rPr>
          <w:rFonts w:ascii="Times New Roman" w:hAnsi="Times New Roman" w:cs="Times New Roman"/>
          <w:szCs w:val="24"/>
        </w:rPr>
        <w:t>Dependency on physical sample transport and processing</w:t>
      </w:r>
    </w:p>
    <w:p w14:paraId="6F9681D0" w14:textId="350638F7" w:rsidR="000C51B3" w:rsidRPr="008E4EF8" w:rsidRDefault="0063092A" w:rsidP="000C51B3">
      <w:pPr>
        <w:spacing w:line="240" w:lineRule="auto"/>
        <w:jc w:val="both"/>
        <w:rPr>
          <w:rFonts w:ascii="Times New Roman" w:hAnsi="Times New Roman" w:cs="Times New Roman"/>
          <w:szCs w:val="24"/>
        </w:rPr>
      </w:pPr>
      <w:r w:rsidRPr="008E4EF8">
        <w:rPr>
          <w:rFonts w:ascii="Times New Roman" w:hAnsi="Times New Roman" w:cs="Times New Roman"/>
          <w:noProof/>
          <w:szCs w:val="24"/>
          <w:lang w:val="en-US"/>
        </w:rPr>
        <w:drawing>
          <wp:anchor distT="0" distB="0" distL="114300" distR="114300" simplePos="0" relativeHeight="251657728" behindDoc="0" locked="0" layoutInCell="1" allowOverlap="1" wp14:anchorId="64C7A22F" wp14:editId="6CA1913A">
            <wp:simplePos x="0" y="0"/>
            <wp:positionH relativeFrom="column">
              <wp:posOffset>107950</wp:posOffset>
            </wp:positionH>
            <wp:positionV relativeFrom="paragraph">
              <wp:posOffset>563245</wp:posOffset>
            </wp:positionV>
            <wp:extent cx="7023100" cy="2987040"/>
            <wp:effectExtent l="0" t="0" r="6350" b="3810"/>
            <wp:wrapTopAndBottom/>
            <wp:docPr id="95661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3100" cy="2987040"/>
                    </a:xfrm>
                    <a:prstGeom prst="rect">
                      <a:avLst/>
                    </a:prstGeom>
                    <a:noFill/>
                    <a:ln>
                      <a:noFill/>
                    </a:ln>
                  </pic:spPr>
                </pic:pic>
              </a:graphicData>
            </a:graphic>
          </wp:anchor>
        </w:drawing>
      </w:r>
      <w:r w:rsidR="000C51B3" w:rsidRPr="008E4EF8">
        <w:rPr>
          <w:rFonts w:ascii="Times New Roman" w:hAnsi="Times New Roman" w:cs="Times New Roman"/>
          <w:szCs w:val="24"/>
        </w:rPr>
        <w:t>Although the system provides scientifically reliable results, the centralized nature introduces delays and practical barriers that reduce efficiency at the farm level.</w:t>
      </w:r>
    </w:p>
    <w:p w14:paraId="012B6286" w14:textId="245431BD" w:rsidR="000C51B3" w:rsidRPr="00A46D85" w:rsidRDefault="000C51B3" w:rsidP="0063092A">
      <w:pPr>
        <w:spacing w:line="240" w:lineRule="auto"/>
        <w:jc w:val="center"/>
        <w:rPr>
          <w:rFonts w:ascii="Times New Roman" w:hAnsi="Times New Roman" w:cs="Times New Roman"/>
          <w:sz w:val="22"/>
          <w:szCs w:val="22"/>
          <w:lang w:val="en"/>
        </w:rPr>
      </w:pPr>
      <w:r w:rsidRPr="00A46D85">
        <w:rPr>
          <w:rFonts w:ascii="Times New Roman" w:hAnsi="Times New Roman" w:cs="Times New Roman"/>
          <w:sz w:val="22"/>
          <w:szCs w:val="22"/>
          <w:lang w:val="en"/>
        </w:rPr>
        <w:t>Fig.1. A sample S</w:t>
      </w:r>
      <w:r w:rsidR="008E4EF8" w:rsidRPr="00A46D85">
        <w:rPr>
          <w:rFonts w:ascii="Times New Roman" w:hAnsi="Times New Roman" w:cs="Times New Roman"/>
          <w:sz w:val="22"/>
          <w:szCs w:val="22"/>
          <w:lang w:val="en"/>
        </w:rPr>
        <w:t xml:space="preserve">oil </w:t>
      </w:r>
      <w:r w:rsidRPr="00A46D85">
        <w:rPr>
          <w:rFonts w:ascii="Times New Roman" w:hAnsi="Times New Roman" w:cs="Times New Roman"/>
          <w:sz w:val="22"/>
          <w:szCs w:val="22"/>
          <w:lang w:val="en"/>
        </w:rPr>
        <w:t>H</w:t>
      </w:r>
      <w:r w:rsidR="008E4EF8" w:rsidRPr="00A46D85">
        <w:rPr>
          <w:rFonts w:ascii="Times New Roman" w:hAnsi="Times New Roman" w:cs="Times New Roman"/>
          <w:sz w:val="22"/>
          <w:szCs w:val="22"/>
          <w:lang w:val="en"/>
        </w:rPr>
        <w:t xml:space="preserve">ealth </w:t>
      </w:r>
      <w:r w:rsidRPr="00A46D85">
        <w:rPr>
          <w:rFonts w:ascii="Times New Roman" w:hAnsi="Times New Roman" w:cs="Times New Roman"/>
          <w:sz w:val="22"/>
          <w:szCs w:val="22"/>
          <w:lang w:val="en"/>
        </w:rPr>
        <w:t>C</w:t>
      </w:r>
      <w:r w:rsidR="008E4EF8" w:rsidRPr="00A46D85">
        <w:rPr>
          <w:rFonts w:ascii="Times New Roman" w:hAnsi="Times New Roman" w:cs="Times New Roman"/>
          <w:sz w:val="22"/>
          <w:szCs w:val="22"/>
          <w:lang w:val="en"/>
        </w:rPr>
        <w:t>ard</w:t>
      </w:r>
    </w:p>
    <w:p w14:paraId="7917F909" w14:textId="3EF1D76D" w:rsidR="00732D27"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Fig</w:t>
      </w:r>
      <w:r w:rsidR="0063092A" w:rsidRPr="008E4EF8">
        <w:rPr>
          <w:rFonts w:ascii="Times New Roman" w:hAnsi="Times New Roman" w:cs="Times New Roman"/>
          <w:szCs w:val="24"/>
          <w:lang w:val="en"/>
        </w:rPr>
        <w:t>ure</w:t>
      </w:r>
      <w:r w:rsidRPr="008E4EF8">
        <w:rPr>
          <w:rFonts w:ascii="Times New Roman" w:hAnsi="Times New Roman" w:cs="Times New Roman"/>
          <w:szCs w:val="24"/>
          <w:lang w:val="en"/>
        </w:rPr>
        <w:t xml:space="preserve"> 1 illustrates a representative Soil Health Card format currently issued under government programs. The report primarily presents quantitative nutrient values along with corresponding classifications and fertilizer recommendations. Although effective for identifying nutrient deficiencies, the format focuses largely on corrective chemical input measures and does not provide integrated sustainability guidance, long-term soil health strategies, or contextualized crop planning insights.</w:t>
      </w:r>
    </w:p>
    <w:p w14:paraId="6C00B135" w14:textId="77777777" w:rsidR="00D5074F" w:rsidRDefault="00D5074F" w:rsidP="000C51B3">
      <w:pPr>
        <w:spacing w:line="240" w:lineRule="auto"/>
        <w:jc w:val="both"/>
        <w:rPr>
          <w:rFonts w:ascii="Times New Roman" w:hAnsi="Times New Roman" w:cs="Times New Roman"/>
          <w:b/>
          <w:bCs/>
          <w:sz w:val="28"/>
          <w:szCs w:val="28"/>
          <w:lang w:val="en"/>
        </w:rPr>
      </w:pPr>
    </w:p>
    <w:p w14:paraId="6C4DE12D" w14:textId="4D04D83B" w:rsidR="000C51B3" w:rsidRPr="008E4EF8" w:rsidRDefault="000C51B3" w:rsidP="000C51B3">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LIMITATIONS OF THE CURRENT SOIL TESTING ECOSYSTEM</w:t>
      </w:r>
    </w:p>
    <w:p w14:paraId="06F17941"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lastRenderedPageBreak/>
        <w:t>Despite the structured expansion of soil testing infrastructure and the implementation of the Soil Health Card (SHC) scheme, several structural and operational limitations restrict the effectiveness of the current system.</w:t>
      </w:r>
    </w:p>
    <w:p w14:paraId="78C57958"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TIME-INTENSIVE LABORATORY DEPENDENCY</w:t>
      </w:r>
    </w:p>
    <w:p w14:paraId="4ACD10CA"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Conventional soil testing relies heavily on centralised laboratory-based chemical analysis. The workflow involving sample collection, transport, preparation, laboratory processing, and report generation introduces significant delays. In government laboratories, turnaround time may extend to several weeks depending on workload and administrative processes. Such delays reduce the practical utility of soil test results, particularly when farmers require timely decision-making during critical crop planning stages.</w:t>
      </w:r>
    </w:p>
    <w:p w14:paraId="3809FDE9"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ACCESSIBILITY AND GEOGRAPHICAL CONSTRAINTS</w:t>
      </w:r>
    </w:p>
    <w:p w14:paraId="725E9607"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Most government soil testing laboratories are located at district headquarters or designated agricultural centres. Farmers from remote or interior villages must travel to submit samples and collect reports. This introduces indirect costs including transportation expenses, time loss, and opportunity cost of labour. Although private laboratories exist, they are predominantly concentrated in urban or semi-urban areas, limiting accessibility for small and marginal farmers.</w:t>
      </w:r>
    </w:p>
    <w:p w14:paraId="31AE8833"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COST CONSIDERATIONS</w:t>
      </w:r>
    </w:p>
    <w:p w14:paraId="0FABD789"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While government-supported testing is subsidised, private soil testing services often involve higher charges depending on the number of parameters analysed. For economically vulnerable farmers, repeated soil testing may not be financially feasible, reducing adoption frequency.</w:t>
      </w:r>
    </w:p>
    <w:p w14:paraId="4E784F6D"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LIMITED INTERPRETABILITY OF SOIL HEALTH REPORTS</w:t>
      </w:r>
    </w:p>
    <w:p w14:paraId="788BEC53"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Figure 1 illustrates a representative Soil Health Card format currently issued under government programs. The report primarily presents quantitative nutrient values along with categorical classifications such as low, medium, or high. Although effective in identifying nutrient deficiencies, the reporting format largely emphasises numerical data and chemical fertilizer recommendations. Interpretation often requires external guidance from agricultural officers or experts, limiting independent decision-making by farmers.</w:t>
      </w:r>
    </w:p>
    <w:p w14:paraId="2AF6234A"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ABSENCE OF HOLISTIC SUSTAINABILITY GUIDANCE</w:t>
      </w:r>
    </w:p>
    <w:p w14:paraId="3FB4A087"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Current soil testing frameworks focus predominantly on nutrient quantification and corrective fertilizer application. While this approach addresses short-term deficiencies, it does not comprehensively integrate long-term soil restoration strategies, organic and biological soil management options, crop rotation planning, integrated nutrient management practices, or environmental impact considerations. As a result, soil test outcomes frequently translate into input-based corrective measures rather than sustainable soil health planning.</w:t>
      </w:r>
    </w:p>
    <w:p w14:paraId="0F7F424C"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LACK OF REAL-TIME AND CONTINUOUS MONITORING</w:t>
      </w:r>
    </w:p>
    <w:p w14:paraId="201F1CA0"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Traditional soil testing represents a periodic and static assessment of soil condition. It does not support real-time monitoring or dynamic updates based on changing environmental or cropping conditions. In an era of precision agriculture, this static model limits responsiveness and adaptability.</w:t>
      </w:r>
    </w:p>
    <w:p w14:paraId="6499F6BF"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SECTION INSIGHT</w:t>
      </w:r>
    </w:p>
    <w:p w14:paraId="552C0041" w14:textId="7ECC2882"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The existing soil testing ecosystem in India demonstrates strong scientific reliability but remains structurally centralised, time-intensive, and limited in actionable sustainability-oriented outputs. These limitations highlight the need for modernised soil analysis systems that reduce dependency on centralised laboratories while enhancing usability, accessibility, and decision-support capabilities.</w:t>
      </w:r>
    </w:p>
    <w:p w14:paraId="1412AA7D"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RESEARCH GAPS AND INTEGRATION CHALLENGES</w:t>
      </w:r>
    </w:p>
    <w:p w14:paraId="2B23396E" w14:textId="77777777" w:rsid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The limitations identified in the preceding section reflect the constraints of conventional soil testing infrastructure. While emerging technologies including IoT-based sensing, autonomous robotics, and portable analytical devices represent promising directions, a critical examination of current research reveals that these technological advances have not yet resolved the systemic challenges of the traditional ecosystem. The following gaps characterise the present state of technological development in this domain.</w:t>
      </w:r>
    </w:p>
    <w:p w14:paraId="689A9DB9" w14:textId="77777777" w:rsidR="001904BE" w:rsidRPr="001904BE" w:rsidRDefault="001904BE" w:rsidP="001904BE">
      <w:pPr>
        <w:spacing w:line="240" w:lineRule="auto"/>
        <w:jc w:val="both"/>
        <w:rPr>
          <w:rFonts w:ascii="Times New Roman" w:hAnsi="Times New Roman" w:cs="Times New Roman"/>
          <w:szCs w:val="24"/>
        </w:rPr>
      </w:pPr>
    </w:p>
    <w:p w14:paraId="015EF766"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FRAGMENTATION OF TECHNOLOGICAL SOLUTIONS</w:t>
      </w:r>
    </w:p>
    <w:p w14:paraId="3345ADA4"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lastRenderedPageBreak/>
        <w:t>Most existing systems address isolated functionalities rather than end-to-end soil testing workflows. Sensor-based studies primarily focus on nutrient detection accuracy, robotics-based studies concentrate on navigation and field traversal, and portable testing devices emphasise parameter measurement without integrating automation or decision-support capabilities. This fragmentation produces solutions that resolve specific technical problems without addressing the broader structural issues of centralised soil testing infrastructure.</w:t>
      </w:r>
    </w:p>
    <w:p w14:paraId="13233F27"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CONTINUED DEPENDENCY ON LABORATORY VALIDATION</w:t>
      </w:r>
    </w:p>
    <w:p w14:paraId="4A3A8097"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Several autonomous sampling systems continue to rely on laboratory-based chemical analysis following sample collection in the field. Although automation improves sampling efficiency, it does not eliminate dependency on centralised laboratory infrastructure. Consequently, the delays, accessibility barriers, and workflow complexity that characterise conventional systems persist even within technologically advanced approaches.</w:t>
      </w:r>
    </w:p>
    <w:p w14:paraId="4163F2A4"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LIMITED DECISION-SUPPORT INTEGRATION</w:t>
      </w:r>
    </w:p>
    <w:p w14:paraId="32604E34"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Many IoT-based soil monitoring platforms provide raw sensor data or basic visual dashboards without translating soil parameters into actionable agricultural guidance. Outputs addressing crop suitability, sustainable nutrient management strategies, or long-term soil restoration planning remain underdeveloped. The emphasis on corrective fertilizer input over integrated soil management frameworks limits the practical value of these systems for farmers.</w:t>
      </w:r>
    </w:p>
    <w:p w14:paraId="33A4E573"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ABSENCE OF A HOLISTIC SUSTAINABILITY LAYER</w:t>
      </w:r>
    </w:p>
    <w:p w14:paraId="58034E55"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Whereas the conventional system fails to incorporate sustainability guidance at the reporting stage, current technological approaches similarly omit sustainability dimensions at the design stage. Priorities such as soil regeneration, environmental impact reduction, and balanced nutrient cycling are seldom embedded within the analytical output of emerging platforms. This creates a gap not merely in reporting but in the foundational objectives of the systems themselves.</w:t>
      </w:r>
    </w:p>
    <w:p w14:paraId="11E0FFC1"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SCALABILITY AND FARMER-CENTRIC USABILITY</w:t>
      </w:r>
    </w:p>
    <w:p w14:paraId="7FC03FAA"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Advanced robotic and IoT systems frequently require technical expertise, infrastructure support, or high initial investment, raising significant uncertainty about scalability across small and marginal farming communities. Usability in rural environments with variable connectivity and limited resources is not consistently addressed in current research, leaving a gap between laboratory-validated performance and real-world deployment.</w:t>
      </w:r>
    </w:p>
    <w:p w14:paraId="0D575193"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SECTION INSIGHT</w:t>
      </w:r>
    </w:p>
    <w:p w14:paraId="272CE18F" w14:textId="69E12EC5" w:rsidR="000C51B3"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The existing body of research demonstrates meaningful progress in sensing accuracy, automation, and intelligent navigation. However, emerging technological solutions remain fragmented, lab-dependent, and insufficiently oriented toward farmer-centric usability and long-term sustainability. The absence of an integrated, decentralised, and sustainability-aware soil testing framework represents the central research gap in this domain. Addressing it requires combining real-time soil data acquisition, autonomous mobility, intelligent interpretation, and accessible decision support within a single cohesive system.</w:t>
      </w:r>
    </w:p>
    <w:p w14:paraId="2710D808" w14:textId="77777777" w:rsidR="009E320B" w:rsidRDefault="009E320B" w:rsidP="000C51B3">
      <w:pPr>
        <w:spacing w:line="240" w:lineRule="auto"/>
        <w:jc w:val="both"/>
        <w:rPr>
          <w:rFonts w:ascii="Times New Roman" w:hAnsi="Times New Roman" w:cs="Times New Roman"/>
          <w:szCs w:val="24"/>
        </w:rPr>
      </w:pPr>
    </w:p>
    <w:p w14:paraId="6B0E7175" w14:textId="77777777" w:rsidR="001904BE" w:rsidRDefault="001904BE" w:rsidP="000C51B3">
      <w:pPr>
        <w:spacing w:line="240" w:lineRule="auto"/>
        <w:jc w:val="both"/>
        <w:rPr>
          <w:rFonts w:ascii="Times New Roman" w:hAnsi="Times New Roman" w:cs="Times New Roman"/>
          <w:szCs w:val="24"/>
        </w:rPr>
      </w:pPr>
    </w:p>
    <w:p w14:paraId="01C62E70" w14:textId="77777777" w:rsidR="001904BE" w:rsidRDefault="001904BE" w:rsidP="000C51B3">
      <w:pPr>
        <w:spacing w:line="240" w:lineRule="auto"/>
        <w:jc w:val="both"/>
        <w:rPr>
          <w:rFonts w:ascii="Times New Roman" w:hAnsi="Times New Roman" w:cs="Times New Roman"/>
          <w:szCs w:val="24"/>
        </w:rPr>
      </w:pPr>
    </w:p>
    <w:p w14:paraId="5DE64E3B" w14:textId="77777777" w:rsidR="001904BE" w:rsidRDefault="001904BE" w:rsidP="000C51B3">
      <w:pPr>
        <w:spacing w:line="240" w:lineRule="auto"/>
        <w:jc w:val="both"/>
        <w:rPr>
          <w:rFonts w:ascii="Times New Roman" w:hAnsi="Times New Roman" w:cs="Times New Roman"/>
          <w:szCs w:val="24"/>
        </w:rPr>
      </w:pPr>
    </w:p>
    <w:p w14:paraId="1E0F5573" w14:textId="77777777" w:rsidR="001904BE" w:rsidRDefault="001904BE" w:rsidP="000C51B3">
      <w:pPr>
        <w:spacing w:line="240" w:lineRule="auto"/>
        <w:jc w:val="both"/>
        <w:rPr>
          <w:rFonts w:ascii="Times New Roman" w:hAnsi="Times New Roman" w:cs="Times New Roman"/>
          <w:szCs w:val="24"/>
        </w:rPr>
      </w:pPr>
    </w:p>
    <w:p w14:paraId="3DED5744" w14:textId="77777777" w:rsidR="001904BE" w:rsidRDefault="001904BE" w:rsidP="000C51B3">
      <w:pPr>
        <w:spacing w:line="240" w:lineRule="auto"/>
        <w:jc w:val="both"/>
        <w:rPr>
          <w:rFonts w:ascii="Times New Roman" w:hAnsi="Times New Roman" w:cs="Times New Roman"/>
          <w:szCs w:val="24"/>
        </w:rPr>
      </w:pPr>
    </w:p>
    <w:p w14:paraId="21738172" w14:textId="77777777" w:rsidR="001904BE" w:rsidRDefault="001904BE" w:rsidP="000C51B3">
      <w:pPr>
        <w:spacing w:line="240" w:lineRule="auto"/>
        <w:jc w:val="both"/>
        <w:rPr>
          <w:rFonts w:ascii="Times New Roman" w:hAnsi="Times New Roman" w:cs="Times New Roman"/>
          <w:szCs w:val="24"/>
        </w:rPr>
      </w:pPr>
    </w:p>
    <w:p w14:paraId="2947B162" w14:textId="77777777" w:rsidR="001904BE" w:rsidRDefault="001904BE" w:rsidP="000C51B3">
      <w:pPr>
        <w:spacing w:line="240" w:lineRule="auto"/>
        <w:jc w:val="both"/>
        <w:rPr>
          <w:rFonts w:ascii="Times New Roman" w:hAnsi="Times New Roman" w:cs="Times New Roman"/>
          <w:szCs w:val="24"/>
        </w:rPr>
      </w:pPr>
    </w:p>
    <w:p w14:paraId="6BE232F8" w14:textId="77777777" w:rsidR="001904BE" w:rsidRPr="008E4EF8" w:rsidRDefault="001904BE" w:rsidP="000C51B3">
      <w:pPr>
        <w:spacing w:line="240" w:lineRule="auto"/>
        <w:jc w:val="both"/>
        <w:rPr>
          <w:rFonts w:ascii="Times New Roman" w:hAnsi="Times New Roman" w:cs="Times New Roman"/>
          <w:szCs w:val="24"/>
        </w:rPr>
      </w:pPr>
    </w:p>
    <w:tbl>
      <w:tblPr>
        <w:tblW w:w="11609" w:type="dxa"/>
        <w:tblCellMar>
          <w:top w:w="15" w:type="dxa"/>
          <w:left w:w="15" w:type="dxa"/>
          <w:bottom w:w="15" w:type="dxa"/>
          <w:right w:w="15" w:type="dxa"/>
        </w:tblCellMar>
        <w:tblLook w:val="04A0" w:firstRow="1" w:lastRow="0" w:firstColumn="1" w:lastColumn="0" w:noHBand="0" w:noVBand="1"/>
      </w:tblPr>
      <w:tblGrid>
        <w:gridCol w:w="600"/>
        <w:gridCol w:w="1616"/>
        <w:gridCol w:w="1598"/>
        <w:gridCol w:w="1765"/>
        <w:gridCol w:w="1248"/>
        <w:gridCol w:w="2874"/>
        <w:gridCol w:w="1908"/>
      </w:tblGrid>
      <w:tr w:rsidR="000C51B3" w:rsidRPr="008E4EF8" w14:paraId="5833FA50" w14:textId="77777777" w:rsidTr="0063092A">
        <w:trPr>
          <w:trHeight w:val="732"/>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154D01F"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Ref</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DC1199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Core Focus</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3FF9816"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Technology Used</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F7A62DB"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Parameters Measured</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52F1D6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Mobility</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B8730C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Decision Support</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C677658"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Limitations</w:t>
            </w:r>
          </w:p>
        </w:tc>
      </w:tr>
      <w:tr w:rsidR="000C51B3" w:rsidRPr="008E4EF8" w14:paraId="71FE4784" w14:textId="77777777" w:rsidTr="0063092A">
        <w:trPr>
          <w:trHeight w:val="689"/>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D16C213"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lastRenderedPageBreak/>
              <w:t>[10]</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D204C23"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NPK-based smart agriculture</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B15B081"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 sensors + IoT</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A21443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943D046"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Static</w:t>
            </w:r>
          </w:p>
        </w:tc>
        <w:tc>
          <w:tcPr>
            <w:tcW w:w="280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999C76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Fertilizer optimization</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B846AB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Crop-specific, limited scalability</w:t>
            </w:r>
          </w:p>
        </w:tc>
      </w:tr>
      <w:tr w:rsidR="000C51B3" w:rsidRPr="008E4EF8" w14:paraId="1163F1E3" w14:textId="77777777" w:rsidTr="0063092A">
        <w:trPr>
          <w:trHeight w:val="680"/>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30A81C6"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[11]</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521554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Real-time nutrient monitoring</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AD18884"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 sensors + wireless transmission</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36F163C"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7B4AD06"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Static</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95EA5FB"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Precision agriculture support</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F12701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Focused on sensing, limited automation</w:t>
            </w:r>
          </w:p>
        </w:tc>
      </w:tr>
      <w:tr w:rsidR="000C51B3" w:rsidRPr="008E4EF8" w14:paraId="31F3935B" w14:textId="77777777" w:rsidTr="0063092A">
        <w:trPr>
          <w:trHeight w:val="657"/>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24353C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[12]</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BF1C99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Multisensory soil monitoring</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5D0817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Integrated sensor array</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B02E474"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 moisture, environmental data</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90321AA"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Semi-mobile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82F4356"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Data acquisition</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837062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Lacks full agronomic advisory layer</w:t>
            </w:r>
          </w:p>
        </w:tc>
      </w:tr>
      <w:tr w:rsidR="000C51B3" w:rsidRPr="008E4EF8" w14:paraId="60E40A80" w14:textId="77777777" w:rsidTr="0063092A">
        <w:trPr>
          <w:trHeight w:val="627"/>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868E2B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[13]</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ACDC24C"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IoT soil monitoring robot</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2A3AC3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Sensors + irrigation system</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C125BD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Moisture, basic nutrients</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75A719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3C3AA6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Irrigation control</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46E273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Limited nutrient depth</w:t>
            </w:r>
          </w:p>
        </w:tc>
      </w:tr>
      <w:tr w:rsidR="000C51B3" w:rsidRPr="008E4EF8" w14:paraId="656F35B5" w14:textId="77777777" w:rsidTr="0063092A">
        <w:trPr>
          <w:trHeight w:val="617"/>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773CB4F"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[14]</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04B6460"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Autonomous soil sampling</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7568614"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Ground-based robot + sampling unit</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D62608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Soil sampling (lab analysed)</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21D8B1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26D8A6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No direct decision layer</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F629EB4"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Still lab-dependent</w:t>
            </w:r>
          </w:p>
        </w:tc>
      </w:tr>
      <w:tr w:rsidR="000C51B3" w:rsidRPr="008E4EF8" w14:paraId="3388DFD9" w14:textId="77777777" w:rsidTr="0063092A">
        <w:trPr>
          <w:trHeight w:val="449"/>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66C442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[15]</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2809A5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Path planning techniques</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AADB860"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Algorithmic navigation</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586FA44"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N/A</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63BCFC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F9FE828"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No soil analytics</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49A039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Focus on navigation only</w:t>
            </w:r>
          </w:p>
        </w:tc>
      </w:tr>
      <w:tr w:rsidR="000C51B3" w:rsidRPr="008E4EF8" w14:paraId="093AD482" w14:textId="77777777" w:rsidTr="0063092A">
        <w:trPr>
          <w:trHeight w:val="688"/>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5004473"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[16]</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64EC79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Autonomous navigation in agriculture</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74BE78F"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Navigation algorithms</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5FF54E1"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N/A</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F68263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98EC3BB"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No soil analytics</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4F795C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Environmental constraints</w:t>
            </w:r>
          </w:p>
        </w:tc>
      </w:tr>
      <w:tr w:rsidR="000C51B3" w:rsidRPr="008E4EF8" w14:paraId="72D2B22C" w14:textId="77777777" w:rsidTr="0063092A">
        <w:trPr>
          <w:trHeight w:val="546"/>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0F73C7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[17]</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7D6A441"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UAV-assisted mapping</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06805F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UAV + row mapping</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1BA937A"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N/A</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DB87D9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Aerial + Ground</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9B80F7C"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No nutrient analysis</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536CFE8"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Mapping-focused</w:t>
            </w:r>
          </w:p>
        </w:tc>
      </w:tr>
      <w:tr w:rsidR="000C51B3" w:rsidRPr="008E4EF8" w14:paraId="270F7693" w14:textId="77777777" w:rsidTr="0063092A">
        <w:trPr>
          <w:trHeight w:val="123"/>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80A395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[18]</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B46CC7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Portable soil sensor system</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61E055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3D printed sensors</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8BF7881"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pH, K</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47EB28C"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Handheld</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B947BD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Limited</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A602F9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Single-parameter focus</w:t>
            </w:r>
          </w:p>
        </w:tc>
      </w:tr>
    </w:tbl>
    <w:p w14:paraId="29E3EA0C" w14:textId="6D9DDF7E" w:rsidR="000C51B3" w:rsidRPr="00A46D85" w:rsidRDefault="000C51B3" w:rsidP="0063092A">
      <w:pPr>
        <w:spacing w:line="240" w:lineRule="auto"/>
        <w:jc w:val="center"/>
        <w:rPr>
          <w:rFonts w:ascii="Times New Roman" w:hAnsi="Times New Roman" w:cs="Times New Roman"/>
          <w:sz w:val="22"/>
          <w:szCs w:val="22"/>
        </w:rPr>
      </w:pPr>
      <w:r w:rsidRPr="00A46D85">
        <w:rPr>
          <w:rFonts w:ascii="Times New Roman" w:hAnsi="Times New Roman" w:cs="Times New Roman"/>
          <w:sz w:val="22"/>
          <w:szCs w:val="22"/>
        </w:rPr>
        <w:t>Table 1. Comparative Analysis of Recent IoT- and Robotics-Based Soil Monitoring Systems</w:t>
      </w:r>
    </w:p>
    <w:p w14:paraId="1A25A7A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As shown in Table 1, existing research efforts primarily focus on individual components such as nutrient sensing, robotic    navigation, irrigation automation, or portable parameter detection. While these studies contribute significantly to advancing precision agriculture technologies, most systems remain fragmented in scope. Few approaches integrate real-time soil analysis, autonomous data acquisition, and sustainability-oriented decision support into a unified framework.</w:t>
      </w:r>
    </w:p>
    <w:p w14:paraId="5B07AFE6" w14:textId="4F8EC02D" w:rsidR="000C51B3" w:rsidRPr="008E4EF8" w:rsidRDefault="000C51B3" w:rsidP="000C51B3">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RES</w:t>
      </w:r>
      <w:r w:rsidR="000E01B2">
        <w:rPr>
          <w:rFonts w:ascii="Times New Roman" w:hAnsi="Times New Roman" w:cs="Times New Roman"/>
          <w:b/>
          <w:bCs/>
          <w:sz w:val="28"/>
          <w:szCs w:val="28"/>
          <w:lang w:val="en"/>
        </w:rPr>
        <w:t>EARCH</w:t>
      </w:r>
      <w:r w:rsidRPr="008E4EF8">
        <w:rPr>
          <w:rFonts w:ascii="Times New Roman" w:hAnsi="Times New Roman" w:cs="Times New Roman"/>
          <w:b/>
          <w:bCs/>
          <w:sz w:val="28"/>
          <w:szCs w:val="28"/>
          <w:lang w:val="en"/>
        </w:rPr>
        <w:t xml:space="preserve"> GAPS AND INTEGRATION CHALLENEGES</w:t>
      </w:r>
    </w:p>
    <w:p w14:paraId="5B0E7E1C" w14:textId="6B92257F" w:rsidR="0063092A"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Despite significant advancements in soil sensing technologies, IoT-enabled monitoring systems, and autonomous agricultural robotics, current research efforts remain largely fragmented. While individual components such as nutrient detection, robotic navigation, irrigation automation, and portable soil sensors have been explored extensively, the integration of these elements into a unified and farmer-centric soil testing ecosystem remains limited.</w:t>
      </w:r>
    </w:p>
    <w:p w14:paraId="11F5A6A8" w14:textId="4F9B5499" w:rsidR="000C51B3" w:rsidRPr="008E4EF8" w:rsidRDefault="0063092A" w:rsidP="0063092A">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FRAGMENTATION OF TECHNOLOGICAL SOLUTIONS</w:t>
      </w:r>
    </w:p>
    <w:p w14:paraId="18072358"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Most existing systems focus on isolated functionalities. Sensor-based studies primarily address nutrient detection accuracy, whereas robotics-based studies concentrate on navigation and field traversal mechanisms. Similarly, portable testing devices emphasize parameter measurement but often lack mobility, automation, or decision-support capabilities.</w:t>
      </w:r>
    </w:p>
    <w:p w14:paraId="64E3B62B"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This fragmentation results in solutions that address specific technical challenges without resolving the broader systemic issues associated with centralized soil testing infrastructure.</w:t>
      </w:r>
    </w:p>
    <w:p w14:paraId="6C6205ED" w14:textId="43E815B3" w:rsidR="000C51B3" w:rsidRPr="008E4EF8" w:rsidRDefault="0063092A" w:rsidP="0063092A">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lastRenderedPageBreak/>
        <w:t>CONTINUED DEPENDENCY ON LABORATORY VALIDATION</w:t>
      </w:r>
    </w:p>
    <w:p w14:paraId="5D008A72" w14:textId="3995592E"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Several autonomous sampling systems still rely on laboratory-based chemical analysis after sample collection. Although automation improves sampling efficiency, it does not eliminate the dependency on centralized laboratory infrastructure. Consequently, issues related to time delay, accessibility, and workflow complexity persist.</w:t>
      </w:r>
    </w:p>
    <w:p w14:paraId="78CC1BAA" w14:textId="40B60BAB" w:rsidR="000C51B3" w:rsidRPr="008E4EF8" w:rsidRDefault="0063092A" w:rsidP="0063092A">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LIMITED DECISION-SUPPORT INTEGRATION</w:t>
      </w:r>
    </w:p>
    <w:p w14:paraId="494E4A4F"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Many IoT-based soil monitoring platforms provide raw sensor data or basic visual dashboards. However, translating soil parameters into actionable agricultural guidance, such as crop suitability, sustainable nutrient management strategies, or long-term soil restoration planning, remains underdeveloped.</w:t>
      </w:r>
    </w:p>
    <w:p w14:paraId="2EA9C5ED" w14:textId="22EA7F8E"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Existing systems often emphasize corrective fertilizer input rather than integrated, sustainability-oriented soil management frameworks.</w:t>
      </w:r>
    </w:p>
    <w:p w14:paraId="421AE5F2" w14:textId="50F98A66" w:rsidR="000C51B3" w:rsidRPr="008E4EF8" w:rsidRDefault="0063092A" w:rsidP="0063092A">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ABSENCE OF HOLISTIC SUSTAINABILITY LAYER</w:t>
      </w:r>
    </w:p>
    <w:p w14:paraId="636FB46E" w14:textId="103F5A40"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Current technological approaches primarily optimize productivity and input efficiency. While this supports precision agriculture, broader sustainability dimensions, including soil regeneration, environmental impact reduction, and balanced nutrient cycling, are seldom embedded within the analytical output. This creates a gap between data acquisition and sustainable agricultural transformation.  </w:t>
      </w:r>
    </w:p>
    <w:p w14:paraId="4F69CDF4" w14:textId="5EC2EDAB" w:rsidR="000C51B3" w:rsidRPr="008E4EF8" w:rsidRDefault="0063092A" w:rsidP="0063092A">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SCALABILITY AND FARMER-CENTRIC USABILITY CHALLENGES</w:t>
      </w:r>
    </w:p>
    <w:p w14:paraId="3EF40C6B" w14:textId="54D58E9F"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Advanced robotic and IoT systems often require technical expertise, infrastructure support, or high initial investment. Scalability across small and marginal farming communities remains uncertain. Moreover, usability in rural environments with variable connectivity and resource constraints is not consistently addressed in current research.</w:t>
      </w:r>
    </w:p>
    <w:p w14:paraId="338D4B26" w14:textId="1F42CCA8" w:rsidR="000C51B3" w:rsidRPr="008E4EF8" w:rsidRDefault="0063092A" w:rsidP="000C51B3">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SECTION INSIGHT:</w:t>
      </w:r>
    </w:p>
    <w:p w14:paraId="4E88C85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The existing body of research demonstrates strong progress in sensing accuracy, automation, and intelligent navigation. However, the absence of an integrated, decentralized, and sustainability-aware soil testing framework highlights a significant research gap. Bridging this gap requires a system capable of combining real-time soil data acquisition, autonomous mobility, intelligent interpretation, and farmer-oriented decision support into a cohesive platform.</w:t>
      </w:r>
    </w:p>
    <w:p w14:paraId="18EB62B1" w14:textId="3B3CD572" w:rsidR="000C51B3" w:rsidRPr="008E4EF8" w:rsidRDefault="000C51B3" w:rsidP="000C51B3">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CONCLUSION</w:t>
      </w:r>
    </w:p>
    <w:p w14:paraId="1935CDB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Soil testing plays a fundamental role in ensuring agricultural productivity, balanced nutrient management, and long-term soil health. Conventional laboratory-based soil testing systems provide scientifically reliable and standardized nutrient assessment; however, their centralized structure introduces practical constraints related to time consumption, accessibility, cost, and limited interpretability of results. The current soil testing ecosystem, including structured formats such as Soil Health Cards, primarily focuses on nutrient quantification and corrective fertilizer recommendations, with comparatively limited integration of holistic sustainability-oriented guidance.</w:t>
      </w:r>
    </w:p>
    <w:p w14:paraId="40217571"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Recent advancements in IoT-enabled sensing, portable soil analysis devices, autonomous robotics, and intelligent navigation systems demonstrate promising directions for modernizing soil monitoring practices. These technologies aim to reduce dependency on centralized laboratories and enhance field-level data acquisition capabilities. Nevertheless, existing research efforts remain largely fragmented, addressing individual components such as sensing, mobility, or visualization without fully integrating them into a unified and farmer-centric framework.</w:t>
      </w:r>
    </w:p>
    <w:p w14:paraId="2BA3DFDF" w14:textId="7A74678D" w:rsidR="008E4EF8"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The transition from periodic, laboratory-dependent soil testing toward decentralized, real-time, and intelligent soil analysis systems represents a critical step in advancing precision and sustainable agriculture. Future research must focus on developing integrated platforms that combine autonomous soil data collection, real-time analysis, actionable decision support, and sustainability-driven recommendations. Bridging this integration gap is essential to transform soil testing from a diagnostic tool into a comprehensive agricultural decision-making system.</w:t>
      </w:r>
    </w:p>
    <w:p w14:paraId="719B21E8" w14:textId="77777777" w:rsidR="00D5074F" w:rsidRDefault="00D5074F" w:rsidP="000C51B3">
      <w:pPr>
        <w:spacing w:line="240" w:lineRule="auto"/>
        <w:jc w:val="both"/>
        <w:rPr>
          <w:rFonts w:ascii="Times New Roman" w:hAnsi="Times New Roman" w:cs="Times New Roman"/>
          <w:b/>
          <w:bCs/>
          <w:sz w:val="28"/>
          <w:szCs w:val="28"/>
          <w:lang w:val="en"/>
        </w:rPr>
      </w:pPr>
    </w:p>
    <w:p w14:paraId="48F72046" w14:textId="686C540E" w:rsidR="000C51B3" w:rsidRPr="008E4EF8" w:rsidRDefault="0063092A" w:rsidP="000C51B3">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REFERENCES</w:t>
      </w:r>
    </w:p>
    <w:p w14:paraId="4B9DFCD0"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 Food and Agriculture Organization (FAO), </w:t>
      </w:r>
      <w:r w:rsidRPr="008E4EF8">
        <w:rPr>
          <w:rFonts w:ascii="Times New Roman" w:hAnsi="Times New Roman" w:cs="Times New Roman"/>
          <w:i/>
          <w:iCs/>
          <w:szCs w:val="24"/>
          <w:lang w:val="en"/>
        </w:rPr>
        <w:t>Soil Fertility Management in Support of Food Security in Sub-Saharan Africa</w:t>
      </w:r>
      <w:r w:rsidRPr="008E4EF8">
        <w:rPr>
          <w:rFonts w:ascii="Times New Roman" w:hAnsi="Times New Roman" w:cs="Times New Roman"/>
          <w:szCs w:val="24"/>
          <w:lang w:val="en"/>
        </w:rPr>
        <w:t>, FAO Soils Bulletin, Rome, Italy.</w:t>
      </w:r>
    </w:p>
    <w:p w14:paraId="06F89A2C"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lastRenderedPageBreak/>
        <w:t xml:space="preserve">[2] Indian Council of Agricultural Research (ICAR), </w:t>
      </w:r>
      <w:r w:rsidRPr="008E4EF8">
        <w:rPr>
          <w:rFonts w:ascii="Times New Roman" w:hAnsi="Times New Roman" w:cs="Times New Roman"/>
          <w:i/>
          <w:iCs/>
          <w:szCs w:val="24"/>
          <w:lang w:val="en"/>
        </w:rPr>
        <w:t>Methods Manual: Soil Testing in India</w:t>
      </w:r>
      <w:r w:rsidRPr="008E4EF8">
        <w:rPr>
          <w:rFonts w:ascii="Times New Roman" w:hAnsi="Times New Roman" w:cs="Times New Roman"/>
          <w:szCs w:val="24"/>
          <w:lang w:val="en"/>
        </w:rPr>
        <w:t>, ICAR Publications, New Delhi, India.</w:t>
      </w:r>
    </w:p>
    <w:p w14:paraId="0A3F3EF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[3] N. C. Brady and R. R. Weil, </w:t>
      </w:r>
      <w:r w:rsidRPr="008E4EF8">
        <w:rPr>
          <w:rFonts w:ascii="Times New Roman" w:hAnsi="Times New Roman" w:cs="Times New Roman"/>
          <w:i/>
          <w:iCs/>
          <w:szCs w:val="24"/>
          <w:lang w:val="en"/>
        </w:rPr>
        <w:t>The Nature and Properties of Soils</w:t>
      </w:r>
      <w:r w:rsidRPr="008E4EF8">
        <w:rPr>
          <w:rFonts w:ascii="Times New Roman" w:hAnsi="Times New Roman" w:cs="Times New Roman"/>
          <w:szCs w:val="24"/>
          <w:lang w:val="en"/>
        </w:rPr>
        <w:t>, 15th ed., Pearson Education, 2016.</w:t>
      </w:r>
    </w:p>
    <w:p w14:paraId="375F26F4"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[4] H. L. S. Tandon, </w:t>
      </w:r>
      <w:r w:rsidRPr="008E4EF8">
        <w:rPr>
          <w:rFonts w:ascii="Times New Roman" w:hAnsi="Times New Roman" w:cs="Times New Roman"/>
          <w:i/>
          <w:iCs/>
          <w:szCs w:val="24"/>
          <w:lang w:val="en"/>
        </w:rPr>
        <w:t>Methods of Analysis of Soils, Plants, Waters and Fertilizers</w:t>
      </w:r>
      <w:r w:rsidRPr="008E4EF8">
        <w:rPr>
          <w:rFonts w:ascii="Times New Roman" w:hAnsi="Times New Roman" w:cs="Times New Roman"/>
          <w:szCs w:val="24"/>
          <w:lang w:val="en"/>
        </w:rPr>
        <w:t>, Fertilizer Development and Consultation Organization (FDCO), New Delhi, India.</w:t>
      </w:r>
    </w:p>
    <w:p w14:paraId="5866325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[5] United States Department of Agriculture (USDA), </w:t>
      </w:r>
      <w:r w:rsidRPr="008E4EF8">
        <w:rPr>
          <w:rFonts w:ascii="Times New Roman" w:hAnsi="Times New Roman" w:cs="Times New Roman"/>
          <w:i/>
          <w:iCs/>
          <w:szCs w:val="24"/>
          <w:lang w:val="en"/>
        </w:rPr>
        <w:t>Soil Survey Manual</w:t>
      </w:r>
      <w:r w:rsidRPr="008E4EF8">
        <w:rPr>
          <w:rFonts w:ascii="Times New Roman" w:hAnsi="Times New Roman" w:cs="Times New Roman"/>
          <w:szCs w:val="24"/>
          <w:lang w:val="en"/>
        </w:rPr>
        <w:t>, USDA Handbook.</w:t>
      </w:r>
    </w:p>
    <w:p w14:paraId="63A5E2F5"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[6] R. Lal, “Soil health and carbon management,” </w:t>
      </w:r>
      <w:r w:rsidRPr="008E4EF8">
        <w:rPr>
          <w:rFonts w:ascii="Times New Roman" w:hAnsi="Times New Roman" w:cs="Times New Roman"/>
          <w:i/>
          <w:iCs/>
          <w:szCs w:val="24"/>
          <w:lang w:val="en"/>
        </w:rPr>
        <w:t>Food and Energy Security</w:t>
      </w:r>
      <w:r w:rsidRPr="008E4EF8">
        <w:rPr>
          <w:rFonts w:ascii="Times New Roman" w:hAnsi="Times New Roman" w:cs="Times New Roman"/>
          <w:szCs w:val="24"/>
          <w:lang w:val="en"/>
        </w:rPr>
        <w:t>, vol. 5, no. 4, pp. 212–222, 2016.</w:t>
      </w:r>
    </w:p>
    <w:p w14:paraId="2F3BBD61" w14:textId="1EE19D4A"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[7] Meena, Hari &amp; Sharma, R &amp;., Roohi. (2018). Soil Testing Scenario in India and Its Significance in the Balanced Use of Fertilizers. International Journal of Plant &amp; Soil Science. 22. 1-7. 10.9734/IJPSS/2018/39962. </w:t>
      </w:r>
    </w:p>
    <w:p w14:paraId="21DCEC03" w14:textId="66C9BBB8"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[8] </w:t>
      </w:r>
      <w:r w:rsidR="009E320B" w:rsidRPr="009E320B">
        <w:rPr>
          <w:rFonts w:ascii="Times New Roman" w:hAnsi="Times New Roman" w:cs="Times New Roman"/>
          <w:szCs w:val="24"/>
          <w:lang w:val="en"/>
        </w:rPr>
        <w:t>Lade et al.; Asian J. Agric. Ext. Econ. Soc., vol. 42, no. 2, pp. 100-106, 2024; Article no.</w:t>
      </w:r>
      <w:r w:rsidR="009E320B">
        <w:rPr>
          <w:rFonts w:ascii="Times New Roman" w:hAnsi="Times New Roman" w:cs="Times New Roman"/>
          <w:szCs w:val="24"/>
          <w:lang w:val="en"/>
        </w:rPr>
        <w:t xml:space="preserve"> </w:t>
      </w:r>
      <w:r w:rsidR="009E320B" w:rsidRPr="009E320B">
        <w:rPr>
          <w:rFonts w:ascii="Times New Roman" w:hAnsi="Times New Roman" w:cs="Times New Roman"/>
          <w:szCs w:val="24"/>
          <w:lang w:val="en"/>
        </w:rPr>
        <w:t>AJAEES.112738</w:t>
      </w:r>
    </w:p>
    <w:p w14:paraId="3356E44A" w14:textId="06250C7B"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[9]</w:t>
      </w:r>
      <w:hyperlink r:id="rId9" w:history="1">
        <w:r w:rsidR="001904BE" w:rsidRPr="00001CCA">
          <w:rPr>
            <w:rStyle w:val="Hyperlink"/>
            <w:rFonts w:ascii="Times New Roman" w:hAnsi="Times New Roman" w:cs="Times New Roman"/>
            <w:szCs w:val="24"/>
            <w:lang w:val="en"/>
          </w:rPr>
          <w:t>https://soilhealth.dac.gov.in/soilTestingLabs</w:t>
        </w:r>
      </w:hyperlink>
      <w:r w:rsidR="009E320B">
        <w:rPr>
          <w:rFonts w:ascii="Times New Roman" w:hAnsi="Times New Roman" w:cs="Times New Roman"/>
          <w:szCs w:val="24"/>
          <w:lang w:val="en"/>
        </w:rPr>
        <w:t xml:space="preserve"> </w:t>
      </w:r>
    </w:p>
    <w:p w14:paraId="2780C360"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[10] S. Adak, “Smart Agriculture with NPK Sensors: A Sustainable Approach to Soil Health and Fertilizer Optimization in Guava Farming,” J. Sci. Res. Reports, vol. 31, no. 7, pp. 45–52, 2025. </w:t>
      </w:r>
    </w:p>
    <w:p w14:paraId="11D4013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[11] R. Adhikary, S. J. Choudhury, and T. Shankar, “Real-Time Soil Nutrient Monitoring Using NPK Sensors: Enhancing Precision Agriculture,” Int. J. Exp. Res. Rev., ISSN 2455–4855, 2025. </w:t>
      </w:r>
    </w:p>
    <w:p w14:paraId="0D3F251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[12] V.-D. </w:t>
      </w:r>
      <w:proofErr w:type="spellStart"/>
      <w:r w:rsidRPr="008E4EF8">
        <w:rPr>
          <w:rFonts w:ascii="Times New Roman" w:hAnsi="Times New Roman" w:cs="Times New Roman"/>
          <w:szCs w:val="24"/>
          <w:lang w:val="en"/>
        </w:rPr>
        <w:t>Băjenaru</w:t>
      </w:r>
      <w:proofErr w:type="spellEnd"/>
      <w:r w:rsidRPr="008E4EF8">
        <w:rPr>
          <w:rFonts w:ascii="Times New Roman" w:hAnsi="Times New Roman" w:cs="Times New Roman"/>
          <w:szCs w:val="24"/>
          <w:lang w:val="en"/>
        </w:rPr>
        <w:t xml:space="preserve">, S.-E. </w:t>
      </w:r>
      <w:proofErr w:type="spellStart"/>
      <w:r w:rsidRPr="008E4EF8">
        <w:rPr>
          <w:rFonts w:ascii="Times New Roman" w:hAnsi="Times New Roman" w:cs="Times New Roman"/>
          <w:szCs w:val="24"/>
          <w:lang w:val="en"/>
        </w:rPr>
        <w:t>Istriţeanu</w:t>
      </w:r>
      <w:proofErr w:type="spellEnd"/>
      <w:r w:rsidRPr="008E4EF8">
        <w:rPr>
          <w:rFonts w:ascii="Times New Roman" w:hAnsi="Times New Roman" w:cs="Times New Roman"/>
          <w:szCs w:val="24"/>
          <w:lang w:val="en"/>
        </w:rPr>
        <w:t xml:space="preserve">, and P.-N. </w:t>
      </w:r>
      <w:proofErr w:type="spellStart"/>
      <w:r w:rsidRPr="008E4EF8">
        <w:rPr>
          <w:rFonts w:ascii="Times New Roman" w:hAnsi="Times New Roman" w:cs="Times New Roman"/>
          <w:szCs w:val="24"/>
          <w:lang w:val="en"/>
        </w:rPr>
        <w:t>Ancut</w:t>
      </w:r>
      <w:proofErr w:type="spellEnd"/>
      <w:r w:rsidRPr="008E4EF8">
        <w:rPr>
          <w:rFonts w:ascii="Times New Roman" w:hAnsi="Times New Roman" w:cs="Times New Roman"/>
          <w:szCs w:val="24"/>
          <w:lang w:val="en"/>
        </w:rPr>
        <w:t xml:space="preserve">, “Autonomous, Multisensory Soil Monitoring System,” </w:t>
      </w:r>
      <w:proofErr w:type="spellStart"/>
      <w:r w:rsidRPr="008E4EF8">
        <w:rPr>
          <w:rFonts w:ascii="Times New Roman" w:hAnsi="Times New Roman" w:cs="Times New Roman"/>
          <w:szCs w:val="24"/>
          <w:lang w:val="en"/>
        </w:rPr>
        <w:t>AgriEngineering</w:t>
      </w:r>
      <w:proofErr w:type="spellEnd"/>
      <w:r w:rsidRPr="008E4EF8">
        <w:rPr>
          <w:rFonts w:ascii="Times New Roman" w:hAnsi="Times New Roman" w:cs="Times New Roman"/>
          <w:szCs w:val="24"/>
          <w:lang w:val="en"/>
        </w:rPr>
        <w:t>, vol. 7, p. 18, 2025. </w:t>
      </w:r>
    </w:p>
    <w:p w14:paraId="4A7EF790"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[13] A. K. Yadav, P. Shukla, A. K. Sharma, and S. K. Gupta, “IoT-Based Soil Monitoring Water Sprinkler Robot,” Int. J. Futuristic </w:t>
      </w:r>
      <w:proofErr w:type="spellStart"/>
      <w:r w:rsidRPr="008E4EF8">
        <w:rPr>
          <w:rFonts w:ascii="Times New Roman" w:hAnsi="Times New Roman" w:cs="Times New Roman"/>
          <w:szCs w:val="24"/>
          <w:lang w:val="en"/>
        </w:rPr>
        <w:t>Multidiscip</w:t>
      </w:r>
      <w:proofErr w:type="spellEnd"/>
      <w:r w:rsidRPr="008E4EF8">
        <w:rPr>
          <w:rFonts w:ascii="Times New Roman" w:hAnsi="Times New Roman" w:cs="Times New Roman"/>
          <w:szCs w:val="24"/>
          <w:lang w:val="en"/>
        </w:rPr>
        <w:t>. Res., E-ISSN: 2582-2160, 2025. </w:t>
      </w:r>
    </w:p>
    <w:p w14:paraId="03EC3418"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[14] J. </w:t>
      </w:r>
      <w:proofErr w:type="spellStart"/>
      <w:r w:rsidRPr="008E4EF8">
        <w:rPr>
          <w:rFonts w:ascii="Times New Roman" w:hAnsi="Times New Roman" w:cs="Times New Roman"/>
          <w:szCs w:val="24"/>
          <w:lang w:val="en"/>
        </w:rPr>
        <w:t>Norbya</w:t>
      </w:r>
      <w:proofErr w:type="spellEnd"/>
      <w:r w:rsidRPr="008E4EF8">
        <w:rPr>
          <w:rFonts w:ascii="Times New Roman" w:hAnsi="Times New Roman" w:cs="Times New Roman"/>
          <w:szCs w:val="24"/>
          <w:lang w:val="en"/>
        </w:rPr>
        <w:t>, H. Hussain, and S. Mandal, “Path to Autonomous Soil Sampling and Analysis by Ground-Based Robots,” J. Environ. Manage., Elsevier, 2025. </w:t>
      </w:r>
    </w:p>
    <w:p w14:paraId="17973BF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[15] L. Liu, X. Wang, X. Yang, H. Liu, J. Li, and P. Wang, “Path Planning Techniques for Mobile Robots: Review and Prospect,” Expert Syst. Appl., Elsevier, 2025. </w:t>
      </w:r>
    </w:p>
    <w:p w14:paraId="1FE40B8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[16] T. Fujinaga, “Autonomous Navigation Method for Agricultural Robots in High-Bed Cultivation Environments,” </w:t>
      </w:r>
      <w:proofErr w:type="spellStart"/>
      <w:r w:rsidRPr="008E4EF8">
        <w:rPr>
          <w:rFonts w:ascii="Times New Roman" w:hAnsi="Times New Roman" w:cs="Times New Roman"/>
          <w:szCs w:val="24"/>
          <w:lang w:val="en"/>
        </w:rPr>
        <w:t>Comput</w:t>
      </w:r>
      <w:proofErr w:type="spellEnd"/>
      <w:r w:rsidRPr="008E4EF8">
        <w:rPr>
          <w:rFonts w:ascii="Times New Roman" w:hAnsi="Times New Roman" w:cs="Times New Roman"/>
          <w:szCs w:val="24"/>
          <w:lang w:val="en"/>
        </w:rPr>
        <w:t>. Electron. Agric., Elsevier, 2025.</w:t>
      </w:r>
    </w:p>
    <w:p w14:paraId="0A9B3EF8"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[17] H. Mansur, M. </w:t>
      </w:r>
      <w:proofErr w:type="spellStart"/>
      <w:r w:rsidRPr="008E4EF8">
        <w:rPr>
          <w:rFonts w:ascii="Times New Roman" w:hAnsi="Times New Roman" w:cs="Times New Roman"/>
          <w:szCs w:val="24"/>
          <w:lang w:val="en"/>
        </w:rPr>
        <w:t>Gadhwal</w:t>
      </w:r>
      <w:proofErr w:type="spellEnd"/>
      <w:r w:rsidRPr="008E4EF8">
        <w:rPr>
          <w:rFonts w:ascii="Times New Roman" w:hAnsi="Times New Roman" w:cs="Times New Roman"/>
          <w:szCs w:val="24"/>
          <w:lang w:val="en"/>
        </w:rPr>
        <w:t>, J. E. Abon, and D. Flippo, “Mapping for Autonomous Navigation of Agricultural Robots Through Crop Rows Using UAV,” Agriculture, vol. 15, p. 882, 2025. </w:t>
      </w:r>
    </w:p>
    <w:p w14:paraId="00CB6C6A"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[18] M. McCole, M. Bradley, M. McCaul, and D. McCrudden, “A Low-Cost Portable System for On-Site Detection of Soil pH and Potassium Levels Using 3D Printed Sensors,” Results Eng., Elsevier, 2025.</w:t>
      </w:r>
    </w:p>
    <w:p w14:paraId="2F42D818" w14:textId="77777777" w:rsidR="000C51B3" w:rsidRPr="008E4EF8" w:rsidRDefault="000C51B3" w:rsidP="000C51B3">
      <w:pPr>
        <w:spacing w:line="240" w:lineRule="auto"/>
        <w:jc w:val="both"/>
        <w:rPr>
          <w:rFonts w:ascii="Times New Roman" w:hAnsi="Times New Roman" w:cs="Times New Roman"/>
          <w:szCs w:val="24"/>
        </w:rPr>
      </w:pPr>
    </w:p>
    <w:sectPr w:rsidR="000C51B3" w:rsidRPr="008E4EF8" w:rsidSect="008C359F">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A8AF" w14:textId="77777777" w:rsidR="00D4053B" w:rsidRDefault="00D4053B" w:rsidP="00B70C9E">
      <w:pPr>
        <w:spacing w:after="0" w:line="240" w:lineRule="auto"/>
      </w:pPr>
      <w:r>
        <w:separator/>
      </w:r>
    </w:p>
  </w:endnote>
  <w:endnote w:type="continuationSeparator" w:id="0">
    <w:p w14:paraId="179873AA" w14:textId="77777777" w:rsidR="00D4053B" w:rsidRDefault="00D4053B" w:rsidP="00B7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E1A3" w14:textId="77777777" w:rsidR="00D4053B" w:rsidRDefault="00D4053B" w:rsidP="00B70C9E">
      <w:pPr>
        <w:spacing w:after="0" w:line="240" w:lineRule="auto"/>
      </w:pPr>
      <w:r>
        <w:separator/>
      </w:r>
    </w:p>
  </w:footnote>
  <w:footnote w:type="continuationSeparator" w:id="0">
    <w:p w14:paraId="6295EED9" w14:textId="77777777" w:rsidR="00D4053B" w:rsidRDefault="00D4053B" w:rsidP="00B70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409"/>
    <w:multiLevelType w:val="hybridMultilevel"/>
    <w:tmpl w:val="11FEACD6"/>
    <w:lvl w:ilvl="0" w:tplc="73ACFB5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15:restartNumberingAfterBreak="0">
    <w:nsid w:val="05EC4D6F"/>
    <w:multiLevelType w:val="multilevel"/>
    <w:tmpl w:val="DB68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A0253"/>
    <w:multiLevelType w:val="multilevel"/>
    <w:tmpl w:val="CC6C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63DAC"/>
    <w:multiLevelType w:val="multilevel"/>
    <w:tmpl w:val="8682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963F9"/>
    <w:multiLevelType w:val="multilevel"/>
    <w:tmpl w:val="06F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D67FE"/>
    <w:multiLevelType w:val="multilevel"/>
    <w:tmpl w:val="922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C1491"/>
    <w:multiLevelType w:val="multilevel"/>
    <w:tmpl w:val="40F4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F13C6"/>
    <w:multiLevelType w:val="multilevel"/>
    <w:tmpl w:val="9E1C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602B8"/>
    <w:multiLevelType w:val="multilevel"/>
    <w:tmpl w:val="F32C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02EBC"/>
    <w:multiLevelType w:val="multilevel"/>
    <w:tmpl w:val="250A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B4B42"/>
    <w:multiLevelType w:val="hybridMultilevel"/>
    <w:tmpl w:val="EA541D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09D35E8"/>
    <w:multiLevelType w:val="multilevel"/>
    <w:tmpl w:val="AB6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550E5"/>
    <w:multiLevelType w:val="multilevel"/>
    <w:tmpl w:val="3604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3B9C"/>
    <w:multiLevelType w:val="multilevel"/>
    <w:tmpl w:val="3B8A71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F4A6B"/>
    <w:multiLevelType w:val="multilevel"/>
    <w:tmpl w:val="5E8A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953F7"/>
    <w:multiLevelType w:val="hybridMultilevel"/>
    <w:tmpl w:val="7EA893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91F1F"/>
    <w:multiLevelType w:val="multilevel"/>
    <w:tmpl w:val="62D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E759E"/>
    <w:multiLevelType w:val="multilevel"/>
    <w:tmpl w:val="F88C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120125"/>
    <w:multiLevelType w:val="multilevel"/>
    <w:tmpl w:val="0AC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562E3"/>
    <w:multiLevelType w:val="multilevel"/>
    <w:tmpl w:val="D07A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366CD0"/>
    <w:multiLevelType w:val="multilevel"/>
    <w:tmpl w:val="67FA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B04D4"/>
    <w:multiLevelType w:val="multilevel"/>
    <w:tmpl w:val="BE4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6F0A"/>
    <w:multiLevelType w:val="multilevel"/>
    <w:tmpl w:val="370A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76319"/>
    <w:multiLevelType w:val="multilevel"/>
    <w:tmpl w:val="26E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74431"/>
    <w:multiLevelType w:val="multilevel"/>
    <w:tmpl w:val="76A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C42E47"/>
    <w:multiLevelType w:val="hybridMultilevel"/>
    <w:tmpl w:val="7A18800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DC927DD"/>
    <w:multiLevelType w:val="multilevel"/>
    <w:tmpl w:val="FD8C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D0DCC"/>
    <w:multiLevelType w:val="multilevel"/>
    <w:tmpl w:val="F46A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064BF"/>
    <w:multiLevelType w:val="hybridMultilevel"/>
    <w:tmpl w:val="7C5AE5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70C80"/>
    <w:multiLevelType w:val="multilevel"/>
    <w:tmpl w:val="6E6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91309"/>
    <w:multiLevelType w:val="multilevel"/>
    <w:tmpl w:val="EEA6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A0758B"/>
    <w:multiLevelType w:val="hybridMultilevel"/>
    <w:tmpl w:val="EDF44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90433"/>
    <w:multiLevelType w:val="multilevel"/>
    <w:tmpl w:val="8C1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826C5"/>
    <w:multiLevelType w:val="multilevel"/>
    <w:tmpl w:val="2602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560515">
    <w:abstractNumId w:val="30"/>
  </w:num>
  <w:num w:numId="2" w16cid:durableId="1979845060">
    <w:abstractNumId w:val="1"/>
  </w:num>
  <w:num w:numId="3" w16cid:durableId="685139432">
    <w:abstractNumId w:val="3"/>
  </w:num>
  <w:num w:numId="4" w16cid:durableId="293684317">
    <w:abstractNumId w:val="17"/>
  </w:num>
  <w:num w:numId="5" w16cid:durableId="735054956">
    <w:abstractNumId w:val="11"/>
  </w:num>
  <w:num w:numId="6" w16cid:durableId="1439444271">
    <w:abstractNumId w:val="33"/>
  </w:num>
  <w:num w:numId="7" w16cid:durableId="267197254">
    <w:abstractNumId w:val="27"/>
  </w:num>
  <w:num w:numId="8" w16cid:durableId="829516050">
    <w:abstractNumId w:val="6"/>
  </w:num>
  <w:num w:numId="9" w16cid:durableId="748625544">
    <w:abstractNumId w:val="5"/>
  </w:num>
  <w:num w:numId="10" w16cid:durableId="645471547">
    <w:abstractNumId w:val="2"/>
  </w:num>
  <w:num w:numId="11" w16cid:durableId="2102139526">
    <w:abstractNumId w:val="20"/>
  </w:num>
  <w:num w:numId="12" w16cid:durableId="1335455022">
    <w:abstractNumId w:val="9"/>
  </w:num>
  <w:num w:numId="13" w16cid:durableId="846595541">
    <w:abstractNumId w:val="29"/>
  </w:num>
  <w:num w:numId="14" w16cid:durableId="115104786">
    <w:abstractNumId w:val="24"/>
  </w:num>
  <w:num w:numId="15" w16cid:durableId="225074665">
    <w:abstractNumId w:val="19"/>
  </w:num>
  <w:num w:numId="16" w16cid:durableId="1802112827">
    <w:abstractNumId w:val="7"/>
  </w:num>
  <w:num w:numId="17" w16cid:durableId="685640357">
    <w:abstractNumId w:val="26"/>
  </w:num>
  <w:num w:numId="18" w16cid:durableId="371073863">
    <w:abstractNumId w:val="21"/>
  </w:num>
  <w:num w:numId="19" w16cid:durableId="1443185596">
    <w:abstractNumId w:val="32"/>
  </w:num>
  <w:num w:numId="20" w16cid:durableId="893658876">
    <w:abstractNumId w:val="4"/>
  </w:num>
  <w:num w:numId="21" w16cid:durableId="212739670">
    <w:abstractNumId w:val="18"/>
  </w:num>
  <w:num w:numId="22" w16cid:durableId="1747342506">
    <w:abstractNumId w:val="12"/>
  </w:num>
  <w:num w:numId="23" w16cid:durableId="1023283234">
    <w:abstractNumId w:val="14"/>
  </w:num>
  <w:num w:numId="24" w16cid:durableId="23486829">
    <w:abstractNumId w:val="8"/>
  </w:num>
  <w:num w:numId="25" w16cid:durableId="1990939846">
    <w:abstractNumId w:val="22"/>
  </w:num>
  <w:num w:numId="26" w16cid:durableId="831412827">
    <w:abstractNumId w:val="23"/>
  </w:num>
  <w:num w:numId="27" w16cid:durableId="951018245">
    <w:abstractNumId w:val="0"/>
  </w:num>
  <w:num w:numId="28" w16cid:durableId="1279095429">
    <w:abstractNumId w:val="13"/>
  </w:num>
  <w:num w:numId="29" w16cid:durableId="975987572">
    <w:abstractNumId w:val="16"/>
  </w:num>
  <w:num w:numId="30" w16cid:durableId="363025817">
    <w:abstractNumId w:val="31"/>
  </w:num>
  <w:num w:numId="31" w16cid:durableId="1075275579">
    <w:abstractNumId w:val="10"/>
  </w:num>
  <w:num w:numId="32" w16cid:durableId="1146432119">
    <w:abstractNumId w:val="28"/>
  </w:num>
  <w:num w:numId="33" w16cid:durableId="968707214">
    <w:abstractNumId w:val="15"/>
  </w:num>
  <w:num w:numId="34" w16cid:durableId="17753174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C9E"/>
    <w:rsid w:val="000101D9"/>
    <w:rsid w:val="000113E6"/>
    <w:rsid w:val="00025B79"/>
    <w:rsid w:val="00072CD3"/>
    <w:rsid w:val="00075A3F"/>
    <w:rsid w:val="00085A61"/>
    <w:rsid w:val="00096DF1"/>
    <w:rsid w:val="000B3A5D"/>
    <w:rsid w:val="000C51B3"/>
    <w:rsid w:val="000D33E1"/>
    <w:rsid w:val="000E01B2"/>
    <w:rsid w:val="000F1CA7"/>
    <w:rsid w:val="000F6FD6"/>
    <w:rsid w:val="00102957"/>
    <w:rsid w:val="001038AA"/>
    <w:rsid w:val="00105BF3"/>
    <w:rsid w:val="0011050F"/>
    <w:rsid w:val="0011665D"/>
    <w:rsid w:val="0012204C"/>
    <w:rsid w:val="00132A2B"/>
    <w:rsid w:val="001904BE"/>
    <w:rsid w:val="001A2622"/>
    <w:rsid w:val="001A7431"/>
    <w:rsid w:val="001F5B0B"/>
    <w:rsid w:val="00256DA2"/>
    <w:rsid w:val="00266426"/>
    <w:rsid w:val="00291400"/>
    <w:rsid w:val="002A1F85"/>
    <w:rsid w:val="00320A8B"/>
    <w:rsid w:val="003319B9"/>
    <w:rsid w:val="00335217"/>
    <w:rsid w:val="003413D9"/>
    <w:rsid w:val="00347034"/>
    <w:rsid w:val="00356AF8"/>
    <w:rsid w:val="003C342B"/>
    <w:rsid w:val="003E061D"/>
    <w:rsid w:val="003E1973"/>
    <w:rsid w:val="003F63FA"/>
    <w:rsid w:val="004014D9"/>
    <w:rsid w:val="00410876"/>
    <w:rsid w:val="00410C18"/>
    <w:rsid w:val="00423124"/>
    <w:rsid w:val="00440BFE"/>
    <w:rsid w:val="004630D5"/>
    <w:rsid w:val="00475952"/>
    <w:rsid w:val="004853BA"/>
    <w:rsid w:val="004E0740"/>
    <w:rsid w:val="004E7530"/>
    <w:rsid w:val="005202A8"/>
    <w:rsid w:val="00527BC0"/>
    <w:rsid w:val="00556493"/>
    <w:rsid w:val="005806C1"/>
    <w:rsid w:val="0059532A"/>
    <w:rsid w:val="005B3C23"/>
    <w:rsid w:val="005B52EC"/>
    <w:rsid w:val="005C7079"/>
    <w:rsid w:val="005D44E0"/>
    <w:rsid w:val="005E771A"/>
    <w:rsid w:val="005F6A48"/>
    <w:rsid w:val="00601C63"/>
    <w:rsid w:val="00602C9C"/>
    <w:rsid w:val="00606B59"/>
    <w:rsid w:val="006127B7"/>
    <w:rsid w:val="0063092A"/>
    <w:rsid w:val="00631146"/>
    <w:rsid w:val="00631576"/>
    <w:rsid w:val="00633448"/>
    <w:rsid w:val="006436AE"/>
    <w:rsid w:val="00693BB1"/>
    <w:rsid w:val="006A32E3"/>
    <w:rsid w:val="006B1AA6"/>
    <w:rsid w:val="006D282F"/>
    <w:rsid w:val="006D519D"/>
    <w:rsid w:val="006E60E7"/>
    <w:rsid w:val="006F0775"/>
    <w:rsid w:val="007177FF"/>
    <w:rsid w:val="00732D27"/>
    <w:rsid w:val="00751926"/>
    <w:rsid w:val="00752ADA"/>
    <w:rsid w:val="007740A2"/>
    <w:rsid w:val="007775A8"/>
    <w:rsid w:val="00780D9B"/>
    <w:rsid w:val="007847BC"/>
    <w:rsid w:val="007968CC"/>
    <w:rsid w:val="007E31CD"/>
    <w:rsid w:val="0081183B"/>
    <w:rsid w:val="008138F6"/>
    <w:rsid w:val="008140B4"/>
    <w:rsid w:val="00842645"/>
    <w:rsid w:val="00851702"/>
    <w:rsid w:val="00854F21"/>
    <w:rsid w:val="00895426"/>
    <w:rsid w:val="008A070F"/>
    <w:rsid w:val="008A6B48"/>
    <w:rsid w:val="008C359F"/>
    <w:rsid w:val="008D295E"/>
    <w:rsid w:val="008E4EF8"/>
    <w:rsid w:val="0093088F"/>
    <w:rsid w:val="009458DD"/>
    <w:rsid w:val="00947C25"/>
    <w:rsid w:val="00954D1F"/>
    <w:rsid w:val="00970F97"/>
    <w:rsid w:val="00984261"/>
    <w:rsid w:val="00995487"/>
    <w:rsid w:val="009B2707"/>
    <w:rsid w:val="009D4ECD"/>
    <w:rsid w:val="009D5720"/>
    <w:rsid w:val="009E320B"/>
    <w:rsid w:val="009E466D"/>
    <w:rsid w:val="009E6E92"/>
    <w:rsid w:val="00A025CC"/>
    <w:rsid w:val="00A04F75"/>
    <w:rsid w:val="00A46D85"/>
    <w:rsid w:val="00A50E69"/>
    <w:rsid w:val="00A92D1B"/>
    <w:rsid w:val="00AB06D3"/>
    <w:rsid w:val="00AF4102"/>
    <w:rsid w:val="00AF4A21"/>
    <w:rsid w:val="00B13C17"/>
    <w:rsid w:val="00B26EDB"/>
    <w:rsid w:val="00B36283"/>
    <w:rsid w:val="00B4477C"/>
    <w:rsid w:val="00B5180A"/>
    <w:rsid w:val="00B702D8"/>
    <w:rsid w:val="00B70C9E"/>
    <w:rsid w:val="00B80CDF"/>
    <w:rsid w:val="00B81301"/>
    <w:rsid w:val="00B95D77"/>
    <w:rsid w:val="00BA41CE"/>
    <w:rsid w:val="00BC66D5"/>
    <w:rsid w:val="00BE00C5"/>
    <w:rsid w:val="00C1104E"/>
    <w:rsid w:val="00C20709"/>
    <w:rsid w:val="00C342EF"/>
    <w:rsid w:val="00C36167"/>
    <w:rsid w:val="00C376DC"/>
    <w:rsid w:val="00C465C4"/>
    <w:rsid w:val="00C6572C"/>
    <w:rsid w:val="00C67584"/>
    <w:rsid w:val="00C92B2E"/>
    <w:rsid w:val="00CA0540"/>
    <w:rsid w:val="00CA0D3F"/>
    <w:rsid w:val="00CA7898"/>
    <w:rsid w:val="00CB010F"/>
    <w:rsid w:val="00CB3136"/>
    <w:rsid w:val="00CB3323"/>
    <w:rsid w:val="00CD0895"/>
    <w:rsid w:val="00D30505"/>
    <w:rsid w:val="00D4053B"/>
    <w:rsid w:val="00D5074F"/>
    <w:rsid w:val="00D543B3"/>
    <w:rsid w:val="00D57F0E"/>
    <w:rsid w:val="00D63E5D"/>
    <w:rsid w:val="00D87943"/>
    <w:rsid w:val="00DB1E74"/>
    <w:rsid w:val="00DB397D"/>
    <w:rsid w:val="00DD2230"/>
    <w:rsid w:val="00DD3482"/>
    <w:rsid w:val="00DE556C"/>
    <w:rsid w:val="00E014C9"/>
    <w:rsid w:val="00E07B9B"/>
    <w:rsid w:val="00E717A2"/>
    <w:rsid w:val="00E71A8E"/>
    <w:rsid w:val="00E74B90"/>
    <w:rsid w:val="00EC2D54"/>
    <w:rsid w:val="00F1491A"/>
    <w:rsid w:val="00F31324"/>
    <w:rsid w:val="00F52EAD"/>
    <w:rsid w:val="00F72CD7"/>
    <w:rsid w:val="00F75FE9"/>
    <w:rsid w:val="00FA2EDA"/>
    <w:rsid w:val="00FA3ABE"/>
    <w:rsid w:val="00FB0F17"/>
    <w:rsid w:val="00FB12AF"/>
    <w:rsid w:val="00FB59E1"/>
    <w:rsid w:val="00FB73E0"/>
    <w:rsid w:val="00FC790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2DBE"/>
  <w15:docId w15:val="{AD54838C-20B8-4DBB-BCD0-203BDC8F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2F"/>
  </w:style>
  <w:style w:type="paragraph" w:styleId="Heading1">
    <w:name w:val="heading 1"/>
    <w:basedOn w:val="Normal"/>
    <w:next w:val="Normal"/>
    <w:link w:val="Heading1Char"/>
    <w:uiPriority w:val="9"/>
    <w:qFormat/>
    <w:rsid w:val="00B70C9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70C9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70C9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70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9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70C9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70C9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70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9E"/>
    <w:rPr>
      <w:rFonts w:eastAsiaTheme="majorEastAsia" w:cstheme="majorBidi"/>
      <w:color w:val="272727" w:themeColor="text1" w:themeTint="D8"/>
    </w:rPr>
  </w:style>
  <w:style w:type="paragraph" w:styleId="Title">
    <w:name w:val="Title"/>
    <w:basedOn w:val="Normal"/>
    <w:next w:val="Normal"/>
    <w:link w:val="TitleChar"/>
    <w:uiPriority w:val="10"/>
    <w:qFormat/>
    <w:rsid w:val="00B70C9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70C9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70C9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70C9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70C9E"/>
    <w:pPr>
      <w:spacing w:before="160"/>
      <w:jc w:val="center"/>
    </w:pPr>
    <w:rPr>
      <w:i/>
      <w:iCs/>
      <w:color w:val="404040" w:themeColor="text1" w:themeTint="BF"/>
    </w:rPr>
  </w:style>
  <w:style w:type="character" w:customStyle="1" w:styleId="QuoteChar">
    <w:name w:val="Quote Char"/>
    <w:basedOn w:val="DefaultParagraphFont"/>
    <w:link w:val="Quote"/>
    <w:uiPriority w:val="29"/>
    <w:rsid w:val="00B70C9E"/>
    <w:rPr>
      <w:i/>
      <w:iCs/>
      <w:color w:val="404040" w:themeColor="text1" w:themeTint="BF"/>
    </w:rPr>
  </w:style>
  <w:style w:type="paragraph" w:styleId="ListParagraph">
    <w:name w:val="List Paragraph"/>
    <w:basedOn w:val="Normal"/>
    <w:uiPriority w:val="34"/>
    <w:qFormat/>
    <w:rsid w:val="00B70C9E"/>
    <w:pPr>
      <w:ind w:left="720"/>
      <w:contextualSpacing/>
    </w:pPr>
  </w:style>
  <w:style w:type="character" w:styleId="IntenseEmphasis">
    <w:name w:val="Intense Emphasis"/>
    <w:basedOn w:val="DefaultParagraphFont"/>
    <w:uiPriority w:val="21"/>
    <w:qFormat/>
    <w:rsid w:val="00B70C9E"/>
    <w:rPr>
      <w:i/>
      <w:iCs/>
      <w:color w:val="0F4761" w:themeColor="accent1" w:themeShade="BF"/>
    </w:rPr>
  </w:style>
  <w:style w:type="paragraph" w:styleId="IntenseQuote">
    <w:name w:val="Intense Quote"/>
    <w:basedOn w:val="Normal"/>
    <w:next w:val="Normal"/>
    <w:link w:val="IntenseQuoteChar"/>
    <w:uiPriority w:val="30"/>
    <w:qFormat/>
    <w:rsid w:val="00B70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C9E"/>
    <w:rPr>
      <w:i/>
      <w:iCs/>
      <w:color w:val="0F4761" w:themeColor="accent1" w:themeShade="BF"/>
    </w:rPr>
  </w:style>
  <w:style w:type="character" w:styleId="IntenseReference">
    <w:name w:val="Intense Reference"/>
    <w:basedOn w:val="DefaultParagraphFont"/>
    <w:uiPriority w:val="32"/>
    <w:qFormat/>
    <w:rsid w:val="00B70C9E"/>
    <w:rPr>
      <w:b/>
      <w:bCs/>
      <w:smallCaps/>
      <w:color w:val="0F4761" w:themeColor="accent1" w:themeShade="BF"/>
      <w:spacing w:val="5"/>
    </w:rPr>
  </w:style>
  <w:style w:type="paragraph" w:styleId="Header">
    <w:name w:val="header"/>
    <w:basedOn w:val="Normal"/>
    <w:link w:val="HeaderChar"/>
    <w:uiPriority w:val="99"/>
    <w:unhideWhenUsed/>
    <w:rsid w:val="00B70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C9E"/>
  </w:style>
  <w:style w:type="paragraph" w:styleId="Footer">
    <w:name w:val="footer"/>
    <w:basedOn w:val="Normal"/>
    <w:link w:val="FooterChar"/>
    <w:uiPriority w:val="99"/>
    <w:unhideWhenUsed/>
    <w:rsid w:val="00B70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C9E"/>
  </w:style>
  <w:style w:type="character" w:styleId="Hyperlink">
    <w:name w:val="Hyperlink"/>
    <w:basedOn w:val="DefaultParagraphFont"/>
    <w:uiPriority w:val="99"/>
    <w:unhideWhenUsed/>
    <w:rsid w:val="00C342EF"/>
    <w:rPr>
      <w:color w:val="467886" w:themeColor="hyperlink"/>
      <w:u w:val="single"/>
    </w:rPr>
  </w:style>
  <w:style w:type="character" w:customStyle="1" w:styleId="UnresolvedMention1">
    <w:name w:val="Unresolved Mention1"/>
    <w:basedOn w:val="DefaultParagraphFont"/>
    <w:uiPriority w:val="99"/>
    <w:semiHidden/>
    <w:unhideWhenUsed/>
    <w:rsid w:val="00C342EF"/>
    <w:rPr>
      <w:color w:val="605E5C"/>
      <w:shd w:val="clear" w:color="auto" w:fill="E1DFDD"/>
    </w:rPr>
  </w:style>
  <w:style w:type="paragraph" w:styleId="NormalWeb">
    <w:name w:val="Normal (Web)"/>
    <w:basedOn w:val="Normal"/>
    <w:uiPriority w:val="99"/>
    <w:unhideWhenUsed/>
    <w:rsid w:val="006D282F"/>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styleId="BalloonText">
    <w:name w:val="Balloon Text"/>
    <w:basedOn w:val="Normal"/>
    <w:link w:val="BalloonTextChar"/>
    <w:uiPriority w:val="99"/>
    <w:semiHidden/>
    <w:unhideWhenUsed/>
    <w:rsid w:val="003E197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E1973"/>
    <w:rPr>
      <w:rFonts w:ascii="Tahoma" w:hAnsi="Tahoma" w:cs="Tahoma"/>
      <w:sz w:val="16"/>
      <w:szCs w:val="14"/>
    </w:rPr>
  </w:style>
  <w:style w:type="character" w:styleId="Strong">
    <w:name w:val="Strong"/>
    <w:basedOn w:val="DefaultParagraphFont"/>
    <w:uiPriority w:val="22"/>
    <w:qFormat/>
    <w:rsid w:val="003E1973"/>
    <w:rPr>
      <w:b/>
      <w:bCs/>
    </w:rPr>
  </w:style>
  <w:style w:type="character" w:customStyle="1" w:styleId="UnresolvedMention2">
    <w:name w:val="Unresolved Mention2"/>
    <w:basedOn w:val="DefaultParagraphFont"/>
    <w:uiPriority w:val="99"/>
    <w:semiHidden/>
    <w:unhideWhenUsed/>
    <w:rsid w:val="000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47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oilhealth.dac.gov.in/soilTestingL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A964-726C-4C32-984B-314CD07F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Pages>
  <Words>4209</Words>
  <Characters>23995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Meet Kulkarni</dc:creator>
  <cp:keywords/>
  <dc:description/>
  <cp:lastModifiedBy>theaisha1707@gmail.com</cp:lastModifiedBy>
  <cp:revision>30</cp:revision>
  <cp:lastPrinted>2026-04-27T04:41:00Z</cp:lastPrinted>
  <dcterms:created xsi:type="dcterms:W3CDTF">2026-04-26T07:27:00Z</dcterms:created>
  <dcterms:modified xsi:type="dcterms:W3CDTF">2026-04-30T05:42:00Z</dcterms:modified>
</cp:coreProperties>
</file>