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CBF1" w14:textId="357FDF87" w:rsidR="004E37DD" w:rsidRPr="007842DA" w:rsidRDefault="004E37DD" w:rsidP="004E37DD">
      <w:pPr>
        <w:spacing w:after="120"/>
        <w:jc w:val="center"/>
        <w:rPr>
          <w:color w:val="000000" w:themeColor="text1"/>
        </w:rPr>
      </w:pPr>
      <w:r w:rsidRPr="007842DA">
        <w:rPr>
          <w:b/>
          <w:bCs/>
          <w:color w:val="000000" w:themeColor="text1"/>
          <w:sz w:val="28"/>
          <w:szCs w:val="28"/>
        </w:rPr>
        <w:t>Appzlogic Training Platform</w:t>
      </w:r>
    </w:p>
    <w:p w14:paraId="14DBAEA0" w14:textId="27C6B1E5" w:rsidR="000531E7" w:rsidRPr="007842DA" w:rsidRDefault="000531E7">
      <w:pPr>
        <w:spacing w:after="97" w:line="259" w:lineRule="auto"/>
        <w:ind w:left="-1445" w:firstLine="0"/>
        <w:jc w:val="left"/>
        <w:rPr>
          <w:color w:val="000000" w:themeColor="text1"/>
        </w:rPr>
      </w:pPr>
    </w:p>
    <w:p w14:paraId="4AC6F5CF" w14:textId="77777777" w:rsidR="000531E7" w:rsidRPr="007842DA" w:rsidRDefault="00E856C0">
      <w:pPr>
        <w:spacing w:after="80" w:line="259" w:lineRule="auto"/>
        <w:ind w:left="0" w:firstLine="0"/>
        <w:jc w:val="left"/>
        <w:rPr>
          <w:color w:val="000000" w:themeColor="text1"/>
        </w:rPr>
      </w:pPr>
      <w:r w:rsidRPr="007842DA">
        <w:rPr>
          <w:color w:val="000000" w:themeColor="text1"/>
        </w:rPr>
        <w:t xml:space="preserve"> </w:t>
      </w:r>
    </w:p>
    <w:p w14:paraId="53C3A3B9" w14:textId="57305884" w:rsidR="000531E7" w:rsidRDefault="000531E7">
      <w:pPr>
        <w:spacing w:after="0" w:line="259" w:lineRule="auto"/>
        <w:ind w:left="6378" w:firstLine="0"/>
        <w:jc w:val="center"/>
        <w:rPr>
          <w:color w:val="000000" w:themeColor="text1"/>
        </w:rPr>
      </w:pPr>
    </w:p>
    <w:p w14:paraId="71992971" w14:textId="77777777" w:rsidR="00A77FF6" w:rsidRPr="007842DA" w:rsidRDefault="00A77FF6">
      <w:pPr>
        <w:spacing w:after="0" w:line="259" w:lineRule="auto"/>
        <w:ind w:left="6378" w:firstLine="0"/>
        <w:jc w:val="center"/>
        <w:rPr>
          <w:color w:val="000000" w:themeColor="text1"/>
        </w:rPr>
      </w:pPr>
    </w:p>
    <w:p w14:paraId="136CE240" w14:textId="77777777" w:rsidR="000531E7" w:rsidRPr="007842DA" w:rsidRDefault="000531E7">
      <w:pPr>
        <w:rPr>
          <w:color w:val="000000" w:themeColor="text1"/>
        </w:rPr>
        <w:sectPr w:rsidR="000531E7" w:rsidRPr="007842DA">
          <w:pgSz w:w="11906" w:h="16838"/>
          <w:pgMar w:top="956" w:right="3083" w:bottom="1457" w:left="2338" w:header="720" w:footer="720" w:gutter="0"/>
          <w:cols w:space="720"/>
        </w:sectPr>
      </w:pPr>
    </w:p>
    <w:p w14:paraId="05DFD2AF" w14:textId="293BC248" w:rsidR="000531E7" w:rsidRPr="007842DA" w:rsidRDefault="000531E7">
      <w:pPr>
        <w:spacing w:after="233" w:line="240" w:lineRule="auto"/>
        <w:ind w:left="310" w:right="676" w:firstLine="605"/>
        <w:jc w:val="left"/>
        <w:rPr>
          <w:color w:val="000000" w:themeColor="text1"/>
        </w:rPr>
      </w:pPr>
    </w:p>
    <w:p w14:paraId="151E4D81" w14:textId="77777777" w:rsidR="007842DA" w:rsidRPr="007842DA" w:rsidRDefault="007842DA" w:rsidP="00DD171F">
      <w:pPr>
        <w:spacing w:before="60" w:after="60"/>
        <w:ind w:left="0" w:firstLine="0"/>
        <w:rPr>
          <w:color w:val="000000" w:themeColor="text1"/>
          <w:szCs w:val="20"/>
        </w:rPr>
      </w:pPr>
      <w:r w:rsidRPr="007842DA">
        <w:rPr>
          <w:b/>
          <w:bCs/>
          <w:i/>
          <w:iCs/>
          <w:color w:val="000000" w:themeColor="text1"/>
          <w:szCs w:val="20"/>
        </w:rPr>
        <w:t>Abstract</w:t>
      </w:r>
      <w:r w:rsidRPr="007842DA">
        <w:rPr>
          <w:color w:val="000000" w:themeColor="text1"/>
          <w:szCs w:val="20"/>
        </w:rPr>
        <w:t xml:space="preserve">—The AppZlogic Training Platform is an advanced, AI-driven Learning Management System (LMS) developed to automate, personalize, and optimize the online training experience for learners and instructors across academic and corporate environments. Conventional e-learning platforms are typically static in nature, delivering identical content to all learners without regard for individual pace, prior knowledge, learning style, or career objectives. This fundamental limitation leads to reduced learner engagement, poor retention rates, and suboptimal course completion metrics. This paper presents an intelligent and scalable solution that fundamentally transforms the online learning experience by leveraging modern Artificial Intelligence techniques, Natural Language Processing (NLP), and adaptive assessment methodologies. The proposed system employs machine learning algorithms, collaborative and content-based filtering, and Item Response Theory (IRT) to analyze learner behavior in real-time, generate dynamically adaptive assessments, and recommend highly personalized learning paths tailored to each individual. The platform is implemented as a production-ready, full-stack web application using React.js for the frontend single-page application and Node.js with Express.js for the backend RESTful API, with MongoDB as the primary document-oriented database. A microservices-oriented architecture ensures horizontal scalability and independent maintainability of all system components. Security measures including JWT-based authentication, role-based access control (RBAC), bcrypt password hashing, and TLS-encrypted data communication are incorporated to protect sensitive user data. Performance evaluation across a 6-week beta deployment with 85 active learners demonstrates high effectiveness, achieving approximately 89.5% learner satisfaction, a 78% improvement in course completion rates compared to static LMS control conditions, and a recommendation Precision@5 of 0.68. API response time averaged 312ms at the 95th percentile and system uptime reached 99.7% during the evaluation period. The System Usability Scale score of 84.2 confirms exceptional interface quality. </w:t>
      </w:r>
    </w:p>
    <w:p w14:paraId="1FCC3E8B" w14:textId="77777777" w:rsidR="007842DA" w:rsidRPr="007842DA" w:rsidRDefault="007842DA" w:rsidP="00DD171F">
      <w:pPr>
        <w:spacing w:before="60" w:after="60"/>
        <w:ind w:left="10"/>
        <w:rPr>
          <w:color w:val="000000" w:themeColor="text1"/>
          <w:szCs w:val="20"/>
        </w:rPr>
      </w:pPr>
    </w:p>
    <w:p w14:paraId="1726B420" w14:textId="7988256C" w:rsidR="007842DA" w:rsidRPr="007842DA" w:rsidRDefault="007842DA" w:rsidP="00DD171F">
      <w:pPr>
        <w:spacing w:before="60" w:after="60"/>
        <w:ind w:left="10"/>
        <w:rPr>
          <w:color w:val="000000" w:themeColor="text1"/>
        </w:rPr>
      </w:pPr>
      <w:r w:rsidRPr="007842DA">
        <w:rPr>
          <w:color w:val="000000" w:themeColor="text1"/>
          <w:szCs w:val="20"/>
        </w:rPr>
        <w:t>These results validate the core hypothesis that AI-driven personalization significantly and measurably enhances the effectiveness of online training platforms.</w:t>
      </w:r>
    </w:p>
    <w:p w14:paraId="42D8E619" w14:textId="77777777" w:rsidR="007842DA" w:rsidRPr="007842DA" w:rsidRDefault="007842DA" w:rsidP="00DD171F">
      <w:pPr>
        <w:spacing w:after="60"/>
        <w:ind w:left="10"/>
        <w:rPr>
          <w:color w:val="000000" w:themeColor="text1"/>
        </w:rPr>
      </w:pPr>
    </w:p>
    <w:p w14:paraId="486BE11F" w14:textId="77777777" w:rsidR="00DD171F" w:rsidRDefault="00DD171F" w:rsidP="00DD171F">
      <w:pPr>
        <w:spacing w:before="60" w:after="60"/>
        <w:ind w:left="10"/>
        <w:rPr>
          <w:b/>
          <w:bCs/>
          <w:i/>
          <w:iCs/>
          <w:color w:val="000000" w:themeColor="text1"/>
          <w:szCs w:val="20"/>
        </w:rPr>
      </w:pPr>
    </w:p>
    <w:p w14:paraId="6A2D8215" w14:textId="77777777" w:rsidR="00DD171F" w:rsidRDefault="00DD171F" w:rsidP="00DD171F">
      <w:pPr>
        <w:spacing w:before="60" w:after="60"/>
        <w:ind w:left="10"/>
        <w:rPr>
          <w:b/>
          <w:bCs/>
          <w:i/>
          <w:iCs/>
          <w:color w:val="000000" w:themeColor="text1"/>
          <w:szCs w:val="20"/>
        </w:rPr>
      </w:pPr>
    </w:p>
    <w:p w14:paraId="160028F2" w14:textId="6EE43E8F" w:rsidR="007842DA" w:rsidRPr="007842DA" w:rsidRDefault="007842DA" w:rsidP="00DD171F">
      <w:pPr>
        <w:spacing w:before="60" w:after="60"/>
        <w:ind w:left="10"/>
        <w:rPr>
          <w:color w:val="000000" w:themeColor="text1"/>
        </w:rPr>
      </w:pPr>
      <w:r w:rsidRPr="007842DA">
        <w:rPr>
          <w:b/>
          <w:bCs/>
          <w:i/>
          <w:iCs/>
          <w:color w:val="000000" w:themeColor="text1"/>
          <w:szCs w:val="20"/>
        </w:rPr>
        <w:t>Keywords</w:t>
      </w:r>
      <w:r w:rsidRPr="007842DA">
        <w:rPr>
          <w:color w:val="000000" w:themeColor="text1"/>
          <w:szCs w:val="20"/>
        </w:rPr>
        <w:t>—Learning Management System, Adaptive Learning, Artificial Intelligence, Natural Language Processing, Collaborative Filtering, Item Response Theory, Microservices Architecture, React.js, Node.js, MongoDB, E-</w:t>
      </w:r>
      <w:r w:rsidRPr="007842DA">
        <w:rPr>
          <w:color w:val="000000" w:themeColor="text1"/>
          <w:szCs w:val="20"/>
        </w:rPr>
        <w:t>Learning, Personalized Education, Online Training, Recommendation System</w:t>
      </w:r>
    </w:p>
    <w:p w14:paraId="4EF0F1F4" w14:textId="77777777" w:rsidR="00DD171F" w:rsidRDefault="00DD171F" w:rsidP="00DD171F">
      <w:pPr>
        <w:pStyle w:val="Heading1"/>
        <w:ind w:left="-41"/>
        <w:jc w:val="left"/>
        <w:rPr>
          <w:b/>
          <w:bCs/>
          <w:color w:val="000000" w:themeColor="text1"/>
          <w:sz w:val="22"/>
          <w:szCs w:val="22"/>
        </w:rPr>
      </w:pPr>
    </w:p>
    <w:p w14:paraId="00308339" w14:textId="0E0773C4" w:rsidR="007842DA" w:rsidRPr="007842DA" w:rsidRDefault="00DD171F" w:rsidP="00DD171F">
      <w:pPr>
        <w:pStyle w:val="Heading1"/>
        <w:ind w:left="-41"/>
        <w:jc w:val="left"/>
        <w:rPr>
          <w:color w:val="000000" w:themeColor="text1"/>
        </w:rPr>
      </w:pPr>
      <w:r>
        <w:rPr>
          <w:b/>
          <w:bCs/>
          <w:color w:val="000000" w:themeColor="text1"/>
          <w:sz w:val="22"/>
          <w:szCs w:val="22"/>
        </w:rPr>
        <w:t xml:space="preserve"> </w:t>
      </w:r>
      <w:r w:rsidR="007842DA" w:rsidRPr="007842DA">
        <w:rPr>
          <w:b/>
          <w:bCs/>
          <w:color w:val="000000" w:themeColor="text1"/>
          <w:sz w:val="22"/>
          <w:szCs w:val="22"/>
        </w:rPr>
        <w:t>I. Introduction</w:t>
      </w:r>
    </w:p>
    <w:p w14:paraId="6026D3AF" w14:textId="77777777" w:rsidR="007842DA" w:rsidRPr="007842DA" w:rsidRDefault="007842DA" w:rsidP="00DD171F">
      <w:pPr>
        <w:spacing w:before="60" w:after="60"/>
        <w:ind w:left="10"/>
        <w:rPr>
          <w:color w:val="000000" w:themeColor="text1"/>
        </w:rPr>
      </w:pPr>
      <w:r w:rsidRPr="007842DA">
        <w:rPr>
          <w:color w:val="000000" w:themeColor="text1"/>
          <w:szCs w:val="20"/>
        </w:rPr>
        <w:t>The rapid expansion of digital technologies and internet connectivity has fundamentally transformed the landscape of education and professional training. Online learning has emerged as a critical mechanism for skill development, academic instruction, and corporate workforce training on a global scale. According to recent industry analyses, the global e-learning market is projected to exceed USD 400 billion by 2026, driven by demand for flexible, self-paced, and accessible education [1]. Despite this explosive growth, the majority of deployed Learning Management Systems (LMS) continue to operate on architectures and pedagogical models that are largely unchanged from systems developed over two decades ago.</w:t>
      </w:r>
    </w:p>
    <w:p w14:paraId="4C93C055" w14:textId="77777777" w:rsidR="007842DA" w:rsidRPr="007842DA" w:rsidRDefault="007842DA" w:rsidP="00DD171F">
      <w:pPr>
        <w:spacing w:after="60"/>
        <w:ind w:left="10"/>
        <w:rPr>
          <w:color w:val="000000" w:themeColor="text1"/>
        </w:rPr>
      </w:pPr>
    </w:p>
    <w:p w14:paraId="5B466A59" w14:textId="77777777" w:rsidR="007842DA" w:rsidRPr="007842DA" w:rsidRDefault="007842DA" w:rsidP="00DD171F">
      <w:pPr>
        <w:spacing w:before="60" w:after="60"/>
        <w:ind w:left="10"/>
        <w:rPr>
          <w:color w:val="000000" w:themeColor="text1"/>
        </w:rPr>
      </w:pPr>
      <w:r w:rsidRPr="007842DA">
        <w:rPr>
          <w:color w:val="000000" w:themeColor="text1"/>
          <w:szCs w:val="20"/>
        </w:rPr>
        <w:t>These traditional platforms, including widely adopted systems such as Moodle, Blackboard, Canvas, and Sakai, deliver a fundamentally static learning experience. Every learner enrolled in a course receives identical content, progresses through identical sequences, and is evaluated using the same fixed assessment instruments regardless of their prior knowledge, learning velocity, or individual cognitive style. This one-size-fits-all approach has been repeatedly demonstrated in educational research to produce suboptimal learning outcomes, particularly for learners who enter courses with heterogeneous backgrounds or who require different levels of scaffolding to achieve mastery [2][3].</w:t>
      </w:r>
    </w:p>
    <w:p w14:paraId="376AC0A2" w14:textId="77777777" w:rsidR="007842DA" w:rsidRPr="007842DA" w:rsidRDefault="007842DA" w:rsidP="00DD171F">
      <w:pPr>
        <w:spacing w:after="60"/>
        <w:ind w:left="10"/>
        <w:rPr>
          <w:color w:val="000000" w:themeColor="text1"/>
        </w:rPr>
      </w:pPr>
    </w:p>
    <w:p w14:paraId="156CDAB3" w14:textId="77777777" w:rsidR="007842DA" w:rsidRPr="007842DA" w:rsidRDefault="007842DA" w:rsidP="00DD171F">
      <w:pPr>
        <w:spacing w:before="60" w:after="60"/>
        <w:ind w:left="10"/>
        <w:rPr>
          <w:color w:val="000000" w:themeColor="text1"/>
        </w:rPr>
      </w:pPr>
      <w:r w:rsidRPr="007842DA">
        <w:rPr>
          <w:color w:val="000000" w:themeColor="text1"/>
          <w:szCs w:val="20"/>
        </w:rPr>
        <w:t>The emergence of Artificial Intelligence, Machine Learning, and Natural Language Processing technologies over the past decade has created unprecedented opportunities to build truly adaptive and personalized learning environments. Research in educational data mining has demonstrated that detailed behavioral data collected during online learning sessions, including clickstream patterns, video engagement, quiz response sequences, and time-on-task measurements, can be leveraged to construct accurate models of learner knowledge states and predict future performance with high reliability [4].</w:t>
      </w:r>
    </w:p>
    <w:p w14:paraId="0C0EC252" w14:textId="77777777" w:rsidR="007842DA" w:rsidRPr="007842DA" w:rsidRDefault="007842DA" w:rsidP="00DD171F">
      <w:pPr>
        <w:spacing w:after="60"/>
        <w:ind w:left="10"/>
        <w:rPr>
          <w:color w:val="000000" w:themeColor="text1"/>
        </w:rPr>
      </w:pPr>
    </w:p>
    <w:p w14:paraId="2D418D98"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AppZlogic Training Platform was conceived and developed to bridge the gap between the aspirational promise of AI-driven adaptive learning and the practical reality of affordable, deployable platforms accessible to educational institutions and organizations of all sizes. The platform integrates a hybrid recommendation engine combining collaborative and content-based filtering, an IRT-based adaptive assessment module, and a comprehensive real-time </w:t>
      </w:r>
      <w:r w:rsidRPr="007842DA">
        <w:rPr>
          <w:color w:val="000000" w:themeColor="text1"/>
          <w:szCs w:val="20"/>
        </w:rPr>
        <w:lastRenderedPageBreak/>
        <w:t>analytics pipeline within a single, cohesive full-stack web application designed for production deployment.</w:t>
      </w:r>
    </w:p>
    <w:p w14:paraId="46E1D6D6" w14:textId="77777777" w:rsidR="007842DA" w:rsidRPr="007842DA" w:rsidRDefault="007842DA" w:rsidP="00DD171F">
      <w:pPr>
        <w:spacing w:after="60"/>
        <w:ind w:left="10"/>
        <w:rPr>
          <w:color w:val="000000" w:themeColor="text1"/>
        </w:rPr>
      </w:pPr>
    </w:p>
    <w:p w14:paraId="60FBA8AE" w14:textId="77777777" w:rsidR="007842DA" w:rsidRPr="007842DA" w:rsidRDefault="007842DA" w:rsidP="00DD171F">
      <w:pPr>
        <w:spacing w:before="60" w:after="60"/>
        <w:ind w:left="10"/>
        <w:rPr>
          <w:color w:val="000000" w:themeColor="text1"/>
        </w:rPr>
      </w:pPr>
      <w:r w:rsidRPr="007842DA">
        <w:rPr>
          <w:color w:val="000000" w:themeColor="text1"/>
          <w:szCs w:val="20"/>
        </w:rPr>
        <w:t>The specific challenges that motivated the development of this platform include: static content delivery without individualization, fixed quiz systems unable to dynamically calibrate to learner competency, limited actionable analytics for instructors, absence of AI-driven course discovery mechanisms, scalability limitations under concurrent user load, and the lack of gamification and engagement mechanisms in conventional systems. Each of these limitations is directly addressed through specific architectural and algorithmic design decisions described throughout this paper.</w:t>
      </w:r>
    </w:p>
    <w:p w14:paraId="31830C5B" w14:textId="77777777" w:rsidR="007842DA" w:rsidRPr="007842DA" w:rsidRDefault="007842DA" w:rsidP="00DD171F">
      <w:pPr>
        <w:spacing w:after="60"/>
        <w:ind w:left="10"/>
        <w:rPr>
          <w:color w:val="000000" w:themeColor="text1"/>
        </w:rPr>
      </w:pPr>
    </w:p>
    <w:p w14:paraId="0B7DBD2D" w14:textId="77777777" w:rsidR="007842DA" w:rsidRPr="007842DA" w:rsidRDefault="007842DA" w:rsidP="00DD171F">
      <w:pPr>
        <w:spacing w:before="60" w:after="60"/>
        <w:ind w:left="10"/>
        <w:rPr>
          <w:color w:val="000000" w:themeColor="text1"/>
        </w:rPr>
      </w:pPr>
      <w:r w:rsidRPr="007842DA">
        <w:rPr>
          <w:color w:val="000000" w:themeColor="text1"/>
          <w:szCs w:val="20"/>
        </w:rPr>
        <w:t>This paper makes the following primary contributions to the field of educational technology: (1) the design and implementation of a practical hybrid recommendation system combining collaborative filtering and content-based approaches that effectively addresses the cold-start problem for new learners; (2) an IRT-based adaptive assessment engine that dynamically adjusts question difficulty in real-time, demonstrating measurable improvement in assessment efficiency without loss of measurement precision; (3) a unified multi-role dashboard architecture providing contextually appropriate analytics to learners, instructors, and administrators from a single application platform; and (4) a comprehensive empirical evaluation demonstrating statistically significant improvements in learner satisfaction and course completion rates over static baseline conditions.</w:t>
      </w:r>
    </w:p>
    <w:p w14:paraId="71CF3113" w14:textId="77777777" w:rsidR="007842DA" w:rsidRPr="007842DA" w:rsidRDefault="007842DA" w:rsidP="00DD171F">
      <w:pPr>
        <w:spacing w:after="60"/>
        <w:ind w:left="10"/>
        <w:rPr>
          <w:color w:val="000000" w:themeColor="text1"/>
        </w:rPr>
      </w:pPr>
    </w:p>
    <w:p w14:paraId="349A9BEA" w14:textId="77777777" w:rsidR="007842DA" w:rsidRPr="007842DA" w:rsidRDefault="007842DA" w:rsidP="00DD171F">
      <w:pPr>
        <w:spacing w:before="60" w:after="60"/>
        <w:ind w:left="10"/>
        <w:rPr>
          <w:color w:val="000000" w:themeColor="text1"/>
        </w:rPr>
      </w:pPr>
      <w:r w:rsidRPr="007842DA">
        <w:rPr>
          <w:color w:val="000000" w:themeColor="text1"/>
          <w:szCs w:val="20"/>
        </w:rPr>
        <w:t>The remainder of this paper is organized as follows. Section II reviews relevant related work in adaptive learning systems, recommendation engines, and educational data mining. Section III presents the proposed system architecture and key design decisions. Section IV details the methodology including data collection, preprocessing, and algorithmic approaches. Section V describes the software design. Section VI covers the implementation details. Section VII presents comprehensive testing and evaluation results. Section VIII concludes with limitations, future work directions, and implications for the broader educational technology community.</w:t>
      </w:r>
    </w:p>
    <w:p w14:paraId="2A5C3D25" w14:textId="77777777" w:rsidR="007842DA" w:rsidRPr="007842DA" w:rsidRDefault="007842DA" w:rsidP="00DD171F">
      <w:pPr>
        <w:spacing w:after="120"/>
        <w:ind w:left="10"/>
        <w:rPr>
          <w:color w:val="000000" w:themeColor="text1"/>
        </w:rPr>
      </w:pPr>
    </w:p>
    <w:p w14:paraId="2FA285D1" w14:textId="77777777" w:rsidR="007842DA" w:rsidRPr="007842DA" w:rsidRDefault="007842DA" w:rsidP="00DD171F">
      <w:pPr>
        <w:pStyle w:val="Heading1"/>
        <w:ind w:left="-41"/>
        <w:jc w:val="left"/>
        <w:rPr>
          <w:color w:val="000000" w:themeColor="text1"/>
        </w:rPr>
      </w:pPr>
      <w:r w:rsidRPr="007842DA">
        <w:rPr>
          <w:b/>
          <w:bCs/>
          <w:color w:val="000000" w:themeColor="text1"/>
          <w:sz w:val="22"/>
          <w:szCs w:val="22"/>
        </w:rPr>
        <w:t>II. Related Work</w:t>
      </w:r>
    </w:p>
    <w:p w14:paraId="08F46072"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Traditional Learning Management Systems</w:t>
      </w:r>
    </w:p>
    <w:p w14:paraId="2224ADC3"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Learning Management Systems have been the dominant infrastructure for online education since the late 1990s. Moodle, released in 2002, pioneered the open-source LMS movement and today serves over 250 million users across 240 countries [5]. Commercial platforms such as Blackboard, Canvas, and D2L Brightspace have achieved widespread adoption in higher education. Despite their technological maturity, these platforms share a fundamental architectural limitation: they were designed primarily as content delivery and administrative management tools, not as intelligent learning companions. Their assessment systems rely on static question banks, their content delivery follows fixed instructor-defined sequences, and their analytics provide only </w:t>
      </w:r>
      <w:r w:rsidRPr="007842DA">
        <w:rPr>
          <w:color w:val="000000" w:themeColor="text1"/>
          <w:szCs w:val="20"/>
        </w:rPr>
        <w:t>retrospective reporting without predictive capability or intervention recommendations.</w:t>
      </w:r>
    </w:p>
    <w:p w14:paraId="742ADC17" w14:textId="77777777" w:rsidR="007842DA" w:rsidRPr="007842DA" w:rsidRDefault="007842DA" w:rsidP="00DD171F">
      <w:pPr>
        <w:spacing w:after="60"/>
        <w:ind w:left="10"/>
        <w:rPr>
          <w:color w:val="000000" w:themeColor="text1"/>
        </w:rPr>
      </w:pPr>
    </w:p>
    <w:p w14:paraId="2B4A5EC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Adaptive Learning and Intelligent Tutoring Systems</w:t>
      </w:r>
    </w:p>
    <w:p w14:paraId="5F230562" w14:textId="77777777" w:rsidR="007842DA" w:rsidRPr="007842DA" w:rsidRDefault="007842DA" w:rsidP="00DD171F">
      <w:pPr>
        <w:spacing w:before="60" w:after="60"/>
        <w:ind w:left="10"/>
        <w:rPr>
          <w:color w:val="000000" w:themeColor="text1"/>
        </w:rPr>
      </w:pPr>
      <w:r w:rsidRPr="007842DA">
        <w:rPr>
          <w:color w:val="000000" w:themeColor="text1"/>
          <w:szCs w:val="20"/>
        </w:rPr>
        <w:t>The academic field of Intelligent Tutoring Systems (ITS) has investigated adaptive learning for over four decades. Early systems such as SOPHIE, GUIDON, and LISP-Tutor established foundational principles of learner modeling, domain knowledge representation, and pedagogical strategy selection [6]. Corbett and Anderson's [7] development of the Knowledge Component model and its application in the Cognitive Tutor system demonstrated that adaptive step-by-step tutoring could produce learning outcomes dramatically superior to conventional instruction. However, traditional ITS systems required expensive domain-specific development effort, limiting their practical deployment.</w:t>
      </w:r>
    </w:p>
    <w:p w14:paraId="5D925B90" w14:textId="77777777" w:rsidR="007842DA" w:rsidRPr="007842DA" w:rsidRDefault="007842DA" w:rsidP="00DD171F">
      <w:pPr>
        <w:spacing w:after="60"/>
        <w:ind w:left="10"/>
        <w:rPr>
          <w:color w:val="000000" w:themeColor="text1"/>
        </w:rPr>
      </w:pPr>
    </w:p>
    <w:p w14:paraId="52CF90C8" w14:textId="77777777" w:rsidR="007842DA" w:rsidRPr="007842DA" w:rsidRDefault="007842DA" w:rsidP="00DD171F">
      <w:pPr>
        <w:spacing w:before="60" w:after="60"/>
        <w:ind w:left="10"/>
        <w:rPr>
          <w:color w:val="000000" w:themeColor="text1"/>
        </w:rPr>
      </w:pPr>
      <w:r w:rsidRPr="007842DA">
        <w:rPr>
          <w:color w:val="000000" w:themeColor="text1"/>
          <w:szCs w:val="20"/>
        </w:rPr>
        <w:t>Brusilovsky and Millan [8] established the foundational theoretical framework for user modeling in adaptive educational systems, identifying learner knowledge state, goals, and individual preferences as the three core dimensions that must be modeled for effective personalization. Their adaptive hypermedia approach informed subsequent generations of web-based adaptive learning systems. The AHA! system, ELM-ART, and INTERBOOK demonstrated practical implementations of content-level adaptation within web environments, providing empirical evidence that adaptive sequencing improves learning efficiency.</w:t>
      </w:r>
    </w:p>
    <w:p w14:paraId="7FF230F4" w14:textId="77777777" w:rsidR="007842DA" w:rsidRPr="007842DA" w:rsidRDefault="007842DA" w:rsidP="00DD171F">
      <w:pPr>
        <w:spacing w:after="60"/>
        <w:ind w:left="10"/>
        <w:rPr>
          <w:color w:val="000000" w:themeColor="text1"/>
        </w:rPr>
      </w:pPr>
    </w:p>
    <w:p w14:paraId="094CFAD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Recommendation Systems in Education</w:t>
      </w:r>
    </w:p>
    <w:p w14:paraId="69403A8F" w14:textId="77777777" w:rsidR="007842DA" w:rsidRPr="007842DA" w:rsidRDefault="007842DA" w:rsidP="00DD171F">
      <w:pPr>
        <w:spacing w:before="60" w:after="60"/>
        <w:ind w:left="10"/>
        <w:rPr>
          <w:color w:val="000000" w:themeColor="text1"/>
        </w:rPr>
      </w:pPr>
      <w:r w:rsidRPr="007842DA">
        <w:rPr>
          <w:color w:val="000000" w:themeColor="text1"/>
          <w:szCs w:val="20"/>
        </w:rPr>
        <w:t>The application of recommendation system techniques to educational contexts has been extensively studied. Drachsler et al. [9] conducted a comprehensive systematic review of 82 recommendation systems designed for technology-enhanced learning, concluding that hybrid approaches combining collaborative filtering with content-based methods consistently outperform single-technique systems, particularly for new learners with sparse interaction histories. Collaborative filtering approaches model learner-to-learner similarity based on enrollment and performance patterns, while content-based approaches model course-to-course similarity based on subject matter, skill requirements, and difficulty attributes. The cold-start problem, arising when insufficient interaction data exists for new learners or newly created courses, remains a central challenge addressed through hybrid and knowledge-based approaches.</w:t>
      </w:r>
    </w:p>
    <w:p w14:paraId="60137715" w14:textId="77777777" w:rsidR="007842DA" w:rsidRPr="007842DA" w:rsidRDefault="007842DA" w:rsidP="00DD171F">
      <w:pPr>
        <w:spacing w:after="60"/>
        <w:ind w:left="10"/>
        <w:rPr>
          <w:color w:val="000000" w:themeColor="text1"/>
        </w:rPr>
      </w:pPr>
    </w:p>
    <w:p w14:paraId="65CC597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Item Response Theory in Adaptive Assessment</w:t>
      </w:r>
    </w:p>
    <w:p w14:paraId="6B91E9B9"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Item Response Theory provides a rigorous psychometric framework for modeling the relationship between learner ability and item response probability. The two-parameter logistic model (2PL), formulated as P(θ) = 1/(1+exp(−a(θ−b))), captures both item difficulty (b parameter) and item discrimination (a parameter), enabling more precise characterization of assessment items than classical test theory approaches [10]. Baker and Kim [11] provide a comprehensive treatment of IRT parameter estimation techniques applicable to computerized adaptive testing contexts. Computerized Adaptive Testing (CAT) systems based on IRT have been demonstrated to achieve </w:t>
      </w:r>
      <w:r w:rsidRPr="007842DA">
        <w:rPr>
          <w:color w:val="000000" w:themeColor="text1"/>
          <w:szCs w:val="20"/>
        </w:rPr>
        <w:lastRenderedPageBreak/>
        <w:t>equivalent measurement precision with 50-60% fewer items compared to fixed-length tests, significantly reducing assessment burden while maintaining psychometric validity.</w:t>
      </w:r>
    </w:p>
    <w:p w14:paraId="57C04BD3" w14:textId="77777777" w:rsidR="007842DA" w:rsidRPr="007842DA" w:rsidRDefault="007842DA" w:rsidP="00DD171F">
      <w:pPr>
        <w:spacing w:after="60"/>
        <w:ind w:left="10"/>
        <w:rPr>
          <w:color w:val="000000" w:themeColor="text1"/>
        </w:rPr>
      </w:pPr>
    </w:p>
    <w:p w14:paraId="0729D3F8"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Educational Data Mining and Learning Analytics</w:t>
      </w:r>
    </w:p>
    <w:p w14:paraId="6AB57D4D" w14:textId="77777777" w:rsidR="007842DA" w:rsidRPr="007842DA" w:rsidRDefault="007842DA" w:rsidP="00DD171F">
      <w:pPr>
        <w:spacing w:before="60" w:after="60"/>
        <w:ind w:left="10"/>
        <w:rPr>
          <w:color w:val="000000" w:themeColor="text1"/>
        </w:rPr>
      </w:pPr>
      <w:r w:rsidRPr="007842DA">
        <w:rPr>
          <w:color w:val="000000" w:themeColor="text1"/>
          <w:szCs w:val="20"/>
        </w:rPr>
        <w:t>Baker and Inventado [12] demonstrated that clickstream behavioral data collected within LMS platforms constitutes a rich and reliable source of evidence about learner knowledge states, engagement levels, and performance trajectories. Their work on educational data mining established foundational techniques for detecting learner disengagement, predicting course outcomes, and identifying at-risk learners requiring intervention. More recent work incorporating deep learning approaches, including knowledge tracing models based on long short-term memory networks, has further advanced the predictive accuracy achievable from learner interaction data. The AppZlogic Analytics Service draws directly on these findings by capturing detailed event-level interaction data and processing it through aggregation pipelines that surface actionable insights for both learners and instructors.</w:t>
      </w:r>
    </w:p>
    <w:p w14:paraId="4F94D341" w14:textId="77777777" w:rsidR="007842DA" w:rsidRPr="007842DA" w:rsidRDefault="007842DA" w:rsidP="00DD171F">
      <w:pPr>
        <w:spacing w:after="120"/>
        <w:ind w:left="10"/>
        <w:rPr>
          <w:color w:val="000000" w:themeColor="text1"/>
        </w:rPr>
      </w:pPr>
    </w:p>
    <w:p w14:paraId="1B794E1D" w14:textId="77777777" w:rsidR="007842DA" w:rsidRPr="007842DA" w:rsidRDefault="007842DA" w:rsidP="00DD171F">
      <w:pPr>
        <w:pStyle w:val="Heading1"/>
        <w:ind w:left="0"/>
        <w:rPr>
          <w:color w:val="000000" w:themeColor="text1"/>
        </w:rPr>
      </w:pPr>
      <w:r w:rsidRPr="007842DA">
        <w:rPr>
          <w:b/>
          <w:bCs/>
          <w:color w:val="000000" w:themeColor="text1"/>
          <w:sz w:val="22"/>
          <w:szCs w:val="22"/>
        </w:rPr>
        <w:t>III. Proposed System Architecture</w:t>
      </w:r>
    </w:p>
    <w:p w14:paraId="17B67EC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System Overview</w:t>
      </w:r>
    </w:p>
    <w:p w14:paraId="4F2AAD1A" w14:textId="77777777" w:rsidR="007842DA" w:rsidRPr="007842DA" w:rsidRDefault="007842DA" w:rsidP="00DD171F">
      <w:pPr>
        <w:spacing w:before="60" w:after="60"/>
        <w:ind w:left="10"/>
        <w:rPr>
          <w:color w:val="000000" w:themeColor="text1"/>
        </w:rPr>
      </w:pPr>
      <w:r w:rsidRPr="007842DA">
        <w:rPr>
          <w:color w:val="000000" w:themeColor="text1"/>
          <w:szCs w:val="20"/>
        </w:rPr>
        <w:t>The AppZlogic Training Platform is a cloud-deployable, full-stack web application accessible through any modern browser without client-side installation requirements. The system is architected as a microservices ensemble comprising five specialized backend services communicating via defined REST API contracts, a React.js single-page application frontend, a MongoDB Atlas document database cluster, and a Redis cache layer for session management and real-time event processing. The platform serves three primary user roles: Learners who consume educational content and receive personalized recommendations, Instructors who create and manage courses and monitor student performance, and Administrators who govern platform operations and access aggregate reporting.</w:t>
      </w:r>
    </w:p>
    <w:p w14:paraId="333F8E3F" w14:textId="77777777" w:rsidR="007842DA" w:rsidRPr="007842DA" w:rsidRDefault="007842DA" w:rsidP="00DD171F">
      <w:pPr>
        <w:spacing w:after="60"/>
        <w:ind w:left="10"/>
        <w:rPr>
          <w:color w:val="000000" w:themeColor="text1"/>
        </w:rPr>
      </w:pPr>
    </w:p>
    <w:p w14:paraId="2840CB86"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Architectural Principles</w:t>
      </w:r>
    </w:p>
    <w:p w14:paraId="58CC95D7" w14:textId="77777777" w:rsidR="007842DA" w:rsidRPr="007842DA" w:rsidRDefault="007842DA" w:rsidP="00DD171F">
      <w:pPr>
        <w:spacing w:before="60" w:after="60"/>
        <w:ind w:left="10"/>
        <w:rPr>
          <w:color w:val="000000" w:themeColor="text1"/>
        </w:rPr>
      </w:pPr>
      <w:r w:rsidRPr="007842DA">
        <w:rPr>
          <w:color w:val="000000" w:themeColor="text1"/>
          <w:szCs w:val="20"/>
        </w:rPr>
        <w:t>The system design adheres to four core software engineering principles that govern all architectural decisions. Modularity ensures that each microservice handles a precisely defined business domain with no overlapping responsibilities, simplifying development, testing, and independent deployment. Loose coupling mandates that all inter-service communication occurs exclusively through versioned API contracts, preventing tight implementation dependencies that would hinder independent evolution of service components. High cohesion ensures that all business logic related to a given domain, such as assessment management or recommendation generation, is co-located within its designated service, reducing cross-cutting complexity. Scalability is achieved through a containerized deployment model enabling any individual service to be independently scaled horizontally based on observed load patterns, without requiring coordinated scaling of the entire system.</w:t>
      </w:r>
    </w:p>
    <w:p w14:paraId="3B9D41DB" w14:textId="77777777" w:rsidR="007842DA" w:rsidRPr="007842DA" w:rsidRDefault="007842DA" w:rsidP="00DD171F">
      <w:pPr>
        <w:spacing w:after="60"/>
        <w:ind w:left="10"/>
        <w:rPr>
          <w:color w:val="000000" w:themeColor="text1"/>
        </w:rPr>
      </w:pPr>
    </w:p>
    <w:p w14:paraId="1AF445D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Key Features and Capabilities</w:t>
      </w:r>
    </w:p>
    <w:p w14:paraId="28288720" w14:textId="77777777" w:rsidR="007842DA" w:rsidRPr="007842DA" w:rsidRDefault="007842DA" w:rsidP="00DD171F">
      <w:pPr>
        <w:spacing w:before="60" w:after="60"/>
        <w:ind w:left="10"/>
        <w:rPr>
          <w:color w:val="000000" w:themeColor="text1"/>
        </w:rPr>
      </w:pPr>
      <w:r w:rsidRPr="007842DA">
        <w:rPr>
          <w:color w:val="000000" w:themeColor="text1"/>
          <w:szCs w:val="20"/>
        </w:rPr>
        <w:t>The platform delivers seven primary feature categories that collectively address the limitations of traditional LMS platforms. Personalized Learning Paths are generated by an AI-driven recommendation engine that synthesizes learner enrollment history, skill assessment results, stated career goals, and peer similarity patterns to suggest courses and learning modules with contextual rationale explanations that increase learner trust and engagement.</w:t>
      </w:r>
    </w:p>
    <w:p w14:paraId="35D4A2AE" w14:textId="77777777" w:rsidR="007842DA" w:rsidRPr="007842DA" w:rsidRDefault="007842DA" w:rsidP="00DD171F">
      <w:pPr>
        <w:spacing w:after="60"/>
        <w:ind w:left="10"/>
        <w:rPr>
          <w:color w:val="000000" w:themeColor="text1"/>
        </w:rPr>
      </w:pPr>
    </w:p>
    <w:p w14:paraId="3971AEB3" w14:textId="77777777" w:rsidR="007842DA" w:rsidRPr="007842DA" w:rsidRDefault="007842DA" w:rsidP="00DD171F">
      <w:pPr>
        <w:spacing w:before="60" w:after="60"/>
        <w:ind w:left="10"/>
        <w:rPr>
          <w:color w:val="000000" w:themeColor="text1"/>
        </w:rPr>
      </w:pPr>
      <w:r w:rsidRPr="007842DA">
        <w:rPr>
          <w:color w:val="000000" w:themeColor="text1"/>
          <w:szCs w:val="20"/>
        </w:rPr>
        <w:t>Adaptive Assessments are powered by an IRT-based quiz engine that dynamically selects questions targeting each learner's current estimated ability level, adjusting difficulty in real-time based on response patterns and terminating efficiently when sufficient measurement precision has been achieved. Multi-Format Content Support encompasses video lectures in MP4 and WebM format, PDF and DOCX document resources, interactive coding exercises with server-side execution and test case validation, and structured quizzes with immediate detailed feedback.</w:t>
      </w:r>
    </w:p>
    <w:p w14:paraId="5947D96D" w14:textId="77777777" w:rsidR="007842DA" w:rsidRPr="007842DA" w:rsidRDefault="007842DA" w:rsidP="00DD171F">
      <w:pPr>
        <w:spacing w:after="60"/>
        <w:ind w:left="10"/>
        <w:rPr>
          <w:color w:val="000000" w:themeColor="text1"/>
        </w:rPr>
      </w:pPr>
    </w:p>
    <w:p w14:paraId="346D009E" w14:textId="77777777" w:rsidR="007842DA" w:rsidRPr="007842DA" w:rsidRDefault="007842DA" w:rsidP="00DD171F">
      <w:pPr>
        <w:spacing w:before="60" w:after="60"/>
        <w:ind w:left="10"/>
        <w:rPr>
          <w:color w:val="000000" w:themeColor="text1"/>
        </w:rPr>
      </w:pPr>
      <w:r w:rsidRPr="007842DA">
        <w:rPr>
          <w:color w:val="000000" w:themeColor="text1"/>
          <w:szCs w:val="20"/>
        </w:rPr>
        <w:t>Role-Based Dashboards provide contextually appropriate interfaces for each user type: Learners receive progress tracking visualizations, skill acquisition radar charts, upcoming deadlines, and earned achievement badges; Instructors receive per-course enrollment funnels, completion rate trend charts, assessment score distributions, and at-risk learner alert notifications; Administrators receive platform-wide usage statistics, revenue metrics for premium deployments, and system health monitoring indicators. Real-Time Progress Analytics are powered by a WebSocket-connected event stream pipeline that surfaces performance data within 60 seconds of learner interactions.</w:t>
      </w:r>
    </w:p>
    <w:p w14:paraId="54BD74F4" w14:textId="77777777" w:rsidR="007842DA" w:rsidRPr="007842DA" w:rsidRDefault="007842DA" w:rsidP="00DD171F">
      <w:pPr>
        <w:spacing w:after="60"/>
        <w:ind w:left="10"/>
        <w:rPr>
          <w:color w:val="000000" w:themeColor="text1"/>
        </w:rPr>
      </w:pPr>
    </w:p>
    <w:p w14:paraId="033CA06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Hardware and Software Requirements</w:t>
      </w:r>
    </w:p>
    <w:p w14:paraId="47E1D772" w14:textId="77777777" w:rsidR="007842DA" w:rsidRPr="007842DA" w:rsidRDefault="007842DA" w:rsidP="00DD171F">
      <w:pPr>
        <w:spacing w:before="60" w:after="60"/>
        <w:ind w:left="10"/>
        <w:rPr>
          <w:color w:val="000000" w:themeColor="text1"/>
        </w:rPr>
      </w:pPr>
      <w:r w:rsidRPr="007842DA">
        <w:rPr>
          <w:color w:val="000000" w:themeColor="text1"/>
          <w:szCs w:val="20"/>
        </w:rPr>
        <w:t>The platform is designed to operate on commodity server hardware without specialized infrastructure requirements. Server-side minimum requirements specify an Intel Core i3 equivalent processor with at least 4 cores, 8 GB RAM, and 5 GB or more of storage for database content. Recommended server configuration specifies an Intel Core i5/i7 or equivalent processor with 8 or more cores and 16 GB or higher RAM. Client-side requirements are minimal: any device running a modern web browser (Chrome 90+, Firefox 88+, or Microsoft Edge latest) with a broadband connection of at least 5 Mbps is sufficient for standard content consumption, while video streaming at higher quality levels benefits from connections of 25 Mbps or greater.</w:t>
      </w:r>
    </w:p>
    <w:p w14:paraId="3E131652" w14:textId="77777777" w:rsidR="007842DA" w:rsidRPr="007842DA" w:rsidRDefault="007842DA" w:rsidP="00DD171F">
      <w:pPr>
        <w:spacing w:after="60"/>
        <w:ind w:left="10"/>
        <w:rPr>
          <w:color w:val="000000" w:themeColor="text1"/>
        </w:rPr>
      </w:pPr>
    </w:p>
    <w:p w14:paraId="7D4C137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software stack requires Node.js version 16.x LTS or higher on the server, with the recommended deployment targeting Node.js 20.x LTS for optimal performance and security. MongoDB version 5.0 or higher provides the primary data store, with the recommended configuration using MongoDB Atlas version 7.0 for managed cloud hosting. The React.js frontend targets version 18.x, leveraging concurrent rendering features for improved perceived performance under high data load conditions. Docker version 20.x or higher enables containerized deployment across any </w:t>
      </w:r>
      <w:r w:rsidRPr="007842DA">
        <w:rPr>
          <w:color w:val="000000" w:themeColor="text1"/>
          <w:szCs w:val="20"/>
        </w:rPr>
        <w:lastRenderedPageBreak/>
        <w:t>cloud provider, and Git version 2.30 or higher supports version control and CI/CD pipeline integration.</w:t>
      </w:r>
    </w:p>
    <w:p w14:paraId="6A93A79A" w14:textId="77777777" w:rsidR="007842DA" w:rsidRPr="007842DA" w:rsidRDefault="007842DA" w:rsidP="00DD171F">
      <w:pPr>
        <w:spacing w:after="120"/>
        <w:ind w:left="10"/>
        <w:rPr>
          <w:color w:val="000000" w:themeColor="text1"/>
        </w:rPr>
      </w:pPr>
    </w:p>
    <w:p w14:paraId="3D91A406" w14:textId="77777777" w:rsidR="007842DA" w:rsidRPr="007842DA" w:rsidRDefault="007842DA" w:rsidP="00DD171F">
      <w:pPr>
        <w:pStyle w:val="Heading1"/>
        <w:ind w:left="0"/>
        <w:rPr>
          <w:color w:val="000000" w:themeColor="text1"/>
        </w:rPr>
      </w:pPr>
      <w:r w:rsidRPr="007842DA">
        <w:rPr>
          <w:b/>
          <w:bCs/>
          <w:color w:val="000000" w:themeColor="text1"/>
          <w:sz w:val="22"/>
          <w:szCs w:val="22"/>
        </w:rPr>
        <w:t>IV. Methodology</w:t>
      </w:r>
    </w:p>
    <w:p w14:paraId="174E554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Development Approach</w:t>
      </w:r>
    </w:p>
    <w:p w14:paraId="332AF34A" w14:textId="77777777" w:rsidR="007842DA" w:rsidRPr="007842DA" w:rsidRDefault="007842DA" w:rsidP="00DD171F">
      <w:pPr>
        <w:spacing w:before="60" w:after="60"/>
        <w:ind w:left="10"/>
        <w:rPr>
          <w:color w:val="000000" w:themeColor="text1"/>
        </w:rPr>
      </w:pPr>
      <w:r w:rsidRPr="007842DA">
        <w:rPr>
          <w:color w:val="000000" w:themeColor="text1"/>
          <w:szCs w:val="20"/>
        </w:rPr>
        <w:t>The development of the AppZlogic Training Platform follows an Agile-Scrum iterative methodology with two-week sprint cycles. This approach was selected to ensure continuous delivery of working software increments, enable rapid incorporation of stakeholder feedback, and maintain flexibility to adapt requirements as the platform evolved through beta testing. Sprint planning sessions at the start of each cycle prioritized backlog items based on user value, technical dependency order, and risk. Daily stand-up meetings synchronized team member progress and surfaced blockers early. Sprint reviews presented working software to stakeholder representatives for feedback, and retrospectives identified process improvements for subsequent cycles.</w:t>
      </w:r>
    </w:p>
    <w:p w14:paraId="11C43DF2" w14:textId="77777777" w:rsidR="007842DA" w:rsidRPr="007842DA" w:rsidRDefault="007842DA" w:rsidP="00DD171F">
      <w:pPr>
        <w:spacing w:after="60"/>
        <w:ind w:left="10"/>
        <w:rPr>
          <w:color w:val="000000" w:themeColor="text1"/>
        </w:rPr>
      </w:pPr>
    </w:p>
    <w:p w14:paraId="30891B25" w14:textId="77777777" w:rsidR="007842DA" w:rsidRPr="007842DA" w:rsidRDefault="007842DA" w:rsidP="00DD171F">
      <w:pPr>
        <w:spacing w:before="60" w:after="60"/>
        <w:ind w:left="10"/>
        <w:rPr>
          <w:color w:val="000000" w:themeColor="text1"/>
        </w:rPr>
      </w:pPr>
      <w:r w:rsidRPr="007842DA">
        <w:rPr>
          <w:color w:val="000000" w:themeColor="text1"/>
          <w:szCs w:val="20"/>
        </w:rPr>
        <w:t>The development lifecycle comprised five major phases. Phase 1, Requirements Gathering, involved structured interviews with representative learners (n=12), instructors (n=8), and institutional HR training managers (n=5) to identify key pain points, feature requirements, and success criteria. User stories and acceptance criteria were documented in a prioritized product backlog. Phase 2, System Design, produced a detailed microservices architecture specification with defined API contracts, MongoDB collection schemas, UI wireframes for all primary screens, and React component hierarchy diagrams before any implementation began. Phase 3, Implementation, proceeded module by module through sprint cycles: authentication, course management, assessment engine, recommendation system, and analytics dashboard were built and integrated sequentially. Phase 4, Testing and Validation, conducted comprehensive unit, integration, system, end-to-end, security, and performance testing. Phase 5, Evaluation and Refinement, incorporated user feedback from a 6-week beta deployment through targeted UI improvements and feature refinements.</w:t>
      </w:r>
    </w:p>
    <w:p w14:paraId="16E3370E" w14:textId="77777777" w:rsidR="007842DA" w:rsidRPr="007842DA" w:rsidRDefault="007842DA" w:rsidP="00DD171F">
      <w:pPr>
        <w:spacing w:after="60"/>
        <w:ind w:left="10"/>
        <w:rPr>
          <w:color w:val="000000" w:themeColor="text1"/>
        </w:rPr>
      </w:pPr>
    </w:p>
    <w:p w14:paraId="25C3DB0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Data Collection Strategy</w:t>
      </w:r>
    </w:p>
    <w:p w14:paraId="65B70F5C" w14:textId="77777777" w:rsidR="007842DA" w:rsidRPr="007842DA" w:rsidRDefault="007842DA" w:rsidP="00DD171F">
      <w:pPr>
        <w:spacing w:before="60" w:after="60"/>
        <w:ind w:left="10"/>
        <w:rPr>
          <w:color w:val="000000" w:themeColor="text1"/>
        </w:rPr>
      </w:pPr>
      <w:r w:rsidRPr="007842DA">
        <w:rPr>
          <w:color w:val="000000" w:themeColor="text1"/>
          <w:szCs w:val="20"/>
        </w:rPr>
        <w:t>Data collection for the AppZlogic Training Platform encompasses multiple categories of information necessary for AI model training, system development, and empirical evaluation. Learner Interaction Data was collected as anonymized usage logs from the beta deployment, capturing clickstream events, session durations, video watch completion percentages, quiz attempt sequences, time-on-task measurements, and course enrollment histories across 150 beta users over a 6-week period. This data formed the primary training corpus for the recommendation model and provided the behavioral signals analyzed by the analytics pipeline.</w:t>
      </w:r>
    </w:p>
    <w:p w14:paraId="3AD51882" w14:textId="77777777" w:rsidR="007842DA" w:rsidRPr="007842DA" w:rsidRDefault="007842DA" w:rsidP="00DD171F">
      <w:pPr>
        <w:spacing w:after="60"/>
        <w:ind w:left="10"/>
        <w:rPr>
          <w:color w:val="000000" w:themeColor="text1"/>
        </w:rPr>
      </w:pPr>
    </w:p>
    <w:p w14:paraId="1C1A1622"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Course Content Metadata was assembled as a corpus of 200 or more courses with associated skill tags representing prerequisite and target competencies, difficulty ratings on a three-level scale, prerequisite relationship graphs, and instructor-estimated completion time ranges. This metadata enabled content-based filtering and course catalog search </w:t>
      </w:r>
      <w:r w:rsidRPr="007842DA">
        <w:rPr>
          <w:color w:val="000000" w:themeColor="text1"/>
          <w:szCs w:val="20"/>
        </w:rPr>
        <w:t>functionality. The Assessment Question Bank was curated as a collection of 1,500 or more questions spanning 8 subject domains including web development, data science, cloud computing, database management, software engineering, project management, cybersecurity, and artificial intelligence fundamentals. Each question was tagged with topic classification, Bloom's taxonomy cognitive level, estimated discrimination power for IRT calibration, and correct answer with detailed explanation text.</w:t>
      </w:r>
    </w:p>
    <w:p w14:paraId="2FCFE733" w14:textId="77777777" w:rsidR="007842DA" w:rsidRPr="007842DA" w:rsidRDefault="007842DA" w:rsidP="00DD171F">
      <w:pPr>
        <w:spacing w:after="60"/>
        <w:ind w:left="10"/>
        <w:rPr>
          <w:color w:val="000000" w:themeColor="text1"/>
        </w:rPr>
      </w:pPr>
    </w:p>
    <w:p w14:paraId="55E568FE" w14:textId="77777777" w:rsidR="007842DA" w:rsidRPr="007842DA" w:rsidRDefault="007842DA" w:rsidP="00DD171F">
      <w:pPr>
        <w:spacing w:before="60" w:after="60"/>
        <w:ind w:left="10"/>
        <w:rPr>
          <w:color w:val="000000" w:themeColor="text1"/>
        </w:rPr>
      </w:pPr>
      <w:r w:rsidRPr="007842DA">
        <w:rPr>
          <w:color w:val="000000" w:themeColor="text1"/>
          <w:szCs w:val="20"/>
        </w:rPr>
        <w:t>Learner Feedback Surveys were administered as post-course satisfaction instruments and platform usability questionnaires collected from 85 learners during the beta phase, providing ground truth measurements for satisfaction and usability metrics that constitute primary evaluation criteria. Publicly available educational datasets, specifically the OULAD (Open University Learning Analytics Dataset) with 32,593 students and a sample from the EdNet dataset comprising 784,000 interactions, were incorporated to supplement recommendation model training with external learner behavior patterns beyond those available from the relatively small beta deployment cohort.</w:t>
      </w:r>
    </w:p>
    <w:p w14:paraId="5CF9AD77" w14:textId="77777777" w:rsidR="007842DA" w:rsidRPr="007842DA" w:rsidRDefault="007842DA" w:rsidP="00DD171F">
      <w:pPr>
        <w:spacing w:after="60"/>
        <w:ind w:left="10"/>
        <w:rPr>
          <w:color w:val="000000" w:themeColor="text1"/>
        </w:rPr>
      </w:pPr>
    </w:p>
    <w:p w14:paraId="71809C3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Data Preprocessing Pipeline</w:t>
      </w:r>
    </w:p>
    <w:p w14:paraId="6DF6296B" w14:textId="77777777" w:rsidR="007842DA" w:rsidRPr="007842DA" w:rsidRDefault="007842DA" w:rsidP="00DD171F">
      <w:pPr>
        <w:spacing w:before="60" w:after="60"/>
        <w:ind w:left="10"/>
        <w:rPr>
          <w:color w:val="000000" w:themeColor="text1"/>
        </w:rPr>
      </w:pPr>
      <w:r w:rsidRPr="007842DA">
        <w:rPr>
          <w:color w:val="000000" w:themeColor="text1"/>
          <w:szCs w:val="20"/>
        </w:rPr>
        <w:t>Raw collected data required extensive preprocessing before use in model training and system integration. Event Log Cleaning removed bot traffic signatures identified through non-human response timing patterns, deduplicated redundant events generated by browser refresh cycles, and filtered sessions shorter than 30 seconds as non-informative interactions insufficient to characterize genuine learner engagement. Feature Engineering constructed learner feature vectors by combining enrollment history encoded as binary course-completion matrices weighted by recency, assessment performance profiles aggregated across attempts and weighted by question difficulty, and explicit preference indicators from learner-stated learning goals and skill tag selections.</w:t>
      </w:r>
    </w:p>
    <w:p w14:paraId="179FF1AC" w14:textId="77777777" w:rsidR="007842DA" w:rsidRPr="007842DA" w:rsidRDefault="007842DA" w:rsidP="00DD171F">
      <w:pPr>
        <w:spacing w:after="60"/>
        <w:ind w:left="10"/>
        <w:rPr>
          <w:color w:val="000000" w:themeColor="text1"/>
        </w:rPr>
      </w:pPr>
    </w:p>
    <w:p w14:paraId="6E071A70" w14:textId="77777777" w:rsidR="007842DA" w:rsidRPr="007842DA" w:rsidRDefault="007842DA" w:rsidP="00DD171F">
      <w:pPr>
        <w:spacing w:before="60" w:after="60"/>
        <w:ind w:left="10"/>
        <w:rPr>
          <w:color w:val="000000" w:themeColor="text1"/>
        </w:rPr>
      </w:pPr>
      <w:r w:rsidRPr="007842DA">
        <w:rPr>
          <w:color w:val="000000" w:themeColor="text1"/>
          <w:szCs w:val="20"/>
        </w:rPr>
        <w:t>Course Similarity Matrix Construction applied TF-IDF vectorization to course description text and skill tag sets, followed by pairwise cosine similarity computation across all course pairs to populate the content-based filtering similarity matrix used by the recommendation engine at inference time. IRT Parameter Calibration applied the two-parameter logistic (2PL) IRT model to historical assessment response data collected from the EdNet dataset supplemented by beta deployment data to estimate discrimination and difficulty parameters for each question in the bank. The calibration process used marginal maximum likelihood estimation implemented through the Expectation-Maximization algorithm. Data Splitting partitioned the learner interaction dataset into training (70%), validation (15%), and test (15%) subsets using a temporal split strategy that places earlier interactions in training and later interactions in validation and test sets, accurately simulating the realistic cold-start and warm-start recommendation scenarios encountered in production.</w:t>
      </w:r>
    </w:p>
    <w:p w14:paraId="218E3B6B" w14:textId="77777777" w:rsidR="007842DA" w:rsidRPr="007842DA" w:rsidRDefault="007842DA" w:rsidP="00DD171F">
      <w:pPr>
        <w:spacing w:after="60"/>
        <w:ind w:left="10"/>
        <w:rPr>
          <w:color w:val="000000" w:themeColor="text1"/>
        </w:rPr>
      </w:pPr>
    </w:p>
    <w:p w14:paraId="688A2DB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lastRenderedPageBreak/>
        <w:t>D. Recommendation Algorithm Design</w:t>
      </w:r>
    </w:p>
    <w:p w14:paraId="1809C2DE" w14:textId="77777777" w:rsidR="007842DA" w:rsidRPr="007842DA" w:rsidRDefault="007842DA" w:rsidP="00DD171F">
      <w:pPr>
        <w:spacing w:before="60" w:after="60"/>
        <w:ind w:left="10"/>
        <w:rPr>
          <w:color w:val="000000" w:themeColor="text1"/>
        </w:rPr>
      </w:pPr>
      <w:r w:rsidRPr="007842DA">
        <w:rPr>
          <w:color w:val="000000" w:themeColor="text1"/>
          <w:szCs w:val="20"/>
        </w:rPr>
        <w:t>The recommendation engine implements a hybrid scoring approach that combines collaborative filtering and content-based filtering signals to overcome the individual limitations of each technique. The hybrid score H(u, c) for candidate course c and learner u is computed as H(u, c) = α × CF(u, c) + (1−α) × CB(u, c), where α is a configurable blending weight defaulting to 0.6, CF(u, c) is the collaborative filtering score computed as the cosine similarity between learner u's enrollment-completion vector and a neighborhood-weighted aggregation of similar learners' interactions with course c, and CB(u, c) is the content-based score computed using the precomputed course-to-course cosine similarity matrix applied to the set of courses previously completed by learner u. Courses already enrolled or completed by the learner are excluded from the candidate set prior to scoring. The top-ranked 5 to 10 courses by hybrid score are returned as recommendations, accompanied by natural language rationale strings explaining the basis of each recommendation to enhance learner transparency and trust.</w:t>
      </w:r>
    </w:p>
    <w:p w14:paraId="49858741" w14:textId="77777777" w:rsidR="007842DA" w:rsidRPr="007842DA" w:rsidRDefault="007842DA" w:rsidP="00DD171F">
      <w:pPr>
        <w:spacing w:after="60"/>
        <w:ind w:left="10"/>
        <w:rPr>
          <w:color w:val="000000" w:themeColor="text1"/>
        </w:rPr>
      </w:pPr>
    </w:p>
    <w:p w14:paraId="22A2A2D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Adaptive Assessment Algorithm</w:t>
      </w:r>
    </w:p>
    <w:p w14:paraId="544D6D2A" w14:textId="77777777" w:rsidR="007842DA" w:rsidRPr="007842DA" w:rsidRDefault="007842DA" w:rsidP="00DD171F">
      <w:pPr>
        <w:spacing w:before="60" w:after="60"/>
        <w:ind w:left="10"/>
        <w:rPr>
          <w:color w:val="000000" w:themeColor="text1"/>
        </w:rPr>
      </w:pPr>
      <w:r w:rsidRPr="007842DA">
        <w:rPr>
          <w:color w:val="000000" w:themeColor="text1"/>
          <w:szCs w:val="20"/>
        </w:rPr>
        <w:t>The adaptive assessment engine implements the maximum Fisher Information item selection criterion from Computerized Adaptive Testing theory. At each assessment step, the Fisher Information I(θ, q) = a² × P(θ) × (1−P(θ)) is computed for all unused questions in the bank, where a is the item discrimination parameter, b is the item difficulty parameter, P(θ) = 1/(1+exp(−a(θ−b))) is the two-parameter logistic IRT probability function evaluated at the current learner ability estimate θ, and the question maximizing information at the current θ is selected for presentation. Following each learner response, the ability estimate is updated using the Newton-Raphson iterative maximum likelihood estimation procedure applied to the accumulated response vector. The assessment terminates adaptively when the standard error of the ability estimate falls below a predefined precision threshold or when the maximum configured question count is reached, whichever occurs first.</w:t>
      </w:r>
    </w:p>
    <w:p w14:paraId="3961CF68" w14:textId="77777777" w:rsidR="007842DA" w:rsidRPr="007842DA" w:rsidRDefault="007842DA" w:rsidP="00DD171F">
      <w:pPr>
        <w:spacing w:after="60"/>
        <w:ind w:left="10"/>
        <w:rPr>
          <w:color w:val="000000" w:themeColor="text1"/>
        </w:rPr>
      </w:pPr>
    </w:p>
    <w:p w14:paraId="785E98E0"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F. Feasibility Analysis</w:t>
      </w:r>
    </w:p>
    <w:p w14:paraId="601BD03F" w14:textId="77777777" w:rsidR="007842DA" w:rsidRPr="007842DA" w:rsidRDefault="007842DA" w:rsidP="00DD171F">
      <w:pPr>
        <w:spacing w:before="60" w:after="60"/>
        <w:ind w:left="10"/>
        <w:rPr>
          <w:color w:val="000000" w:themeColor="text1"/>
        </w:rPr>
      </w:pPr>
      <w:r w:rsidRPr="007842DA">
        <w:rPr>
          <w:color w:val="000000" w:themeColor="text1"/>
          <w:szCs w:val="20"/>
        </w:rPr>
        <w:t>A comprehensive feasibility study was conducted across four dimensions prior to initiating full-scale development. Technical feasibility was confirmed through proof-of-concept implementations demonstrating that the React.js plus Node.js plus MongoDB technology stack reliably supports the required feature set, and that the selected AI recommendation algorithms perform adequately with the available training data volumes during a two-week spike investigation. Operational feasibility was established through prototype usability testing with five instructors and ten learners, all of whom successfully completed core platform tasks without formal training, achieving a preliminary SUS score of 78. Economic feasibility analysis demonstrated that development costs are recoverable within the first academic year of deployment at an institution with 500 or more active learners, based on conservative subscription pricing models applied to comparable platform benchmarks. Social feasibility assessment confirmed high stakeholder acceptance, particularly among younger learner demographics already comfortable with web-based self-directed learning platforms.</w:t>
      </w:r>
    </w:p>
    <w:p w14:paraId="2610D8EE" w14:textId="77777777" w:rsidR="007842DA" w:rsidRPr="007842DA" w:rsidRDefault="007842DA" w:rsidP="00DD171F">
      <w:pPr>
        <w:spacing w:after="120"/>
        <w:ind w:left="10"/>
        <w:rPr>
          <w:color w:val="000000" w:themeColor="text1"/>
        </w:rPr>
      </w:pPr>
    </w:p>
    <w:p w14:paraId="6F5EE658" w14:textId="77777777" w:rsidR="007842DA" w:rsidRPr="007842DA" w:rsidRDefault="007842DA" w:rsidP="00DD171F">
      <w:pPr>
        <w:pStyle w:val="Heading1"/>
        <w:ind w:left="0"/>
        <w:rPr>
          <w:color w:val="000000" w:themeColor="text1"/>
        </w:rPr>
      </w:pPr>
      <w:r w:rsidRPr="007842DA">
        <w:rPr>
          <w:b/>
          <w:bCs/>
          <w:color w:val="000000" w:themeColor="text1"/>
          <w:sz w:val="22"/>
          <w:szCs w:val="22"/>
        </w:rPr>
        <w:t>V. Software Design Description</w:t>
      </w:r>
    </w:p>
    <w:p w14:paraId="26B7AD8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System Architecture</w:t>
      </w:r>
    </w:p>
    <w:p w14:paraId="6F894C70" w14:textId="77777777" w:rsidR="007842DA" w:rsidRPr="007842DA" w:rsidRDefault="007842DA" w:rsidP="00DD171F">
      <w:pPr>
        <w:spacing w:before="60" w:after="60"/>
        <w:ind w:left="10"/>
        <w:rPr>
          <w:color w:val="000000" w:themeColor="text1"/>
        </w:rPr>
      </w:pPr>
      <w:r w:rsidRPr="007842DA">
        <w:rPr>
          <w:color w:val="000000" w:themeColor="text1"/>
          <w:szCs w:val="20"/>
        </w:rPr>
        <w:t>The AppZlogic Training Platform follows a three-tier client-server architecture organized as a microservices ensemble. The Presentation Layer consists of the React.js single-page application served via CloudFront CDN, communicating with the backend exclusively through HTTPS REST API calls and WebSocket connections. The Application Layer is implemented as a Node.js API Gateway that authenticates incoming requests and routes them to one of five specialized microservices: User Management, Course Management, Adaptive Assessment, AI Recommendation, and Analytics and Reporting. Each microservice operates as an independently deployable Docker container with its own process boundary and internal state management. The Data Layer is implemented as a shared MongoDB Atlas cluster with logical database-level separation between service domains, supplemented by a Redis Cloud instance providing session caching, real-time event bus functionality, and background job queue management.</w:t>
      </w:r>
    </w:p>
    <w:p w14:paraId="01466591" w14:textId="77777777" w:rsidR="007842DA" w:rsidRPr="007842DA" w:rsidRDefault="007842DA" w:rsidP="00DD171F">
      <w:pPr>
        <w:spacing w:after="60"/>
        <w:ind w:left="10"/>
        <w:rPr>
          <w:color w:val="000000" w:themeColor="text1"/>
        </w:rPr>
      </w:pPr>
    </w:p>
    <w:p w14:paraId="04B32F57"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Database Design</w:t>
      </w:r>
    </w:p>
    <w:p w14:paraId="692BD0E8" w14:textId="77777777" w:rsidR="007842DA" w:rsidRPr="007842DA" w:rsidRDefault="007842DA" w:rsidP="00DD171F">
      <w:pPr>
        <w:spacing w:before="60" w:after="60"/>
        <w:ind w:left="10"/>
        <w:rPr>
          <w:color w:val="000000" w:themeColor="text1"/>
        </w:rPr>
      </w:pPr>
      <w:r w:rsidRPr="007842DA">
        <w:rPr>
          <w:color w:val="000000" w:themeColor="text1"/>
          <w:szCs w:val="20"/>
        </w:rPr>
        <w:t>The MongoDB document database is organized across eight primary collections optimized for the access patterns of the platform's core features. The users collection stores comprehensive learner, instructor, and administrator profiles including embedded preference vectors, skill tag arrays, and enrollment reference arrays. The courses collection stores complete course metadata including skill tags enabling content-based filtering, difficulty ratings, module reference arrays, and aggregate rating and enrollment count statistics maintained through atomic update operations. The modules collection stores ordered lesson and assessment sequences within each course. The lessons collection stores individual content items with content type enumeration, content URL references for media served from AWS S3, and duration metadata.</w:t>
      </w:r>
    </w:p>
    <w:p w14:paraId="50FA3160" w14:textId="77777777" w:rsidR="007842DA" w:rsidRPr="007842DA" w:rsidRDefault="007842DA" w:rsidP="00DD171F">
      <w:pPr>
        <w:spacing w:after="60"/>
        <w:ind w:left="10"/>
        <w:rPr>
          <w:color w:val="000000" w:themeColor="text1"/>
        </w:rPr>
      </w:pPr>
    </w:p>
    <w:p w14:paraId="29450957" w14:textId="77777777" w:rsidR="007842DA" w:rsidRPr="007842DA" w:rsidRDefault="007842DA" w:rsidP="00DD171F">
      <w:pPr>
        <w:spacing w:before="60" w:after="60"/>
        <w:ind w:left="10"/>
        <w:rPr>
          <w:color w:val="000000" w:themeColor="text1"/>
        </w:rPr>
      </w:pPr>
      <w:r w:rsidRPr="007842DA">
        <w:rPr>
          <w:color w:val="000000" w:themeColor="text1"/>
          <w:szCs w:val="20"/>
        </w:rPr>
        <w:t>The assessments collection stores quiz configurations referencing question arrays with IRT calibration status flags. The questions collection is the most analytically rich collection, storing item stems, answer options, correct answer indices, detailed explanations, topic tag arrays, Bloom's taxonomy level classifications, and calibrated IRT parameters including discrimination a-parameters and difficulty b-parameters for all calibrated items. The enrollments collection tracks the complete state of each learner's progress through each enrolled course, including arrays of completed lesson and module ObjectIds, assessment attempt score arrays with timestamps, and certificate reference fields populated upon completion. The events collection stores granular interaction log entries with event type enumeration, entity type and ObjectId references, timestamp precision to the millisecond, and flexible mixed metadata objects enabling capture of diverse event-specific contextual information.</w:t>
      </w:r>
    </w:p>
    <w:p w14:paraId="588423CC" w14:textId="77777777" w:rsidR="007842DA" w:rsidRPr="007842DA" w:rsidRDefault="007842DA" w:rsidP="00DD171F">
      <w:pPr>
        <w:spacing w:after="60"/>
        <w:ind w:left="10"/>
        <w:rPr>
          <w:color w:val="000000" w:themeColor="text1"/>
        </w:rPr>
      </w:pPr>
    </w:p>
    <w:p w14:paraId="605E371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Module Specifications</w:t>
      </w:r>
    </w:p>
    <w:p w14:paraId="1974D32A"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User Management Service handles all user lifecycle operations including email-validated registration with </w:t>
      </w:r>
      <w:r w:rsidRPr="007842DA">
        <w:rPr>
          <w:color w:val="000000" w:themeColor="text1"/>
          <w:szCs w:val="20"/>
        </w:rPr>
        <w:lastRenderedPageBreak/>
        <w:t>minimum password complexity enforcement, JWT issuance with 15-minute access token expiry and 7-day refresh token rotation stored as HttpOnly cookies, OAuth 2.0 integration with Google and GitHub identity providers via Passport.js strategies, and comprehensive profile management supporting skill tag updates and learning preference configuration. The service maintains the learner profile data structure consumed by the Recommendation Service for personalized suggestion generation.</w:t>
      </w:r>
    </w:p>
    <w:p w14:paraId="31D5A942" w14:textId="77777777" w:rsidR="007842DA" w:rsidRPr="007842DA" w:rsidRDefault="007842DA" w:rsidP="00DD171F">
      <w:pPr>
        <w:spacing w:after="60"/>
        <w:ind w:left="10"/>
        <w:rPr>
          <w:color w:val="000000" w:themeColor="text1"/>
        </w:rPr>
      </w:pPr>
    </w:p>
    <w:p w14:paraId="6CCB08E3" w14:textId="77777777" w:rsidR="007842DA" w:rsidRPr="007842DA" w:rsidRDefault="007842DA" w:rsidP="00DD171F">
      <w:pPr>
        <w:spacing w:before="60" w:after="60"/>
        <w:ind w:left="10"/>
        <w:rPr>
          <w:color w:val="000000" w:themeColor="text1"/>
        </w:rPr>
      </w:pPr>
      <w:r w:rsidRPr="007842DA">
        <w:rPr>
          <w:color w:val="000000" w:themeColor="text1"/>
          <w:szCs w:val="20"/>
        </w:rPr>
        <w:t>The Course Management Service handles course creation, publication workflow, and content delivery. The drag-and-drop course builder API accepts module and lesson configurations with ordering metadata, validates content type compatibility, and coordinates media upload to AWS S3 through pre-signed URL generation supporting files up to 2 GB with real-time progress indication. The service maintains a full-text search index using MongoDB Atlas Search, enabling discovery by keyword, skill tag, difficulty level, and estimated completion time. Enrollment management tracks progress at lesson, module, and course granularity, triggering downstream analytics events and certificate generation API calls upon course completion detection.</w:t>
      </w:r>
    </w:p>
    <w:p w14:paraId="4420EA58" w14:textId="77777777" w:rsidR="007842DA" w:rsidRPr="007842DA" w:rsidRDefault="007842DA" w:rsidP="00DD171F">
      <w:pPr>
        <w:spacing w:after="60"/>
        <w:ind w:left="10"/>
        <w:rPr>
          <w:color w:val="000000" w:themeColor="text1"/>
        </w:rPr>
      </w:pPr>
    </w:p>
    <w:p w14:paraId="3DCB11CD" w14:textId="77777777" w:rsidR="007842DA" w:rsidRPr="007842DA" w:rsidRDefault="007842DA" w:rsidP="00DD171F">
      <w:pPr>
        <w:spacing w:before="60" w:after="60"/>
        <w:ind w:left="10"/>
        <w:rPr>
          <w:color w:val="000000" w:themeColor="text1"/>
        </w:rPr>
      </w:pPr>
      <w:r w:rsidRPr="007842DA">
        <w:rPr>
          <w:color w:val="000000" w:themeColor="text1"/>
          <w:szCs w:val="20"/>
        </w:rPr>
        <w:t>The Analytics and Reporting Service processes event streams emitted by client browsers and backend services through WebSocket and REST endpoints respectively. Events are aggregated into hourly metric snapshots for dashboard display and daily metric snapshots for historical trend reporting, stored in a time-series-optimized MongoDB collection with appropriate compound indexes on user, course, and timestamp dimensions. Instructor and administrator dashboards consume the analytics REST API to render metric visualizations using Chart.js components on the React.js frontend.</w:t>
      </w:r>
    </w:p>
    <w:p w14:paraId="3276CB87" w14:textId="77777777" w:rsidR="007842DA" w:rsidRPr="007842DA" w:rsidRDefault="007842DA" w:rsidP="00DD171F">
      <w:pPr>
        <w:spacing w:after="120"/>
        <w:ind w:left="10"/>
        <w:rPr>
          <w:color w:val="000000" w:themeColor="text1"/>
        </w:rPr>
      </w:pPr>
    </w:p>
    <w:p w14:paraId="126ABCA8" w14:textId="77777777" w:rsidR="007842DA" w:rsidRPr="007842DA" w:rsidRDefault="007842DA" w:rsidP="00DD171F">
      <w:pPr>
        <w:pStyle w:val="Heading1"/>
        <w:ind w:left="0"/>
        <w:rPr>
          <w:color w:val="000000" w:themeColor="text1"/>
        </w:rPr>
      </w:pPr>
      <w:r w:rsidRPr="007842DA">
        <w:rPr>
          <w:b/>
          <w:bCs/>
          <w:color w:val="000000" w:themeColor="text1"/>
          <w:sz w:val="22"/>
          <w:szCs w:val="22"/>
        </w:rPr>
        <w:t>VI. Implementation Details</w:t>
      </w:r>
    </w:p>
    <w:p w14:paraId="23D43ED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Development Environment</w:t>
      </w:r>
    </w:p>
    <w:p w14:paraId="207C8937" w14:textId="77777777" w:rsidR="007842DA" w:rsidRPr="007842DA" w:rsidRDefault="007842DA" w:rsidP="00DD171F">
      <w:pPr>
        <w:spacing w:before="60" w:after="60"/>
        <w:ind w:left="10"/>
        <w:rPr>
          <w:color w:val="000000" w:themeColor="text1"/>
        </w:rPr>
      </w:pPr>
      <w:r w:rsidRPr="007842DA">
        <w:rPr>
          <w:color w:val="000000" w:themeColor="text1"/>
          <w:szCs w:val="20"/>
        </w:rPr>
        <w:t>The development environment was configured on Windows 11 Pro (64-bit) for primary development workstations and Ubuntu 22.04 LTS for server-side component development and deployment simulation. Visual Studio Code served as the primary IDE, configured with ESLint, Prettier, GitLens, and REST Client extensions. Node.js version 20.x LTS provided the JavaScript runtime for backend services. MongoDB Atlas M0 free tier was used for development and M10 shared cluster for staging environment testing. Version control used Git with GitHub repository hosting. CI/CD pipelines were implemented using GitHub Actions with automated test suite execution, Docker image builds, and staging deployment triggers. Code quality was enforced through ESLint with the Airbnb ruleset, Prettier formatting, and Husky pre-commit hooks ensuring no commits bypass the lint and test pipeline.</w:t>
      </w:r>
    </w:p>
    <w:p w14:paraId="64A8D028" w14:textId="77777777" w:rsidR="007842DA" w:rsidRPr="007842DA" w:rsidRDefault="007842DA" w:rsidP="00DD171F">
      <w:pPr>
        <w:spacing w:after="60"/>
        <w:ind w:left="10"/>
        <w:rPr>
          <w:color w:val="000000" w:themeColor="text1"/>
        </w:rPr>
      </w:pPr>
    </w:p>
    <w:p w14:paraId="3B466BD1"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Technology Stack</w:t>
      </w:r>
    </w:p>
    <w:p w14:paraId="17A3103D"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frontend technology stack centers on React.js 18.2 as the primary UI framework, leveraging its concurrent rendering capabilities and hooks-based component model for building highly responsive and composable user interfaces. Tailwind CSS 3.x provides the utility-first styling system with a custom </w:t>
      </w:r>
      <w:r w:rsidRPr="007842DA">
        <w:rPr>
          <w:color w:val="000000" w:themeColor="text1"/>
          <w:szCs w:val="20"/>
        </w:rPr>
        <w:t>design token configuration ensuring visual consistency across all platform sections. Zustand manages global application state with a minimal and predictable store API. React Query version 5.x handles server state synchronization, background refetching, and optimistic updates for the recommendation and progress data that require real-time accuracy. Chart.js 4.x renders all data visualization components including progress radar charts, enrollment funnel charts, and assessment score distribution histograms. Socket.io-client maintains the WebSocket connection to the analytics event streaming endpoint.</w:t>
      </w:r>
    </w:p>
    <w:p w14:paraId="65B2A96F" w14:textId="77777777" w:rsidR="007842DA" w:rsidRPr="007842DA" w:rsidRDefault="007842DA" w:rsidP="00DD171F">
      <w:pPr>
        <w:spacing w:after="60"/>
        <w:ind w:left="10"/>
        <w:rPr>
          <w:color w:val="000000" w:themeColor="text1"/>
        </w:rPr>
      </w:pPr>
    </w:p>
    <w:p w14:paraId="121AE6C9" w14:textId="77777777" w:rsidR="007842DA" w:rsidRPr="007842DA" w:rsidRDefault="007842DA" w:rsidP="00DD171F">
      <w:pPr>
        <w:spacing w:before="60" w:after="60"/>
        <w:ind w:left="10"/>
        <w:rPr>
          <w:color w:val="000000" w:themeColor="text1"/>
        </w:rPr>
      </w:pPr>
      <w:r w:rsidRPr="007842DA">
        <w:rPr>
          <w:color w:val="000000" w:themeColor="text1"/>
          <w:szCs w:val="20"/>
        </w:rPr>
        <w:t>The backend technology stack is built on the Node.js 20 LTS runtime executing Express.js 4.19 as the HTTP API framework across all five microservices and the API Gateway. Mongoose 8.x provides the MongoDB object-document mapping layer with schema validation, middleware hooks, and query building utilities. Passport.js with OAuth 2.0 strategies handles social authentication integration. The Bull library backed by Redis provides reliable background job queue management for recommendation matrix recomputation, notification delivery, certificate generation, and analytics aggregation tasks executed outside of synchronous request cycles. The aws-sdk version 3.x enables AWS S3 integration for media storage and CloudFront CDN cache invalidation.</w:t>
      </w:r>
    </w:p>
    <w:p w14:paraId="2D14703B" w14:textId="77777777" w:rsidR="007842DA" w:rsidRPr="007842DA" w:rsidRDefault="007842DA" w:rsidP="00DD171F">
      <w:pPr>
        <w:spacing w:after="60"/>
        <w:ind w:left="10"/>
        <w:rPr>
          <w:color w:val="000000" w:themeColor="text1"/>
        </w:rPr>
      </w:pPr>
    </w:p>
    <w:p w14:paraId="04225EA7"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Security Implementation</w:t>
      </w:r>
    </w:p>
    <w:p w14:paraId="3595F0A1" w14:textId="77777777" w:rsidR="007842DA" w:rsidRPr="007842DA" w:rsidRDefault="007842DA" w:rsidP="00DD171F">
      <w:pPr>
        <w:spacing w:before="60" w:after="60"/>
        <w:ind w:left="10"/>
        <w:rPr>
          <w:color w:val="000000" w:themeColor="text1"/>
        </w:rPr>
      </w:pPr>
      <w:r w:rsidRPr="007842DA">
        <w:rPr>
          <w:color w:val="000000" w:themeColor="text1"/>
          <w:szCs w:val="20"/>
        </w:rPr>
        <w:t>Security implementation addresses all primary threat vectors identified through OWASP Top 10 analysis. Authentication security uses bcrypt with cost factor 12 for password hashing, JWT with explicit HS256 algorithm specification to prevent algorithm confusion attacks, HttpOnly and Secure cookie flags for refresh token storage, and token rotation on each refresh cycle to limit exposure windows. Authorization security implements role-based access control middleware applied consistently across all API endpoints, with role claims embedded in the JWT payload and validated server-side on every request. Input validation uses Mongoose schema validation to reject malformed documents and sanitizes all user-provided string inputs before query construction, effectively preventing MongoDB operator injection attacks. Rate limiting is applied at the API Gateway level using a sliding window algorithm that triggers HTTP 429 responses after 10 failed authentication attempts within a 15-minute window. All API communication is enforced over HTTPS with TLS 1.3, and CORS policies are configured to permit requests exclusively from the approved frontend domain.</w:t>
      </w:r>
    </w:p>
    <w:p w14:paraId="543D20A9" w14:textId="77777777" w:rsidR="007842DA" w:rsidRPr="007842DA" w:rsidRDefault="007842DA" w:rsidP="00DD171F">
      <w:pPr>
        <w:spacing w:after="120"/>
        <w:ind w:left="10"/>
        <w:rPr>
          <w:color w:val="000000" w:themeColor="text1"/>
        </w:rPr>
      </w:pPr>
    </w:p>
    <w:p w14:paraId="481ADADF" w14:textId="77777777" w:rsidR="007842DA" w:rsidRPr="007842DA" w:rsidRDefault="007842DA" w:rsidP="00DD171F">
      <w:pPr>
        <w:pStyle w:val="Heading1"/>
        <w:ind w:left="0"/>
        <w:rPr>
          <w:color w:val="000000" w:themeColor="text1"/>
        </w:rPr>
      </w:pPr>
      <w:r w:rsidRPr="007842DA">
        <w:rPr>
          <w:b/>
          <w:bCs/>
          <w:color w:val="000000" w:themeColor="text1"/>
          <w:sz w:val="22"/>
          <w:szCs w:val="22"/>
        </w:rPr>
        <w:t>VII. Testing and Evaluation</w:t>
      </w:r>
    </w:p>
    <w:p w14:paraId="494B70E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Testing Strategy</w:t>
      </w:r>
    </w:p>
    <w:p w14:paraId="6E384515"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AppZlogic Training Platform was subjected to a comprehensive five-level testing strategy designed to validate both functional correctness and non-functional quality attributes across all system components and user-facing workflows. Unit testing was implemented using Jest for all backend service modules and React Testing Library for frontend components, targeting individual functions and components in isolation with dependency mocking. Integration testing used Supertest to validate interactions </w:t>
      </w:r>
      <w:r w:rsidRPr="007842DA">
        <w:rPr>
          <w:color w:val="000000" w:themeColor="text1"/>
          <w:szCs w:val="20"/>
        </w:rPr>
        <w:lastRenderedPageBreak/>
        <w:t>between the API Gateway and individual backend services through realistic multi-step request sequences. End-to-end testing used Playwright browser automation to validate complete user workflows across all three user roles in a full-stack environment. Security testing conducted OWASP Top 10 vulnerability assessments including injection attacks, authentication bypass attempts, access control violations, and traffic-based attack simulations. Performance testing used the k6 load testing tool to simulate realistic concurrent user loads and measure system behavior under stress conditions.</w:t>
      </w:r>
    </w:p>
    <w:p w14:paraId="7FBF22AC" w14:textId="77777777" w:rsidR="007842DA" w:rsidRPr="007842DA" w:rsidRDefault="007842DA" w:rsidP="00DD171F">
      <w:pPr>
        <w:spacing w:after="60"/>
        <w:ind w:left="10"/>
        <w:rPr>
          <w:color w:val="000000" w:themeColor="text1"/>
        </w:rPr>
      </w:pPr>
    </w:p>
    <w:p w14:paraId="62A21DFD"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Experimentation Results</w:t>
      </w:r>
    </w:p>
    <w:p w14:paraId="00655658" w14:textId="77777777" w:rsidR="007842DA" w:rsidRPr="007842DA" w:rsidRDefault="007842DA" w:rsidP="00DD171F">
      <w:pPr>
        <w:spacing w:before="60" w:after="60"/>
        <w:ind w:left="10"/>
        <w:rPr>
          <w:color w:val="000000" w:themeColor="text1"/>
        </w:rPr>
      </w:pPr>
      <w:r w:rsidRPr="007842DA">
        <w:rPr>
          <w:color w:val="000000" w:themeColor="text1"/>
          <w:szCs w:val="20"/>
        </w:rPr>
        <w:t>Experimentation for the recommendation and assessment components proceeded through five phases of progressive refinement. In Phase 1, a baseline user-based collaborative filtering model trained on the learner interaction dataset achieved a Precision@5 of 0.42, establishing the minimum viable performance baseline. In Phase 2, incorporating course skill-tag similarity through content-based filtering into the recommendation score improved Precision@5 to 0.61, demonstrating the substantial value of hybrid approaches particularly for cold-start learners with sparse enrollment histories. In Phase 3, the 2PL IRT model was calibrated on the assessment question bank. Post-calibration, adaptive assessments achieved 23% shorter average test lengths while maintaining statistically equivalent measurement precision compared to fixed-length tests of the same assessment domain, confirming the efficiency gains predicted by CAT theory. In Phase 4, full system integration testing with 15 volunteer learners confirmed that the recommendation engine and adaptive assessment module functioned correctly within the platform's real-time processing constraints. In Phase 5, platform-wide evaluation with 85 beta users produced the final performance metrics summarized in TABLE I.</w:t>
      </w:r>
    </w:p>
    <w:p w14:paraId="4AAE22DE" w14:textId="77777777" w:rsidR="007842DA" w:rsidRPr="007842DA" w:rsidRDefault="007842DA" w:rsidP="00DD171F">
      <w:pPr>
        <w:spacing w:after="60"/>
        <w:ind w:left="10"/>
        <w:rPr>
          <w:color w:val="000000" w:themeColor="text1"/>
        </w:rPr>
      </w:pPr>
    </w:p>
    <w:p w14:paraId="157C81A2"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Unit and Integration Testing</w:t>
      </w:r>
    </w:p>
    <w:p w14:paraId="6485E3B0" w14:textId="77777777" w:rsidR="007842DA" w:rsidRPr="007842DA" w:rsidRDefault="007842DA" w:rsidP="00DD171F">
      <w:pPr>
        <w:spacing w:before="60" w:after="60"/>
        <w:ind w:left="10"/>
        <w:rPr>
          <w:color w:val="000000" w:themeColor="text1"/>
        </w:rPr>
      </w:pPr>
      <w:r w:rsidRPr="007842DA">
        <w:rPr>
          <w:color w:val="000000" w:themeColor="text1"/>
          <w:szCs w:val="20"/>
        </w:rPr>
        <w:t>Unit testing achieved high module-level correctness across all primary service components. Twenty-four unit tests for the recommendation engine validated hybrid score computation accuracy against manually computed baselines, collaborative filtering cosine similarity calculations for representative learner pairs, content-based filtering score accuracy, enrolled and completed course exclusion filtering logic, and final recommendation ranking order consistency. All 24 tests passed without modification. Eighteen unit tests for the assessment engine validated IRT Fisher Information function computation, ability estimate convergence through simulated Newton-Raphson iterations, question selection correctness under the maximum information criterion, quiz termination trigger conditions for both precision threshold and maximum question count scenarios, and scoring accuracy across representative response patterns. Seventeen of 18 tests passed; one edge case involving an empty question bank scenario after all items had been administered was identified and addressed by implementing a random selection fallback mechanism. Twelve authentication middleware tests validated JWT signature verification, expiry boundary enforcement, role claim extraction accuracy, and refresh token rotation sequencing. All 12 passed.</w:t>
      </w:r>
    </w:p>
    <w:p w14:paraId="7F7CCDD8" w14:textId="77777777" w:rsidR="007842DA" w:rsidRPr="007842DA" w:rsidRDefault="007842DA" w:rsidP="00DD171F">
      <w:pPr>
        <w:spacing w:after="60"/>
        <w:ind w:left="10"/>
        <w:rPr>
          <w:color w:val="000000" w:themeColor="text1"/>
        </w:rPr>
      </w:pPr>
    </w:p>
    <w:p w14:paraId="71F1E1C9" w14:textId="77777777" w:rsidR="007842DA" w:rsidRPr="007842DA" w:rsidRDefault="007842DA" w:rsidP="00DD171F">
      <w:pPr>
        <w:spacing w:before="60" w:after="60"/>
        <w:ind w:left="10"/>
        <w:rPr>
          <w:color w:val="000000" w:themeColor="text1"/>
        </w:rPr>
      </w:pPr>
      <w:r w:rsidRPr="007842DA">
        <w:rPr>
          <w:color w:val="000000" w:themeColor="text1"/>
          <w:szCs w:val="20"/>
        </w:rPr>
        <w:t>Integration testing confirmed that all 15 defined multi-step test scenarios completed successfully. Critical validated flows included the complete registration through enrollment through lesson completion through certificate generation pipeline, the course creation through content upload through draft to published status transition through learner search discovery flow, and the quiz attempt completion through ability estimate update through recommendation list refresh event chain. The analytics event pipeline integration test confirmed that VIDEO_PROGRESS and LESSON_COMPLETE events emitted by the React.js Course Player component via Socket.io were correctly received by the Analytics Service, processed through the aggregation pipeline, and reflected as updated metrics in instructor dashboard API responses within the required 60-second service level objective.</w:t>
      </w:r>
    </w:p>
    <w:p w14:paraId="676FC1D8" w14:textId="77777777" w:rsidR="007842DA" w:rsidRPr="007842DA" w:rsidRDefault="007842DA" w:rsidP="00DD171F">
      <w:pPr>
        <w:spacing w:after="60"/>
        <w:ind w:left="10"/>
        <w:rPr>
          <w:color w:val="000000" w:themeColor="text1"/>
        </w:rPr>
      </w:pPr>
    </w:p>
    <w:p w14:paraId="456C75F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System-Level Test Cases</w:t>
      </w:r>
    </w:p>
    <w:p w14:paraId="6CF6D0FC" w14:textId="77777777" w:rsidR="007842DA" w:rsidRPr="007842DA" w:rsidRDefault="007842DA" w:rsidP="00DD171F">
      <w:pPr>
        <w:spacing w:before="60" w:after="60"/>
        <w:ind w:left="10"/>
        <w:rPr>
          <w:color w:val="000000" w:themeColor="text1"/>
        </w:rPr>
      </w:pPr>
      <w:r w:rsidRPr="007842DA">
        <w:rPr>
          <w:color w:val="000000" w:themeColor="text1"/>
          <w:szCs w:val="20"/>
        </w:rPr>
        <w:t>Twenty system-level test cases were executed covering all critical platform workflows. All 20 cases achieved Pass status. Key results of particular significance include: video content streaming averaged 1.8 seconds to first frame (target: within 3 seconds), representing a 40% margin below the target threshold; concurrent 200-user login stress test produced an average response time of 287ms with a 95th percentile of 412ms, well within the 500ms service level target; a 500 MB video file upload completed successfully with S3 URL generation and CloudFront CDN registration; memory usage under simulated production load peaked at 380MB per service instance, 26% below the 512MB budget; and system recovery after a simulated service restart completed in 22 seconds, 8 seconds faster than the 30-second recovery target.</w:t>
      </w:r>
    </w:p>
    <w:p w14:paraId="53BC333B" w14:textId="77777777" w:rsidR="007842DA" w:rsidRPr="007842DA" w:rsidRDefault="007842DA" w:rsidP="00DD171F">
      <w:pPr>
        <w:spacing w:after="60"/>
        <w:ind w:left="10"/>
        <w:rPr>
          <w:color w:val="000000" w:themeColor="text1"/>
        </w:rPr>
      </w:pPr>
    </w:p>
    <w:p w14:paraId="7606369F"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Security and Performance Testing</w:t>
      </w:r>
    </w:p>
    <w:p w14:paraId="676A69F2" w14:textId="77777777" w:rsidR="007842DA" w:rsidRPr="007842DA" w:rsidRDefault="007842DA" w:rsidP="00DD171F">
      <w:pPr>
        <w:spacing w:before="60" w:after="60"/>
        <w:ind w:left="10"/>
        <w:rPr>
          <w:color w:val="000000" w:themeColor="text1"/>
        </w:rPr>
      </w:pPr>
      <w:r w:rsidRPr="007842DA">
        <w:rPr>
          <w:color w:val="000000" w:themeColor="text1"/>
          <w:szCs w:val="20"/>
        </w:rPr>
        <w:t>Security testing systematically evaluated all OWASP Top 10 risk categories. NoSQL injection attempts using MongoDB-specific operator injection patterns including $where, $gt, $ne, and $regex operators were uniformly blocked by Mongoose schema validation before reaching the database layer. Cross-Site Scripting payload injection attempts in course title and description fields were sanitized by the input validation middleware without reaching stored content. JWT algorithm confusion attacks substituting the HS256 algorithm with RS256 or none were rejected by the explicit algorithm specification in the JWT verification configuration. Brute-force login simulation correctly triggered HTTP 429 Too Many Requests responses after the configured threshold of 10 failed attempts within 15 minutes, with appropriate Retry-After header values. CORS policy enforcement correctly rejected API requests from non-whitelisted origin domains with 403 Forbidden responses.</w:t>
      </w:r>
    </w:p>
    <w:p w14:paraId="786F503D" w14:textId="77777777" w:rsidR="007842DA" w:rsidRPr="007842DA" w:rsidRDefault="007842DA" w:rsidP="00DD171F">
      <w:pPr>
        <w:spacing w:after="60"/>
        <w:ind w:left="10"/>
        <w:rPr>
          <w:color w:val="000000" w:themeColor="text1"/>
        </w:rPr>
      </w:pPr>
    </w:p>
    <w:p w14:paraId="61662081"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Performance testing with k6 under 500 concurrent simulated users with realistic behavior profiles combining video watching, quiz taking, and course catalog browsing maintained API Gateway response times below the 500ms service level target throughout the load test duration, with the P95 stabilizing at 312ms. Database query profiling identified three slow queries averaging over 200ms without indexes, which were resolved through the addition of appropriate </w:t>
      </w:r>
      <w:r w:rsidRPr="007842DA">
        <w:rPr>
          <w:color w:val="000000" w:themeColor="text1"/>
          <w:szCs w:val="20"/>
        </w:rPr>
        <w:lastRenderedPageBreak/>
        <w:t>compound indexes on the enrollments collection (userId + courseId) and the events collection (userId + eventType + timestamp). Following index optimization, these queries averaged below 50ms under the same load conditions.</w:t>
      </w:r>
    </w:p>
    <w:p w14:paraId="25F9E7E1" w14:textId="77777777" w:rsidR="007842DA" w:rsidRPr="007842DA" w:rsidRDefault="007842DA" w:rsidP="00DD171F">
      <w:pPr>
        <w:spacing w:after="120"/>
        <w:ind w:left="10"/>
        <w:rPr>
          <w:color w:val="000000" w:themeColor="text1"/>
        </w:rPr>
      </w:pPr>
    </w:p>
    <w:p w14:paraId="7F41759B" w14:textId="77777777" w:rsidR="007842DA" w:rsidRPr="007842DA" w:rsidRDefault="007842DA" w:rsidP="00DD171F">
      <w:pPr>
        <w:pStyle w:val="Heading1"/>
        <w:ind w:left="0"/>
        <w:rPr>
          <w:color w:val="000000" w:themeColor="text1"/>
        </w:rPr>
      </w:pPr>
      <w:r w:rsidRPr="007842DA">
        <w:rPr>
          <w:b/>
          <w:bCs/>
          <w:color w:val="000000" w:themeColor="text1"/>
          <w:sz w:val="22"/>
          <w:szCs w:val="22"/>
        </w:rPr>
        <w:t>VIII. Conclusion and Future Work</w:t>
      </w:r>
    </w:p>
    <w:p w14:paraId="0D49B778"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Summary of Contributions</w:t>
      </w:r>
    </w:p>
    <w:p w14:paraId="60102952" w14:textId="77777777" w:rsidR="007842DA" w:rsidRPr="007842DA" w:rsidRDefault="007842DA" w:rsidP="00DD171F">
      <w:pPr>
        <w:spacing w:before="60" w:after="60"/>
        <w:ind w:left="10"/>
        <w:rPr>
          <w:color w:val="000000" w:themeColor="text1"/>
        </w:rPr>
      </w:pPr>
      <w:r w:rsidRPr="007842DA">
        <w:rPr>
          <w:color w:val="000000" w:themeColor="text1"/>
          <w:szCs w:val="20"/>
        </w:rPr>
        <w:t>This paper has presented the AppZlogic Training Platform, an AI-driven adaptive Learning Management System that demonstrates the practical feasibility and measurable educational impact of integrating personalized recommendation, adaptive assessment, and comprehensive learning analytics within a single, scalable web application. The platform achieves a learner satisfaction score of 89.5% and a 78% improvement in course completion rates compared to a static LMS control condition, providing strong empirical evidence that AI-driven personalization produces meaningful and measurable improvements in online learning outcomes.</w:t>
      </w:r>
    </w:p>
    <w:p w14:paraId="670E0781" w14:textId="77777777" w:rsidR="007842DA" w:rsidRPr="007842DA" w:rsidRDefault="007842DA" w:rsidP="00DD171F">
      <w:pPr>
        <w:spacing w:after="60"/>
        <w:ind w:left="10"/>
        <w:rPr>
          <w:color w:val="000000" w:themeColor="text1"/>
        </w:rPr>
      </w:pPr>
    </w:p>
    <w:p w14:paraId="2042BC1A" w14:textId="77777777" w:rsidR="007842DA" w:rsidRPr="007842DA" w:rsidRDefault="007842DA" w:rsidP="00DD171F">
      <w:pPr>
        <w:spacing w:before="60" w:after="60"/>
        <w:ind w:left="10"/>
        <w:rPr>
          <w:color w:val="000000" w:themeColor="text1"/>
        </w:rPr>
      </w:pPr>
      <w:r w:rsidRPr="007842DA">
        <w:rPr>
          <w:color w:val="000000" w:themeColor="text1"/>
          <w:szCs w:val="20"/>
        </w:rPr>
        <w:t>The hybrid recommendation engine achieves a Precision@5 of 0.68, substantially exceeding the baseline collaborative filtering performance of 0.42 and demonstrating the effectiveness of combining collaborative and content-based signals, particularly for addressing the cold-start problem for new learners. The IRT-based adaptive assessment module achieves a 23% reduction in average test length without measurable degradation in assessment precision, validating the efficiency gains predicted by Computerized Adaptive Testing theory in a practical LMS deployment context. The microservices architecture delivers API response times averaging 312ms at the 95th percentile and system uptime of 99.7% during the beta evaluation period, confirming production readiness for institutional deployment. The System Usability Scale score of 84.2 indicates excellent interface quality that will support high voluntary adoption rates among learner and instructor populations.</w:t>
      </w:r>
    </w:p>
    <w:p w14:paraId="3B36FBED" w14:textId="77777777" w:rsidR="007842DA" w:rsidRPr="007842DA" w:rsidRDefault="007842DA" w:rsidP="00DD171F">
      <w:pPr>
        <w:spacing w:after="60"/>
        <w:ind w:left="10"/>
        <w:rPr>
          <w:color w:val="000000" w:themeColor="text1"/>
        </w:rPr>
      </w:pPr>
    </w:p>
    <w:p w14:paraId="476B7BB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Limitations</w:t>
      </w:r>
    </w:p>
    <w:p w14:paraId="0175829C" w14:textId="77777777" w:rsidR="007842DA" w:rsidRPr="007842DA" w:rsidRDefault="007842DA" w:rsidP="00DD171F">
      <w:pPr>
        <w:spacing w:before="60" w:after="60"/>
        <w:ind w:left="10"/>
        <w:rPr>
          <w:color w:val="000000" w:themeColor="text1"/>
        </w:rPr>
      </w:pPr>
      <w:r w:rsidRPr="007842DA">
        <w:rPr>
          <w:color w:val="000000" w:themeColor="text1"/>
          <w:szCs w:val="20"/>
        </w:rPr>
        <w:t>Several important limitations of the current implementation merit transparent acknowledgment to inform future work priorities and deployment decisions. The recommendation engine's personalization quality degrades for new learners with no enrollment history, a manifestation of the cold-start problem that is currently partially mitigated through skill-tag-based content filtering during the initial onboarding flow but which would benefit from more sophisticated onboarding preference elicitation and knowledge assessment approaches. The IRT model was calibrated on a question bank of 1,500 items, which while sufficient for a proof-of-concept deployment is relatively modest compared to the question banks available in established CAT systems; expanding the question bank and recalibrating IRT parameters with larger response datasets would improve adaptive assessment precision, particularly for learners at ability extremes.</w:t>
      </w:r>
    </w:p>
    <w:p w14:paraId="14204276" w14:textId="77777777" w:rsidR="007842DA" w:rsidRPr="007842DA" w:rsidRDefault="007842DA" w:rsidP="00DD171F">
      <w:pPr>
        <w:spacing w:after="60"/>
        <w:ind w:left="10"/>
        <w:rPr>
          <w:color w:val="000000" w:themeColor="text1"/>
        </w:rPr>
      </w:pPr>
    </w:p>
    <w:p w14:paraId="34A26DA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current implementation supports English-language content exclusively, limiting deployment applicability in multilingual educational contexts. Video content quality analysis for engagement detection, which would enable instructors to identify specific content segments associated </w:t>
      </w:r>
      <w:r w:rsidRPr="007842DA">
        <w:rPr>
          <w:color w:val="000000" w:themeColor="text1"/>
          <w:szCs w:val="20"/>
        </w:rPr>
        <w:t>with learner disengagement, is not yet implemented. The current infrastructure configuration is optimized and validated for concurrent user loads up to 5,000; institutional deployments serving substantially larger populations would require migration to a Kubernetes orchestration platform with automatic horizontal pod autoscaling and additional MongoDB sharding configuration for the events and enrollments collections.</w:t>
      </w:r>
    </w:p>
    <w:p w14:paraId="56557B44" w14:textId="77777777" w:rsidR="007842DA" w:rsidRPr="007842DA" w:rsidRDefault="007842DA" w:rsidP="00DD171F">
      <w:pPr>
        <w:spacing w:after="60"/>
        <w:ind w:left="10"/>
        <w:rPr>
          <w:color w:val="000000" w:themeColor="text1"/>
        </w:rPr>
      </w:pPr>
    </w:p>
    <w:p w14:paraId="2866CED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Future Work</w:t>
      </w:r>
    </w:p>
    <w:p w14:paraId="0B1AA657" w14:textId="77777777" w:rsidR="007842DA" w:rsidRPr="007842DA" w:rsidRDefault="007842DA" w:rsidP="00DD171F">
      <w:pPr>
        <w:spacing w:before="60" w:after="60"/>
        <w:ind w:left="10"/>
        <w:rPr>
          <w:color w:val="000000" w:themeColor="text1"/>
        </w:rPr>
      </w:pPr>
      <w:r w:rsidRPr="007842DA">
        <w:rPr>
          <w:color w:val="000000" w:themeColor="text1"/>
          <w:szCs w:val="20"/>
        </w:rPr>
        <w:t>The development roadmap for the AppZlogic Training Platform is organized across three temporal horizons based on implementation complexity and user impact priority. In the short-term horizon of 0 to 6 months, the highest priority enhancement is the development of React Native mobile applications for iOS and Android platforms that enable offline content consumption, push notification delivery for course deadline reminders, and mobile-optimized quiz interfaces with touch-friendly interaction patterns. Implementation of frame-level engagement detection using computer vision analysis of video viewing patterns will enable instructors to identify and remediate specific low-engagement content segments. An administrative batch enrollment API supporting CSV upload will streamline the institutional onboarding of large student cohorts.</w:t>
      </w:r>
    </w:p>
    <w:p w14:paraId="186C17F9" w14:textId="77777777" w:rsidR="007842DA" w:rsidRPr="007842DA" w:rsidRDefault="007842DA" w:rsidP="00DD171F">
      <w:pPr>
        <w:spacing w:after="60"/>
        <w:ind w:left="10"/>
        <w:rPr>
          <w:color w:val="000000" w:themeColor="text1"/>
        </w:rPr>
      </w:pPr>
    </w:p>
    <w:p w14:paraId="05E06010" w14:textId="77777777" w:rsidR="007842DA" w:rsidRPr="007842DA" w:rsidRDefault="007842DA" w:rsidP="00DD171F">
      <w:pPr>
        <w:spacing w:before="60" w:after="60"/>
        <w:ind w:left="10"/>
        <w:rPr>
          <w:color w:val="000000" w:themeColor="text1"/>
        </w:rPr>
      </w:pPr>
      <w:r w:rsidRPr="007842DA">
        <w:rPr>
          <w:color w:val="000000" w:themeColor="text1"/>
          <w:szCs w:val="20"/>
        </w:rPr>
        <w:t>In the medium-term horizon of 6 to 18 months, live session integration with Zoom or Jitsi Meet APIs will enable instructor-led synchronous sessions with integrated Q and A, shared whiteboard tools, automatic recording, and post-session transcript indexing for searchability. Internationalization implementation supporting at least 5 major languages including Hindi, Spanish, French, Mandarin, and Arabic will substantially expand the platform's deployment applicability. A gamification engine introducing experience points, ranked leaderboards, daily practice streaks, and team-based collaborative learning challenges will further increase long-term learner engagement and platform retention.</w:t>
      </w:r>
    </w:p>
    <w:p w14:paraId="0BD1E68F" w14:textId="77777777" w:rsidR="007842DA" w:rsidRPr="007842DA" w:rsidRDefault="007842DA" w:rsidP="00DD171F">
      <w:pPr>
        <w:spacing w:after="60"/>
        <w:ind w:left="10"/>
        <w:rPr>
          <w:color w:val="000000" w:themeColor="text1"/>
        </w:rPr>
      </w:pPr>
    </w:p>
    <w:p w14:paraId="0E86BDE4" w14:textId="77777777" w:rsidR="007842DA" w:rsidRPr="007842DA" w:rsidRDefault="007842DA" w:rsidP="00DD171F">
      <w:pPr>
        <w:spacing w:before="60" w:after="60"/>
        <w:ind w:left="10"/>
        <w:rPr>
          <w:color w:val="000000" w:themeColor="text1"/>
        </w:rPr>
      </w:pPr>
      <w:r w:rsidRPr="007842DA">
        <w:rPr>
          <w:color w:val="000000" w:themeColor="text1"/>
          <w:szCs w:val="20"/>
        </w:rPr>
        <w:t>In the long-term vision of 18 months and beyond, integration of a conversational AI tutor powered by a large language model fine-tuned on platform course content will enable learners to ask natural language questions about course material, receive personalized study guidance, and access on-demand explanations beyond the static content library. Implementation of predictive early warning models that forecast individual learner completion probability will enable proactive intervention workflows that automatically alert instructors and suggest targeted content adjustments for at-risk learners before dropout occurs. SCORM 1.2, SCORM 2004, and xAPI standard compliance will enable bidirectional content interoperability with enterprise LMS platforms commonly deployed in large organizations. Blockchain-anchored digital credential issuance will provide tamper-proof, publicly verifiable certificates that learners can share directly with employers or academic institutions.</w:t>
      </w:r>
    </w:p>
    <w:p w14:paraId="622F814F" w14:textId="77777777" w:rsidR="007842DA" w:rsidRPr="007842DA" w:rsidRDefault="007842DA" w:rsidP="00DD171F">
      <w:pPr>
        <w:spacing w:after="120"/>
        <w:ind w:left="10"/>
        <w:rPr>
          <w:color w:val="000000" w:themeColor="text1"/>
        </w:rPr>
      </w:pPr>
    </w:p>
    <w:p w14:paraId="5380975A" w14:textId="77777777" w:rsidR="007842DA" w:rsidRPr="007842DA" w:rsidRDefault="007842DA" w:rsidP="00DD171F">
      <w:pPr>
        <w:spacing w:before="180" w:after="80"/>
        <w:ind w:left="10"/>
        <w:rPr>
          <w:color w:val="000000" w:themeColor="text1"/>
        </w:rPr>
      </w:pPr>
      <w:r w:rsidRPr="007842DA">
        <w:rPr>
          <w:b/>
          <w:bCs/>
          <w:color w:val="000000" w:themeColor="text1"/>
          <w:sz w:val="22"/>
          <w:szCs w:val="22"/>
        </w:rPr>
        <w:t>Acknowledgment</w:t>
      </w:r>
    </w:p>
    <w:p w14:paraId="073B47DE" w14:textId="77777777" w:rsidR="007842DA" w:rsidRPr="007842DA" w:rsidRDefault="007842DA" w:rsidP="00DD171F">
      <w:pPr>
        <w:spacing w:before="60" w:after="60"/>
        <w:ind w:left="10"/>
        <w:rPr>
          <w:color w:val="000000" w:themeColor="text1"/>
        </w:rPr>
      </w:pPr>
      <w:r w:rsidRPr="007842DA">
        <w:rPr>
          <w:color w:val="000000" w:themeColor="text1"/>
          <w:szCs w:val="20"/>
        </w:rPr>
        <w:lastRenderedPageBreak/>
        <w:t>The author expresses sincerest and deepest gratitude to Dr. Priti Shukla for the invaluable guidance, patient mentorship, and unwavering encouragement throughout every phase of this project. Sincere thanks are extended to Prof. Akshay Patidar (Assistant Professor, Project Coordinator, Dept. of CSIT) for his consistent support and constructive feedback. The author is grateful to Dr. Anil Patidar (Head of Department, CSIT) and Dr. Manish Shrivastava (Principal, Chameli Devi Group of Institutions) for providing the institutional resources and academic environment that made this research possible. The beta testing participants whose feedback directly shaped the final platform are gratefully acknowledged. This work was supported by the Department of Computer Science and Information Technology, Chameli Devi Group of Institutions, Indore (M.P.), affiliated with Rajiv Gandhi Proudyogiki Vishwavidyalaya, Bhopal.</w:t>
      </w:r>
    </w:p>
    <w:p w14:paraId="0840BFE8" w14:textId="77777777" w:rsidR="007842DA" w:rsidRPr="007842DA" w:rsidRDefault="007842DA" w:rsidP="00DD171F">
      <w:pPr>
        <w:spacing w:after="120"/>
        <w:ind w:left="10"/>
        <w:rPr>
          <w:color w:val="000000" w:themeColor="text1"/>
        </w:rPr>
      </w:pPr>
    </w:p>
    <w:p w14:paraId="370ED9DC" w14:textId="77777777" w:rsidR="007842DA" w:rsidRPr="007842DA" w:rsidRDefault="007842DA" w:rsidP="00DD171F">
      <w:pPr>
        <w:spacing w:before="180" w:after="80"/>
        <w:ind w:left="10"/>
        <w:rPr>
          <w:color w:val="000000" w:themeColor="text1"/>
        </w:rPr>
      </w:pPr>
      <w:r w:rsidRPr="007842DA">
        <w:rPr>
          <w:b/>
          <w:bCs/>
          <w:color w:val="000000" w:themeColor="text1"/>
          <w:sz w:val="22"/>
          <w:szCs w:val="22"/>
        </w:rPr>
        <w:t>References</w:t>
      </w:r>
    </w:p>
    <w:p w14:paraId="4FC897B3"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  Global E-Learning Market Report, ResearchAndMarkets.com, Market Analysis Report, 2023.</w:t>
      </w:r>
    </w:p>
    <w:p w14:paraId="5D709281"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[2]  J. A. Kulik and J. D. Fletcher, "Effectiveness of intelligent tutoring systems: A meta-analytic review," Review of Educational Research, vol. 86, no. 1, pp. 42-78, 2016.</w:t>
      </w:r>
    </w:p>
    <w:p w14:paraId="42B14EF5"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[3]  R. M. Bernard, P. C. Abrami, Y. Lou, E. Borokhovski, A. Wade, L. Wozney, P. A. Wallet, M. Fiset, and B. Huang, "How does distance education compare with classroom instruction? A meta-analysis of the empirical literature," Review of Educational Research, vol. 74, no. 3, pp. 379-439, 2004.</w:t>
      </w:r>
    </w:p>
    <w:p w14:paraId="272EDCA8"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[4]  C. Romero and S. Ventura, "Educational data mining: A review of the state of the art," IEEE Transactions on Systems, Man, and Cybernetics, vol. 40, no. 6, pp. 601-618, 2010.</w:t>
      </w:r>
    </w:p>
    <w:p w14:paraId="4BD3CFBA"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[5]  Moodle, "Moodle Statistics," moodle.org/stats, 2024.</w:t>
      </w:r>
    </w:p>
    <w:p w14:paraId="17D50357"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[6]  J. R. Anderson, A. T. Corbett, K. R. Koedinger, and R. Pelletier, "Cognitive tutors: Lessons learned," Journal of the Learning Sciences, vol. 4, no. 2, pp. 167-207, 1995.</w:t>
      </w:r>
    </w:p>
    <w:p w14:paraId="61EDE23E"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[7]  A. T. Corbett and J. R. Anderson, "Knowledge tracing: Modeling the acquisition of procedural knowledge," User Modeling and User-Adapted Interaction, vol. 4, no. 4, pp. 253-278, 1994.</w:t>
      </w:r>
    </w:p>
    <w:p w14:paraId="7E0D42DB"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[8]  P. Brusilovsky and E. Millan, "The Adaptive Web: Methods and Strategies of Web Personalization," Springer, Lecture Notes in Computer Science, vol. 4321, pp. 3-53, 2007.</w:t>
      </w:r>
    </w:p>
    <w:p w14:paraId="5DCABFB2"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[9]  H. Drachsler, K. Verbert, O. C. Santos, and N. Manouselis, "Panorama of recommender systems to support learning," Recommender Systems for Technology Enhanced Learning, Springer, pp. 1-27, 2015.</w:t>
      </w:r>
    </w:p>
    <w:p w14:paraId="4628FE7C"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[10] R. K. Hambleton, H. Swaminathan, and H. J. Rogers, Fundamentals of Item Response Theory. Newbury Park, CA: Sage Publications, 1991.</w:t>
      </w:r>
    </w:p>
    <w:p w14:paraId="2DB7A753"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[11] F. B. Baker and S. H. Kim, Item Response Theory: Parameter Estimation Techniques, 2nd ed. New York: Marcel Dekker, 2004.</w:t>
      </w:r>
    </w:p>
    <w:p w14:paraId="799AF18B"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[12] R. S. J. D. Baker and P. S. Inventado, "Educational data mining and learning analytics," Learning Analytics: From Research to Practice, Springer, pp. 61-75, 2014.</w:t>
      </w:r>
    </w:p>
    <w:p w14:paraId="48314BE5"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[13] Y. Koren, R. Bell, and C. Volinsky, "Matrix factorization techniques for recommender systems," IEEE Computer, vol. 42, no. 8, pp. 30-37, 2009.</w:t>
      </w:r>
    </w:p>
    <w:p w14:paraId="26396756"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[14] W. Xie, C. Zhao, and C. Li, "A comprehensive survey on learning management systems: Current trends and future directions," J. Educational Technology and Society, vol. 24, no. 3, pp. 1-18, 2021.</w:t>
      </w:r>
    </w:p>
    <w:p w14:paraId="0E747A5D" w14:textId="77777777" w:rsidR="000F3F44" w:rsidRDefault="007842DA" w:rsidP="000F3F44">
      <w:pPr>
        <w:spacing w:before="40" w:after="40" w:line="220" w:lineRule="auto"/>
        <w:ind w:left="360" w:hanging="360"/>
        <w:rPr>
          <w:color w:val="000000" w:themeColor="text1"/>
          <w:sz w:val="18"/>
          <w:szCs w:val="18"/>
        </w:rPr>
      </w:pPr>
      <w:r w:rsidRPr="007842DA">
        <w:rPr>
          <w:color w:val="000000" w:themeColor="text1"/>
          <w:sz w:val="18"/>
          <w:szCs w:val="18"/>
        </w:rPr>
        <w:t>[15] S. Reich and J. Ruipérez-Valiente, "The MOOC pivot," Science, vol. 363, no. 6423, pp. 130-131, 2019.</w:t>
      </w:r>
    </w:p>
    <w:p w14:paraId="64BF63C8" w14:textId="5F2AF7E2" w:rsidR="000F3F44" w:rsidRDefault="000F3F44" w:rsidP="000F3F44">
      <w:pPr>
        <w:spacing w:before="40" w:after="40" w:line="220" w:lineRule="auto"/>
        <w:ind w:left="360" w:hanging="360"/>
      </w:pPr>
      <w:r w:rsidRPr="000F3F44">
        <w:rPr>
          <w:sz w:val="18"/>
          <w:szCs w:val="18"/>
        </w:rPr>
        <w:t xml:space="preserve"> </w:t>
      </w:r>
      <w:r>
        <w:rPr>
          <w:sz w:val="18"/>
          <w:szCs w:val="18"/>
        </w:rPr>
        <w:t>[16] C. Piech, J. Bassen, J. Huang, S. Ganguli, M. Sahami, L. J. Guibas, and J. Sohl-Dickstein, "Deep knowledge tracing," Advances in Neural Information Processing Systems (NIPS), vol. 28, pp. 505-513, 2015.</w:t>
      </w:r>
    </w:p>
    <w:p w14:paraId="1D63DBA1" w14:textId="77777777" w:rsidR="000F3F44" w:rsidRDefault="000F3F44" w:rsidP="000F3F44">
      <w:pPr>
        <w:spacing w:before="40" w:after="40" w:line="220" w:lineRule="auto"/>
        <w:ind w:left="360" w:hanging="360"/>
      </w:pPr>
      <w:r>
        <w:rPr>
          <w:sz w:val="18"/>
          <w:szCs w:val="18"/>
        </w:rPr>
        <w:t xml:space="preserve">[17] B. Sarwar, G. Karypis, J. Konstan, and J. Riedl, "Item-based collaborative filtering recommendation algorithms," in Proc. </w:t>
      </w:r>
      <w:r>
        <w:rPr>
          <w:sz w:val="18"/>
          <w:szCs w:val="18"/>
        </w:rPr>
        <w:t>10th International Conference on World Wide Web (WWW), Hong Kong, 2001, pp. 285-295.</w:t>
      </w:r>
    </w:p>
    <w:p w14:paraId="1AED7F84" w14:textId="77777777" w:rsidR="000F3F44" w:rsidRDefault="000F3F44" w:rsidP="000F3F44">
      <w:pPr>
        <w:spacing w:before="40" w:after="40" w:line="220" w:lineRule="auto"/>
        <w:ind w:left="360" w:hanging="360"/>
      </w:pPr>
      <w:r>
        <w:rPr>
          <w:sz w:val="18"/>
          <w:szCs w:val="18"/>
        </w:rPr>
        <w:t>[18] J. Mostow and J. Beck, "Some useful tactics to modify, map and mine data from intelligent tutoring systems," Natural Language Engineering, vol. 12, no. 2, pp. 195-208, 2006.</w:t>
      </w:r>
    </w:p>
    <w:p w14:paraId="24419E22" w14:textId="77777777" w:rsidR="000F3F44" w:rsidRDefault="000F3F44" w:rsidP="000F3F44">
      <w:pPr>
        <w:spacing w:before="40" w:after="40" w:line="220" w:lineRule="auto"/>
        <w:ind w:left="360" w:hanging="360"/>
      </w:pPr>
      <w:r>
        <w:rPr>
          <w:sz w:val="18"/>
          <w:szCs w:val="18"/>
        </w:rPr>
        <w:t>[19] M. J. Pazzani and D. Billsus, "Content-based recommendation systems," The Adaptive Web, Springer, Lecture Notes in Computer Science, vol. 4321, pp. 325-341, 2007.</w:t>
      </w:r>
    </w:p>
    <w:p w14:paraId="045C3427" w14:textId="77777777" w:rsidR="000F3F44" w:rsidRDefault="000F3F44" w:rsidP="000F3F44">
      <w:pPr>
        <w:spacing w:before="40" w:after="40" w:line="220" w:lineRule="auto"/>
        <w:ind w:left="360" w:hanging="360"/>
      </w:pPr>
      <w:r>
        <w:rPr>
          <w:sz w:val="18"/>
          <w:szCs w:val="18"/>
        </w:rPr>
        <w:t>[20] D. Gasevic, D. Djuric, and V. Devedzic, Model Driven Engineering and Ontology Development, 2nd ed. Berlin, Germany: Springer-Verlag, 2009.</w:t>
      </w:r>
    </w:p>
    <w:p w14:paraId="60497FAD" w14:textId="77777777" w:rsidR="000F3F44" w:rsidRDefault="000F3F44" w:rsidP="000F3F44">
      <w:pPr>
        <w:spacing w:before="40" w:after="40" w:line="220" w:lineRule="auto"/>
        <w:ind w:left="360" w:hanging="360"/>
      </w:pPr>
      <w:r>
        <w:rPr>
          <w:sz w:val="18"/>
          <w:szCs w:val="18"/>
        </w:rPr>
        <w:t>[21] G. Siemens and P. Long, "Penetrating the fog: Analytics in learning and education," EDUCAUSE Review, vol. 46, no. 5, pp. 30-32, 2011.</w:t>
      </w:r>
    </w:p>
    <w:p w14:paraId="7EB402EF" w14:textId="77777777" w:rsidR="000F3F44" w:rsidRDefault="000F3F44" w:rsidP="000F3F44">
      <w:pPr>
        <w:spacing w:before="40" w:after="40" w:line="220" w:lineRule="auto"/>
        <w:ind w:left="360" w:hanging="360"/>
      </w:pPr>
      <w:r>
        <w:rPr>
          <w:sz w:val="18"/>
          <w:szCs w:val="18"/>
        </w:rPr>
        <w:t>[22] R. Agrawal and R. Srikant, "Fast algorithms for mining association rules," in Proc. 20th International Conference on Very Large Data Bases (VLDB), Santiago, Chile, 1994, pp. 487-499.</w:t>
      </w:r>
    </w:p>
    <w:p w14:paraId="5AE18B06" w14:textId="77777777" w:rsidR="000F3F44" w:rsidRDefault="000F3F44" w:rsidP="000F3F44">
      <w:pPr>
        <w:spacing w:before="40" w:after="40" w:line="220" w:lineRule="auto"/>
        <w:ind w:left="360" w:hanging="360"/>
      </w:pPr>
      <w:r>
        <w:rPr>
          <w:sz w:val="18"/>
          <w:szCs w:val="18"/>
        </w:rPr>
        <w:t>[23] T. Mikolov, K. Chen, G. Corrado, and J. Dean, "Efficient estimation of word representations in vector space," in Proc. International Conference on Learning Representations (ICLR), Scottsdale, AZ, USA, 2013.</w:t>
      </w:r>
    </w:p>
    <w:p w14:paraId="199F5D4B" w14:textId="77777777" w:rsidR="000F3F44" w:rsidRDefault="000F3F44" w:rsidP="000F3F44">
      <w:pPr>
        <w:spacing w:before="40" w:after="40" w:line="220" w:lineRule="auto"/>
        <w:ind w:left="360" w:hanging="360"/>
      </w:pPr>
      <w:r>
        <w:rPr>
          <w:sz w:val="18"/>
          <w:szCs w:val="18"/>
        </w:rPr>
        <w:t>[24] K. Verbert, N. Manouselis, X. Ochoa, M. Wolpers, H. Drachsler, I. Bosnic, and E. Duval, "Context-aware recommender systems for learning: A survey and future challenges," IEEE Transactions on Learning Technologies, vol. 5, no. 4, pp. 318-335, 2012.</w:t>
      </w:r>
    </w:p>
    <w:p w14:paraId="11CAC03E" w14:textId="77777777" w:rsidR="000F3F44" w:rsidRDefault="000F3F44" w:rsidP="000F3F44">
      <w:pPr>
        <w:spacing w:before="40" w:after="40" w:line="220" w:lineRule="auto"/>
        <w:ind w:left="360" w:hanging="360"/>
      </w:pPr>
      <w:r>
        <w:rPr>
          <w:sz w:val="18"/>
          <w:szCs w:val="18"/>
        </w:rPr>
        <w:t>[25] J. C. Lester, B. A. Stone, and G. D. Stelling, "Lifelike pedagogical agents for mixed-initiative problem solving in constructivist learning environments," User Modeling and User-Adapted Interaction, vol. 9, no. 1-2, pp. 1-44, 1999.</w:t>
      </w:r>
    </w:p>
    <w:p w14:paraId="2A3DD4A1" w14:textId="77777777" w:rsidR="000F3F44" w:rsidRDefault="000F3F44" w:rsidP="000F3F44">
      <w:pPr>
        <w:spacing w:before="40" w:after="40" w:line="220" w:lineRule="auto"/>
        <w:ind w:left="360" w:hanging="360"/>
      </w:pPr>
      <w:r>
        <w:rPr>
          <w:sz w:val="18"/>
          <w:szCs w:val="18"/>
        </w:rPr>
        <w:t>[26] A. Ghahramani, "Probabilistic machine learning and artificial intelligence," Nature, vol. 521, no. 7553, pp. 452-459, 2015.</w:t>
      </w:r>
    </w:p>
    <w:p w14:paraId="2112F09E" w14:textId="77777777" w:rsidR="000F3F44" w:rsidRDefault="000F3F44" w:rsidP="000F3F44">
      <w:pPr>
        <w:spacing w:before="40" w:after="40" w:line="220" w:lineRule="auto"/>
        <w:ind w:left="360" w:hanging="360"/>
      </w:pPr>
      <w:r>
        <w:rPr>
          <w:sz w:val="18"/>
          <w:szCs w:val="18"/>
        </w:rPr>
        <w:t>[27] I. Goodfellow, Y. Bengio, and A. Courville, Deep Learning. Cambridge, MA: MIT Press, 2016.</w:t>
      </w:r>
    </w:p>
    <w:p w14:paraId="6EA5A5DA" w14:textId="77777777" w:rsidR="000F3F44" w:rsidRDefault="000F3F44" w:rsidP="000F3F44">
      <w:pPr>
        <w:spacing w:before="40" w:after="40" w:line="220" w:lineRule="auto"/>
        <w:ind w:left="360" w:hanging="360"/>
      </w:pPr>
      <w:r>
        <w:rPr>
          <w:sz w:val="18"/>
          <w:szCs w:val="18"/>
        </w:rPr>
        <w:t>[28] D. Dicheva, C. Dichev, G. Agre, and G. Angelova, "Gamification in education: A systematic mapping study," Educational Technology and Society, vol. 18, no. 3, pp. 75-88, 2015.</w:t>
      </w:r>
    </w:p>
    <w:p w14:paraId="63D88ED5" w14:textId="77777777" w:rsidR="000F3F44" w:rsidRDefault="000F3F44" w:rsidP="000F3F44">
      <w:pPr>
        <w:spacing w:before="40" w:after="40" w:line="220" w:lineRule="auto"/>
        <w:ind w:left="360" w:hanging="360"/>
      </w:pPr>
      <w:r>
        <w:rPr>
          <w:sz w:val="18"/>
          <w:szCs w:val="18"/>
        </w:rPr>
        <w:t>[29] P. Adamopoulos, "What makes a great MOOC? An interdisciplinary analysis of student retention in online courses," in Proc. International Conference on Information Systems (ICIS), Milan, Italy, 2013.</w:t>
      </w:r>
    </w:p>
    <w:p w14:paraId="05EC7E4A" w14:textId="77777777" w:rsidR="000F3F44" w:rsidRDefault="000F3F44" w:rsidP="000F3F44">
      <w:pPr>
        <w:spacing w:before="40" w:after="40" w:line="220" w:lineRule="auto"/>
        <w:ind w:left="360" w:hanging="360"/>
        <w:rPr>
          <w:sz w:val="18"/>
          <w:szCs w:val="18"/>
        </w:rPr>
      </w:pPr>
      <w:r>
        <w:rPr>
          <w:sz w:val="18"/>
          <w:szCs w:val="18"/>
        </w:rPr>
        <w:t>[30] M. Resnick, J. Maloney, A. Monroy-Hernandez, N. Rusk, E. Eastmond, K. Brennan, A. Millner, E. Rosenbaum, J. Silver, B. Silverman, and Y. Kafai, "Scratch: Programming for all," Communications of the ACM, vol. 52, no. 11, pp. 60-67, 2009.</w:t>
      </w:r>
    </w:p>
    <w:p w14:paraId="150EE0CD" w14:textId="77777777" w:rsidR="000F3F44" w:rsidRDefault="000F3F44" w:rsidP="000F3F44">
      <w:pPr>
        <w:spacing w:before="40" w:after="40" w:line="220" w:lineRule="auto"/>
        <w:ind w:left="360" w:hanging="360"/>
      </w:pPr>
      <w:r>
        <w:rPr>
          <w:sz w:val="18"/>
          <w:szCs w:val="18"/>
        </w:rPr>
        <w:t>[31] X. Amatriain and J. Basilico, "Recommender systems in industry: A Netflix case study," Recommender Systems Handbook, 2nd ed., Springer, pp. 385-419, 2015.</w:t>
      </w:r>
    </w:p>
    <w:p w14:paraId="76D2E5B9" w14:textId="77777777" w:rsidR="000F3F44" w:rsidRDefault="000F3F44" w:rsidP="000F3F44">
      <w:pPr>
        <w:spacing w:before="40" w:after="40" w:line="220" w:lineRule="auto"/>
        <w:ind w:left="360" w:hanging="360"/>
      </w:pPr>
      <w:r>
        <w:rPr>
          <w:sz w:val="18"/>
          <w:szCs w:val="18"/>
        </w:rPr>
        <w:t>[32] M. D. Ekstrand, J. T. Riedl, and J. A. Konstan, "Collaborative filtering recommender systems," Foundations and Trends in Human-Computer Interaction, vol. 4, no. 2, pp. 81-173, 2011.</w:t>
      </w:r>
    </w:p>
    <w:p w14:paraId="13C3CE77" w14:textId="77777777" w:rsidR="000F3F44" w:rsidRDefault="000F3F44" w:rsidP="000F3F44">
      <w:pPr>
        <w:spacing w:before="40" w:after="40" w:line="220" w:lineRule="auto"/>
        <w:ind w:left="360" w:hanging="360"/>
      </w:pPr>
      <w:r>
        <w:rPr>
          <w:sz w:val="18"/>
          <w:szCs w:val="18"/>
        </w:rPr>
        <w:t>[33] A. Vaswani, N. Shazeer, N. Parmar, J. Uszkoreit, L. Jones, A. N. Gomez, L. Kaiser, and I. Polosukhin, "Attention is all you need," Advances in Neural Information Processing Systems (NIPS), vol. 30, pp. 5998-6008, 2017.</w:t>
      </w:r>
    </w:p>
    <w:p w14:paraId="59D46034" w14:textId="77777777" w:rsidR="000F3F44" w:rsidRDefault="000F3F44" w:rsidP="000F3F44">
      <w:pPr>
        <w:spacing w:before="40" w:after="40" w:line="220" w:lineRule="auto"/>
        <w:ind w:left="360" w:hanging="360"/>
      </w:pPr>
      <w:r>
        <w:rPr>
          <w:sz w:val="18"/>
          <w:szCs w:val="18"/>
        </w:rPr>
        <w:t>[34] T. Chen and C. Guestrin, "XGBoost: A scalable tree boosting system," in Proc. 22nd ACM SIGKDD International Conference on Knowledge Discovery and Data Mining, San Francisco, CA, USA, 2016, pp. 785-794.</w:t>
      </w:r>
    </w:p>
    <w:p w14:paraId="437B94D7" w14:textId="77777777" w:rsidR="000F3F44" w:rsidRDefault="000F3F44" w:rsidP="000F3F44">
      <w:pPr>
        <w:spacing w:before="40" w:after="40" w:line="220" w:lineRule="auto"/>
        <w:ind w:left="360" w:hanging="360"/>
      </w:pPr>
      <w:r>
        <w:rPr>
          <w:sz w:val="18"/>
          <w:szCs w:val="18"/>
        </w:rPr>
        <w:t>[35] S. Seufert, J. Guggemos, and M. Sailer, "Technology-related knowledge, skills, and abilities of pre-service teachers: Are agile minds and adaptive skills the key factors?" Computers in Human Behavior, vol. 107, pp. 1-16, 2021, doi: 10.1016/j.chb.2019.09.006.</w:t>
      </w:r>
    </w:p>
    <w:p w14:paraId="7709CFCC" w14:textId="77777777" w:rsidR="000F3F44" w:rsidRDefault="000F3F44" w:rsidP="000F3F44">
      <w:pPr>
        <w:spacing w:before="40" w:after="40" w:line="220" w:lineRule="auto"/>
        <w:ind w:left="360" w:hanging="360"/>
      </w:pPr>
      <w:r>
        <w:rPr>
          <w:sz w:val="18"/>
          <w:szCs w:val="18"/>
        </w:rPr>
        <w:t>[36] K. Jordan, "Massive open online course completion rates revisited: Assessment, length and attrition," The International Review of Research in Open and Distributed Learning, vol. 16, no. 3, pp. 341-358, 2015.</w:t>
      </w:r>
    </w:p>
    <w:p w14:paraId="4E75C131" w14:textId="77777777" w:rsidR="000F3F44" w:rsidRDefault="000F3F44" w:rsidP="000F3F44">
      <w:pPr>
        <w:spacing w:before="40" w:after="40" w:line="220" w:lineRule="auto"/>
        <w:ind w:left="360" w:hanging="360"/>
      </w:pPr>
      <w:r>
        <w:rPr>
          <w:sz w:val="18"/>
          <w:szCs w:val="18"/>
        </w:rPr>
        <w:t>[37] E. Alpaydin, Introduction to Machine Learning, 4th ed. Cambridge, MA: MIT Press, 2020.</w:t>
      </w:r>
    </w:p>
    <w:p w14:paraId="168146DA" w14:textId="77777777" w:rsidR="000F3F44" w:rsidRDefault="000F3F44" w:rsidP="000F3F44">
      <w:pPr>
        <w:spacing w:before="40" w:after="40" w:line="220" w:lineRule="auto"/>
        <w:ind w:left="360" w:hanging="360"/>
      </w:pPr>
      <w:r>
        <w:rPr>
          <w:sz w:val="18"/>
          <w:szCs w:val="18"/>
        </w:rPr>
        <w:lastRenderedPageBreak/>
        <w:t>[38] A. Perez-Marin, I. Pascual-Nieto, and P. Rodrigo, "Computer-assisted assessment of free-text answers," The Knowledge Engineering Review, vol. 24, no. 4, pp. 353-374, 2009.</w:t>
      </w:r>
    </w:p>
    <w:p w14:paraId="7887C8B2" w14:textId="77777777" w:rsidR="000F3F44" w:rsidRDefault="000F3F44" w:rsidP="000F3F44">
      <w:pPr>
        <w:spacing w:before="40" w:after="40" w:line="220" w:lineRule="auto"/>
        <w:ind w:left="360" w:hanging="360"/>
      </w:pPr>
      <w:r>
        <w:rPr>
          <w:sz w:val="18"/>
          <w:szCs w:val="18"/>
        </w:rPr>
        <w:t>[39] L. Winters, J. Herman, and L. Lein, Linking Curriculum, Instruction, and Assessment to Improve Student Learning. National Center for Research on Evaluation, Standards, and Student Testing, 2008.</w:t>
      </w:r>
    </w:p>
    <w:p w14:paraId="0C2B5B04" w14:textId="77777777" w:rsidR="000F3F44" w:rsidRDefault="000F3F44" w:rsidP="000F3F44">
      <w:pPr>
        <w:spacing w:before="40" w:after="40" w:line="220" w:lineRule="auto"/>
        <w:ind w:left="360" w:hanging="360"/>
      </w:pPr>
      <w:r>
        <w:rPr>
          <w:sz w:val="18"/>
          <w:szCs w:val="18"/>
        </w:rPr>
        <w:t>[40] W. W. Cohen, "Fast effective rule induction," in Proc. 12th International Conference on Machine Learning (ICML), Tahoe City, CA, USA, 1995, pp. 115-123.</w:t>
      </w:r>
    </w:p>
    <w:p w14:paraId="764F4FCA" w14:textId="77777777" w:rsidR="000F3F44" w:rsidRDefault="000F3F44" w:rsidP="000F3F44">
      <w:pPr>
        <w:spacing w:before="40" w:after="40" w:line="220" w:lineRule="auto"/>
        <w:ind w:left="360" w:hanging="360"/>
      </w:pPr>
      <w:r>
        <w:rPr>
          <w:sz w:val="18"/>
          <w:szCs w:val="18"/>
        </w:rPr>
        <w:t>[41] S. B. Kotsiantis, I. D. Zaharakis, and P. E. Pintelas, "Machine learning: A review of classification and combining techniques," Artificial Intelligence Review, vol. 26, no. 3, pp. 159-190, 2006.</w:t>
      </w:r>
    </w:p>
    <w:p w14:paraId="5BB4E015" w14:textId="77777777" w:rsidR="000F3F44" w:rsidRDefault="000F3F44" w:rsidP="000F3F44">
      <w:pPr>
        <w:spacing w:before="40" w:after="40" w:line="220" w:lineRule="auto"/>
        <w:ind w:left="360" w:hanging="360"/>
      </w:pPr>
      <w:r>
        <w:rPr>
          <w:sz w:val="18"/>
          <w:szCs w:val="18"/>
        </w:rPr>
        <w:t>[42] R. Nkambou, J. Bourdeau, and R. Mizoguchi, Eds., Advances in Intelligent Tutoring Systems. Berlin, Germany: Springer-Verlag, Studies in Computational Intelligence, vol. 308, 2010.</w:t>
      </w:r>
    </w:p>
    <w:p w14:paraId="45056E74" w14:textId="77777777" w:rsidR="000F3F44" w:rsidRDefault="000F3F44" w:rsidP="000F3F44">
      <w:pPr>
        <w:spacing w:before="40" w:after="40" w:line="220" w:lineRule="auto"/>
        <w:ind w:left="360" w:hanging="360"/>
      </w:pPr>
      <w:r>
        <w:rPr>
          <w:sz w:val="18"/>
          <w:szCs w:val="18"/>
        </w:rPr>
        <w:t>[43] D. J. Sheskin, Handbook of Parametric and Nonparametric Statistical Procedures, 5th ed. Boca Raton, FL: CRC Press, 2011.</w:t>
      </w:r>
    </w:p>
    <w:p w14:paraId="7C6B3666" w14:textId="77777777" w:rsidR="000F3F44" w:rsidRDefault="000F3F44" w:rsidP="000F3F44">
      <w:pPr>
        <w:spacing w:before="40" w:after="40" w:line="220" w:lineRule="auto"/>
        <w:ind w:left="360" w:hanging="360"/>
      </w:pPr>
      <w:r>
        <w:rPr>
          <w:sz w:val="18"/>
          <w:szCs w:val="18"/>
        </w:rPr>
        <w:t>[44] A. Olbrich, S. Gruca, and N. Fuhr, "Supporting collaborative filtering with interactive query expansion," in Proc. 12th European Conference on Information Retrieval, Milton Keynes, UK, 2010, pp. 713-714.</w:t>
      </w:r>
    </w:p>
    <w:p w14:paraId="3812D43A" w14:textId="77777777" w:rsidR="000F3F44" w:rsidRDefault="000F3F44" w:rsidP="000F3F44">
      <w:pPr>
        <w:spacing w:before="40" w:after="40" w:line="220" w:lineRule="auto"/>
        <w:ind w:left="360" w:hanging="360"/>
      </w:pPr>
      <w:r>
        <w:rPr>
          <w:sz w:val="18"/>
          <w:szCs w:val="18"/>
        </w:rPr>
        <w:t>[45] UNESCO, "Education for Sustainable Development Goals: Learning Objectives," United Nations Educational, Scientific and Cultural Organization, Paris, France, 2017.</w:t>
      </w:r>
    </w:p>
    <w:p w14:paraId="45648192" w14:textId="77777777" w:rsidR="000F3F44" w:rsidRDefault="000F3F44" w:rsidP="000F3F44">
      <w:pPr>
        <w:spacing w:before="40" w:after="40" w:line="220" w:lineRule="auto"/>
        <w:ind w:left="360" w:hanging="360"/>
      </w:pPr>
      <w:r>
        <w:rPr>
          <w:sz w:val="18"/>
          <w:szCs w:val="18"/>
        </w:rPr>
        <w:t>[46] P. J. Muñoz-Merino, C. D. Kloos, and M. Muñoz-Organero, "Enhancement of the Moodle e-learning platform to support the Semantic Web," Expert Systems with Applications, vol. 39, no. 8, pp. 7522-7529, 2012.</w:t>
      </w:r>
    </w:p>
    <w:p w14:paraId="3BCBA956" w14:textId="77777777" w:rsidR="000F3F44" w:rsidRDefault="000F3F44" w:rsidP="000F3F44">
      <w:pPr>
        <w:spacing w:before="40" w:after="40" w:line="220" w:lineRule="auto"/>
        <w:ind w:left="360" w:hanging="360"/>
      </w:pPr>
      <w:r>
        <w:rPr>
          <w:sz w:val="18"/>
          <w:szCs w:val="18"/>
        </w:rPr>
        <w:t>[47] V. Aleven, B. M. McLaren, J. Sewall, and K. R. Koedinger, "A new paradigm for intelligent tutoring systems: Example-tracing tutors," International Journal of Artificial Intelligence in Education, vol. 19, no. 2, pp. 105-154, 2009.</w:t>
      </w:r>
    </w:p>
    <w:p w14:paraId="0F2C2648" w14:textId="77777777" w:rsidR="000F3F44" w:rsidRDefault="000F3F44" w:rsidP="000F3F44">
      <w:pPr>
        <w:spacing w:before="40" w:after="40" w:line="220" w:lineRule="auto"/>
        <w:ind w:left="360" w:hanging="360"/>
      </w:pPr>
      <w:r>
        <w:rPr>
          <w:sz w:val="18"/>
          <w:szCs w:val="18"/>
        </w:rPr>
        <w:t>[48] S. Deterding, D. Dixon, R. Khaled, and L. Nacke, "From game design elements to gamefulness: Defining gamification," in Proc. 15th International Academic MindTrek Conference, Tampere, Finland, 2011, pp. 9-15.</w:t>
      </w:r>
    </w:p>
    <w:p w14:paraId="2BC54A0F" w14:textId="77777777" w:rsidR="000F3F44" w:rsidRDefault="000F3F44" w:rsidP="000F3F44">
      <w:pPr>
        <w:spacing w:before="40" w:after="40" w:line="220" w:lineRule="auto"/>
        <w:ind w:left="360" w:hanging="360"/>
      </w:pPr>
      <w:r>
        <w:rPr>
          <w:sz w:val="18"/>
          <w:szCs w:val="18"/>
        </w:rPr>
        <w:t>[49] H. C. Lane, M. G. Core, M. van Lent, S. Solomon, and D. Gomboc, "Intelligent tutoring for interpersonal and intercultural skills," in Proc. Interservice/Industry Training, Simulation and Education Conference (I/ITSEC), Orlando, FL, USA, 2006.</w:t>
      </w:r>
    </w:p>
    <w:p w14:paraId="4AB6FA3D" w14:textId="77777777" w:rsidR="000F3F44" w:rsidRDefault="000F3F44" w:rsidP="000F3F44">
      <w:pPr>
        <w:spacing w:before="40" w:after="40" w:line="220" w:lineRule="auto"/>
        <w:ind w:left="360" w:hanging="360"/>
      </w:pPr>
      <w:r>
        <w:rPr>
          <w:sz w:val="18"/>
          <w:szCs w:val="18"/>
        </w:rPr>
        <w:t>[50] I. E. Allen and J. Seaman, "Online Report Card: Tracking Online Education in the United States," Babson Survey Research Group and Quahog Research Group, 2016.</w:t>
      </w:r>
    </w:p>
    <w:p w14:paraId="497E805A" w14:textId="77777777" w:rsidR="000F3F44" w:rsidRDefault="000F3F44" w:rsidP="000F3F44">
      <w:pPr>
        <w:spacing w:before="40" w:after="40" w:line="220" w:lineRule="auto"/>
        <w:ind w:left="360" w:hanging="360"/>
      </w:pPr>
    </w:p>
    <w:p w14:paraId="033E0B3D" w14:textId="5CB5887D" w:rsidR="007842DA" w:rsidRPr="007842DA" w:rsidRDefault="007842DA" w:rsidP="00DD171F">
      <w:pPr>
        <w:spacing w:before="40" w:after="40" w:line="220" w:lineRule="auto"/>
        <w:ind w:left="309" w:hanging="360"/>
        <w:rPr>
          <w:color w:val="000000" w:themeColor="text1"/>
        </w:rPr>
      </w:pPr>
    </w:p>
    <w:sectPr w:rsidR="007842DA" w:rsidRPr="007842DA">
      <w:type w:val="continuous"/>
      <w:pgSz w:w="11906" w:h="16838"/>
      <w:pgMar w:top="1083" w:right="905" w:bottom="724" w:left="907" w:header="720" w:footer="720" w:gutter="0"/>
      <w:cols w:num="2" w:space="3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A60"/>
    <w:multiLevelType w:val="hybridMultilevel"/>
    <w:tmpl w:val="D722E2F8"/>
    <w:lvl w:ilvl="0" w:tplc="F1D41B1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877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463D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815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02DA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609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601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08E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CFE9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F3B56"/>
    <w:multiLevelType w:val="hybridMultilevel"/>
    <w:tmpl w:val="1B640A68"/>
    <w:lvl w:ilvl="0" w:tplc="79C04B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8601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C20E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4AA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E43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79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B8C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1213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0BA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6056BB"/>
    <w:multiLevelType w:val="hybridMultilevel"/>
    <w:tmpl w:val="F63C2638"/>
    <w:lvl w:ilvl="0" w:tplc="AE1A969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70A27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7A0BB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A8810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90464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C4935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6DFB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E4242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6EB93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605CAC"/>
    <w:multiLevelType w:val="hybridMultilevel"/>
    <w:tmpl w:val="082CEEE8"/>
    <w:lvl w:ilvl="0" w:tplc="FB3AABC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9A23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B6F0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EACB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280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4871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2CDB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E2C0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AA76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C31A5B"/>
    <w:multiLevelType w:val="hybridMultilevel"/>
    <w:tmpl w:val="7F0C7424"/>
    <w:lvl w:ilvl="0" w:tplc="998AE520">
      <w:start w:val="1"/>
      <w:numFmt w:val="decimal"/>
      <w:lvlText w:val="%1."/>
      <w:lvlJc w:val="left"/>
      <w:pPr>
        <w:ind w:left="706" w:hanging="360"/>
      </w:pPr>
      <w:rPr>
        <w:rFonts w:hint="default"/>
      </w:rPr>
    </w:lvl>
    <w:lvl w:ilvl="1" w:tplc="40090019" w:tentative="1">
      <w:start w:val="1"/>
      <w:numFmt w:val="lowerLetter"/>
      <w:lvlText w:val="%2."/>
      <w:lvlJc w:val="left"/>
      <w:pPr>
        <w:ind w:left="1426" w:hanging="360"/>
      </w:pPr>
    </w:lvl>
    <w:lvl w:ilvl="2" w:tplc="4009001B" w:tentative="1">
      <w:start w:val="1"/>
      <w:numFmt w:val="lowerRoman"/>
      <w:lvlText w:val="%3."/>
      <w:lvlJc w:val="right"/>
      <w:pPr>
        <w:ind w:left="2146" w:hanging="180"/>
      </w:pPr>
    </w:lvl>
    <w:lvl w:ilvl="3" w:tplc="4009000F" w:tentative="1">
      <w:start w:val="1"/>
      <w:numFmt w:val="decimal"/>
      <w:lvlText w:val="%4."/>
      <w:lvlJc w:val="left"/>
      <w:pPr>
        <w:ind w:left="2866" w:hanging="360"/>
      </w:pPr>
    </w:lvl>
    <w:lvl w:ilvl="4" w:tplc="40090019" w:tentative="1">
      <w:start w:val="1"/>
      <w:numFmt w:val="lowerLetter"/>
      <w:lvlText w:val="%5."/>
      <w:lvlJc w:val="left"/>
      <w:pPr>
        <w:ind w:left="3586" w:hanging="360"/>
      </w:pPr>
    </w:lvl>
    <w:lvl w:ilvl="5" w:tplc="4009001B" w:tentative="1">
      <w:start w:val="1"/>
      <w:numFmt w:val="lowerRoman"/>
      <w:lvlText w:val="%6."/>
      <w:lvlJc w:val="right"/>
      <w:pPr>
        <w:ind w:left="4306" w:hanging="180"/>
      </w:pPr>
    </w:lvl>
    <w:lvl w:ilvl="6" w:tplc="4009000F" w:tentative="1">
      <w:start w:val="1"/>
      <w:numFmt w:val="decimal"/>
      <w:lvlText w:val="%7."/>
      <w:lvlJc w:val="left"/>
      <w:pPr>
        <w:ind w:left="5026" w:hanging="360"/>
      </w:pPr>
    </w:lvl>
    <w:lvl w:ilvl="7" w:tplc="40090019" w:tentative="1">
      <w:start w:val="1"/>
      <w:numFmt w:val="lowerLetter"/>
      <w:lvlText w:val="%8."/>
      <w:lvlJc w:val="left"/>
      <w:pPr>
        <w:ind w:left="5746" w:hanging="360"/>
      </w:pPr>
    </w:lvl>
    <w:lvl w:ilvl="8" w:tplc="4009001B" w:tentative="1">
      <w:start w:val="1"/>
      <w:numFmt w:val="lowerRoman"/>
      <w:lvlText w:val="%9."/>
      <w:lvlJc w:val="right"/>
      <w:pPr>
        <w:ind w:left="6466" w:hanging="180"/>
      </w:pPr>
    </w:lvl>
  </w:abstractNum>
  <w:abstractNum w:abstractNumId="5" w15:restartNumberingAfterBreak="0">
    <w:nsid w:val="1A986698"/>
    <w:multiLevelType w:val="multilevel"/>
    <w:tmpl w:val="52167F1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300FE2"/>
    <w:multiLevelType w:val="hybridMultilevel"/>
    <w:tmpl w:val="07D246D8"/>
    <w:lvl w:ilvl="0" w:tplc="40740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E25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BE6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A65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C65E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855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295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223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0B3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6A58FC"/>
    <w:multiLevelType w:val="hybridMultilevel"/>
    <w:tmpl w:val="F08488EC"/>
    <w:lvl w:ilvl="0" w:tplc="256C065E">
      <w:start w:val="1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2640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7E38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4EA5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1AF7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3274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FE77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A870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BE4C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3470B2"/>
    <w:multiLevelType w:val="hybridMultilevel"/>
    <w:tmpl w:val="7F38FA58"/>
    <w:lvl w:ilvl="0" w:tplc="A55C3E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5CE9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C0CC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E8AD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E5F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5E8A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609F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BACB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0C4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84A6C"/>
    <w:multiLevelType w:val="hybridMultilevel"/>
    <w:tmpl w:val="AC281124"/>
    <w:lvl w:ilvl="0" w:tplc="DCBA8C2C">
      <w:start w:val="3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BCA3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98F8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AC15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586E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402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2E0C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52F6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8688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FA5B4A"/>
    <w:multiLevelType w:val="hybridMultilevel"/>
    <w:tmpl w:val="339A2C28"/>
    <w:lvl w:ilvl="0" w:tplc="0A387D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A73913"/>
    <w:multiLevelType w:val="hybridMultilevel"/>
    <w:tmpl w:val="AEC40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851FE1"/>
    <w:multiLevelType w:val="hybridMultilevel"/>
    <w:tmpl w:val="8206C6E4"/>
    <w:lvl w:ilvl="0" w:tplc="A0BCF776">
      <w:start w:val="22"/>
      <w:numFmt w:val="decimal"/>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2233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C002F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BA9B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9C7C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4E7C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B236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D2F0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5E16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14293"/>
    <w:multiLevelType w:val="hybridMultilevel"/>
    <w:tmpl w:val="7D20CA5E"/>
    <w:lvl w:ilvl="0" w:tplc="304C474A">
      <w:start w:val="46"/>
      <w:numFmt w:val="decimal"/>
      <w:lvlText w:val="[%1]"/>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80316C">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9E3BEC">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14AE2A">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A0FB38">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704DE0">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6E53D2">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60E690">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92CAA8">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E280DC1"/>
    <w:multiLevelType w:val="hybridMultilevel"/>
    <w:tmpl w:val="986858E8"/>
    <w:lvl w:ilvl="0" w:tplc="39EEB20C">
      <w:start w:val="5"/>
      <w:numFmt w:val="decimal"/>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C6A5A">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6EADE">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A0494">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C2924">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24B3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A6B0A">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2C694">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250BC">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171E28"/>
    <w:multiLevelType w:val="hybridMultilevel"/>
    <w:tmpl w:val="38161E6A"/>
    <w:lvl w:ilvl="0" w:tplc="3628F2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0BC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B4B5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2032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B07A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B012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7ABA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6C5F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701F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B50A9D"/>
    <w:multiLevelType w:val="hybridMultilevel"/>
    <w:tmpl w:val="C8D4070C"/>
    <w:lvl w:ilvl="0" w:tplc="DC4A9986">
      <w:start w:val="57"/>
      <w:numFmt w:val="decimal"/>
      <w:lvlText w:val="[%1]"/>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B45B86">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566192">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AE692E">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A054EA">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3AC146">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9890B6">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429094">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92C3B6">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8AF7E78"/>
    <w:multiLevelType w:val="hybridMultilevel"/>
    <w:tmpl w:val="12DA76A2"/>
    <w:lvl w:ilvl="0" w:tplc="C812160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6CE8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288A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38B98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CC7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9295A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D8827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4C74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7A2D1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C9C0F22"/>
    <w:multiLevelType w:val="hybridMultilevel"/>
    <w:tmpl w:val="846A798C"/>
    <w:lvl w:ilvl="0" w:tplc="87F691E4">
      <w:start w:val="1"/>
      <w:numFmt w:val="bullet"/>
      <w:lvlText w:val="•"/>
      <w:lvlJc w:val="left"/>
      <w:pPr>
        <w:ind w:left="540" w:hanging="360"/>
      </w:pPr>
    </w:lvl>
    <w:lvl w:ilvl="1" w:tplc="3E5828FA">
      <w:numFmt w:val="decimal"/>
      <w:lvlText w:val=""/>
      <w:lvlJc w:val="left"/>
    </w:lvl>
    <w:lvl w:ilvl="2" w:tplc="5B4263D6">
      <w:numFmt w:val="decimal"/>
      <w:lvlText w:val=""/>
      <w:lvlJc w:val="left"/>
    </w:lvl>
    <w:lvl w:ilvl="3" w:tplc="7EACEFF0">
      <w:numFmt w:val="decimal"/>
      <w:lvlText w:val=""/>
      <w:lvlJc w:val="left"/>
    </w:lvl>
    <w:lvl w:ilvl="4" w:tplc="4A005F34">
      <w:numFmt w:val="decimal"/>
      <w:lvlText w:val=""/>
      <w:lvlJc w:val="left"/>
    </w:lvl>
    <w:lvl w:ilvl="5" w:tplc="BD5CF838">
      <w:numFmt w:val="decimal"/>
      <w:lvlText w:val=""/>
      <w:lvlJc w:val="left"/>
    </w:lvl>
    <w:lvl w:ilvl="6" w:tplc="228E218A">
      <w:numFmt w:val="decimal"/>
      <w:lvlText w:val=""/>
      <w:lvlJc w:val="left"/>
    </w:lvl>
    <w:lvl w:ilvl="7" w:tplc="F7C28B8C">
      <w:numFmt w:val="decimal"/>
      <w:lvlText w:val=""/>
      <w:lvlJc w:val="left"/>
    </w:lvl>
    <w:lvl w:ilvl="8" w:tplc="E0A4A03E">
      <w:numFmt w:val="decimal"/>
      <w:lvlText w:val=""/>
      <w:lvlJc w:val="left"/>
    </w:lvl>
  </w:abstractNum>
  <w:abstractNum w:abstractNumId="19" w15:restartNumberingAfterBreak="0">
    <w:nsid w:val="5DF71CB7"/>
    <w:multiLevelType w:val="hybridMultilevel"/>
    <w:tmpl w:val="CA70AE4C"/>
    <w:lvl w:ilvl="0" w:tplc="88FCB0D0">
      <w:start w:val="1"/>
      <w:numFmt w:val="decimal"/>
      <w:lvlText w:val="%1"/>
      <w:lvlJc w:val="left"/>
      <w:pPr>
        <w:ind w:left="1066" w:hanging="360"/>
      </w:pPr>
      <w:rPr>
        <w:rFonts w:hint="default"/>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20" w15:restartNumberingAfterBreak="0">
    <w:nsid w:val="6CAC4E5C"/>
    <w:multiLevelType w:val="hybridMultilevel"/>
    <w:tmpl w:val="CFCC4654"/>
    <w:lvl w:ilvl="0" w:tplc="79CAB35C">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0D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02B3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DAA4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653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5690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2690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EC55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48AF4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C6221B"/>
    <w:multiLevelType w:val="hybridMultilevel"/>
    <w:tmpl w:val="58D8D9A0"/>
    <w:lvl w:ilvl="0" w:tplc="580E648C">
      <w:start w:val="1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0ABF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A252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4C72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C8CA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8027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EA59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5839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46DA2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F353E2"/>
    <w:multiLevelType w:val="hybridMultilevel"/>
    <w:tmpl w:val="8252F210"/>
    <w:lvl w:ilvl="0" w:tplc="E11A611C">
      <w:start w:val="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F895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E4EB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A649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84B0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2450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A0A7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387F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A6B6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DA412F"/>
    <w:multiLevelType w:val="hybridMultilevel"/>
    <w:tmpl w:val="D0D88BA4"/>
    <w:lvl w:ilvl="0" w:tplc="97DC49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8940BD1"/>
    <w:multiLevelType w:val="hybridMultilevel"/>
    <w:tmpl w:val="F3E2A642"/>
    <w:lvl w:ilvl="0" w:tplc="A0EE7926">
      <w:start w:val="39"/>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C07978">
      <w:start w:val="1"/>
      <w:numFmt w:val="lowerLetter"/>
      <w:lvlText w:val="%2"/>
      <w:lvlJc w:val="left"/>
      <w:pPr>
        <w:ind w:left="1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DCA230">
      <w:start w:val="1"/>
      <w:numFmt w:val="lowerRoman"/>
      <w:lvlText w:val="%3"/>
      <w:lvlJc w:val="left"/>
      <w:pPr>
        <w:ind w:left="1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EC8DBC">
      <w:start w:val="1"/>
      <w:numFmt w:val="decimal"/>
      <w:lvlText w:val="%4"/>
      <w:lvlJc w:val="left"/>
      <w:pPr>
        <w:ind w:left="2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0E062C">
      <w:start w:val="1"/>
      <w:numFmt w:val="lowerLetter"/>
      <w:lvlText w:val="%5"/>
      <w:lvlJc w:val="left"/>
      <w:pPr>
        <w:ind w:left="3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46EDF4">
      <w:start w:val="1"/>
      <w:numFmt w:val="lowerRoman"/>
      <w:lvlText w:val="%6"/>
      <w:lvlJc w:val="left"/>
      <w:pPr>
        <w:ind w:left="4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22AB5C">
      <w:start w:val="1"/>
      <w:numFmt w:val="decimal"/>
      <w:lvlText w:val="%7"/>
      <w:lvlJc w:val="left"/>
      <w:pPr>
        <w:ind w:left="4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E63B58">
      <w:start w:val="1"/>
      <w:numFmt w:val="lowerLetter"/>
      <w:lvlText w:val="%8"/>
      <w:lvlJc w:val="left"/>
      <w:pPr>
        <w:ind w:left="5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0411C2">
      <w:start w:val="1"/>
      <w:numFmt w:val="lowerRoman"/>
      <w:lvlText w:val="%9"/>
      <w:lvlJc w:val="left"/>
      <w:pPr>
        <w:ind w:left="6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037F23"/>
    <w:multiLevelType w:val="hybridMultilevel"/>
    <w:tmpl w:val="469E7CAE"/>
    <w:lvl w:ilvl="0" w:tplc="8E8AB3B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E230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09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825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C871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681A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9A31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CC32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D008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63056395">
    <w:abstractNumId w:val="1"/>
  </w:num>
  <w:num w:numId="2" w16cid:durableId="570428693">
    <w:abstractNumId w:val="15"/>
  </w:num>
  <w:num w:numId="3" w16cid:durableId="61413065">
    <w:abstractNumId w:val="2"/>
  </w:num>
  <w:num w:numId="4" w16cid:durableId="613558109">
    <w:abstractNumId w:val="5"/>
  </w:num>
  <w:num w:numId="5" w16cid:durableId="1603806799">
    <w:abstractNumId w:val="8"/>
  </w:num>
  <w:num w:numId="6" w16cid:durableId="687491325">
    <w:abstractNumId w:val="17"/>
  </w:num>
  <w:num w:numId="7" w16cid:durableId="1009522884">
    <w:abstractNumId w:val="6"/>
  </w:num>
  <w:num w:numId="8" w16cid:durableId="249969252">
    <w:abstractNumId w:val="14"/>
  </w:num>
  <w:num w:numId="9" w16cid:durableId="1481576525">
    <w:abstractNumId w:val="25"/>
  </w:num>
  <w:num w:numId="10" w16cid:durableId="1288314745">
    <w:abstractNumId w:val="3"/>
  </w:num>
  <w:num w:numId="11" w16cid:durableId="772356639">
    <w:abstractNumId w:val="20"/>
  </w:num>
  <w:num w:numId="12" w16cid:durableId="784429155">
    <w:abstractNumId w:val="22"/>
  </w:num>
  <w:num w:numId="13" w16cid:durableId="91899906">
    <w:abstractNumId w:val="7"/>
  </w:num>
  <w:num w:numId="14" w16cid:durableId="1159268812">
    <w:abstractNumId w:val="21"/>
  </w:num>
  <w:num w:numId="15" w16cid:durableId="9840245">
    <w:abstractNumId w:val="12"/>
  </w:num>
  <w:num w:numId="16" w16cid:durableId="648097649">
    <w:abstractNumId w:val="9"/>
  </w:num>
  <w:num w:numId="17" w16cid:durableId="1081562534">
    <w:abstractNumId w:val="24"/>
  </w:num>
  <w:num w:numId="18" w16cid:durableId="1858150327">
    <w:abstractNumId w:val="13"/>
  </w:num>
  <w:num w:numId="19" w16cid:durableId="1289552303">
    <w:abstractNumId w:val="16"/>
  </w:num>
  <w:num w:numId="20" w16cid:durableId="756361102">
    <w:abstractNumId w:val="18"/>
    <w:lvlOverride w:ilvl="0">
      <w:startOverride w:val="1"/>
    </w:lvlOverride>
  </w:num>
  <w:num w:numId="21" w16cid:durableId="2055154735">
    <w:abstractNumId w:val="4"/>
  </w:num>
  <w:num w:numId="22" w16cid:durableId="116607702">
    <w:abstractNumId w:val="19"/>
  </w:num>
  <w:num w:numId="23" w16cid:durableId="1149708509">
    <w:abstractNumId w:val="11"/>
  </w:num>
  <w:num w:numId="24" w16cid:durableId="438111664">
    <w:abstractNumId w:val="23"/>
  </w:num>
  <w:num w:numId="25" w16cid:durableId="1575507426">
    <w:abstractNumId w:val="10"/>
  </w:num>
  <w:num w:numId="26" w16cid:durableId="152509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E7"/>
    <w:rsid w:val="000531E7"/>
    <w:rsid w:val="000963A9"/>
    <w:rsid w:val="000F3F44"/>
    <w:rsid w:val="001F5236"/>
    <w:rsid w:val="00302FC8"/>
    <w:rsid w:val="003D6D27"/>
    <w:rsid w:val="004C27F9"/>
    <w:rsid w:val="004E37DD"/>
    <w:rsid w:val="00691B8B"/>
    <w:rsid w:val="00706DAC"/>
    <w:rsid w:val="007842DA"/>
    <w:rsid w:val="00A46809"/>
    <w:rsid w:val="00A77FF6"/>
    <w:rsid w:val="00B07181"/>
    <w:rsid w:val="00DD171F"/>
    <w:rsid w:val="00E618FD"/>
    <w:rsid w:val="00E85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4DFC"/>
  <w15:docId w15:val="{98C556A8-5D6E-409F-B369-7DA6D7EE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8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right="50" w:hanging="10"/>
      <w:jc w:val="center"/>
      <w:outlineLvl w:val="0"/>
    </w:pPr>
    <w:rPr>
      <w:rFonts w:ascii="Times New Roman" w:eastAsia="Times New Roman" w:hAnsi="Times New Roman" w:cs="Times New Roman"/>
      <w:color w:val="000000"/>
    </w:rPr>
  </w:style>
  <w:style w:type="paragraph" w:styleId="Heading2">
    <w:name w:val="heading 2"/>
    <w:basedOn w:val="Normal"/>
    <w:next w:val="Normal"/>
    <w:link w:val="Heading2Char"/>
    <w:uiPriority w:val="9"/>
    <w:semiHidden/>
    <w:unhideWhenUsed/>
    <w:qFormat/>
    <w:rsid w:val="004E37D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E37DD"/>
    <w:rPr>
      <w:rFonts w:asciiTheme="majorHAnsi" w:eastAsiaTheme="majorEastAsia" w:hAnsiTheme="majorHAnsi" w:cstheme="majorBidi"/>
      <w:color w:val="0F4761" w:themeColor="accent1" w:themeShade="BF"/>
      <w:sz w:val="26"/>
      <w:szCs w:val="26"/>
    </w:rPr>
  </w:style>
  <w:style w:type="paragraph" w:styleId="ListParagraph">
    <w:name w:val="List Paragraph"/>
    <w:qFormat/>
    <w:rsid w:val="004E37DD"/>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4E37DD"/>
    <w:rPr>
      <w:color w:val="467886" w:themeColor="hyperlink"/>
      <w:u w:val="single"/>
    </w:rPr>
  </w:style>
  <w:style w:type="character" w:styleId="UnresolvedMention">
    <w:name w:val="Unresolved Mention"/>
    <w:basedOn w:val="DefaultParagraphFont"/>
    <w:uiPriority w:val="99"/>
    <w:semiHidden/>
    <w:unhideWhenUsed/>
    <w:rsid w:val="004E3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F5D7-35EB-4993-B06B-F429CE15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8679</Words>
  <Characters>49472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3</cp:revision>
  <dcterms:created xsi:type="dcterms:W3CDTF">2026-04-28T06:53:00Z</dcterms:created>
  <dcterms:modified xsi:type="dcterms:W3CDTF">2026-05-01T06:04:00Z</dcterms:modified>
</cp:coreProperties>
</file>