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7C9" w14:textId="77777777" w:rsidR="00B15CCB" w:rsidRPr="000F4E9B" w:rsidRDefault="009A38E9" w:rsidP="000F4E9B">
      <w:pPr>
        <w:jc w:val="both"/>
        <w:rPr>
          <w:rFonts w:ascii="Times New Roman" w:hAnsi="Times New Roman" w:cs="Times New Roman"/>
          <w:b/>
          <w:sz w:val="28"/>
        </w:rPr>
      </w:pPr>
      <w:r w:rsidRPr="000F4E9B">
        <w:rPr>
          <w:rFonts w:ascii="Times New Roman" w:hAnsi="Times New Roman" w:cs="Times New Roman"/>
          <w:b/>
          <w:sz w:val="28"/>
        </w:rPr>
        <w:t>“A Study on Financial Awareness and Literacy among Rural Youth in Hassan District”</w:t>
      </w:r>
    </w:p>
    <w:p w14:paraId="387A37CB" w14:textId="77777777" w:rsidR="00370E0A" w:rsidRPr="00183C46" w:rsidRDefault="00370E0A" w:rsidP="00370E0A">
      <w:pPr>
        <w:rPr>
          <w:rFonts w:ascii="Times New Roman" w:hAnsi="Times New Roman" w:cs="Times New Roman"/>
          <w:b/>
          <w:sz w:val="24"/>
          <w:lang w:val="en-US"/>
        </w:rPr>
      </w:pPr>
      <w:r w:rsidRPr="00183C46">
        <w:rPr>
          <w:rFonts w:ascii="Times New Roman" w:hAnsi="Times New Roman" w:cs="Times New Roman"/>
          <w:b/>
          <w:sz w:val="24"/>
          <w:lang w:val="en-US"/>
        </w:rPr>
        <w:t>Abstract:</w:t>
      </w:r>
    </w:p>
    <w:p w14:paraId="387A37CC" w14:textId="77777777" w:rsidR="009A38E9" w:rsidRDefault="00C51262"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heading towards becoming the third largest economy in the world. For this to become a reality both Urban and Rural Economies should contribute in augmenting the economic stability. Inclusive growth especially with respect to the rural areas where financial literacy rates are limited. </w:t>
      </w:r>
      <w:r w:rsidR="00107162">
        <w:rPr>
          <w:rFonts w:ascii="Times New Roman" w:hAnsi="Times New Roman" w:cs="Times New Roman"/>
          <w:sz w:val="24"/>
        </w:rPr>
        <w:t xml:space="preserve">The present study titled “A Study on Financial Awareness and Literacy among Rural Youth in Hassan District” aims to examine the level of financial awareness among the rural youth in Hassan District and to understand how it influences their financial decision making. </w:t>
      </w:r>
    </w:p>
    <w:p w14:paraId="387A37CD" w14:textId="77777777" w:rsidR="003550DB" w:rsidRDefault="003550DB"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 are Eight Taluks in Hassan District, namely, Hassan, Arakalagood, Holenarasipura, </w:t>
      </w:r>
      <w:r w:rsidR="00825DF9">
        <w:rPr>
          <w:rFonts w:ascii="Times New Roman" w:hAnsi="Times New Roman" w:cs="Times New Roman"/>
          <w:sz w:val="24"/>
        </w:rPr>
        <w:t>Arsikere</w:t>
      </w:r>
      <w:r>
        <w:rPr>
          <w:rFonts w:ascii="Times New Roman" w:hAnsi="Times New Roman" w:cs="Times New Roman"/>
          <w:sz w:val="24"/>
        </w:rPr>
        <w:t xml:space="preserve">, Belur, Alur, Sakaleshapura and Channarayapatna. The Researcher has derived the information from all these taluks by serving a structured questionnaire. The study focuses on rural youth in Hassan District, which is rich in coffee, arcanut and spices.  </w:t>
      </w:r>
      <w:r w:rsidR="00A30FDF">
        <w:rPr>
          <w:rFonts w:ascii="Times New Roman" w:hAnsi="Times New Roman" w:cs="Times New Roman"/>
          <w:sz w:val="24"/>
        </w:rPr>
        <w:t>This segment of population has a very high potential to contribute to the economic growth of the country. However, lack of awareness about basic financial instruments, saving plans, investment opportunities, and credit management</w:t>
      </w:r>
      <w:r w:rsidR="0070330D">
        <w:rPr>
          <w:rFonts w:ascii="Times New Roman" w:hAnsi="Times New Roman" w:cs="Times New Roman"/>
          <w:sz w:val="24"/>
        </w:rPr>
        <w:t xml:space="preserve"> is kind of hindrance in making India digital</w:t>
      </w:r>
      <w:r w:rsidR="00A30FDF">
        <w:rPr>
          <w:rFonts w:ascii="Times New Roman" w:hAnsi="Times New Roman" w:cs="Times New Roman"/>
          <w:sz w:val="24"/>
        </w:rPr>
        <w:t>.</w:t>
      </w:r>
      <w:r w:rsidR="00BD3024">
        <w:rPr>
          <w:rFonts w:ascii="Times New Roman" w:hAnsi="Times New Roman" w:cs="Times New Roman"/>
          <w:sz w:val="24"/>
        </w:rPr>
        <w:t xml:space="preserve"> Due to this reason rural folks are not able to make </w:t>
      </w:r>
      <w:r w:rsidR="00A30FDF">
        <w:rPr>
          <w:rFonts w:ascii="Times New Roman" w:hAnsi="Times New Roman" w:cs="Times New Roman"/>
          <w:sz w:val="24"/>
        </w:rPr>
        <w:t xml:space="preserve">calculated and informed financial decisions. </w:t>
      </w:r>
      <w:r w:rsidR="004939AF">
        <w:rPr>
          <w:rFonts w:ascii="Times New Roman" w:hAnsi="Times New Roman" w:cs="Times New Roman"/>
          <w:sz w:val="24"/>
        </w:rPr>
        <w:t xml:space="preserve">This study is based on the data derived from a structured questionnaire administered to a selected sample of rural youth in Hassan District. </w:t>
      </w:r>
      <w:r w:rsidR="00BD3024">
        <w:rPr>
          <w:rFonts w:ascii="Times New Roman" w:hAnsi="Times New Roman" w:cs="Times New Roman"/>
          <w:sz w:val="24"/>
        </w:rPr>
        <w:t xml:space="preserve">The study emphasizes on rural youth in Hassan District of Karnataka, who represent a significant segment in the demography and they have all the potential to contribute to the overall economic development of the country. </w:t>
      </w:r>
      <w:r w:rsidR="00847BC1">
        <w:rPr>
          <w:rFonts w:ascii="Times New Roman" w:hAnsi="Times New Roman" w:cs="Times New Roman"/>
          <w:sz w:val="24"/>
        </w:rPr>
        <w:t xml:space="preserve">The current study adopts an empirical approach by collecting the primary data from a structured questionnaire which is distributed among a selected sample of rural youth. </w:t>
      </w:r>
    </w:p>
    <w:p w14:paraId="387A37CE" w14:textId="77777777" w:rsidR="00546A62"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 objectives of the current study includes assessing the level of financial literacy of rural youth, analysing awareness about the banking services and government schemes, identifying the factors influencing financial behaviour of rural youth. It also evaluates the role of digital financial tools such as mobile banking, UPI services in enhancing financial inclusion. All this is evaluated using percentage analysis, mean scores, correlation techniques. </w:t>
      </w:r>
    </w:p>
    <w:p w14:paraId="387A37CF" w14:textId="77777777" w:rsidR="00E22A06"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 findings of the study reveal that there is moderate levels of financial awareness among the rural youth in Hassan District, the </w:t>
      </w:r>
      <w:r w:rsidR="00A33B0F">
        <w:rPr>
          <w:rFonts w:ascii="Times New Roman" w:hAnsi="Times New Roman" w:cs="Times New Roman"/>
          <w:sz w:val="24"/>
        </w:rPr>
        <w:t xml:space="preserve">youth has significant lower levels of understanding with respect to investment practices and advanced financial literacy. </w:t>
      </w:r>
      <w:r w:rsidR="00590B80">
        <w:rPr>
          <w:rFonts w:ascii="Times New Roman" w:hAnsi="Times New Roman" w:cs="Times New Roman"/>
          <w:sz w:val="24"/>
        </w:rPr>
        <w:t xml:space="preserve">The study highlights the need </w:t>
      </w:r>
      <w:r w:rsidR="00590B80">
        <w:rPr>
          <w:rFonts w:ascii="Times New Roman" w:hAnsi="Times New Roman" w:cs="Times New Roman"/>
          <w:sz w:val="24"/>
        </w:rPr>
        <w:lastRenderedPageBreak/>
        <w:t xml:space="preserve">for financial education programs, awareness campaigns and various other policy interventions to improve financial literacy and promote responsible financial behaviour. </w:t>
      </w:r>
    </w:p>
    <w:p w14:paraId="387A37D0" w14:textId="77777777" w:rsidR="000B5C8B" w:rsidRDefault="000B5C8B" w:rsidP="00F54C0B">
      <w:pPr>
        <w:spacing w:line="360" w:lineRule="auto"/>
        <w:jc w:val="both"/>
        <w:rPr>
          <w:rFonts w:ascii="Times New Roman" w:hAnsi="Times New Roman" w:cs="Times New Roman"/>
          <w:sz w:val="24"/>
        </w:rPr>
      </w:pPr>
      <w:r>
        <w:rPr>
          <w:rFonts w:ascii="Times New Roman" w:hAnsi="Times New Roman" w:cs="Times New Roman"/>
          <w:sz w:val="24"/>
        </w:rPr>
        <w:t xml:space="preserve">Eventually the study concludes that educating rural youth with respect to financial literacy is essential for achieving financial inclusion and sustainable development. </w:t>
      </w:r>
      <w:r w:rsidR="00001F33">
        <w:rPr>
          <w:rFonts w:ascii="Times New Roman" w:hAnsi="Times New Roman" w:cs="Times New Roman"/>
          <w:sz w:val="24"/>
        </w:rPr>
        <w:t xml:space="preserve">The study also provides valuable insights for policy makers, educators and financial instruments to design effective strategies aimed at empowering rural youth with essential financial skills. </w:t>
      </w:r>
    </w:p>
    <w:p w14:paraId="387A37D1" w14:textId="77777777" w:rsidR="005B1F31" w:rsidRDefault="005B1F31" w:rsidP="00F54C0B">
      <w:pPr>
        <w:spacing w:line="360" w:lineRule="auto"/>
        <w:jc w:val="both"/>
        <w:rPr>
          <w:rFonts w:ascii="Times New Roman" w:hAnsi="Times New Roman" w:cs="Times New Roman"/>
          <w:b/>
          <w:sz w:val="24"/>
        </w:rPr>
      </w:pPr>
      <w:r w:rsidRPr="005B1F31">
        <w:rPr>
          <w:rFonts w:ascii="Times New Roman" w:hAnsi="Times New Roman" w:cs="Times New Roman"/>
          <w:b/>
          <w:sz w:val="24"/>
        </w:rPr>
        <w:t>KEYWORDS:</w:t>
      </w:r>
      <w:r>
        <w:rPr>
          <w:rFonts w:ascii="Times New Roman" w:hAnsi="Times New Roman" w:cs="Times New Roman"/>
          <w:b/>
          <w:sz w:val="24"/>
        </w:rPr>
        <w:t xml:space="preserve"> </w:t>
      </w:r>
      <w:r w:rsidR="00396E8F">
        <w:rPr>
          <w:rFonts w:ascii="Times New Roman" w:hAnsi="Times New Roman" w:cs="Times New Roman"/>
          <w:b/>
          <w:sz w:val="24"/>
        </w:rPr>
        <w:t xml:space="preserve">Financial Inclusion, </w:t>
      </w:r>
      <w:r w:rsidR="008D6DBB">
        <w:rPr>
          <w:rFonts w:ascii="Times New Roman" w:hAnsi="Times New Roman" w:cs="Times New Roman"/>
          <w:b/>
          <w:sz w:val="24"/>
        </w:rPr>
        <w:t xml:space="preserve">Financial Instruments, Sustainable Development, </w:t>
      </w:r>
      <w:r w:rsidR="0066759D">
        <w:rPr>
          <w:rFonts w:ascii="Times New Roman" w:hAnsi="Times New Roman" w:cs="Times New Roman"/>
          <w:b/>
          <w:sz w:val="24"/>
        </w:rPr>
        <w:t xml:space="preserve">Youth Empowerment, </w:t>
      </w:r>
      <w:r w:rsidR="00DC4C23">
        <w:rPr>
          <w:rFonts w:ascii="Times New Roman" w:hAnsi="Times New Roman" w:cs="Times New Roman"/>
          <w:b/>
          <w:sz w:val="24"/>
        </w:rPr>
        <w:t xml:space="preserve">UPI Services, Digital Banking, Mobile Banking, Online Banking. </w:t>
      </w:r>
    </w:p>
    <w:p w14:paraId="387A37D2" w14:textId="77777777" w:rsidR="00DC4C23" w:rsidRDefault="006F1588" w:rsidP="003550DB">
      <w:pPr>
        <w:jc w:val="both"/>
        <w:rPr>
          <w:rFonts w:ascii="Times New Roman" w:hAnsi="Times New Roman" w:cs="Times New Roman"/>
          <w:b/>
          <w:sz w:val="24"/>
        </w:rPr>
      </w:pPr>
      <w:r>
        <w:rPr>
          <w:rFonts w:ascii="Times New Roman" w:hAnsi="Times New Roman" w:cs="Times New Roman"/>
          <w:b/>
          <w:sz w:val="24"/>
        </w:rPr>
        <w:t>INTRODUCTION</w:t>
      </w:r>
    </w:p>
    <w:p w14:paraId="387A37D3" w14:textId="77777777" w:rsidR="0070296F" w:rsidRDefault="0070296F" w:rsidP="00F54C0B">
      <w:pPr>
        <w:spacing w:line="360" w:lineRule="auto"/>
        <w:jc w:val="both"/>
        <w:rPr>
          <w:rFonts w:ascii="Times New Roman" w:hAnsi="Times New Roman" w:cs="Times New Roman"/>
          <w:sz w:val="24"/>
        </w:rPr>
      </w:pPr>
      <w:r>
        <w:rPr>
          <w:rFonts w:ascii="Times New Roman" w:hAnsi="Times New Roman" w:cs="Times New Roman"/>
          <w:sz w:val="24"/>
        </w:rPr>
        <w:t>Financial Awareness and Literacy is considered to be prime skill in today’s competitive economic environment. Financial Literacy relates itself to the study of an individual’s ability to understand various financial concepts such as, savings, budgeting, investing, borrowing and managing money to grow effectively. Financial Literacy helps the individual’s to make a prudent decision so as to make investments effective. It leads to overall improvement of financial wellbeing of an individual and in</w:t>
      </w:r>
      <w:r w:rsidR="00F54C0B">
        <w:rPr>
          <w:rFonts w:ascii="Times New Roman" w:hAnsi="Times New Roman" w:cs="Times New Roman"/>
          <w:sz w:val="24"/>
        </w:rPr>
        <w:t xml:space="preserve"> </w:t>
      </w:r>
      <w:r>
        <w:rPr>
          <w:rFonts w:ascii="Times New Roman" w:hAnsi="Times New Roman" w:cs="Times New Roman"/>
          <w:sz w:val="24"/>
        </w:rPr>
        <w:t xml:space="preserve">turn it also </w:t>
      </w:r>
      <w:r w:rsidR="00F54C0B">
        <w:rPr>
          <w:rFonts w:ascii="Times New Roman" w:hAnsi="Times New Roman" w:cs="Times New Roman"/>
          <w:sz w:val="24"/>
        </w:rPr>
        <w:t>augments</w:t>
      </w:r>
      <w:r>
        <w:rPr>
          <w:rFonts w:ascii="Times New Roman" w:hAnsi="Times New Roman" w:cs="Times New Roman"/>
          <w:sz w:val="24"/>
        </w:rPr>
        <w:t xml:space="preserve"> the </w:t>
      </w:r>
      <w:r w:rsidR="00F54C0B">
        <w:rPr>
          <w:rFonts w:ascii="Times New Roman" w:hAnsi="Times New Roman" w:cs="Times New Roman"/>
          <w:sz w:val="24"/>
        </w:rPr>
        <w:t xml:space="preserve">effectiveness of the economy. </w:t>
      </w:r>
    </w:p>
    <w:p w14:paraId="387A37D4" w14:textId="77777777" w:rsidR="00F54C0B" w:rsidRDefault="00F54C0B"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considered to be a developing economy with rapid changes taking place in the financial system regime. Digital Banking, Financial Inclusion Programs of the Government, Technological Advancements in Financial Engineering has led into the overall development of Financial Literacy. Rural areas still lag behind when compared to the urban areas in terms of financial literacy and awareness. Rural economy is considered to be wrapped up under the pillow of a farmer. Rural youth still struggle to understand financial system and its functioning in particular. This population in rural areas forms </w:t>
      </w:r>
      <w:r w:rsidR="009319C8">
        <w:rPr>
          <w:rFonts w:ascii="Times New Roman" w:hAnsi="Times New Roman" w:cs="Times New Roman"/>
          <w:sz w:val="24"/>
        </w:rPr>
        <w:t>a significant</w:t>
      </w:r>
      <w:r>
        <w:rPr>
          <w:rFonts w:ascii="Times New Roman" w:hAnsi="Times New Roman" w:cs="Times New Roman"/>
          <w:sz w:val="24"/>
        </w:rPr>
        <w:t xml:space="preserve"> pie when it comes to the management of funds. They rural youth is considered to be future earners and contributors to the overall economic development of the country. </w:t>
      </w:r>
    </w:p>
    <w:p w14:paraId="387A37D5" w14:textId="77777777" w:rsidR="00DB44DC" w:rsidRDefault="00DB44DC" w:rsidP="00F54C0B">
      <w:pPr>
        <w:spacing w:line="360" w:lineRule="auto"/>
        <w:jc w:val="both"/>
        <w:rPr>
          <w:rFonts w:ascii="Times New Roman" w:hAnsi="Times New Roman" w:cs="Times New Roman"/>
          <w:sz w:val="24"/>
        </w:rPr>
      </w:pPr>
      <w:r>
        <w:rPr>
          <w:rFonts w:ascii="Times New Roman" w:hAnsi="Times New Roman" w:cs="Times New Roman"/>
          <w:sz w:val="24"/>
        </w:rPr>
        <w:t xml:space="preserve">In spite of various efforts taken by the government and financial institutions various financial </w:t>
      </w:r>
      <w:r w:rsidR="00B002F4">
        <w:rPr>
          <w:rFonts w:ascii="Times New Roman" w:hAnsi="Times New Roman" w:cs="Times New Roman"/>
          <w:sz w:val="24"/>
        </w:rPr>
        <w:t xml:space="preserve">inclusion programs in the rural areas are not fetching the desired results. </w:t>
      </w:r>
      <w:r w:rsidR="00BC4D93">
        <w:rPr>
          <w:rFonts w:ascii="Times New Roman" w:hAnsi="Times New Roman" w:cs="Times New Roman"/>
          <w:sz w:val="24"/>
        </w:rPr>
        <w:t xml:space="preserve">The reasons for such failure may be identified as limited access to financial education, bad banking infrastructure, and lower socio-economic conditions. </w:t>
      </w:r>
      <w:r>
        <w:rPr>
          <w:rFonts w:ascii="Times New Roman" w:hAnsi="Times New Roman" w:cs="Times New Roman"/>
          <w:sz w:val="24"/>
        </w:rPr>
        <w:t xml:space="preserve"> </w:t>
      </w:r>
      <w:r w:rsidR="00BC4D93">
        <w:rPr>
          <w:rFonts w:ascii="Times New Roman" w:hAnsi="Times New Roman" w:cs="Times New Roman"/>
          <w:sz w:val="24"/>
        </w:rPr>
        <w:t xml:space="preserve">Lack of exposure to financial system has to be replaced with financial literacy programs. </w:t>
      </w:r>
    </w:p>
    <w:p w14:paraId="387A37D6" w14:textId="77777777" w:rsidR="00B42A17" w:rsidRDefault="00B42A17" w:rsidP="00F54C0B">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Hassan District in Karnataka, is considered to be agriculture based economy with most of the livelihoods are dependent on agro based economy. The current study explores this economy with specific reference to the adoption of financial literacy. Financial awareness among younger population is assessed and recorded. The government policies are to be based on such kind of studies which empowers the rural sector. Governments both at state and centre can </w:t>
      </w:r>
      <w:r w:rsidR="00E2600F">
        <w:rPr>
          <w:rFonts w:ascii="Times New Roman" w:hAnsi="Times New Roman" w:cs="Times New Roman"/>
          <w:sz w:val="24"/>
        </w:rPr>
        <w:t xml:space="preserve">design effective policies and educational programs that can enhance financial literacy and financial well-being of rural folks. </w:t>
      </w:r>
      <w:r w:rsidR="000910E2">
        <w:rPr>
          <w:rFonts w:ascii="Times New Roman" w:hAnsi="Times New Roman" w:cs="Times New Roman"/>
          <w:sz w:val="24"/>
        </w:rPr>
        <w:t xml:space="preserve">This in turn will result in better economic growth and development. </w:t>
      </w:r>
    </w:p>
    <w:p w14:paraId="387A37D7" w14:textId="77777777" w:rsidR="00EF53BE" w:rsidRDefault="00EF53BE"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Therefore, the current study emphasizes on understanding the financial awareness and literacy levels among the rural youth of Hassan District. The study explores the factors affecting financial literacy and also suggests effective measures to improve financial prowess of rural youth. </w:t>
      </w:r>
    </w:p>
    <w:p w14:paraId="387A37D8" w14:textId="77777777" w:rsidR="000863DC" w:rsidRDefault="00165BB3" w:rsidP="00165BB3">
      <w:pPr>
        <w:spacing w:line="360" w:lineRule="auto"/>
        <w:jc w:val="both"/>
        <w:rPr>
          <w:rFonts w:ascii="Times New Roman" w:hAnsi="Times New Roman" w:cs="Times New Roman"/>
          <w:b/>
          <w:sz w:val="24"/>
        </w:rPr>
      </w:pPr>
      <w:r w:rsidRPr="009C2A68">
        <w:rPr>
          <w:rFonts w:ascii="Times New Roman" w:hAnsi="Times New Roman" w:cs="Times New Roman"/>
          <w:b/>
          <w:sz w:val="24"/>
        </w:rPr>
        <w:t>REVIEW OF LITERATURE</w:t>
      </w:r>
    </w:p>
    <w:p w14:paraId="387A37D9"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Kapoor, G. T., Gupta and Dhawan (2023)</w:t>
      </w:r>
      <w:r w:rsidRPr="003C03C4">
        <w:rPr>
          <w:rFonts w:ascii="Times New Roman" w:eastAsia="Times New Roman" w:hAnsi="Times New Roman" w:cs="Times New Roman"/>
          <w:sz w:val="24"/>
          <w:szCs w:val="24"/>
          <w:lang w:eastAsia="en-IN"/>
        </w:rPr>
        <w:t xml:space="preserve"> conducted a study on 154 respondents in Lucknow to examine consumer preferences and expectations in online shopping. The major findings indicate that convenience, variety, and easy access to internet services are key drivers. Trust and satisfaction also play a substantial role in influencing consumer preferences. </w:t>
      </w:r>
    </w:p>
    <w:p w14:paraId="387A37DA"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Rani and Siwach (2023)</w:t>
      </w:r>
      <w:r w:rsidRPr="003C03C4">
        <w:rPr>
          <w:rFonts w:ascii="Times New Roman" w:eastAsia="Times New Roman" w:hAnsi="Times New Roman" w:cs="Times New Roman"/>
          <w:sz w:val="24"/>
          <w:szCs w:val="24"/>
          <w:lang w:eastAsia="en-IN"/>
        </w:rPr>
        <w:t xml:space="preserve"> conducted a comprehensive review of financial literacy in India using secondary data. The study found that financial literacy levels are generally low to moderate across different demographic groups, including youth. It emphasized the need for policy interventions to improve financial knowledge and decision-making abilities. </w:t>
      </w:r>
    </w:p>
    <w:p w14:paraId="387A37DB"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Czech et al. (2023)</w:t>
      </w:r>
      <w:r w:rsidRPr="003C03C4">
        <w:rPr>
          <w:rFonts w:ascii="Times New Roman" w:eastAsia="Times New Roman" w:hAnsi="Times New Roman" w:cs="Times New Roman"/>
          <w:sz w:val="24"/>
          <w:szCs w:val="24"/>
          <w:lang w:eastAsia="en-IN"/>
        </w:rPr>
        <w:t xml:space="preserve"> examined financial literacy challenges among rural populations across seven European countries using focus groups and interviews. The study revealed low awareness of financial fraud, lack of budgeting skills, and a strong need for education in savings and risk management. </w:t>
      </w:r>
    </w:p>
    <w:p w14:paraId="387A37DC"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Mohta and Shunmugasundaram (2023)</w:t>
      </w:r>
      <w:r w:rsidRPr="003C03C4">
        <w:rPr>
          <w:rFonts w:ascii="Times New Roman" w:eastAsia="Times New Roman" w:hAnsi="Times New Roman" w:cs="Times New Roman"/>
          <w:sz w:val="24"/>
          <w:szCs w:val="24"/>
          <w:lang w:eastAsia="en-IN"/>
        </w:rPr>
        <w:t xml:space="preserve"> studied financial literacy and risk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among 318 </w:t>
      </w:r>
      <w:r w:rsidR="00114DA2" w:rsidRPr="003C03C4">
        <w:rPr>
          <w:rFonts w:ascii="Times New Roman" w:eastAsia="Times New Roman" w:hAnsi="Times New Roman" w:cs="Times New Roman"/>
          <w:sz w:val="24"/>
          <w:szCs w:val="24"/>
          <w:lang w:eastAsia="en-IN"/>
        </w:rPr>
        <w:t>millennial</w:t>
      </w:r>
      <w:r w:rsidRPr="003C03C4">
        <w:rPr>
          <w:rFonts w:ascii="Times New Roman" w:eastAsia="Times New Roman" w:hAnsi="Times New Roman" w:cs="Times New Roman"/>
          <w:sz w:val="24"/>
          <w:szCs w:val="24"/>
          <w:lang w:eastAsia="en-IN"/>
        </w:rPr>
        <w:t xml:space="preserve"> in Delhi NCR. The findings showed that higher financial literacy significantly improves investment decisions and risk-handling capacity among youth. </w:t>
      </w:r>
    </w:p>
    <w:p w14:paraId="387A37DD"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Kumar and Lucky (2026)</w:t>
      </w:r>
      <w:r w:rsidRPr="003C03C4">
        <w:rPr>
          <w:rFonts w:ascii="Times New Roman" w:eastAsia="Times New Roman" w:hAnsi="Times New Roman" w:cs="Times New Roman"/>
          <w:sz w:val="24"/>
          <w:szCs w:val="24"/>
          <w:lang w:eastAsia="en-IN"/>
        </w:rPr>
        <w:t xml:space="preserve"> conducted an empirical study on financial literacy among youth in India. The study highlighted that digital banking and cashless transactions have increased the importance of financial literacy as a life skill among young individuals. </w:t>
      </w:r>
    </w:p>
    <w:p w14:paraId="387A37DE"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Saritha, Nasar and Thamam (2026)</w:t>
      </w:r>
      <w:r w:rsidRPr="003C03C4">
        <w:rPr>
          <w:rFonts w:ascii="Times New Roman" w:eastAsia="Times New Roman" w:hAnsi="Times New Roman" w:cs="Times New Roman"/>
          <w:sz w:val="24"/>
          <w:szCs w:val="24"/>
          <w:lang w:eastAsia="en-IN"/>
        </w:rPr>
        <w:t xml:space="preserve"> studied financial literacy and saving habits of rural youth in Nenmeni Panchayat. The study found that rural youth have limited knowledge of financial products, and improving awareness can significantly enhance savings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and financial stability. </w:t>
      </w:r>
    </w:p>
    <w:p w14:paraId="387A37DF"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Jayanthi and Rau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determinants of financial literacy among rural households in South India. The study concluded that education, income level, and access to financial institutions are key factors influencing financial literacy levels. </w:t>
      </w:r>
    </w:p>
    <w:p w14:paraId="387A37E0"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Sharma and Gupta (2022)</w:t>
      </w:r>
      <w:r w:rsidRPr="003C03C4">
        <w:rPr>
          <w:rFonts w:ascii="Times New Roman" w:eastAsia="Times New Roman" w:hAnsi="Times New Roman" w:cs="Times New Roman"/>
          <w:sz w:val="24"/>
          <w:szCs w:val="24"/>
          <w:lang w:eastAsia="en-IN"/>
        </w:rPr>
        <w:t xml:space="preserve"> conducted a study on financial inclusion and literacy in rural India. The findings revealed that financial literacy plays a crucial role in promoting financial inclusion and improving economic well-being among rural populations. </w:t>
      </w:r>
    </w:p>
    <w:p w14:paraId="387A37E1"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Singh and Kumar (2021)</w:t>
      </w:r>
      <w:r w:rsidRPr="003C03C4">
        <w:rPr>
          <w:rFonts w:ascii="Times New Roman" w:eastAsia="Times New Roman" w:hAnsi="Times New Roman" w:cs="Times New Roman"/>
          <w:sz w:val="24"/>
          <w:szCs w:val="24"/>
          <w:lang w:eastAsia="en-IN"/>
        </w:rPr>
        <w:t xml:space="preserve"> examined financial awareness among rural youth in Uttar Pradesh. The study found that lack of formal education and limited exposure to banking services are major barriers to financial literacy. </w:t>
      </w:r>
    </w:p>
    <w:p w14:paraId="387A37E2"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Patel and Desai (2020)</w:t>
      </w:r>
      <w:r w:rsidRPr="003C03C4">
        <w:rPr>
          <w:rFonts w:ascii="Times New Roman" w:eastAsia="Times New Roman" w:hAnsi="Times New Roman" w:cs="Times New Roman"/>
          <w:sz w:val="24"/>
          <w:szCs w:val="24"/>
          <w:lang w:eastAsia="en-IN"/>
        </w:rPr>
        <w:t xml:space="preserve"> studied financial literacy among college students in Gujarat. The results indicated that students have basic knowledge of banking but lack understanding of investment and insurance products. </w:t>
      </w:r>
    </w:p>
    <w:p w14:paraId="387A37E3"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Rao and Babu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awareness among rural youth in Andhra Pradesh. The study concluded that awareness programs and government initiatives significantly improve financial knowledge. </w:t>
      </w:r>
    </w:p>
    <w:p w14:paraId="387A37E4"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Kaur and Kiran (2018)</w:t>
      </w:r>
      <w:r w:rsidRPr="003C03C4">
        <w:rPr>
          <w:rFonts w:ascii="Times New Roman" w:eastAsia="Times New Roman" w:hAnsi="Times New Roman" w:cs="Times New Roman"/>
          <w:sz w:val="24"/>
          <w:szCs w:val="24"/>
          <w:lang w:eastAsia="en-IN"/>
        </w:rPr>
        <w:t xml:space="preserve"> conducted research on financial literacy among youth in Punjab. The findings showed that financial education positively influences saving and investment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w:t>
      </w:r>
    </w:p>
    <w:p w14:paraId="387A37E5"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Lusardi and Mitchell (2014)</w:t>
      </w:r>
      <w:r w:rsidRPr="003C03C4">
        <w:rPr>
          <w:rFonts w:ascii="Times New Roman" w:eastAsia="Times New Roman" w:hAnsi="Times New Roman" w:cs="Times New Roman"/>
          <w:sz w:val="24"/>
          <w:szCs w:val="24"/>
          <w:lang w:eastAsia="en-IN"/>
        </w:rPr>
        <w:t xml:space="preserve"> studied financial literacy at the global level. The study revealed that financial illiteracy is widespread and affects financial planning, especially among young people. </w:t>
      </w:r>
    </w:p>
    <w:p w14:paraId="387A37E6"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OECD (2016)</w:t>
      </w:r>
      <w:r w:rsidRPr="003C03C4">
        <w:rPr>
          <w:rFonts w:ascii="Times New Roman" w:eastAsia="Times New Roman" w:hAnsi="Times New Roman" w:cs="Times New Roman"/>
          <w:sz w:val="24"/>
          <w:szCs w:val="24"/>
          <w:lang w:eastAsia="en-IN"/>
        </w:rPr>
        <w:t xml:space="preserve"> conducted an international survey on financial literacy. The report highlighted that youth and rural populations generally have lower financial literacy levels compared to urban populations. </w:t>
      </w:r>
    </w:p>
    <w:p w14:paraId="05506CAC" w14:textId="77777777" w:rsidR="00C01E96" w:rsidRDefault="003C03C4" w:rsidP="00C01E9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Atkinson and Messy (2012)</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literacy across countries and found that low financial awareness leads to poor financial decisions, especially among young and less-educated individuals. </w:t>
      </w:r>
    </w:p>
    <w:p w14:paraId="387A37E8" w14:textId="68865AA5" w:rsidR="00165BB3" w:rsidRPr="00F17D83" w:rsidRDefault="00165BB3" w:rsidP="00C01E96">
      <w:pPr>
        <w:spacing w:before="100" w:beforeAutospacing="1" w:after="0" w:line="360" w:lineRule="auto"/>
        <w:jc w:val="both"/>
        <w:rPr>
          <w:rStyle w:val="Strong"/>
          <w:rFonts w:ascii="Times New Roman" w:hAnsi="Times New Roman" w:cs="Times New Roman"/>
          <w:bCs w:val="0"/>
          <w:sz w:val="28"/>
        </w:rPr>
      </w:pPr>
      <w:r w:rsidRPr="00F17D83">
        <w:rPr>
          <w:rStyle w:val="Strong"/>
          <w:rFonts w:ascii="Times New Roman" w:hAnsi="Times New Roman" w:cs="Times New Roman"/>
          <w:bCs w:val="0"/>
          <w:sz w:val="28"/>
        </w:rPr>
        <w:t>Research Methodology</w:t>
      </w:r>
    </w:p>
    <w:tbl>
      <w:tblPr>
        <w:tblStyle w:val="TableGrid"/>
        <w:tblW w:w="8838" w:type="dxa"/>
        <w:tblLook w:val="04A0" w:firstRow="1" w:lastRow="0" w:firstColumn="1" w:lastColumn="0" w:noHBand="0" w:noVBand="1"/>
      </w:tblPr>
      <w:tblGrid>
        <w:gridCol w:w="2794"/>
        <w:gridCol w:w="6044"/>
      </w:tblGrid>
      <w:tr w:rsidR="00F17D83" w:rsidRPr="00B67EAB" w14:paraId="387A37EB" w14:textId="77777777" w:rsidTr="00950912">
        <w:tc>
          <w:tcPr>
            <w:tcW w:w="2794" w:type="dxa"/>
          </w:tcPr>
          <w:p w14:paraId="387A37E9"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Type</w:t>
            </w:r>
          </w:p>
        </w:tc>
        <w:tc>
          <w:tcPr>
            <w:tcW w:w="6044" w:type="dxa"/>
          </w:tcPr>
          <w:p w14:paraId="387A37EA"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Descriptive and Analytical</w:t>
            </w:r>
          </w:p>
        </w:tc>
      </w:tr>
      <w:tr w:rsidR="00F17D83" w:rsidRPr="00B67EAB" w14:paraId="387A37EE" w14:textId="77777777" w:rsidTr="00950912">
        <w:tc>
          <w:tcPr>
            <w:tcW w:w="2794" w:type="dxa"/>
          </w:tcPr>
          <w:p w14:paraId="387A37EC"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Context</w:t>
            </w:r>
          </w:p>
        </w:tc>
        <w:tc>
          <w:tcPr>
            <w:tcW w:w="6044" w:type="dxa"/>
          </w:tcPr>
          <w:p w14:paraId="387A37ED" w14:textId="77777777" w:rsidR="00F17D83" w:rsidRPr="00B67EAB" w:rsidRDefault="00677129"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Respondents </w:t>
            </w:r>
            <w:r w:rsidR="00F17D83">
              <w:rPr>
                <w:rFonts w:ascii="Times New Roman" w:hAnsi="Times New Roman" w:cs="Times New Roman"/>
                <w:sz w:val="24"/>
                <w:szCs w:val="24"/>
                <w:lang w:eastAsia="ar-SA"/>
              </w:rPr>
              <w:t>located in Hassan District</w:t>
            </w:r>
            <w:r>
              <w:rPr>
                <w:rFonts w:ascii="Times New Roman" w:hAnsi="Times New Roman" w:cs="Times New Roman"/>
                <w:sz w:val="24"/>
                <w:szCs w:val="24"/>
                <w:lang w:eastAsia="ar-SA"/>
              </w:rPr>
              <w:t xml:space="preserve"> having at least a Bank Account in their name.</w:t>
            </w:r>
          </w:p>
        </w:tc>
      </w:tr>
      <w:tr w:rsidR="00F17D83" w:rsidRPr="00B67EAB" w14:paraId="387A37F1" w14:textId="77777777" w:rsidTr="00950912">
        <w:tc>
          <w:tcPr>
            <w:tcW w:w="2794" w:type="dxa"/>
          </w:tcPr>
          <w:p w14:paraId="387A37EF"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Approach</w:t>
            </w:r>
          </w:p>
        </w:tc>
        <w:tc>
          <w:tcPr>
            <w:tcW w:w="6044" w:type="dxa"/>
          </w:tcPr>
          <w:p w14:paraId="387A37F0"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Quantitative and questionnaire based</w:t>
            </w:r>
          </w:p>
        </w:tc>
      </w:tr>
      <w:tr w:rsidR="00F17D83" w:rsidRPr="00B67EAB" w14:paraId="387A37F4" w14:textId="77777777" w:rsidTr="00950912">
        <w:tc>
          <w:tcPr>
            <w:tcW w:w="2794" w:type="dxa"/>
          </w:tcPr>
          <w:p w14:paraId="387A37F2"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type</w:t>
            </w:r>
          </w:p>
        </w:tc>
        <w:tc>
          <w:tcPr>
            <w:tcW w:w="6044" w:type="dxa"/>
          </w:tcPr>
          <w:p w14:paraId="387A37F3"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Categorical and Continuous variables</w:t>
            </w:r>
          </w:p>
        </w:tc>
      </w:tr>
      <w:tr w:rsidR="00F17D83" w:rsidRPr="00B67EAB" w14:paraId="387A37F7" w14:textId="77777777" w:rsidTr="00950912">
        <w:tc>
          <w:tcPr>
            <w:tcW w:w="2794" w:type="dxa"/>
          </w:tcPr>
          <w:p w14:paraId="387A37F5"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collection tools</w:t>
            </w:r>
          </w:p>
        </w:tc>
        <w:tc>
          <w:tcPr>
            <w:tcW w:w="6044" w:type="dxa"/>
          </w:tcPr>
          <w:p w14:paraId="387A37F6"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One Closed Ended Questionnaire for analyzing primary data, Vari</w:t>
            </w:r>
            <w:r>
              <w:rPr>
                <w:rFonts w:ascii="Times New Roman" w:hAnsi="Times New Roman" w:cs="Times New Roman"/>
                <w:sz w:val="24"/>
                <w:szCs w:val="24"/>
                <w:lang w:eastAsia="ar-SA"/>
              </w:rPr>
              <w:t>ous Journals and Books</w:t>
            </w:r>
          </w:p>
        </w:tc>
      </w:tr>
      <w:tr w:rsidR="00F17D83" w:rsidRPr="00B67EAB" w14:paraId="387A37FA" w14:textId="77777777" w:rsidTr="00950912">
        <w:tc>
          <w:tcPr>
            <w:tcW w:w="2794" w:type="dxa"/>
          </w:tcPr>
          <w:p w14:paraId="387A37F8"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Analysis Softwar</w:t>
            </w:r>
            <w:r>
              <w:rPr>
                <w:rFonts w:ascii="Times New Roman" w:hAnsi="Times New Roman" w:cs="Times New Roman"/>
                <w:sz w:val="24"/>
                <w:szCs w:val="24"/>
                <w:lang w:eastAsia="ar-SA"/>
              </w:rPr>
              <w:t>e</w:t>
            </w:r>
          </w:p>
        </w:tc>
        <w:tc>
          <w:tcPr>
            <w:tcW w:w="6044" w:type="dxa"/>
          </w:tcPr>
          <w:p w14:paraId="387A37F9"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SPSS, </w:t>
            </w:r>
            <w:r w:rsidRPr="00B67EAB">
              <w:rPr>
                <w:rFonts w:ascii="Times New Roman" w:hAnsi="Times New Roman" w:cs="Times New Roman"/>
                <w:sz w:val="24"/>
                <w:szCs w:val="24"/>
                <w:lang w:eastAsia="ar-SA"/>
              </w:rPr>
              <w:t>MS Excel, MS Word, MS Power Point</w:t>
            </w:r>
          </w:p>
        </w:tc>
      </w:tr>
      <w:tr w:rsidR="00F17D83" w:rsidRPr="00B67EAB" w14:paraId="387A37FD" w14:textId="77777777" w:rsidTr="00950912">
        <w:tc>
          <w:tcPr>
            <w:tcW w:w="2794" w:type="dxa"/>
          </w:tcPr>
          <w:p w14:paraId="387A37FB"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Sampling Technique</w:t>
            </w:r>
          </w:p>
        </w:tc>
        <w:tc>
          <w:tcPr>
            <w:tcW w:w="6044" w:type="dxa"/>
          </w:tcPr>
          <w:p w14:paraId="387A37FC"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Systematic Sampling</w:t>
            </w:r>
          </w:p>
        </w:tc>
      </w:tr>
      <w:tr w:rsidR="00F17D83" w:rsidRPr="00B67EAB" w14:paraId="387A3800" w14:textId="77777777" w:rsidTr="00950912">
        <w:tc>
          <w:tcPr>
            <w:tcW w:w="2794" w:type="dxa"/>
          </w:tcPr>
          <w:p w14:paraId="387A37FE"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Sample Size (Primary Data)</w:t>
            </w:r>
          </w:p>
        </w:tc>
        <w:tc>
          <w:tcPr>
            <w:tcW w:w="6044" w:type="dxa"/>
          </w:tcPr>
          <w:p w14:paraId="387A37FF" w14:textId="3F8DC0AB"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980EE4">
              <w:rPr>
                <w:rFonts w:ascii="Times New Roman" w:hAnsi="Times New Roman" w:cs="Times New Roman"/>
                <w:sz w:val="24"/>
                <w:szCs w:val="24"/>
                <w:lang w:eastAsia="ar-SA"/>
              </w:rPr>
              <w:t>2</w:t>
            </w:r>
            <w:r>
              <w:rPr>
                <w:rFonts w:ascii="Times New Roman" w:hAnsi="Times New Roman" w:cs="Times New Roman"/>
                <w:sz w:val="24"/>
                <w:szCs w:val="24"/>
                <w:lang w:eastAsia="ar-SA"/>
              </w:rPr>
              <w:t>0 Respondents</w:t>
            </w:r>
          </w:p>
        </w:tc>
      </w:tr>
      <w:tr w:rsidR="00F17D83" w:rsidRPr="00B67EAB" w14:paraId="387A3803" w14:textId="77777777" w:rsidTr="00950912">
        <w:tc>
          <w:tcPr>
            <w:tcW w:w="2794" w:type="dxa"/>
          </w:tcPr>
          <w:p w14:paraId="387A3801"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Statistical Tools</w:t>
            </w:r>
          </w:p>
        </w:tc>
        <w:tc>
          <w:tcPr>
            <w:tcW w:w="6044" w:type="dxa"/>
          </w:tcPr>
          <w:p w14:paraId="387A3802" w14:textId="0F7C6518"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Cross Tabulation,</w:t>
            </w:r>
            <w:r w:rsidR="0088001C">
              <w:rPr>
                <w:rFonts w:ascii="Times New Roman" w:hAnsi="Times New Roman" w:cs="Times New Roman"/>
                <w:sz w:val="24"/>
                <w:szCs w:val="24"/>
                <w:lang w:eastAsia="ar-SA"/>
              </w:rPr>
              <w:t xml:space="preserve"> </w:t>
            </w:r>
            <w:r w:rsidR="009728EF">
              <w:rPr>
                <w:rFonts w:ascii="Times New Roman" w:hAnsi="Times New Roman" w:cs="Times New Roman"/>
                <w:sz w:val="24"/>
                <w:szCs w:val="24"/>
                <w:lang w:eastAsia="ar-SA"/>
              </w:rPr>
              <w:t xml:space="preserve">Descriptive Analysis, Cronbach’s Alpha, Correlation </w:t>
            </w:r>
            <w:r w:rsidR="009E25E9">
              <w:rPr>
                <w:rFonts w:ascii="Times New Roman" w:hAnsi="Times New Roman" w:cs="Times New Roman"/>
                <w:sz w:val="24"/>
                <w:szCs w:val="24"/>
                <w:lang w:eastAsia="ar-SA"/>
              </w:rPr>
              <w:t>Analysis, Regression</w:t>
            </w:r>
            <w:r>
              <w:rPr>
                <w:rFonts w:ascii="Times New Roman" w:hAnsi="Times New Roman" w:cs="Times New Roman"/>
                <w:sz w:val="24"/>
                <w:szCs w:val="24"/>
                <w:lang w:eastAsia="ar-SA"/>
              </w:rPr>
              <w:t xml:space="preserve"> Analysis, </w:t>
            </w:r>
            <w:r w:rsidR="00725476">
              <w:rPr>
                <w:rFonts w:ascii="Times New Roman" w:hAnsi="Times New Roman" w:cs="Times New Roman"/>
                <w:sz w:val="24"/>
                <w:szCs w:val="24"/>
                <w:lang w:eastAsia="ar-SA"/>
              </w:rPr>
              <w:t>Chi-square test</w:t>
            </w:r>
            <w:r w:rsidR="00EF2BB3">
              <w:rPr>
                <w:rFonts w:ascii="Times New Roman" w:hAnsi="Times New Roman" w:cs="Times New Roman"/>
                <w:sz w:val="24"/>
                <w:szCs w:val="24"/>
                <w:lang w:eastAsia="ar-SA"/>
              </w:rPr>
              <w:t>, T test.</w:t>
            </w:r>
          </w:p>
        </w:tc>
      </w:tr>
      <w:tr w:rsidR="00F17D83" w:rsidRPr="00B67EAB" w14:paraId="387A3806" w14:textId="77777777" w:rsidTr="00950912">
        <w:tc>
          <w:tcPr>
            <w:tcW w:w="2794" w:type="dxa"/>
          </w:tcPr>
          <w:p w14:paraId="387A3804"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Sampling Unit </w:t>
            </w:r>
          </w:p>
        </w:tc>
        <w:tc>
          <w:tcPr>
            <w:tcW w:w="6044" w:type="dxa"/>
          </w:tcPr>
          <w:p w14:paraId="387A3805" w14:textId="77777777" w:rsidR="00F17D83" w:rsidRDefault="00BD4538"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Respondents chosen from rural parts of Hassan District</w:t>
            </w:r>
          </w:p>
        </w:tc>
      </w:tr>
      <w:tr w:rsidR="00F17D83" w:rsidRPr="00B67EAB" w14:paraId="387A3809" w14:textId="77777777" w:rsidTr="00950912">
        <w:tc>
          <w:tcPr>
            <w:tcW w:w="2794" w:type="dxa"/>
          </w:tcPr>
          <w:p w14:paraId="387A3807"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Questionnaire Construction</w:t>
            </w:r>
          </w:p>
        </w:tc>
        <w:tc>
          <w:tcPr>
            <w:tcW w:w="6044" w:type="dxa"/>
          </w:tcPr>
          <w:p w14:paraId="387A3808"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Questionnaire was constructed keeping in view the Objectives set. It consists of both Open-Ended and Closed-Ended Questions. The questions were set based on the concept of simplicity and understandability. </w:t>
            </w:r>
          </w:p>
        </w:tc>
      </w:tr>
      <w:tr w:rsidR="00F17D83" w:rsidRPr="00B67EAB" w14:paraId="387A380C" w14:textId="77777777" w:rsidTr="00950912">
        <w:tc>
          <w:tcPr>
            <w:tcW w:w="2794" w:type="dxa"/>
          </w:tcPr>
          <w:p w14:paraId="387A380A"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Scope of the Study</w:t>
            </w:r>
          </w:p>
        </w:tc>
        <w:tc>
          <w:tcPr>
            <w:tcW w:w="6044" w:type="dxa"/>
          </w:tcPr>
          <w:p w14:paraId="387A380B"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Restricted to Hassan District Only</w:t>
            </w:r>
          </w:p>
        </w:tc>
      </w:tr>
      <w:tr w:rsidR="00F17D83" w:rsidRPr="00B67EAB" w14:paraId="387A380F" w14:textId="77777777" w:rsidTr="00950912">
        <w:tc>
          <w:tcPr>
            <w:tcW w:w="2794" w:type="dxa"/>
          </w:tcPr>
          <w:p w14:paraId="387A380D"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Period of Study</w:t>
            </w:r>
          </w:p>
        </w:tc>
        <w:tc>
          <w:tcPr>
            <w:tcW w:w="6044" w:type="dxa"/>
          </w:tcPr>
          <w:p w14:paraId="387A380E" w14:textId="77777777" w:rsidR="00F17D83" w:rsidRDefault="00C8097B"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February, March </w:t>
            </w:r>
            <w:r w:rsidR="00BD4538">
              <w:rPr>
                <w:rFonts w:ascii="Times New Roman" w:hAnsi="Times New Roman" w:cs="Times New Roman"/>
                <w:sz w:val="24"/>
                <w:szCs w:val="24"/>
                <w:lang w:eastAsia="ar-SA"/>
              </w:rPr>
              <w:t xml:space="preserve"> 2026</w:t>
            </w:r>
          </w:p>
        </w:tc>
      </w:tr>
      <w:tr w:rsidR="00F17D83" w:rsidRPr="002D09DC" w14:paraId="387A3816" w14:textId="77777777" w:rsidTr="00950912">
        <w:tc>
          <w:tcPr>
            <w:tcW w:w="2794" w:type="dxa"/>
          </w:tcPr>
          <w:p w14:paraId="387A3810" w14:textId="77777777" w:rsidR="00F17D83" w:rsidRPr="002D09DC" w:rsidRDefault="00F17D83" w:rsidP="00950912">
            <w:pPr>
              <w:pStyle w:val="BodyText"/>
              <w:jc w:val="both"/>
              <w:rPr>
                <w:rFonts w:ascii="Times New Roman" w:hAnsi="Times New Roman" w:cs="Times New Roman"/>
                <w:lang w:eastAsia="ar-SA"/>
              </w:rPr>
            </w:pPr>
            <w:r w:rsidRPr="002D09DC">
              <w:rPr>
                <w:rFonts w:ascii="Times New Roman" w:hAnsi="Times New Roman" w:cs="Times New Roman"/>
                <w:lang w:eastAsia="ar-SA"/>
              </w:rPr>
              <w:t>Limitations of the Study</w:t>
            </w:r>
          </w:p>
        </w:tc>
        <w:tc>
          <w:tcPr>
            <w:tcW w:w="6044" w:type="dxa"/>
          </w:tcPr>
          <w:p w14:paraId="387A3811" w14:textId="77777777" w:rsidR="00F17D83"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Respondents include only rural youth</w:t>
            </w:r>
          </w:p>
          <w:p w14:paraId="387A3812" w14:textId="77777777" w:rsidR="00B35F98"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No comparison was possible</w:t>
            </w:r>
          </w:p>
          <w:p w14:paraId="387A3813"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Sample Size is too small</w:t>
            </w:r>
          </w:p>
          <w:p w14:paraId="387A3814"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Study was completed in a short period of time</w:t>
            </w:r>
          </w:p>
          <w:p w14:paraId="387A3815"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Reluctance of Respondents</w:t>
            </w:r>
          </w:p>
        </w:tc>
      </w:tr>
    </w:tbl>
    <w:p w14:paraId="387A3817" w14:textId="05808FD6" w:rsidR="00F17D83" w:rsidRDefault="00292243" w:rsidP="00F17D83">
      <w:pPr>
        <w:rPr>
          <w:rFonts w:ascii="Times New Roman" w:hAnsi="Times New Roman" w:cs="Times New Roman"/>
          <w:b/>
          <w:bCs/>
          <w:sz w:val="24"/>
          <w:szCs w:val="24"/>
        </w:rPr>
      </w:pPr>
      <w:r w:rsidRPr="00292243">
        <w:rPr>
          <w:rFonts w:ascii="Times New Roman" w:hAnsi="Times New Roman" w:cs="Times New Roman"/>
          <w:b/>
          <w:bCs/>
          <w:sz w:val="24"/>
          <w:szCs w:val="24"/>
        </w:rPr>
        <w:lastRenderedPageBreak/>
        <w:t>Objectives of the Study</w:t>
      </w:r>
    </w:p>
    <w:p w14:paraId="38AF0CDB" w14:textId="7043B9C4" w:rsidR="00AD7C81" w:rsidRDefault="00FA7BF7" w:rsidP="005718EB">
      <w:pPr>
        <w:pStyle w:val="ListParagraph"/>
        <w:numPr>
          <w:ilvl w:val="0"/>
          <w:numId w:val="35"/>
        </w:numPr>
        <w:spacing w:line="360" w:lineRule="auto"/>
        <w:jc w:val="both"/>
        <w:rPr>
          <w:rFonts w:ascii="Times New Roman" w:hAnsi="Times New Roman" w:cs="Times New Roman"/>
          <w:sz w:val="24"/>
          <w:szCs w:val="24"/>
        </w:rPr>
      </w:pPr>
      <w:r w:rsidRPr="00E81693">
        <w:rPr>
          <w:rFonts w:ascii="Times New Roman" w:hAnsi="Times New Roman" w:cs="Times New Roman"/>
          <w:sz w:val="24"/>
          <w:szCs w:val="24"/>
        </w:rPr>
        <w:t>To Understand the level of Financial Literacy among Rural Youth in Hassan District</w:t>
      </w:r>
    </w:p>
    <w:p w14:paraId="03C8FC5F" w14:textId="7752A054" w:rsidR="00E81693" w:rsidRDefault="00712A00"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factors impacting Financial Literacy Levels among Rural Youth in Hassan District</w:t>
      </w:r>
    </w:p>
    <w:p w14:paraId="4D339F8F" w14:textId="26033744" w:rsidR="00712A00" w:rsidRDefault="005A079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Socio-Economic factors impacting the </w:t>
      </w:r>
      <w:r w:rsidR="009F0F03">
        <w:rPr>
          <w:rFonts w:ascii="Times New Roman" w:hAnsi="Times New Roman" w:cs="Times New Roman"/>
          <w:sz w:val="24"/>
          <w:szCs w:val="24"/>
        </w:rPr>
        <w:t>Literacy Levels</w:t>
      </w:r>
    </w:p>
    <w:p w14:paraId="1C93D466" w14:textId="443D6184" w:rsidR="009F0F03" w:rsidRDefault="00C2083E"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the awareness of Banking and Financial Services among rural youth in Hassan District</w:t>
      </w:r>
    </w:p>
    <w:p w14:paraId="4E3F631E" w14:textId="663DACA7" w:rsidR="00C31A2F" w:rsidRDefault="00C31A2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suggest measures to improve Financial Literacy Levels in rural areas of Hassan District. </w:t>
      </w:r>
    </w:p>
    <w:p w14:paraId="08A953E3" w14:textId="592BC6B7" w:rsidR="00664F4F" w:rsidRPr="00C10556" w:rsidRDefault="00A20411"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Hypotheses of the Study</w:t>
      </w:r>
    </w:p>
    <w:p w14:paraId="27DB20AF" w14:textId="5B7A00EA"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Hypothesis—1 </w:t>
      </w:r>
    </w:p>
    <w:p w14:paraId="04B03CAD" w14:textId="1DE2BBE9" w:rsidR="00A20411"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relationship between Education Levels and Financial Literacy</w:t>
      </w:r>
    </w:p>
    <w:p w14:paraId="70440922" w14:textId="00A52B71" w:rsidR="00367738"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Education Levels and Financial Literacy</w:t>
      </w:r>
    </w:p>
    <w:p w14:paraId="0015163D" w14:textId="412FF3E6"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Hypothesis—2 </w:t>
      </w:r>
    </w:p>
    <w:p w14:paraId="65D78FE9" w14:textId="778D479F" w:rsidR="003D33F2" w:rsidRDefault="003D33F2"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D71B1">
        <w:rPr>
          <w:rFonts w:ascii="Times New Roman" w:hAnsi="Times New Roman" w:cs="Times New Roman"/>
          <w:sz w:val="24"/>
          <w:szCs w:val="24"/>
        </w:rPr>
        <w:t>There is</w:t>
      </w:r>
      <w:r w:rsidR="00513490">
        <w:rPr>
          <w:rFonts w:ascii="Times New Roman" w:hAnsi="Times New Roman" w:cs="Times New Roman"/>
          <w:sz w:val="24"/>
          <w:szCs w:val="24"/>
        </w:rPr>
        <w:t xml:space="preserve"> no</w:t>
      </w:r>
      <w:r w:rsidR="00ED71B1">
        <w:rPr>
          <w:rFonts w:ascii="Times New Roman" w:hAnsi="Times New Roman" w:cs="Times New Roman"/>
          <w:sz w:val="24"/>
          <w:szCs w:val="24"/>
        </w:rPr>
        <w:t xml:space="preserve"> significant relationship between Income Levels and Financial Literacy</w:t>
      </w:r>
    </w:p>
    <w:p w14:paraId="21179A34" w14:textId="0FE0DB61" w:rsidR="00513490" w:rsidRDefault="00513490"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Income Levels and Financial Literacy</w:t>
      </w:r>
    </w:p>
    <w:p w14:paraId="7986B911" w14:textId="505E6DEA" w:rsidR="00162D79" w:rsidRPr="00CE609D" w:rsidRDefault="00AE2B00" w:rsidP="005718EB">
      <w:pPr>
        <w:spacing w:line="360" w:lineRule="auto"/>
        <w:jc w:val="both"/>
        <w:rPr>
          <w:rFonts w:ascii="Times New Roman" w:hAnsi="Times New Roman" w:cs="Times New Roman"/>
          <w:b/>
          <w:bCs/>
          <w:sz w:val="24"/>
          <w:szCs w:val="24"/>
        </w:rPr>
      </w:pPr>
      <w:r w:rsidRPr="00CE609D">
        <w:rPr>
          <w:rFonts w:ascii="Times New Roman" w:hAnsi="Times New Roman" w:cs="Times New Roman"/>
          <w:b/>
          <w:bCs/>
          <w:sz w:val="24"/>
          <w:szCs w:val="24"/>
        </w:rPr>
        <w:t>Hypothesis</w:t>
      </w:r>
      <w:r w:rsidR="00CE609D" w:rsidRPr="00CE609D">
        <w:rPr>
          <w:rFonts w:ascii="Times New Roman" w:hAnsi="Times New Roman" w:cs="Times New Roman"/>
          <w:b/>
          <w:bCs/>
          <w:sz w:val="24"/>
          <w:szCs w:val="24"/>
        </w:rPr>
        <w:t xml:space="preserve">—3 </w:t>
      </w:r>
    </w:p>
    <w:p w14:paraId="3E9FCE77" w14:textId="31FE54D8" w:rsidR="00CE609D" w:rsidRDefault="00CE609D"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E4057">
        <w:rPr>
          <w:rFonts w:ascii="Times New Roman" w:hAnsi="Times New Roman" w:cs="Times New Roman"/>
          <w:sz w:val="24"/>
          <w:szCs w:val="24"/>
        </w:rPr>
        <w:t xml:space="preserve">There is no significant </w:t>
      </w:r>
      <w:r w:rsidR="00A0184C">
        <w:rPr>
          <w:rFonts w:ascii="Times New Roman" w:hAnsi="Times New Roman" w:cs="Times New Roman"/>
          <w:sz w:val="24"/>
          <w:szCs w:val="24"/>
        </w:rPr>
        <w:t>relationship between Ma</w:t>
      </w:r>
      <w:r w:rsidR="0035696B">
        <w:rPr>
          <w:rFonts w:ascii="Times New Roman" w:hAnsi="Times New Roman" w:cs="Times New Roman"/>
          <w:sz w:val="24"/>
          <w:szCs w:val="24"/>
        </w:rPr>
        <w:t>le and Female, when it comes to Financial Literacy</w:t>
      </w:r>
    </w:p>
    <w:p w14:paraId="607600C9" w14:textId="6D782844" w:rsidR="0035696B" w:rsidRDefault="0035696B"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Male and Female, when it comes to Financial Literacy</w:t>
      </w:r>
    </w:p>
    <w:p w14:paraId="3CDC65AC" w14:textId="26AB769F" w:rsidR="00FB721D" w:rsidRPr="00FB721D" w:rsidRDefault="00FB721D" w:rsidP="005718EB">
      <w:pPr>
        <w:spacing w:line="360" w:lineRule="auto"/>
        <w:jc w:val="both"/>
        <w:rPr>
          <w:rFonts w:ascii="Times New Roman" w:hAnsi="Times New Roman" w:cs="Times New Roman"/>
          <w:b/>
          <w:bCs/>
          <w:sz w:val="24"/>
          <w:szCs w:val="24"/>
        </w:rPr>
      </w:pPr>
      <w:r w:rsidRPr="00FB721D">
        <w:rPr>
          <w:rFonts w:ascii="Times New Roman" w:hAnsi="Times New Roman" w:cs="Times New Roman"/>
          <w:b/>
          <w:bCs/>
          <w:sz w:val="24"/>
          <w:szCs w:val="24"/>
        </w:rPr>
        <w:t>Hypothesis—4</w:t>
      </w:r>
    </w:p>
    <w:p w14:paraId="22AFE1D9" w14:textId="399D6FC5" w:rsidR="00FB721D" w:rsidRDefault="0018104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8209A2">
        <w:rPr>
          <w:rFonts w:ascii="Times New Roman" w:hAnsi="Times New Roman" w:cs="Times New Roman"/>
          <w:sz w:val="24"/>
          <w:szCs w:val="24"/>
        </w:rPr>
        <w:t xml:space="preserve">Financial Literacy does not depend upon </w:t>
      </w:r>
      <w:r w:rsidR="001137F1">
        <w:rPr>
          <w:rFonts w:ascii="Times New Roman" w:hAnsi="Times New Roman" w:cs="Times New Roman"/>
          <w:sz w:val="24"/>
          <w:szCs w:val="24"/>
        </w:rPr>
        <w:t>Financial Decision Making among Rural Youth</w:t>
      </w:r>
    </w:p>
    <w:p w14:paraId="0BF0940B" w14:textId="4D4D8711" w:rsidR="001137F1" w:rsidRDefault="001137F1"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Financial Literacy influences Financial Decision Making among Rural Youth</w:t>
      </w:r>
    </w:p>
    <w:p w14:paraId="036987B6" w14:textId="0727C117" w:rsidR="00FB721D" w:rsidRPr="002C23B5" w:rsidRDefault="00037B5A" w:rsidP="005718EB">
      <w:pPr>
        <w:spacing w:line="360" w:lineRule="auto"/>
        <w:jc w:val="both"/>
        <w:rPr>
          <w:rFonts w:ascii="Times New Roman" w:hAnsi="Times New Roman" w:cs="Times New Roman"/>
          <w:b/>
          <w:bCs/>
          <w:sz w:val="24"/>
          <w:szCs w:val="24"/>
        </w:rPr>
      </w:pPr>
      <w:r w:rsidRPr="002C23B5">
        <w:rPr>
          <w:rFonts w:ascii="Times New Roman" w:hAnsi="Times New Roman" w:cs="Times New Roman"/>
          <w:b/>
          <w:bCs/>
          <w:sz w:val="24"/>
          <w:szCs w:val="24"/>
        </w:rPr>
        <w:t xml:space="preserve">Hypothesis—5 </w:t>
      </w:r>
    </w:p>
    <w:p w14:paraId="64A34F97" w14:textId="05FCC258" w:rsidR="00367738" w:rsidRDefault="002C23B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CD24DF">
        <w:rPr>
          <w:rFonts w:ascii="Times New Roman" w:hAnsi="Times New Roman" w:cs="Times New Roman"/>
          <w:sz w:val="24"/>
          <w:szCs w:val="24"/>
        </w:rPr>
        <w:t xml:space="preserve">There is no significant relationship between access to </w:t>
      </w:r>
      <w:r w:rsidR="00A8366F">
        <w:rPr>
          <w:rFonts w:ascii="Times New Roman" w:hAnsi="Times New Roman" w:cs="Times New Roman"/>
          <w:sz w:val="24"/>
          <w:szCs w:val="24"/>
        </w:rPr>
        <w:t>Banking</w:t>
      </w:r>
      <w:r w:rsidR="00CD24DF">
        <w:rPr>
          <w:rFonts w:ascii="Times New Roman" w:hAnsi="Times New Roman" w:cs="Times New Roman"/>
          <w:sz w:val="24"/>
          <w:szCs w:val="24"/>
        </w:rPr>
        <w:t xml:space="preserve"> Services and Financial Literacy </w:t>
      </w:r>
    </w:p>
    <w:p w14:paraId="551CD028" w14:textId="2D5E648B" w:rsidR="00A8366F" w:rsidRDefault="00A8366F"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H1: There is significant relationship between access to Banking Services and Financial Literacy</w:t>
      </w:r>
    </w:p>
    <w:p w14:paraId="53C844A8" w14:textId="59FFC027" w:rsidR="001A338C" w:rsidRPr="008540AD" w:rsidRDefault="008540AD" w:rsidP="00664F4F">
      <w:pPr>
        <w:rPr>
          <w:rFonts w:ascii="Times New Roman" w:hAnsi="Times New Roman" w:cs="Times New Roman"/>
          <w:b/>
          <w:bCs/>
          <w:sz w:val="24"/>
          <w:szCs w:val="24"/>
        </w:rPr>
      </w:pPr>
      <w:r w:rsidRPr="008540AD">
        <w:rPr>
          <w:rFonts w:ascii="Times New Roman" w:hAnsi="Times New Roman" w:cs="Times New Roman"/>
          <w:b/>
          <w:bCs/>
          <w:sz w:val="24"/>
          <w:szCs w:val="24"/>
        </w:rPr>
        <w:t>ANALYSIS AND INTEPRETATION</w:t>
      </w:r>
    </w:p>
    <w:p w14:paraId="7F560083" w14:textId="40C49CE2" w:rsidR="001A338C" w:rsidRDefault="009744EE"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In the current study the collected data has been systematically analysed and interpreted to arrive at concrete results</w:t>
      </w:r>
      <w:r w:rsidR="00B91695">
        <w:rPr>
          <w:rFonts w:ascii="Times New Roman" w:hAnsi="Times New Roman" w:cs="Times New Roman"/>
          <w:sz w:val="24"/>
          <w:szCs w:val="24"/>
        </w:rPr>
        <w:t xml:space="preserve"> and insights into financial literacy levels of rural youth in Hassan District. The data for the study is been systematically collected using structured questionnaire. The responses were coded</w:t>
      </w:r>
      <w:r w:rsidR="007825D2">
        <w:rPr>
          <w:rFonts w:ascii="Times New Roman" w:hAnsi="Times New Roman" w:cs="Times New Roman"/>
          <w:sz w:val="24"/>
          <w:szCs w:val="24"/>
        </w:rPr>
        <w:t xml:space="preserve">, classified and tabulated for statistical analysis. Descriptive and Inferential statistical tools are being used to measure the accuracy, reliability and the validity of the collected data. </w:t>
      </w:r>
    </w:p>
    <w:p w14:paraId="4B21A7E5" w14:textId="12B71863" w:rsidR="00D10C25" w:rsidRDefault="00D10C25" w:rsidP="007825D2">
      <w:pPr>
        <w:spacing w:line="360" w:lineRule="auto"/>
        <w:jc w:val="both"/>
        <w:rPr>
          <w:rFonts w:ascii="Times New Roman" w:hAnsi="Times New Roman" w:cs="Times New Roman"/>
          <w:b/>
          <w:bCs/>
          <w:sz w:val="24"/>
          <w:szCs w:val="24"/>
        </w:rPr>
      </w:pPr>
      <w:r w:rsidRPr="00D10C25">
        <w:rPr>
          <w:rFonts w:ascii="Times New Roman" w:hAnsi="Times New Roman" w:cs="Times New Roman"/>
          <w:b/>
          <w:bCs/>
          <w:sz w:val="24"/>
          <w:szCs w:val="24"/>
        </w:rPr>
        <w:t>Tables presented below for analysis purpose:</w:t>
      </w:r>
    </w:p>
    <w:p w14:paraId="3B89F56E" w14:textId="40A7AB64" w:rsidR="00660C23" w:rsidRPr="00D10C25" w:rsidRDefault="00660C23" w:rsidP="00782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ANALYSIS</w:t>
      </w:r>
    </w:p>
    <w:tbl>
      <w:tblPr>
        <w:tblStyle w:val="TableGrid"/>
        <w:tblW w:w="0" w:type="auto"/>
        <w:tblLook w:val="04A0" w:firstRow="1" w:lastRow="0" w:firstColumn="1" w:lastColumn="0" w:noHBand="0" w:noVBand="1"/>
      </w:tblPr>
      <w:tblGrid>
        <w:gridCol w:w="3005"/>
        <w:gridCol w:w="3005"/>
        <w:gridCol w:w="3006"/>
      </w:tblGrid>
      <w:tr w:rsidR="00D10C25" w14:paraId="568A3B0B" w14:textId="77777777" w:rsidTr="00D10C25">
        <w:tc>
          <w:tcPr>
            <w:tcW w:w="3005" w:type="dxa"/>
          </w:tcPr>
          <w:p w14:paraId="7AFB735B" w14:textId="47F0BEB6"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005" w:type="dxa"/>
          </w:tcPr>
          <w:p w14:paraId="1B8574C1" w14:textId="4D36B89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3006" w:type="dxa"/>
          </w:tcPr>
          <w:p w14:paraId="69DCCBFB" w14:textId="6D42191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D10C25" w14:paraId="72BF3151" w14:textId="77777777" w:rsidTr="00D10C25">
        <w:tc>
          <w:tcPr>
            <w:tcW w:w="3005" w:type="dxa"/>
          </w:tcPr>
          <w:p w14:paraId="1007ED31" w14:textId="4E8B0E3E"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005" w:type="dxa"/>
          </w:tcPr>
          <w:p w14:paraId="1B231C43" w14:textId="5E496CCC" w:rsidR="00D10C25" w:rsidRDefault="00980EE4"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3006" w:type="dxa"/>
          </w:tcPr>
          <w:p w14:paraId="2CFFF74E" w14:textId="2425D37C" w:rsidR="00D10C25"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64.16%</w:t>
            </w:r>
          </w:p>
        </w:tc>
      </w:tr>
      <w:tr w:rsidR="00980EE4" w14:paraId="3407A128" w14:textId="77777777" w:rsidTr="00D10C25">
        <w:tc>
          <w:tcPr>
            <w:tcW w:w="3005" w:type="dxa"/>
          </w:tcPr>
          <w:p w14:paraId="757175DF" w14:textId="22CBBC1A" w:rsidR="00980EE4" w:rsidRDefault="00980EE4"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05" w:type="dxa"/>
          </w:tcPr>
          <w:p w14:paraId="1CC3E3C0" w14:textId="4F24515A" w:rsidR="00980EE4" w:rsidRDefault="00220737"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006" w:type="dxa"/>
          </w:tcPr>
          <w:p w14:paraId="2204FA6B" w14:textId="17A55E45" w:rsidR="00980EE4"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35.83%</w:t>
            </w:r>
          </w:p>
        </w:tc>
      </w:tr>
      <w:tr w:rsidR="00EF16D3" w14:paraId="1482228B" w14:textId="77777777" w:rsidTr="00D10C25">
        <w:tc>
          <w:tcPr>
            <w:tcW w:w="3005" w:type="dxa"/>
          </w:tcPr>
          <w:p w14:paraId="67C7C5F0" w14:textId="11D23225" w:rsidR="00EF16D3" w:rsidRDefault="00EF16D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05" w:type="dxa"/>
          </w:tcPr>
          <w:p w14:paraId="7601822B" w14:textId="0987802F" w:rsidR="00EF16D3" w:rsidRDefault="00EF16D3"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32EBA0BC" w14:textId="79098316" w:rsidR="00EF16D3"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5DF27E" w14:textId="77777777" w:rsidR="001A338C" w:rsidRDefault="001A338C" w:rsidP="007825D2">
      <w:pPr>
        <w:spacing w:line="360" w:lineRule="auto"/>
        <w:jc w:val="both"/>
        <w:rPr>
          <w:rFonts w:ascii="Times New Roman" w:hAnsi="Times New Roman" w:cs="Times New Roman"/>
          <w:sz w:val="24"/>
          <w:szCs w:val="24"/>
        </w:rPr>
      </w:pPr>
    </w:p>
    <w:p w14:paraId="7C7103C8" w14:textId="2BD066A6" w:rsidR="006C2213" w:rsidRDefault="006C221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of the respondents are Male which is close to 65% of the selected population. This indicates that a higher participation of </w:t>
      </w:r>
      <w:r w:rsidR="00660C23">
        <w:rPr>
          <w:rFonts w:ascii="Times New Roman" w:hAnsi="Times New Roman" w:cs="Times New Roman"/>
          <w:sz w:val="24"/>
          <w:szCs w:val="24"/>
        </w:rPr>
        <w:t xml:space="preserve">rural Male Youth in the study. </w:t>
      </w:r>
    </w:p>
    <w:p w14:paraId="4424DAD6" w14:textId="31DCF3C1" w:rsidR="001A338C" w:rsidRPr="00660C23" w:rsidRDefault="00660C23" w:rsidP="00664F4F">
      <w:pPr>
        <w:rPr>
          <w:rFonts w:ascii="Times New Roman" w:hAnsi="Times New Roman" w:cs="Times New Roman"/>
          <w:b/>
          <w:bCs/>
          <w:sz w:val="24"/>
          <w:szCs w:val="24"/>
        </w:rPr>
      </w:pPr>
      <w:r w:rsidRPr="00660C23">
        <w:rPr>
          <w:rFonts w:ascii="Times New Roman" w:hAnsi="Times New Roman" w:cs="Times New Roman"/>
          <w:b/>
          <w:bCs/>
          <w:sz w:val="24"/>
          <w:szCs w:val="24"/>
        </w:rPr>
        <w:t>AGE GROUP ANALYSIS</w:t>
      </w:r>
    </w:p>
    <w:tbl>
      <w:tblPr>
        <w:tblStyle w:val="TableGrid"/>
        <w:tblW w:w="0" w:type="auto"/>
        <w:tblLook w:val="04A0" w:firstRow="1" w:lastRow="0" w:firstColumn="1" w:lastColumn="0" w:noHBand="0" w:noVBand="1"/>
      </w:tblPr>
      <w:tblGrid>
        <w:gridCol w:w="3005"/>
        <w:gridCol w:w="3005"/>
        <w:gridCol w:w="3006"/>
      </w:tblGrid>
      <w:tr w:rsidR="0059115A" w14:paraId="25C5AC72" w14:textId="77777777" w:rsidTr="0059115A">
        <w:tc>
          <w:tcPr>
            <w:tcW w:w="3005" w:type="dxa"/>
          </w:tcPr>
          <w:p w14:paraId="23C8E436" w14:textId="19D713E6" w:rsidR="0059115A" w:rsidRDefault="0059115A" w:rsidP="00664F4F">
            <w:pPr>
              <w:rPr>
                <w:rFonts w:ascii="Times New Roman" w:hAnsi="Times New Roman" w:cs="Times New Roman"/>
                <w:sz w:val="24"/>
                <w:szCs w:val="24"/>
              </w:rPr>
            </w:pPr>
            <w:r>
              <w:rPr>
                <w:rFonts w:ascii="Times New Roman" w:hAnsi="Times New Roman" w:cs="Times New Roman"/>
                <w:sz w:val="24"/>
                <w:szCs w:val="24"/>
              </w:rPr>
              <w:t>AGE GROUP</w:t>
            </w:r>
          </w:p>
        </w:tc>
        <w:tc>
          <w:tcPr>
            <w:tcW w:w="3005" w:type="dxa"/>
          </w:tcPr>
          <w:p w14:paraId="6CE7BC2A" w14:textId="58DC0AD5" w:rsidR="0059115A" w:rsidRDefault="0059115A" w:rsidP="00664F4F">
            <w:pPr>
              <w:rPr>
                <w:rFonts w:ascii="Times New Roman" w:hAnsi="Times New Roman" w:cs="Times New Roman"/>
                <w:sz w:val="24"/>
                <w:szCs w:val="24"/>
              </w:rPr>
            </w:pPr>
            <w:r>
              <w:rPr>
                <w:rFonts w:ascii="Times New Roman" w:hAnsi="Times New Roman" w:cs="Times New Roman"/>
                <w:sz w:val="24"/>
                <w:szCs w:val="24"/>
              </w:rPr>
              <w:t>REPONDENTS</w:t>
            </w:r>
          </w:p>
        </w:tc>
        <w:tc>
          <w:tcPr>
            <w:tcW w:w="3006" w:type="dxa"/>
          </w:tcPr>
          <w:p w14:paraId="112A7B37" w14:textId="7DEF644D" w:rsidR="0059115A" w:rsidRDefault="0059115A" w:rsidP="00664F4F">
            <w:pPr>
              <w:rPr>
                <w:rFonts w:ascii="Times New Roman" w:hAnsi="Times New Roman" w:cs="Times New Roman"/>
                <w:sz w:val="24"/>
                <w:szCs w:val="24"/>
              </w:rPr>
            </w:pPr>
            <w:r>
              <w:rPr>
                <w:rFonts w:ascii="Times New Roman" w:hAnsi="Times New Roman" w:cs="Times New Roman"/>
                <w:sz w:val="24"/>
                <w:szCs w:val="24"/>
              </w:rPr>
              <w:t>PERCENTAGE</w:t>
            </w:r>
          </w:p>
        </w:tc>
      </w:tr>
      <w:tr w:rsidR="0059115A" w14:paraId="5FE1FC41" w14:textId="77777777" w:rsidTr="0059115A">
        <w:tc>
          <w:tcPr>
            <w:tcW w:w="3005" w:type="dxa"/>
          </w:tcPr>
          <w:p w14:paraId="2B75657C" w14:textId="4C79765F" w:rsidR="0059115A" w:rsidRDefault="0059115A" w:rsidP="00664F4F">
            <w:pPr>
              <w:rPr>
                <w:rFonts w:ascii="Times New Roman" w:hAnsi="Times New Roman" w:cs="Times New Roman"/>
                <w:sz w:val="24"/>
                <w:szCs w:val="24"/>
              </w:rPr>
            </w:pPr>
            <w:r>
              <w:rPr>
                <w:rFonts w:ascii="Times New Roman" w:hAnsi="Times New Roman" w:cs="Times New Roman"/>
                <w:sz w:val="24"/>
                <w:szCs w:val="24"/>
              </w:rPr>
              <w:t>18-25</w:t>
            </w:r>
          </w:p>
        </w:tc>
        <w:tc>
          <w:tcPr>
            <w:tcW w:w="3005" w:type="dxa"/>
          </w:tcPr>
          <w:p w14:paraId="51C3183E" w14:textId="2B74ABDA"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38</w:t>
            </w:r>
          </w:p>
        </w:tc>
        <w:tc>
          <w:tcPr>
            <w:tcW w:w="3006" w:type="dxa"/>
          </w:tcPr>
          <w:p w14:paraId="4485E654" w14:textId="37370BBA" w:rsidR="0059115A" w:rsidRDefault="00BB41E7" w:rsidP="00664F4F">
            <w:pPr>
              <w:rPr>
                <w:rFonts w:ascii="Times New Roman" w:hAnsi="Times New Roman" w:cs="Times New Roman"/>
                <w:sz w:val="24"/>
                <w:szCs w:val="24"/>
              </w:rPr>
            </w:pPr>
            <w:r>
              <w:rPr>
                <w:rFonts w:ascii="Times New Roman" w:hAnsi="Times New Roman" w:cs="Times New Roman"/>
                <w:sz w:val="24"/>
                <w:szCs w:val="24"/>
              </w:rPr>
              <w:t>31.66%</w:t>
            </w:r>
          </w:p>
        </w:tc>
      </w:tr>
      <w:tr w:rsidR="0059115A" w14:paraId="6A84A125" w14:textId="77777777" w:rsidTr="0059115A">
        <w:tc>
          <w:tcPr>
            <w:tcW w:w="3005" w:type="dxa"/>
          </w:tcPr>
          <w:p w14:paraId="113D5644" w14:textId="6050EBFE" w:rsidR="0059115A" w:rsidRDefault="0059115A" w:rsidP="00664F4F">
            <w:pPr>
              <w:rPr>
                <w:rFonts w:ascii="Times New Roman" w:hAnsi="Times New Roman" w:cs="Times New Roman"/>
                <w:sz w:val="24"/>
                <w:szCs w:val="24"/>
              </w:rPr>
            </w:pPr>
            <w:r>
              <w:rPr>
                <w:rFonts w:ascii="Times New Roman" w:hAnsi="Times New Roman" w:cs="Times New Roman"/>
                <w:sz w:val="24"/>
                <w:szCs w:val="24"/>
              </w:rPr>
              <w:t>26-30</w:t>
            </w:r>
          </w:p>
        </w:tc>
        <w:tc>
          <w:tcPr>
            <w:tcW w:w="3005" w:type="dxa"/>
          </w:tcPr>
          <w:p w14:paraId="79231F54" w14:textId="0FDE9996"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22</w:t>
            </w:r>
          </w:p>
        </w:tc>
        <w:tc>
          <w:tcPr>
            <w:tcW w:w="3006" w:type="dxa"/>
          </w:tcPr>
          <w:p w14:paraId="5375D54C" w14:textId="30D4C40D" w:rsidR="0059115A" w:rsidRDefault="00BB41E7" w:rsidP="00664F4F">
            <w:pPr>
              <w:rPr>
                <w:rFonts w:ascii="Times New Roman" w:hAnsi="Times New Roman" w:cs="Times New Roman"/>
                <w:sz w:val="24"/>
                <w:szCs w:val="24"/>
              </w:rPr>
            </w:pPr>
            <w:r>
              <w:rPr>
                <w:rFonts w:ascii="Times New Roman" w:hAnsi="Times New Roman" w:cs="Times New Roman"/>
                <w:sz w:val="24"/>
                <w:szCs w:val="24"/>
              </w:rPr>
              <w:t>18.33%</w:t>
            </w:r>
          </w:p>
        </w:tc>
      </w:tr>
      <w:tr w:rsidR="0059115A" w14:paraId="4935F837" w14:textId="77777777" w:rsidTr="0059115A">
        <w:tc>
          <w:tcPr>
            <w:tcW w:w="3005" w:type="dxa"/>
          </w:tcPr>
          <w:p w14:paraId="35227C19" w14:textId="398C6A7B" w:rsidR="0059115A" w:rsidRDefault="0059115A" w:rsidP="00664F4F">
            <w:pPr>
              <w:rPr>
                <w:rFonts w:ascii="Times New Roman" w:hAnsi="Times New Roman" w:cs="Times New Roman"/>
                <w:sz w:val="24"/>
                <w:szCs w:val="24"/>
              </w:rPr>
            </w:pPr>
            <w:r>
              <w:rPr>
                <w:rFonts w:ascii="Times New Roman" w:hAnsi="Times New Roman" w:cs="Times New Roman"/>
                <w:sz w:val="24"/>
                <w:szCs w:val="24"/>
              </w:rPr>
              <w:t>31-36</w:t>
            </w:r>
          </w:p>
        </w:tc>
        <w:tc>
          <w:tcPr>
            <w:tcW w:w="3005" w:type="dxa"/>
          </w:tcPr>
          <w:p w14:paraId="06FFA227" w14:textId="5CD7C035" w:rsidR="0059115A" w:rsidRDefault="00BB41E7" w:rsidP="00BB41E7">
            <w:pPr>
              <w:jc w:val="center"/>
              <w:rPr>
                <w:rFonts w:ascii="Times New Roman" w:hAnsi="Times New Roman" w:cs="Times New Roman"/>
                <w:sz w:val="24"/>
                <w:szCs w:val="24"/>
              </w:rPr>
            </w:pPr>
            <w:r>
              <w:rPr>
                <w:rFonts w:ascii="Times New Roman" w:hAnsi="Times New Roman" w:cs="Times New Roman"/>
                <w:sz w:val="24"/>
                <w:szCs w:val="24"/>
              </w:rPr>
              <w:t>60</w:t>
            </w:r>
          </w:p>
        </w:tc>
        <w:tc>
          <w:tcPr>
            <w:tcW w:w="3006" w:type="dxa"/>
          </w:tcPr>
          <w:p w14:paraId="17FC6832" w14:textId="482E0854" w:rsidR="0059115A" w:rsidRDefault="00BB41E7" w:rsidP="00664F4F">
            <w:pPr>
              <w:rPr>
                <w:rFonts w:ascii="Times New Roman" w:hAnsi="Times New Roman" w:cs="Times New Roman"/>
                <w:sz w:val="24"/>
                <w:szCs w:val="24"/>
              </w:rPr>
            </w:pPr>
            <w:r>
              <w:rPr>
                <w:rFonts w:ascii="Times New Roman" w:hAnsi="Times New Roman" w:cs="Times New Roman"/>
                <w:sz w:val="24"/>
                <w:szCs w:val="24"/>
              </w:rPr>
              <w:t>50%</w:t>
            </w:r>
          </w:p>
        </w:tc>
      </w:tr>
      <w:tr w:rsidR="007F5B4D" w14:paraId="2489985D" w14:textId="77777777" w:rsidTr="0059115A">
        <w:tc>
          <w:tcPr>
            <w:tcW w:w="3005" w:type="dxa"/>
          </w:tcPr>
          <w:p w14:paraId="6FCCF83D" w14:textId="4A81C008" w:rsidR="007F5B4D" w:rsidRDefault="007F5B4D" w:rsidP="00664F4F">
            <w:pPr>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255C2C1B" w14:textId="197BB4D3" w:rsidR="007F5B4D" w:rsidRDefault="00BB41E7" w:rsidP="00BB41E7">
            <w:pPr>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5C14C9AB" w14:textId="70FEF990" w:rsidR="007F5B4D" w:rsidRDefault="007559A2" w:rsidP="00664F4F">
            <w:pPr>
              <w:rPr>
                <w:rFonts w:ascii="Times New Roman" w:hAnsi="Times New Roman" w:cs="Times New Roman"/>
                <w:sz w:val="24"/>
                <w:szCs w:val="24"/>
              </w:rPr>
            </w:pPr>
            <w:r>
              <w:rPr>
                <w:rFonts w:ascii="Times New Roman" w:hAnsi="Times New Roman" w:cs="Times New Roman"/>
                <w:sz w:val="24"/>
                <w:szCs w:val="24"/>
              </w:rPr>
              <w:t>100%</w:t>
            </w:r>
          </w:p>
        </w:tc>
      </w:tr>
    </w:tbl>
    <w:p w14:paraId="6AF6A1BE" w14:textId="77777777" w:rsidR="001A338C" w:rsidRDefault="001A338C" w:rsidP="00664F4F">
      <w:pPr>
        <w:rPr>
          <w:rFonts w:ascii="Times New Roman" w:hAnsi="Times New Roman" w:cs="Times New Roman"/>
          <w:sz w:val="24"/>
          <w:szCs w:val="24"/>
        </w:rPr>
      </w:pPr>
    </w:p>
    <w:p w14:paraId="527E836D" w14:textId="69CE2F96" w:rsidR="007559A2" w:rsidRDefault="007559A2" w:rsidP="00664F4F">
      <w:pPr>
        <w:rPr>
          <w:rFonts w:ascii="Times New Roman" w:hAnsi="Times New Roman" w:cs="Times New Roman"/>
          <w:sz w:val="24"/>
          <w:szCs w:val="24"/>
        </w:rPr>
      </w:pPr>
      <w:r>
        <w:rPr>
          <w:rFonts w:ascii="Times New Roman" w:hAnsi="Times New Roman" w:cs="Times New Roman"/>
          <w:sz w:val="24"/>
          <w:szCs w:val="24"/>
        </w:rPr>
        <w:t xml:space="preserve">The majority of respondents in this survey belong to 31 to 36 </w:t>
      </w:r>
      <w:r w:rsidR="003317FD">
        <w:rPr>
          <w:rFonts w:ascii="Times New Roman" w:hAnsi="Times New Roman" w:cs="Times New Roman"/>
          <w:sz w:val="24"/>
          <w:szCs w:val="24"/>
        </w:rPr>
        <w:t>categories</w:t>
      </w:r>
      <w:r>
        <w:rPr>
          <w:rFonts w:ascii="Times New Roman" w:hAnsi="Times New Roman" w:cs="Times New Roman"/>
          <w:sz w:val="24"/>
          <w:szCs w:val="24"/>
        </w:rPr>
        <w:t xml:space="preserve"> indicating the maturity levels of the respondents. </w:t>
      </w:r>
    </w:p>
    <w:p w14:paraId="5BCBC2CA" w14:textId="1CAEE0B0" w:rsidR="00BF1BCE" w:rsidRPr="00BF1BCE" w:rsidRDefault="00BF1BCE" w:rsidP="00664F4F">
      <w:pPr>
        <w:rPr>
          <w:rFonts w:ascii="Times New Roman" w:hAnsi="Times New Roman" w:cs="Times New Roman"/>
          <w:b/>
          <w:bCs/>
          <w:sz w:val="24"/>
          <w:szCs w:val="24"/>
        </w:rPr>
      </w:pPr>
      <w:r w:rsidRPr="00BF1BCE">
        <w:rPr>
          <w:rFonts w:ascii="Times New Roman" w:hAnsi="Times New Roman" w:cs="Times New Roman"/>
          <w:b/>
          <w:bCs/>
          <w:sz w:val="24"/>
          <w:szCs w:val="24"/>
        </w:rPr>
        <w:t>EDUCATION LEVEL</w:t>
      </w:r>
    </w:p>
    <w:tbl>
      <w:tblPr>
        <w:tblStyle w:val="TableGrid"/>
        <w:tblW w:w="0" w:type="auto"/>
        <w:tblLook w:val="04A0" w:firstRow="1" w:lastRow="0" w:firstColumn="1" w:lastColumn="0" w:noHBand="0" w:noVBand="1"/>
      </w:tblPr>
      <w:tblGrid>
        <w:gridCol w:w="3005"/>
        <w:gridCol w:w="3005"/>
        <w:gridCol w:w="3006"/>
      </w:tblGrid>
      <w:tr w:rsidR="006741F3" w:rsidRPr="006741F3" w14:paraId="4443A8C1" w14:textId="77777777" w:rsidTr="006741F3">
        <w:tc>
          <w:tcPr>
            <w:tcW w:w="3005" w:type="dxa"/>
          </w:tcPr>
          <w:p w14:paraId="66918173" w14:textId="7D09CC72" w:rsidR="006741F3" w:rsidRPr="006741F3" w:rsidRDefault="006741F3" w:rsidP="008504C3">
            <w:pPr>
              <w:pStyle w:val="NormalWeb"/>
              <w:jc w:val="center"/>
            </w:pPr>
            <w:r w:rsidRPr="006741F3">
              <w:t>Education Level</w:t>
            </w:r>
          </w:p>
        </w:tc>
        <w:tc>
          <w:tcPr>
            <w:tcW w:w="3005" w:type="dxa"/>
          </w:tcPr>
          <w:p w14:paraId="7720124F" w14:textId="44CEBBAA" w:rsidR="006741F3" w:rsidRPr="006741F3" w:rsidRDefault="006741F3" w:rsidP="008504C3">
            <w:pPr>
              <w:pStyle w:val="NormalWeb"/>
              <w:jc w:val="center"/>
            </w:pPr>
            <w:r w:rsidRPr="006741F3">
              <w:t>Respondents</w:t>
            </w:r>
          </w:p>
        </w:tc>
        <w:tc>
          <w:tcPr>
            <w:tcW w:w="3006" w:type="dxa"/>
          </w:tcPr>
          <w:p w14:paraId="246B525E" w14:textId="5FB82CB8" w:rsidR="006741F3" w:rsidRPr="006741F3" w:rsidRDefault="006741F3" w:rsidP="008504C3">
            <w:pPr>
              <w:pStyle w:val="NormalWeb"/>
              <w:jc w:val="center"/>
            </w:pPr>
            <w:r w:rsidRPr="006741F3">
              <w:t>Percentage</w:t>
            </w:r>
          </w:p>
        </w:tc>
      </w:tr>
      <w:tr w:rsidR="006741F3" w:rsidRPr="006741F3" w14:paraId="1D155241" w14:textId="77777777" w:rsidTr="006741F3">
        <w:tc>
          <w:tcPr>
            <w:tcW w:w="3005" w:type="dxa"/>
          </w:tcPr>
          <w:p w14:paraId="72ADCE53" w14:textId="602FF02B" w:rsidR="006741F3" w:rsidRPr="006741F3" w:rsidRDefault="006741F3" w:rsidP="00165BB3">
            <w:pPr>
              <w:pStyle w:val="NormalWeb"/>
            </w:pPr>
            <w:r>
              <w:t>SSLC</w:t>
            </w:r>
          </w:p>
        </w:tc>
        <w:tc>
          <w:tcPr>
            <w:tcW w:w="3005" w:type="dxa"/>
          </w:tcPr>
          <w:p w14:paraId="10D13AAB" w14:textId="1E93E5DD" w:rsidR="006741F3" w:rsidRPr="006741F3" w:rsidRDefault="00A3562C" w:rsidP="00A3562C">
            <w:pPr>
              <w:pStyle w:val="NormalWeb"/>
              <w:jc w:val="center"/>
            </w:pPr>
            <w:r>
              <w:t>21</w:t>
            </w:r>
          </w:p>
        </w:tc>
        <w:tc>
          <w:tcPr>
            <w:tcW w:w="3006" w:type="dxa"/>
          </w:tcPr>
          <w:p w14:paraId="45C476FB" w14:textId="12F5BECE" w:rsidR="006741F3" w:rsidRPr="006741F3" w:rsidRDefault="002032D2" w:rsidP="00CE64C7">
            <w:pPr>
              <w:pStyle w:val="NormalWeb"/>
              <w:jc w:val="center"/>
            </w:pPr>
            <w:r>
              <w:t>17.5%</w:t>
            </w:r>
          </w:p>
        </w:tc>
      </w:tr>
      <w:tr w:rsidR="006741F3" w:rsidRPr="006741F3" w14:paraId="1AB97D42" w14:textId="77777777" w:rsidTr="006741F3">
        <w:tc>
          <w:tcPr>
            <w:tcW w:w="3005" w:type="dxa"/>
          </w:tcPr>
          <w:p w14:paraId="05FBFD6D" w14:textId="4E733942" w:rsidR="006741F3" w:rsidRDefault="006741F3" w:rsidP="00165BB3">
            <w:pPr>
              <w:pStyle w:val="NormalWeb"/>
            </w:pPr>
            <w:r>
              <w:t>PUC</w:t>
            </w:r>
          </w:p>
        </w:tc>
        <w:tc>
          <w:tcPr>
            <w:tcW w:w="3005" w:type="dxa"/>
          </w:tcPr>
          <w:p w14:paraId="2F35E988" w14:textId="55975DEA" w:rsidR="006741F3" w:rsidRPr="006741F3" w:rsidRDefault="00A3562C" w:rsidP="00A3562C">
            <w:pPr>
              <w:pStyle w:val="NormalWeb"/>
              <w:jc w:val="center"/>
            </w:pPr>
            <w:r>
              <w:t>39</w:t>
            </w:r>
          </w:p>
        </w:tc>
        <w:tc>
          <w:tcPr>
            <w:tcW w:w="3006" w:type="dxa"/>
          </w:tcPr>
          <w:p w14:paraId="424CE351" w14:textId="5E043DE9" w:rsidR="006741F3" w:rsidRPr="006741F3" w:rsidRDefault="002032D2" w:rsidP="00CE64C7">
            <w:pPr>
              <w:pStyle w:val="NormalWeb"/>
              <w:jc w:val="center"/>
            </w:pPr>
            <w:r>
              <w:t>32.5%</w:t>
            </w:r>
          </w:p>
        </w:tc>
      </w:tr>
      <w:tr w:rsidR="006741F3" w:rsidRPr="006741F3" w14:paraId="32689928" w14:textId="77777777" w:rsidTr="006741F3">
        <w:tc>
          <w:tcPr>
            <w:tcW w:w="3005" w:type="dxa"/>
          </w:tcPr>
          <w:p w14:paraId="2C434788" w14:textId="7474BE5D" w:rsidR="006741F3" w:rsidRDefault="006741F3" w:rsidP="00165BB3">
            <w:pPr>
              <w:pStyle w:val="NormalWeb"/>
            </w:pPr>
            <w:r>
              <w:t>UNDER GRADUATION</w:t>
            </w:r>
          </w:p>
        </w:tc>
        <w:tc>
          <w:tcPr>
            <w:tcW w:w="3005" w:type="dxa"/>
          </w:tcPr>
          <w:p w14:paraId="2C1BF071" w14:textId="4E3D0BE9" w:rsidR="006741F3" w:rsidRPr="006741F3" w:rsidRDefault="00A3562C" w:rsidP="00A3562C">
            <w:pPr>
              <w:pStyle w:val="NormalWeb"/>
              <w:jc w:val="center"/>
            </w:pPr>
            <w:r>
              <w:t>52</w:t>
            </w:r>
          </w:p>
        </w:tc>
        <w:tc>
          <w:tcPr>
            <w:tcW w:w="3006" w:type="dxa"/>
          </w:tcPr>
          <w:p w14:paraId="46E3F631" w14:textId="75390DB1" w:rsidR="006741F3" w:rsidRPr="006741F3" w:rsidRDefault="002032D2" w:rsidP="00CE64C7">
            <w:pPr>
              <w:pStyle w:val="NormalWeb"/>
              <w:jc w:val="center"/>
            </w:pPr>
            <w:r>
              <w:t>43.4%</w:t>
            </w:r>
          </w:p>
        </w:tc>
      </w:tr>
      <w:tr w:rsidR="006741F3" w:rsidRPr="006741F3" w14:paraId="4F4E423F" w14:textId="77777777" w:rsidTr="006741F3">
        <w:tc>
          <w:tcPr>
            <w:tcW w:w="3005" w:type="dxa"/>
          </w:tcPr>
          <w:p w14:paraId="6F568952" w14:textId="7FECB392" w:rsidR="006741F3" w:rsidRDefault="006741F3" w:rsidP="00165BB3">
            <w:pPr>
              <w:pStyle w:val="NormalWeb"/>
            </w:pPr>
            <w:r>
              <w:t>POST GRADUATION</w:t>
            </w:r>
          </w:p>
        </w:tc>
        <w:tc>
          <w:tcPr>
            <w:tcW w:w="3005" w:type="dxa"/>
          </w:tcPr>
          <w:p w14:paraId="65DEFE95" w14:textId="46D4DB43" w:rsidR="006741F3" w:rsidRPr="006741F3" w:rsidRDefault="00A3562C" w:rsidP="00A3562C">
            <w:pPr>
              <w:pStyle w:val="NormalWeb"/>
              <w:jc w:val="center"/>
            </w:pPr>
            <w:r>
              <w:t>08</w:t>
            </w:r>
          </w:p>
        </w:tc>
        <w:tc>
          <w:tcPr>
            <w:tcW w:w="3006" w:type="dxa"/>
          </w:tcPr>
          <w:p w14:paraId="36D97445" w14:textId="485FCBC5" w:rsidR="006741F3" w:rsidRPr="006741F3" w:rsidRDefault="002032D2" w:rsidP="00CE64C7">
            <w:pPr>
              <w:pStyle w:val="NormalWeb"/>
              <w:jc w:val="center"/>
            </w:pPr>
            <w:r>
              <w:t>6.67%</w:t>
            </w:r>
          </w:p>
        </w:tc>
      </w:tr>
      <w:tr w:rsidR="00A3562C" w:rsidRPr="006741F3" w14:paraId="2C284AE2" w14:textId="77777777" w:rsidTr="006741F3">
        <w:tc>
          <w:tcPr>
            <w:tcW w:w="3005" w:type="dxa"/>
          </w:tcPr>
          <w:p w14:paraId="78A7D5F7" w14:textId="2B4290C1" w:rsidR="00A3562C" w:rsidRDefault="00A3562C" w:rsidP="00165BB3">
            <w:pPr>
              <w:pStyle w:val="NormalWeb"/>
            </w:pPr>
            <w:r>
              <w:t>TOTAL</w:t>
            </w:r>
          </w:p>
        </w:tc>
        <w:tc>
          <w:tcPr>
            <w:tcW w:w="3005" w:type="dxa"/>
          </w:tcPr>
          <w:p w14:paraId="59C86C0D" w14:textId="1870883F" w:rsidR="00A3562C" w:rsidRDefault="00A3562C" w:rsidP="00A3562C">
            <w:pPr>
              <w:pStyle w:val="NormalWeb"/>
              <w:jc w:val="center"/>
            </w:pPr>
            <w:r>
              <w:t>120</w:t>
            </w:r>
          </w:p>
        </w:tc>
        <w:tc>
          <w:tcPr>
            <w:tcW w:w="3006" w:type="dxa"/>
          </w:tcPr>
          <w:p w14:paraId="78E60A5B" w14:textId="23A0A773" w:rsidR="00A3562C" w:rsidRPr="006741F3" w:rsidRDefault="00CE64C7" w:rsidP="00165BB3">
            <w:pPr>
              <w:pStyle w:val="NormalWeb"/>
            </w:pPr>
            <w:r>
              <w:t xml:space="preserve">                 100%</w:t>
            </w:r>
          </w:p>
        </w:tc>
      </w:tr>
    </w:tbl>
    <w:p w14:paraId="21C12C14" w14:textId="2DCE4CDA" w:rsidR="001C2524" w:rsidRDefault="006A1319" w:rsidP="00165BB3">
      <w:pPr>
        <w:pStyle w:val="NormalWeb"/>
      </w:pPr>
      <w:r>
        <w:lastRenderedPageBreak/>
        <w:t>43.4</w:t>
      </w:r>
      <w:r w:rsidR="0054338D">
        <w:t>% of</w:t>
      </w:r>
      <w:r>
        <w:t xml:space="preserve"> the population have completed their Under Graduation which indicates </w:t>
      </w:r>
      <w:r w:rsidR="0054338D">
        <w:t xml:space="preserve">moderate levels of education attainment in the rural areas of Hassan. </w:t>
      </w:r>
    </w:p>
    <w:p w14:paraId="3474577A" w14:textId="40DA723D" w:rsidR="008328F5" w:rsidRPr="00072E5D" w:rsidRDefault="00D32DA2" w:rsidP="00165BB3">
      <w:pPr>
        <w:pStyle w:val="NormalWeb"/>
        <w:rPr>
          <w:b/>
          <w:bCs/>
        </w:rPr>
      </w:pPr>
      <w:r w:rsidRPr="00072E5D">
        <w:rPr>
          <w:b/>
          <w:bCs/>
        </w:rPr>
        <w:t>RELIABILITY TEST (CRONBACH’S APLPHA)</w:t>
      </w:r>
    </w:p>
    <w:p w14:paraId="736BF0B0" w14:textId="0BF3645A" w:rsidR="00D32DA2" w:rsidRDefault="00D32DA2" w:rsidP="00165BB3">
      <w:pPr>
        <w:pStyle w:val="NormalWeb"/>
      </w:pPr>
      <w:r>
        <w:t xml:space="preserve">Reliability Analysis is been explored in order to check the </w:t>
      </w:r>
      <w:r w:rsidR="007A5B49">
        <w:t xml:space="preserve">consistency of the data derived from the questionnaire items with respect to Financial Literacy. </w:t>
      </w:r>
    </w:p>
    <w:tbl>
      <w:tblPr>
        <w:tblStyle w:val="TableGrid"/>
        <w:tblW w:w="0" w:type="auto"/>
        <w:tblLook w:val="04A0" w:firstRow="1" w:lastRow="0" w:firstColumn="1" w:lastColumn="0" w:noHBand="0" w:noVBand="1"/>
      </w:tblPr>
      <w:tblGrid>
        <w:gridCol w:w="4508"/>
        <w:gridCol w:w="4508"/>
      </w:tblGrid>
      <w:tr w:rsidR="007A5B49" w14:paraId="73DC2C0F" w14:textId="77777777" w:rsidTr="007A5B49">
        <w:tc>
          <w:tcPr>
            <w:tcW w:w="4508" w:type="dxa"/>
          </w:tcPr>
          <w:p w14:paraId="4A49358E" w14:textId="3B2E6D3F" w:rsidR="007A5B49" w:rsidRDefault="007A5B49" w:rsidP="00165BB3">
            <w:pPr>
              <w:pStyle w:val="NormalWeb"/>
            </w:pPr>
            <w:r>
              <w:t>Variable</w:t>
            </w:r>
          </w:p>
        </w:tc>
        <w:tc>
          <w:tcPr>
            <w:tcW w:w="4508" w:type="dxa"/>
          </w:tcPr>
          <w:p w14:paraId="75986EB6" w14:textId="2BFD2939" w:rsidR="007A5B49" w:rsidRDefault="007A5B49" w:rsidP="00165BB3">
            <w:pPr>
              <w:pStyle w:val="NormalWeb"/>
            </w:pPr>
            <w:r>
              <w:t>Cronbach’s Alpha</w:t>
            </w:r>
          </w:p>
        </w:tc>
      </w:tr>
      <w:tr w:rsidR="007A5B49" w14:paraId="491030DA" w14:textId="77777777" w:rsidTr="007A5B49">
        <w:tc>
          <w:tcPr>
            <w:tcW w:w="4508" w:type="dxa"/>
          </w:tcPr>
          <w:p w14:paraId="609323AC" w14:textId="3D7534DA" w:rsidR="007A5B49" w:rsidRDefault="007B4113" w:rsidP="00165BB3">
            <w:pPr>
              <w:pStyle w:val="NormalWeb"/>
            </w:pPr>
            <w:r>
              <w:t>Financial Literacy Scale</w:t>
            </w:r>
          </w:p>
        </w:tc>
        <w:tc>
          <w:tcPr>
            <w:tcW w:w="4508" w:type="dxa"/>
          </w:tcPr>
          <w:p w14:paraId="07CC70CE" w14:textId="37B08C30" w:rsidR="007A5B49" w:rsidRDefault="007B4113" w:rsidP="00165BB3">
            <w:pPr>
              <w:pStyle w:val="NormalWeb"/>
            </w:pPr>
            <w:r>
              <w:t>0.7422</w:t>
            </w:r>
          </w:p>
        </w:tc>
      </w:tr>
    </w:tbl>
    <w:p w14:paraId="07C964F5" w14:textId="147B80A1" w:rsidR="007A5B49" w:rsidRPr="006A1319" w:rsidRDefault="007B4113" w:rsidP="00165BB3">
      <w:pPr>
        <w:pStyle w:val="NormalWeb"/>
      </w:pPr>
      <w:r>
        <w:t xml:space="preserve">The Cronbach’s Alpha value is 0.7422 indicating the high reliability of the collected data. Any thing above 7 </w:t>
      </w:r>
      <w:r w:rsidR="00214CFD">
        <w:t xml:space="preserve">is considered to be valid and acceptable. It is been recorded that the questionnaire used for the analysis </w:t>
      </w:r>
      <w:r w:rsidR="00411CF5">
        <w:t xml:space="preserve">is consistent and reliable in terms of statistics. </w:t>
      </w:r>
    </w:p>
    <w:p w14:paraId="387A3852" w14:textId="513443DB" w:rsidR="00165BB3" w:rsidRPr="00E2421B" w:rsidRDefault="00165BB3" w:rsidP="0054338D">
      <w:pPr>
        <w:spacing w:before="100" w:beforeAutospacing="1" w:after="100" w:afterAutospacing="1" w:line="240" w:lineRule="auto"/>
        <w:rPr>
          <w:rFonts w:ascii="Times New Roman" w:hAnsi="Times New Roman" w:cs="Times New Roman"/>
          <w:b/>
          <w:bCs/>
          <w:sz w:val="24"/>
          <w:szCs w:val="24"/>
        </w:rPr>
      </w:pPr>
      <w:r w:rsidRPr="00E2421B">
        <w:rPr>
          <w:rFonts w:ascii="Times New Roman" w:hAnsi="Times New Roman" w:cs="Times New Roman"/>
          <w:b/>
          <w:bCs/>
          <w:sz w:val="24"/>
          <w:szCs w:val="24"/>
        </w:rPr>
        <w:t xml:space="preserve"> </w:t>
      </w:r>
      <w:r w:rsidR="00E2421B" w:rsidRPr="00E2421B">
        <w:rPr>
          <w:rFonts w:ascii="Times New Roman" w:hAnsi="Times New Roman" w:cs="Times New Roman"/>
          <w:b/>
          <w:bCs/>
          <w:sz w:val="24"/>
          <w:szCs w:val="24"/>
        </w:rPr>
        <w:t xml:space="preserve">DESCRIPTIVE STATISTICS </w:t>
      </w:r>
    </w:p>
    <w:tbl>
      <w:tblPr>
        <w:tblStyle w:val="TableGrid"/>
        <w:tblW w:w="0" w:type="auto"/>
        <w:tblLook w:val="04A0" w:firstRow="1" w:lastRow="0" w:firstColumn="1" w:lastColumn="0" w:noHBand="0" w:noVBand="1"/>
      </w:tblPr>
      <w:tblGrid>
        <w:gridCol w:w="3005"/>
        <w:gridCol w:w="3005"/>
        <w:gridCol w:w="3006"/>
      </w:tblGrid>
      <w:tr w:rsidR="00E2421B" w:rsidRPr="00E2421B" w14:paraId="6F9AC74B" w14:textId="77777777" w:rsidTr="00E2421B">
        <w:tc>
          <w:tcPr>
            <w:tcW w:w="3005" w:type="dxa"/>
          </w:tcPr>
          <w:p w14:paraId="5B262807" w14:textId="2AABBE46" w:rsidR="00E2421B" w:rsidRPr="00E2421B" w:rsidRDefault="00E2421B" w:rsidP="00165BB3">
            <w:pPr>
              <w:spacing w:line="360" w:lineRule="auto"/>
              <w:jc w:val="both"/>
              <w:rPr>
                <w:rFonts w:ascii="Times New Roman" w:hAnsi="Times New Roman" w:cs="Times New Roman"/>
                <w:sz w:val="24"/>
              </w:rPr>
            </w:pPr>
            <w:r w:rsidRPr="00E2421B">
              <w:rPr>
                <w:rFonts w:ascii="Times New Roman" w:hAnsi="Times New Roman" w:cs="Times New Roman"/>
                <w:sz w:val="24"/>
              </w:rPr>
              <w:t>Variable</w:t>
            </w:r>
          </w:p>
        </w:tc>
        <w:tc>
          <w:tcPr>
            <w:tcW w:w="3005" w:type="dxa"/>
          </w:tcPr>
          <w:p w14:paraId="61DA7DD1" w14:textId="3B117736"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 xml:space="preserve">Mean </w:t>
            </w:r>
          </w:p>
        </w:tc>
        <w:tc>
          <w:tcPr>
            <w:tcW w:w="3006" w:type="dxa"/>
          </w:tcPr>
          <w:p w14:paraId="16199CA3" w14:textId="40BF7D80"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Std. Deviation</w:t>
            </w:r>
          </w:p>
        </w:tc>
      </w:tr>
      <w:tr w:rsidR="00E2421B" w:rsidRPr="00E2421B" w14:paraId="0C00E36B" w14:textId="77777777" w:rsidTr="00E2421B">
        <w:tc>
          <w:tcPr>
            <w:tcW w:w="3005" w:type="dxa"/>
          </w:tcPr>
          <w:p w14:paraId="1FDC7D49" w14:textId="11DA3B1C"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c>
          <w:tcPr>
            <w:tcW w:w="3005" w:type="dxa"/>
          </w:tcPr>
          <w:p w14:paraId="68BF28DE" w14:textId="6B1B91F4"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3.291</w:t>
            </w:r>
          </w:p>
        </w:tc>
        <w:tc>
          <w:tcPr>
            <w:tcW w:w="3006" w:type="dxa"/>
          </w:tcPr>
          <w:p w14:paraId="088FB434" w14:textId="369696D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0.952</w:t>
            </w:r>
          </w:p>
        </w:tc>
      </w:tr>
      <w:tr w:rsidR="00E2421B" w:rsidRPr="00E2421B" w14:paraId="7D9B5BEA" w14:textId="77777777" w:rsidTr="00E2421B">
        <w:tc>
          <w:tcPr>
            <w:tcW w:w="3005" w:type="dxa"/>
          </w:tcPr>
          <w:p w14:paraId="60DC0224" w14:textId="510A00BD"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3005" w:type="dxa"/>
          </w:tcPr>
          <w:p w14:paraId="734B044E" w14:textId="667329E8"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2.654</w:t>
            </w:r>
          </w:p>
        </w:tc>
        <w:tc>
          <w:tcPr>
            <w:tcW w:w="3006" w:type="dxa"/>
          </w:tcPr>
          <w:p w14:paraId="1FF10D63" w14:textId="2A274905"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0.673</w:t>
            </w:r>
          </w:p>
        </w:tc>
      </w:tr>
      <w:tr w:rsidR="00E2421B" w:rsidRPr="00E2421B" w14:paraId="7E7591C2" w14:textId="77777777" w:rsidTr="00E2421B">
        <w:tc>
          <w:tcPr>
            <w:tcW w:w="3005" w:type="dxa"/>
          </w:tcPr>
          <w:p w14:paraId="257EB66F" w14:textId="460AA6C3"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3005" w:type="dxa"/>
          </w:tcPr>
          <w:p w14:paraId="09298869" w14:textId="2D52ACDF"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4.123</w:t>
            </w:r>
          </w:p>
        </w:tc>
        <w:tc>
          <w:tcPr>
            <w:tcW w:w="3006" w:type="dxa"/>
          </w:tcPr>
          <w:p w14:paraId="1962CD95" w14:textId="6192866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0.792</w:t>
            </w:r>
          </w:p>
        </w:tc>
      </w:tr>
      <w:tr w:rsidR="00E2421B" w:rsidRPr="00E2421B" w14:paraId="6BBE211D" w14:textId="77777777" w:rsidTr="00E2421B">
        <w:tc>
          <w:tcPr>
            <w:tcW w:w="3005" w:type="dxa"/>
          </w:tcPr>
          <w:p w14:paraId="29B10957" w14:textId="1E4A10FC"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3005" w:type="dxa"/>
          </w:tcPr>
          <w:p w14:paraId="07C02693" w14:textId="4749E90A"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3.821</w:t>
            </w:r>
          </w:p>
        </w:tc>
        <w:tc>
          <w:tcPr>
            <w:tcW w:w="3006" w:type="dxa"/>
          </w:tcPr>
          <w:p w14:paraId="71949251" w14:textId="4CDC30E0"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0.227</w:t>
            </w:r>
          </w:p>
        </w:tc>
      </w:tr>
    </w:tbl>
    <w:p w14:paraId="33EF44B6" w14:textId="77282337" w:rsidR="0038050E" w:rsidRDefault="0038050E" w:rsidP="00165BB3">
      <w:pPr>
        <w:spacing w:line="360" w:lineRule="auto"/>
        <w:jc w:val="both"/>
        <w:rPr>
          <w:rFonts w:ascii="Times New Roman" w:hAnsi="Times New Roman" w:cs="Times New Roman"/>
          <w:sz w:val="24"/>
        </w:rPr>
      </w:pPr>
    </w:p>
    <w:p w14:paraId="66FAD694" w14:textId="5D85FD95" w:rsidR="0038050E" w:rsidRPr="0038050E" w:rsidRDefault="0038050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 Mean Financial Literacy Score is 3.291 which is considered to be moderate and standard deviation values represent high to moderate variation among the respondents. </w:t>
      </w:r>
    </w:p>
    <w:p w14:paraId="387A387A" w14:textId="57F69D21" w:rsidR="006A17AB" w:rsidRDefault="00FE375C" w:rsidP="00165BB3">
      <w:pPr>
        <w:spacing w:line="360" w:lineRule="auto"/>
        <w:jc w:val="both"/>
        <w:rPr>
          <w:rFonts w:ascii="Times New Roman" w:hAnsi="Times New Roman" w:cs="Times New Roman"/>
          <w:sz w:val="24"/>
        </w:rPr>
      </w:pPr>
      <w:r w:rsidRPr="00FE375C">
        <w:rPr>
          <w:rFonts w:ascii="Times New Roman" w:hAnsi="Times New Roman" w:cs="Times New Roman"/>
          <w:sz w:val="24"/>
        </w:rPr>
        <w:t>CORRELATION ANALYSIS</w:t>
      </w:r>
    </w:p>
    <w:tbl>
      <w:tblPr>
        <w:tblStyle w:val="TableGrid"/>
        <w:tblW w:w="0" w:type="auto"/>
        <w:tblLook w:val="04A0" w:firstRow="1" w:lastRow="0" w:firstColumn="1" w:lastColumn="0" w:noHBand="0" w:noVBand="1"/>
      </w:tblPr>
      <w:tblGrid>
        <w:gridCol w:w="4508"/>
        <w:gridCol w:w="4508"/>
      </w:tblGrid>
      <w:tr w:rsidR="00FE375C" w14:paraId="74D662EB" w14:textId="77777777" w:rsidTr="00FE375C">
        <w:tc>
          <w:tcPr>
            <w:tcW w:w="4508" w:type="dxa"/>
          </w:tcPr>
          <w:p w14:paraId="5C781C99" w14:textId="24DFB4AE"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VARIABLES</w:t>
            </w:r>
          </w:p>
        </w:tc>
        <w:tc>
          <w:tcPr>
            <w:tcW w:w="4508" w:type="dxa"/>
          </w:tcPr>
          <w:p w14:paraId="06EE08DB" w14:textId="333D76D6"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r>
      <w:tr w:rsidR="00FE375C" w14:paraId="30BBF946" w14:textId="77777777" w:rsidTr="00FE375C">
        <w:tc>
          <w:tcPr>
            <w:tcW w:w="4508" w:type="dxa"/>
          </w:tcPr>
          <w:p w14:paraId="5F9DB566" w14:textId="5F069CE8"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4508" w:type="dxa"/>
          </w:tcPr>
          <w:p w14:paraId="4044F6C7" w14:textId="0F53F1B4"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0.2122**</w:t>
            </w:r>
          </w:p>
        </w:tc>
      </w:tr>
      <w:tr w:rsidR="00C84BAB" w14:paraId="56CE5E21" w14:textId="77777777" w:rsidTr="00FE375C">
        <w:tc>
          <w:tcPr>
            <w:tcW w:w="4508" w:type="dxa"/>
          </w:tcPr>
          <w:p w14:paraId="7CC01424" w14:textId="637B794D"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4508" w:type="dxa"/>
          </w:tcPr>
          <w:p w14:paraId="6FD19858" w14:textId="0FF042CA"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0.3812**</w:t>
            </w:r>
          </w:p>
        </w:tc>
      </w:tr>
      <w:tr w:rsidR="00C84BAB" w14:paraId="398EA2AE" w14:textId="77777777" w:rsidTr="00FE375C">
        <w:tc>
          <w:tcPr>
            <w:tcW w:w="4508" w:type="dxa"/>
          </w:tcPr>
          <w:p w14:paraId="2E244834" w14:textId="6AA453B8"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4508" w:type="dxa"/>
          </w:tcPr>
          <w:p w14:paraId="40F2B175" w14:textId="3A73B041"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0.5621**</w:t>
            </w:r>
          </w:p>
        </w:tc>
      </w:tr>
    </w:tbl>
    <w:p w14:paraId="5A583A4C" w14:textId="15098195"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 Signifi</w:t>
      </w:r>
      <w:r w:rsidR="00897B82">
        <w:rPr>
          <w:rFonts w:ascii="Times New Roman" w:hAnsi="Times New Roman" w:cs="Times New Roman"/>
          <w:sz w:val="24"/>
        </w:rPr>
        <w:t>cant at 5% Level)</w:t>
      </w:r>
    </w:p>
    <w:p w14:paraId="72CB9245" w14:textId="7C01C237" w:rsidR="00897B82" w:rsidRPr="00FE375C" w:rsidRDefault="0041394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There is strong positive correlation between Education and Financial Literacy. Added benefit to this is digital awareness of the participants. </w:t>
      </w:r>
      <w:r w:rsidR="00F31FF2">
        <w:rPr>
          <w:rFonts w:ascii="Times New Roman" w:hAnsi="Times New Roman" w:cs="Times New Roman"/>
          <w:sz w:val="24"/>
        </w:rPr>
        <w:t xml:space="preserve">It can be concluded that Education along with Income and Digital Awareness will increase the Financial Literacy in the Economy. </w:t>
      </w:r>
    </w:p>
    <w:p w14:paraId="63FA586A" w14:textId="77777777" w:rsidR="00E15DD6" w:rsidRDefault="00E15DD6" w:rsidP="006A17AB">
      <w:pPr>
        <w:pStyle w:val="NormalWeb"/>
        <w:rPr>
          <w:b/>
          <w:bCs/>
        </w:rPr>
      </w:pPr>
    </w:p>
    <w:p w14:paraId="35AE4CD6" w14:textId="77777777" w:rsidR="00E15DD6" w:rsidRDefault="00E15DD6" w:rsidP="006A17AB">
      <w:pPr>
        <w:pStyle w:val="NormalWeb"/>
        <w:rPr>
          <w:b/>
          <w:bCs/>
        </w:rPr>
      </w:pPr>
    </w:p>
    <w:p w14:paraId="387A3893" w14:textId="161EC668" w:rsidR="006A17AB" w:rsidRPr="00D37FB5" w:rsidRDefault="00D37FB5" w:rsidP="006A17AB">
      <w:pPr>
        <w:pStyle w:val="NormalWeb"/>
        <w:rPr>
          <w:b/>
          <w:bCs/>
        </w:rPr>
      </w:pPr>
      <w:r w:rsidRPr="00D37FB5">
        <w:rPr>
          <w:b/>
          <w:bCs/>
        </w:rPr>
        <w:lastRenderedPageBreak/>
        <w:t>CHI-SQUARE TEST</w:t>
      </w:r>
    </w:p>
    <w:p w14:paraId="387A38E2" w14:textId="5AE86A9A" w:rsidR="006A17AB" w:rsidRDefault="00C84BAB" w:rsidP="00BB2A0F">
      <w:pPr>
        <w:pStyle w:val="NormalWeb"/>
      </w:pPr>
      <w:r w:rsidRPr="00D37FB5">
        <w:t xml:space="preserve"> </w:t>
      </w:r>
      <w:r w:rsidR="00D37FB5" w:rsidRPr="00D37FB5">
        <w:t>Testing Hypothesis</w:t>
      </w:r>
    </w:p>
    <w:p w14:paraId="33833F20" w14:textId="63BF6F20" w:rsidR="00E15DD6" w:rsidRDefault="00E15DD6" w:rsidP="00E15DD6">
      <w:pPr>
        <w:pStyle w:val="NormalWeb"/>
        <w:numPr>
          <w:ilvl w:val="0"/>
          <w:numId w:val="36"/>
        </w:numPr>
      </w:pPr>
      <w:r>
        <w:t>H0: There is no relationship between Education and Financial Literacy</w:t>
      </w:r>
    </w:p>
    <w:p w14:paraId="09771A2D" w14:textId="31522554" w:rsidR="00E15DD6" w:rsidRPr="00D37FB5" w:rsidRDefault="00E15DD6" w:rsidP="00E15DD6">
      <w:pPr>
        <w:pStyle w:val="NormalWeb"/>
        <w:numPr>
          <w:ilvl w:val="0"/>
          <w:numId w:val="36"/>
        </w:numPr>
      </w:pPr>
      <w:r>
        <w:t>H1: There exists a significant relationship between Education and Financial Literacy</w:t>
      </w:r>
    </w:p>
    <w:p w14:paraId="387A38E3" w14:textId="77777777" w:rsidR="006A17AB" w:rsidRPr="005B1A37" w:rsidRDefault="006A17AB" w:rsidP="006A17AB">
      <w:pPr>
        <w:pStyle w:val="Heading1"/>
        <w:rPr>
          <w:color w:val="FF0000"/>
        </w:rPr>
      </w:pPr>
      <w:r w:rsidRPr="005B1A37">
        <w:rPr>
          <w:rStyle w:val="Strong"/>
          <w:b w:val="0"/>
          <w:bCs w:val="0"/>
          <w:color w:val="FF0000"/>
        </w:rPr>
        <w:t>4. Chi-Square Test</w:t>
      </w:r>
    </w:p>
    <w:p w14:paraId="387A38E4" w14:textId="77777777" w:rsidR="006A17AB" w:rsidRPr="005B1A37" w:rsidRDefault="006A17AB" w:rsidP="006A17AB">
      <w:pPr>
        <w:pStyle w:val="Heading3"/>
        <w:rPr>
          <w:color w:val="FF0000"/>
        </w:rPr>
      </w:pPr>
      <w:r w:rsidRPr="005B1A37">
        <w:rPr>
          <w:rStyle w:val="Strong"/>
          <w:b/>
          <w:bCs/>
          <w:color w:val="FF0000"/>
        </w:rPr>
        <w:t>Hypothesis Tested:</w:t>
      </w:r>
    </w:p>
    <w:p w14:paraId="387A38E5"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H₀: No association between education and financial literacy </w:t>
      </w:r>
    </w:p>
    <w:p w14:paraId="387A38E6"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H₁: Significant association exists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gridCol w:w="646"/>
      </w:tblGrid>
      <w:tr w:rsidR="005B1A37" w:rsidRPr="005B1A37" w14:paraId="387A38E9" w14:textId="77777777" w:rsidTr="006A17AB">
        <w:trPr>
          <w:tblHeader/>
          <w:tblCellSpacing w:w="15" w:type="dxa"/>
        </w:trPr>
        <w:tc>
          <w:tcPr>
            <w:tcW w:w="0" w:type="auto"/>
            <w:vAlign w:val="center"/>
            <w:hideMark/>
          </w:tcPr>
          <w:p w14:paraId="387A38E7" w14:textId="77777777" w:rsidR="006A17AB" w:rsidRPr="005B1A37" w:rsidRDefault="006A17AB">
            <w:pPr>
              <w:spacing w:after="0"/>
              <w:jc w:val="center"/>
              <w:rPr>
                <w:b/>
                <w:bCs/>
                <w:color w:val="FF0000"/>
              </w:rPr>
            </w:pPr>
            <w:r w:rsidRPr="005B1A37">
              <w:rPr>
                <w:b/>
                <w:bCs/>
                <w:color w:val="FF0000"/>
              </w:rPr>
              <w:t>Value</w:t>
            </w:r>
          </w:p>
        </w:tc>
        <w:tc>
          <w:tcPr>
            <w:tcW w:w="0" w:type="auto"/>
            <w:vAlign w:val="center"/>
            <w:hideMark/>
          </w:tcPr>
          <w:p w14:paraId="387A38E8" w14:textId="77777777" w:rsidR="006A17AB" w:rsidRPr="005B1A37" w:rsidRDefault="006A17AB">
            <w:pPr>
              <w:jc w:val="center"/>
              <w:rPr>
                <w:b/>
                <w:bCs/>
                <w:color w:val="FF0000"/>
              </w:rPr>
            </w:pPr>
            <w:r w:rsidRPr="005B1A37">
              <w:rPr>
                <w:b/>
                <w:bCs/>
                <w:color w:val="FF0000"/>
              </w:rPr>
              <w:t>Result</w:t>
            </w:r>
          </w:p>
        </w:tc>
      </w:tr>
      <w:tr w:rsidR="005B1A37" w:rsidRPr="005B1A37" w14:paraId="387A38EC" w14:textId="77777777" w:rsidTr="006A17AB">
        <w:trPr>
          <w:tblCellSpacing w:w="15" w:type="dxa"/>
        </w:trPr>
        <w:tc>
          <w:tcPr>
            <w:tcW w:w="0" w:type="auto"/>
            <w:vAlign w:val="center"/>
            <w:hideMark/>
          </w:tcPr>
          <w:p w14:paraId="387A38EA" w14:textId="77777777" w:rsidR="006A17AB" w:rsidRPr="005B1A37" w:rsidRDefault="006A17AB">
            <w:pPr>
              <w:rPr>
                <w:color w:val="FF0000"/>
              </w:rPr>
            </w:pPr>
            <w:r w:rsidRPr="005B1A37">
              <w:rPr>
                <w:color w:val="FF0000"/>
              </w:rPr>
              <w:t>Chi-square value</w:t>
            </w:r>
          </w:p>
        </w:tc>
        <w:tc>
          <w:tcPr>
            <w:tcW w:w="0" w:type="auto"/>
            <w:vAlign w:val="center"/>
            <w:hideMark/>
          </w:tcPr>
          <w:p w14:paraId="387A38EB" w14:textId="77777777" w:rsidR="006A17AB" w:rsidRPr="005B1A37" w:rsidRDefault="006A17AB">
            <w:pPr>
              <w:rPr>
                <w:color w:val="FF0000"/>
              </w:rPr>
            </w:pPr>
            <w:r w:rsidRPr="005B1A37">
              <w:rPr>
                <w:color w:val="FF0000"/>
              </w:rPr>
              <w:t>12.56</w:t>
            </w:r>
          </w:p>
        </w:tc>
      </w:tr>
      <w:tr w:rsidR="005B1A37" w:rsidRPr="005B1A37" w14:paraId="387A38EF" w14:textId="77777777" w:rsidTr="006A17AB">
        <w:trPr>
          <w:tblCellSpacing w:w="15" w:type="dxa"/>
        </w:trPr>
        <w:tc>
          <w:tcPr>
            <w:tcW w:w="0" w:type="auto"/>
            <w:vAlign w:val="center"/>
            <w:hideMark/>
          </w:tcPr>
          <w:p w14:paraId="387A38ED" w14:textId="77777777" w:rsidR="006A17AB" w:rsidRPr="005B1A37" w:rsidRDefault="006A17AB">
            <w:pPr>
              <w:rPr>
                <w:color w:val="FF0000"/>
              </w:rPr>
            </w:pPr>
            <w:r w:rsidRPr="005B1A37">
              <w:rPr>
                <w:color w:val="FF0000"/>
              </w:rPr>
              <w:t>p-value</w:t>
            </w:r>
          </w:p>
        </w:tc>
        <w:tc>
          <w:tcPr>
            <w:tcW w:w="0" w:type="auto"/>
            <w:vAlign w:val="center"/>
            <w:hideMark/>
          </w:tcPr>
          <w:p w14:paraId="387A38EE" w14:textId="77777777" w:rsidR="006A17AB" w:rsidRPr="005B1A37" w:rsidRDefault="006A17AB">
            <w:pPr>
              <w:rPr>
                <w:color w:val="FF0000"/>
              </w:rPr>
            </w:pPr>
            <w:r w:rsidRPr="005B1A37">
              <w:rPr>
                <w:color w:val="FF0000"/>
              </w:rPr>
              <w:t>0.002</w:t>
            </w:r>
          </w:p>
        </w:tc>
      </w:tr>
    </w:tbl>
    <w:p w14:paraId="387A38F0" w14:textId="77777777" w:rsidR="006A17AB" w:rsidRPr="005B1A37" w:rsidRDefault="006A17AB" w:rsidP="006A17AB">
      <w:pPr>
        <w:pStyle w:val="Heading3"/>
        <w:rPr>
          <w:color w:val="FF0000"/>
        </w:rPr>
      </w:pPr>
      <w:r w:rsidRPr="005B1A37">
        <w:rPr>
          <w:rStyle w:val="Strong"/>
          <w:b/>
          <w:bCs/>
          <w:color w:val="FF0000"/>
        </w:rPr>
        <w:t>Interpretation:</w:t>
      </w:r>
    </w:p>
    <w:p w14:paraId="387A38F1" w14:textId="77777777" w:rsidR="006A17AB" w:rsidRPr="005B1A37" w:rsidRDefault="006A17AB" w:rsidP="006A17AB">
      <w:pPr>
        <w:pStyle w:val="NormalWeb"/>
        <w:rPr>
          <w:color w:val="FF0000"/>
        </w:rPr>
      </w:pPr>
      <w:r w:rsidRPr="005B1A37">
        <w:rPr>
          <w:color w:val="FF0000"/>
        </w:rPr>
        <w:t xml:space="preserve">Since the </w:t>
      </w:r>
      <w:r w:rsidRPr="005B1A37">
        <w:rPr>
          <w:rStyle w:val="Strong"/>
          <w:color w:val="FF0000"/>
        </w:rPr>
        <w:t>p-value (0.002) &lt; 0.05</w:t>
      </w:r>
      <w:r w:rsidRPr="005B1A37">
        <w:rPr>
          <w:color w:val="FF0000"/>
        </w:rPr>
        <w:t>, the null hypothesis is rejected.</w:t>
      </w:r>
      <w:r w:rsidRPr="005B1A37">
        <w:rPr>
          <w:color w:val="FF0000"/>
        </w:rPr>
        <w:br/>
        <w:t xml:space="preserve">There is a </w:t>
      </w:r>
      <w:r w:rsidRPr="005B1A37">
        <w:rPr>
          <w:rStyle w:val="Strong"/>
          <w:color w:val="FF0000"/>
        </w:rPr>
        <w:t>significant relationship between education and financial literacy</w:t>
      </w:r>
      <w:r w:rsidRPr="005B1A37">
        <w:rPr>
          <w:color w:val="FF0000"/>
        </w:rPr>
        <w:t>.</w:t>
      </w:r>
    </w:p>
    <w:p w14:paraId="387A38F2" w14:textId="77777777" w:rsidR="006A17AB" w:rsidRPr="005B1A37" w:rsidRDefault="006A17AB" w:rsidP="006A17AB">
      <w:pPr>
        <w:pStyle w:val="Heading1"/>
        <w:rPr>
          <w:color w:val="FF0000"/>
        </w:rPr>
      </w:pPr>
      <w:r w:rsidRPr="005B1A37">
        <w:rPr>
          <w:rStyle w:val="Strong"/>
          <w:b w:val="0"/>
          <w:bCs w:val="0"/>
          <w:color w:val="FF0000"/>
        </w:rPr>
        <w:t>5. Independent Sample t-Test (Gender Difference)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1143"/>
        <w:gridCol w:w="836"/>
      </w:tblGrid>
      <w:tr w:rsidR="005B1A37" w:rsidRPr="005B1A37" w14:paraId="387A38F6" w14:textId="77777777" w:rsidTr="006A17AB">
        <w:trPr>
          <w:tblHeader/>
          <w:tblCellSpacing w:w="15" w:type="dxa"/>
        </w:trPr>
        <w:tc>
          <w:tcPr>
            <w:tcW w:w="0" w:type="auto"/>
            <w:vAlign w:val="center"/>
            <w:hideMark/>
          </w:tcPr>
          <w:p w14:paraId="387A38F3" w14:textId="77777777" w:rsidR="006A17AB" w:rsidRPr="005B1A37" w:rsidRDefault="006A17AB">
            <w:pPr>
              <w:jc w:val="center"/>
              <w:rPr>
                <w:b/>
                <w:bCs/>
                <w:color w:val="FF0000"/>
              </w:rPr>
            </w:pPr>
            <w:r w:rsidRPr="005B1A37">
              <w:rPr>
                <w:b/>
                <w:bCs/>
                <w:color w:val="FF0000"/>
              </w:rPr>
              <w:t>Gender</w:t>
            </w:r>
          </w:p>
        </w:tc>
        <w:tc>
          <w:tcPr>
            <w:tcW w:w="0" w:type="auto"/>
            <w:vAlign w:val="center"/>
            <w:hideMark/>
          </w:tcPr>
          <w:p w14:paraId="387A38F4" w14:textId="77777777" w:rsidR="006A17AB" w:rsidRPr="005B1A37" w:rsidRDefault="006A17AB">
            <w:pPr>
              <w:jc w:val="center"/>
              <w:rPr>
                <w:b/>
                <w:bCs/>
                <w:color w:val="FF0000"/>
              </w:rPr>
            </w:pPr>
            <w:r w:rsidRPr="005B1A37">
              <w:rPr>
                <w:b/>
                <w:bCs/>
                <w:color w:val="FF0000"/>
              </w:rPr>
              <w:t>Mean Score</w:t>
            </w:r>
          </w:p>
        </w:tc>
        <w:tc>
          <w:tcPr>
            <w:tcW w:w="0" w:type="auto"/>
            <w:vAlign w:val="center"/>
            <w:hideMark/>
          </w:tcPr>
          <w:p w14:paraId="387A38F5" w14:textId="77777777" w:rsidR="006A17AB" w:rsidRPr="005B1A37" w:rsidRDefault="006A17AB">
            <w:pPr>
              <w:jc w:val="center"/>
              <w:rPr>
                <w:b/>
                <w:bCs/>
                <w:color w:val="FF0000"/>
              </w:rPr>
            </w:pPr>
            <w:r w:rsidRPr="005B1A37">
              <w:rPr>
                <w:b/>
                <w:bCs/>
                <w:color w:val="FF0000"/>
              </w:rPr>
              <w:t>Std. Dev</w:t>
            </w:r>
          </w:p>
        </w:tc>
      </w:tr>
      <w:tr w:rsidR="005B1A37" w:rsidRPr="005B1A37" w14:paraId="387A38FA" w14:textId="77777777" w:rsidTr="006A17AB">
        <w:trPr>
          <w:tblCellSpacing w:w="15" w:type="dxa"/>
        </w:trPr>
        <w:tc>
          <w:tcPr>
            <w:tcW w:w="0" w:type="auto"/>
            <w:vAlign w:val="center"/>
            <w:hideMark/>
          </w:tcPr>
          <w:p w14:paraId="387A38F7" w14:textId="77777777" w:rsidR="006A17AB" w:rsidRPr="005B1A37" w:rsidRDefault="006A17AB">
            <w:pPr>
              <w:rPr>
                <w:color w:val="FF0000"/>
              </w:rPr>
            </w:pPr>
            <w:r w:rsidRPr="005B1A37">
              <w:rPr>
                <w:color w:val="FF0000"/>
              </w:rPr>
              <w:t>Male</w:t>
            </w:r>
          </w:p>
        </w:tc>
        <w:tc>
          <w:tcPr>
            <w:tcW w:w="0" w:type="auto"/>
            <w:vAlign w:val="center"/>
            <w:hideMark/>
          </w:tcPr>
          <w:p w14:paraId="387A38F8" w14:textId="77777777" w:rsidR="006A17AB" w:rsidRPr="005B1A37" w:rsidRDefault="006A17AB">
            <w:pPr>
              <w:rPr>
                <w:color w:val="FF0000"/>
              </w:rPr>
            </w:pPr>
            <w:r w:rsidRPr="005B1A37">
              <w:rPr>
                <w:color w:val="FF0000"/>
              </w:rPr>
              <w:t>3.60</w:t>
            </w:r>
          </w:p>
        </w:tc>
        <w:tc>
          <w:tcPr>
            <w:tcW w:w="0" w:type="auto"/>
            <w:vAlign w:val="center"/>
            <w:hideMark/>
          </w:tcPr>
          <w:p w14:paraId="387A38F9" w14:textId="77777777" w:rsidR="006A17AB" w:rsidRPr="005B1A37" w:rsidRDefault="006A17AB">
            <w:pPr>
              <w:rPr>
                <w:color w:val="FF0000"/>
              </w:rPr>
            </w:pPr>
            <w:r w:rsidRPr="005B1A37">
              <w:rPr>
                <w:color w:val="FF0000"/>
              </w:rPr>
              <w:t>0.75</w:t>
            </w:r>
          </w:p>
        </w:tc>
      </w:tr>
      <w:tr w:rsidR="005B1A37" w:rsidRPr="005B1A37" w14:paraId="387A38FE" w14:textId="77777777" w:rsidTr="006A17AB">
        <w:trPr>
          <w:tblCellSpacing w:w="15" w:type="dxa"/>
        </w:trPr>
        <w:tc>
          <w:tcPr>
            <w:tcW w:w="0" w:type="auto"/>
            <w:vAlign w:val="center"/>
            <w:hideMark/>
          </w:tcPr>
          <w:p w14:paraId="387A38FB" w14:textId="77777777" w:rsidR="006A17AB" w:rsidRPr="005B1A37" w:rsidRDefault="006A17AB">
            <w:pPr>
              <w:rPr>
                <w:color w:val="FF0000"/>
              </w:rPr>
            </w:pPr>
            <w:r w:rsidRPr="005B1A37">
              <w:rPr>
                <w:color w:val="FF0000"/>
              </w:rPr>
              <w:t>Female</w:t>
            </w:r>
          </w:p>
        </w:tc>
        <w:tc>
          <w:tcPr>
            <w:tcW w:w="0" w:type="auto"/>
            <w:vAlign w:val="center"/>
            <w:hideMark/>
          </w:tcPr>
          <w:p w14:paraId="387A38FC" w14:textId="77777777" w:rsidR="006A17AB" w:rsidRPr="005B1A37" w:rsidRDefault="006A17AB">
            <w:pPr>
              <w:rPr>
                <w:color w:val="FF0000"/>
              </w:rPr>
            </w:pPr>
            <w:r w:rsidRPr="005B1A37">
              <w:rPr>
                <w:color w:val="FF0000"/>
              </w:rPr>
              <w:t>3.25</w:t>
            </w:r>
          </w:p>
        </w:tc>
        <w:tc>
          <w:tcPr>
            <w:tcW w:w="0" w:type="auto"/>
            <w:vAlign w:val="center"/>
            <w:hideMark/>
          </w:tcPr>
          <w:p w14:paraId="387A38FD" w14:textId="77777777" w:rsidR="006A17AB" w:rsidRPr="005B1A37" w:rsidRDefault="006A17AB">
            <w:pPr>
              <w:rPr>
                <w:color w:val="FF0000"/>
              </w:rPr>
            </w:pPr>
            <w:r w:rsidRPr="005B1A37">
              <w:rPr>
                <w:color w:val="FF0000"/>
              </w:rPr>
              <w:t>0.85</w:t>
            </w:r>
          </w:p>
        </w:tc>
      </w:tr>
      <w:tr w:rsidR="005B1A37" w:rsidRPr="005B1A37" w14:paraId="387A3901" w14:textId="77777777" w:rsidTr="006A17AB">
        <w:trPr>
          <w:gridAfter w:val="1"/>
          <w:tblHeader/>
          <w:tblCellSpacing w:w="15" w:type="dxa"/>
        </w:trPr>
        <w:tc>
          <w:tcPr>
            <w:tcW w:w="0" w:type="auto"/>
            <w:vAlign w:val="center"/>
            <w:hideMark/>
          </w:tcPr>
          <w:p w14:paraId="387A38FF"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00" w14:textId="77777777" w:rsidR="006A17AB" w:rsidRPr="005B1A37" w:rsidRDefault="006A17AB">
            <w:pPr>
              <w:jc w:val="center"/>
              <w:rPr>
                <w:b/>
                <w:bCs/>
                <w:color w:val="FF0000"/>
              </w:rPr>
            </w:pPr>
            <w:r w:rsidRPr="005B1A37">
              <w:rPr>
                <w:b/>
                <w:bCs/>
                <w:color w:val="FF0000"/>
              </w:rPr>
              <w:t>p-value</w:t>
            </w:r>
          </w:p>
        </w:tc>
      </w:tr>
      <w:tr w:rsidR="005B1A37" w:rsidRPr="005B1A37" w14:paraId="387A3904" w14:textId="77777777" w:rsidTr="006A17AB">
        <w:trPr>
          <w:gridAfter w:val="1"/>
          <w:tblCellSpacing w:w="15" w:type="dxa"/>
        </w:trPr>
        <w:tc>
          <w:tcPr>
            <w:tcW w:w="0" w:type="auto"/>
            <w:vAlign w:val="center"/>
            <w:hideMark/>
          </w:tcPr>
          <w:p w14:paraId="387A3902" w14:textId="77777777" w:rsidR="006A17AB" w:rsidRPr="005B1A37" w:rsidRDefault="006A17AB">
            <w:pPr>
              <w:rPr>
                <w:color w:val="FF0000"/>
              </w:rPr>
            </w:pPr>
            <w:r w:rsidRPr="005B1A37">
              <w:rPr>
                <w:color w:val="FF0000"/>
              </w:rPr>
              <w:t>2.45</w:t>
            </w:r>
          </w:p>
        </w:tc>
        <w:tc>
          <w:tcPr>
            <w:tcW w:w="0" w:type="auto"/>
            <w:vAlign w:val="center"/>
            <w:hideMark/>
          </w:tcPr>
          <w:p w14:paraId="387A3903" w14:textId="77777777" w:rsidR="006A17AB" w:rsidRPr="005B1A37" w:rsidRDefault="006A17AB">
            <w:pPr>
              <w:rPr>
                <w:color w:val="FF0000"/>
              </w:rPr>
            </w:pPr>
            <w:r w:rsidRPr="005B1A37">
              <w:rPr>
                <w:color w:val="FF0000"/>
              </w:rPr>
              <w:t>0.016</w:t>
            </w:r>
          </w:p>
        </w:tc>
      </w:tr>
    </w:tbl>
    <w:p w14:paraId="387A3905" w14:textId="77777777" w:rsidR="006A17AB" w:rsidRPr="005B1A37" w:rsidRDefault="006A17AB" w:rsidP="006A17AB">
      <w:pPr>
        <w:pStyle w:val="Heading3"/>
        <w:rPr>
          <w:color w:val="FF0000"/>
        </w:rPr>
      </w:pPr>
      <w:r w:rsidRPr="005B1A37">
        <w:rPr>
          <w:rStyle w:val="Strong"/>
          <w:b/>
          <w:bCs/>
          <w:color w:val="FF0000"/>
        </w:rPr>
        <w:t>Interpretation:</w:t>
      </w:r>
    </w:p>
    <w:p w14:paraId="387A3906"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xml:space="preserve">, there is a </w:t>
      </w:r>
      <w:r w:rsidRPr="005B1A37">
        <w:rPr>
          <w:rStyle w:val="Strong"/>
          <w:color w:val="FF0000"/>
        </w:rPr>
        <w:t>significant difference</w:t>
      </w:r>
      <w:r w:rsidRPr="005B1A37">
        <w:rPr>
          <w:color w:val="FF0000"/>
        </w:rPr>
        <w:t xml:space="preserve"> in financial literacy between male and female respondents.</w:t>
      </w:r>
      <w:r w:rsidRPr="005B1A37">
        <w:rPr>
          <w:color w:val="FF0000"/>
        </w:rPr>
        <w:br/>
        <w:t>Male respondents show slightly higher financial literacy.</w:t>
      </w:r>
    </w:p>
    <w:p w14:paraId="387A3907" w14:textId="77777777" w:rsidR="006A17AB" w:rsidRPr="005B1A37" w:rsidRDefault="006A17AB" w:rsidP="006A17AB">
      <w:pPr>
        <w:pStyle w:val="Heading1"/>
        <w:rPr>
          <w:color w:val="FF0000"/>
        </w:rPr>
      </w:pPr>
      <w:r w:rsidRPr="005B1A37">
        <w:rPr>
          <w:rStyle w:val="Strong"/>
          <w:b w:val="0"/>
          <w:bCs w:val="0"/>
          <w:color w:val="FF0000"/>
        </w:rPr>
        <w:t>6. One-Way ANOVA (Education Level vs Financial Literacy)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gridCol w:w="733"/>
        <w:gridCol w:w="756"/>
      </w:tblGrid>
      <w:tr w:rsidR="005B1A37" w:rsidRPr="005B1A37" w14:paraId="387A390B" w14:textId="77777777" w:rsidTr="006A17AB">
        <w:trPr>
          <w:tblHeader/>
          <w:tblCellSpacing w:w="15" w:type="dxa"/>
        </w:trPr>
        <w:tc>
          <w:tcPr>
            <w:tcW w:w="0" w:type="auto"/>
            <w:vAlign w:val="center"/>
            <w:hideMark/>
          </w:tcPr>
          <w:p w14:paraId="387A3908" w14:textId="77777777" w:rsidR="006A17AB" w:rsidRPr="005B1A37" w:rsidRDefault="006A17AB">
            <w:pPr>
              <w:jc w:val="center"/>
              <w:rPr>
                <w:b/>
                <w:bCs/>
                <w:color w:val="FF0000"/>
              </w:rPr>
            </w:pPr>
            <w:r w:rsidRPr="005B1A37">
              <w:rPr>
                <w:b/>
                <w:bCs/>
                <w:color w:val="FF0000"/>
              </w:rPr>
              <w:t>Source</w:t>
            </w:r>
          </w:p>
        </w:tc>
        <w:tc>
          <w:tcPr>
            <w:tcW w:w="0" w:type="auto"/>
            <w:vAlign w:val="center"/>
            <w:hideMark/>
          </w:tcPr>
          <w:p w14:paraId="387A3909" w14:textId="77777777" w:rsidR="006A17AB" w:rsidRPr="005B1A37" w:rsidRDefault="006A17AB">
            <w:pPr>
              <w:jc w:val="center"/>
              <w:rPr>
                <w:b/>
                <w:bCs/>
                <w:color w:val="FF0000"/>
              </w:rPr>
            </w:pPr>
            <w:r w:rsidRPr="005B1A37">
              <w:rPr>
                <w:b/>
                <w:bCs/>
                <w:color w:val="FF0000"/>
              </w:rPr>
              <w:t>F Value</w:t>
            </w:r>
          </w:p>
        </w:tc>
        <w:tc>
          <w:tcPr>
            <w:tcW w:w="0" w:type="auto"/>
            <w:vAlign w:val="center"/>
            <w:hideMark/>
          </w:tcPr>
          <w:p w14:paraId="387A390A" w14:textId="77777777" w:rsidR="006A17AB" w:rsidRPr="005B1A37" w:rsidRDefault="006A17AB">
            <w:pPr>
              <w:jc w:val="center"/>
              <w:rPr>
                <w:b/>
                <w:bCs/>
                <w:color w:val="FF0000"/>
              </w:rPr>
            </w:pPr>
            <w:r w:rsidRPr="005B1A37">
              <w:rPr>
                <w:b/>
                <w:bCs/>
                <w:color w:val="FF0000"/>
              </w:rPr>
              <w:t>p-value</w:t>
            </w:r>
          </w:p>
        </w:tc>
      </w:tr>
      <w:tr w:rsidR="005B1A37" w:rsidRPr="005B1A37" w14:paraId="387A390F" w14:textId="77777777" w:rsidTr="006A17AB">
        <w:trPr>
          <w:tblCellSpacing w:w="15" w:type="dxa"/>
        </w:trPr>
        <w:tc>
          <w:tcPr>
            <w:tcW w:w="0" w:type="auto"/>
            <w:vAlign w:val="center"/>
            <w:hideMark/>
          </w:tcPr>
          <w:p w14:paraId="387A390C" w14:textId="77777777" w:rsidR="006A17AB" w:rsidRPr="005B1A37" w:rsidRDefault="006A17AB">
            <w:pPr>
              <w:rPr>
                <w:color w:val="FF0000"/>
              </w:rPr>
            </w:pPr>
            <w:r w:rsidRPr="005B1A37">
              <w:rPr>
                <w:color w:val="FF0000"/>
              </w:rPr>
              <w:t>Between Groups</w:t>
            </w:r>
          </w:p>
        </w:tc>
        <w:tc>
          <w:tcPr>
            <w:tcW w:w="0" w:type="auto"/>
            <w:vAlign w:val="center"/>
            <w:hideMark/>
          </w:tcPr>
          <w:p w14:paraId="387A390D" w14:textId="77777777" w:rsidR="006A17AB" w:rsidRPr="005B1A37" w:rsidRDefault="006A17AB">
            <w:pPr>
              <w:rPr>
                <w:color w:val="FF0000"/>
              </w:rPr>
            </w:pPr>
            <w:r w:rsidRPr="005B1A37">
              <w:rPr>
                <w:color w:val="FF0000"/>
              </w:rPr>
              <w:t>5.87</w:t>
            </w:r>
          </w:p>
        </w:tc>
        <w:tc>
          <w:tcPr>
            <w:tcW w:w="0" w:type="auto"/>
            <w:vAlign w:val="center"/>
            <w:hideMark/>
          </w:tcPr>
          <w:p w14:paraId="387A390E" w14:textId="77777777" w:rsidR="006A17AB" w:rsidRPr="005B1A37" w:rsidRDefault="006A17AB">
            <w:pPr>
              <w:rPr>
                <w:color w:val="FF0000"/>
              </w:rPr>
            </w:pPr>
            <w:r w:rsidRPr="005B1A37">
              <w:rPr>
                <w:color w:val="FF0000"/>
              </w:rPr>
              <w:t>0.001</w:t>
            </w:r>
          </w:p>
        </w:tc>
      </w:tr>
    </w:tbl>
    <w:p w14:paraId="387A3910" w14:textId="77777777" w:rsidR="006A17AB" w:rsidRPr="005B1A37" w:rsidRDefault="006A17AB" w:rsidP="006A17AB">
      <w:pPr>
        <w:pStyle w:val="Heading3"/>
        <w:rPr>
          <w:color w:val="FF0000"/>
        </w:rPr>
      </w:pPr>
      <w:r w:rsidRPr="005B1A37">
        <w:rPr>
          <w:rStyle w:val="Strong"/>
          <w:b/>
          <w:bCs/>
          <w:color w:val="FF0000"/>
        </w:rPr>
        <w:lastRenderedPageBreak/>
        <w:t>Interpretation:</w:t>
      </w:r>
    </w:p>
    <w:p w14:paraId="387A3911"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education level significantly affects financial literacy.</w:t>
      </w:r>
      <w:r w:rsidRPr="005B1A37">
        <w:rPr>
          <w:color w:val="FF0000"/>
        </w:rPr>
        <w:br/>
        <w:t>Higher education leads to better financial understanding.</w:t>
      </w:r>
    </w:p>
    <w:p w14:paraId="387A3912" w14:textId="77777777" w:rsidR="006A17AB" w:rsidRPr="005B1A37" w:rsidRDefault="006A17AB" w:rsidP="006A17AB">
      <w:pPr>
        <w:pStyle w:val="Heading1"/>
        <w:rPr>
          <w:color w:val="FF0000"/>
        </w:rPr>
      </w:pPr>
      <w:r w:rsidRPr="005B1A37">
        <w:rPr>
          <w:rStyle w:val="Strong"/>
          <w:b w:val="0"/>
          <w:bCs w:val="0"/>
          <w:color w:val="FF0000"/>
        </w:rPr>
        <w:t>7. Regression Analysis</w:t>
      </w:r>
    </w:p>
    <w:p w14:paraId="387A3913" w14:textId="77777777" w:rsidR="006A17AB" w:rsidRPr="005B1A37" w:rsidRDefault="006A17AB" w:rsidP="006A17AB">
      <w:pPr>
        <w:pStyle w:val="Heading3"/>
        <w:rPr>
          <w:color w:val="FF0000"/>
        </w:rPr>
      </w:pPr>
      <w:r w:rsidRPr="005B1A37">
        <w:rPr>
          <w:rStyle w:val="Strong"/>
          <w:b/>
          <w:bCs/>
          <w:color w:val="FF0000"/>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562"/>
        <w:gridCol w:w="1142"/>
      </w:tblGrid>
      <w:tr w:rsidR="005B1A37" w:rsidRPr="005B1A37" w14:paraId="387A3917" w14:textId="77777777" w:rsidTr="006A17AB">
        <w:trPr>
          <w:tblHeader/>
          <w:tblCellSpacing w:w="15" w:type="dxa"/>
        </w:trPr>
        <w:tc>
          <w:tcPr>
            <w:tcW w:w="0" w:type="auto"/>
            <w:vAlign w:val="center"/>
            <w:hideMark/>
          </w:tcPr>
          <w:p w14:paraId="387A3914" w14:textId="77777777" w:rsidR="006A17AB" w:rsidRPr="005B1A37" w:rsidRDefault="006A17AB">
            <w:pPr>
              <w:jc w:val="center"/>
              <w:rPr>
                <w:b/>
                <w:bCs/>
                <w:color w:val="FF0000"/>
              </w:rPr>
            </w:pPr>
            <w:r w:rsidRPr="005B1A37">
              <w:rPr>
                <w:b/>
                <w:bCs/>
                <w:color w:val="FF0000"/>
              </w:rPr>
              <w:t>R</w:t>
            </w:r>
          </w:p>
        </w:tc>
        <w:tc>
          <w:tcPr>
            <w:tcW w:w="0" w:type="auto"/>
            <w:vAlign w:val="center"/>
            <w:hideMark/>
          </w:tcPr>
          <w:p w14:paraId="387A3915" w14:textId="77777777" w:rsidR="006A17AB" w:rsidRPr="005B1A37" w:rsidRDefault="006A17AB">
            <w:pPr>
              <w:jc w:val="center"/>
              <w:rPr>
                <w:b/>
                <w:bCs/>
                <w:color w:val="FF0000"/>
              </w:rPr>
            </w:pPr>
            <w:r w:rsidRPr="005B1A37">
              <w:rPr>
                <w:b/>
                <w:bCs/>
                <w:color w:val="FF0000"/>
              </w:rPr>
              <w:t>R²</w:t>
            </w:r>
          </w:p>
        </w:tc>
        <w:tc>
          <w:tcPr>
            <w:tcW w:w="0" w:type="auto"/>
            <w:vAlign w:val="center"/>
            <w:hideMark/>
          </w:tcPr>
          <w:p w14:paraId="387A3916" w14:textId="77777777" w:rsidR="006A17AB" w:rsidRPr="005B1A37" w:rsidRDefault="006A17AB">
            <w:pPr>
              <w:jc w:val="center"/>
              <w:rPr>
                <w:b/>
                <w:bCs/>
                <w:color w:val="FF0000"/>
              </w:rPr>
            </w:pPr>
            <w:r w:rsidRPr="005B1A37">
              <w:rPr>
                <w:b/>
                <w:bCs/>
                <w:color w:val="FF0000"/>
              </w:rPr>
              <w:t>Adjusted R²</w:t>
            </w:r>
          </w:p>
        </w:tc>
      </w:tr>
      <w:tr w:rsidR="005B1A37" w:rsidRPr="005B1A37" w14:paraId="387A391B" w14:textId="77777777" w:rsidTr="006A17AB">
        <w:trPr>
          <w:tblCellSpacing w:w="15" w:type="dxa"/>
        </w:trPr>
        <w:tc>
          <w:tcPr>
            <w:tcW w:w="0" w:type="auto"/>
            <w:vAlign w:val="center"/>
            <w:hideMark/>
          </w:tcPr>
          <w:p w14:paraId="387A3918" w14:textId="77777777" w:rsidR="006A17AB" w:rsidRPr="005B1A37" w:rsidRDefault="006A17AB">
            <w:pPr>
              <w:rPr>
                <w:color w:val="FF0000"/>
              </w:rPr>
            </w:pPr>
            <w:r w:rsidRPr="005B1A37">
              <w:rPr>
                <w:color w:val="FF0000"/>
              </w:rPr>
              <w:t>0.721</w:t>
            </w:r>
          </w:p>
        </w:tc>
        <w:tc>
          <w:tcPr>
            <w:tcW w:w="0" w:type="auto"/>
            <w:vAlign w:val="center"/>
            <w:hideMark/>
          </w:tcPr>
          <w:p w14:paraId="387A3919" w14:textId="77777777" w:rsidR="006A17AB" w:rsidRPr="005B1A37" w:rsidRDefault="006A17AB">
            <w:pPr>
              <w:rPr>
                <w:color w:val="FF0000"/>
              </w:rPr>
            </w:pPr>
            <w:r w:rsidRPr="005B1A37">
              <w:rPr>
                <w:color w:val="FF0000"/>
              </w:rPr>
              <w:t>0.520</w:t>
            </w:r>
          </w:p>
        </w:tc>
        <w:tc>
          <w:tcPr>
            <w:tcW w:w="0" w:type="auto"/>
            <w:vAlign w:val="center"/>
            <w:hideMark/>
          </w:tcPr>
          <w:p w14:paraId="387A391A" w14:textId="77777777" w:rsidR="006A17AB" w:rsidRPr="005B1A37" w:rsidRDefault="006A17AB">
            <w:pPr>
              <w:rPr>
                <w:color w:val="FF0000"/>
              </w:rPr>
            </w:pPr>
            <w:r w:rsidRPr="005B1A37">
              <w:rPr>
                <w:color w:val="FF0000"/>
              </w:rPr>
              <w:t>0.505</w:t>
            </w:r>
          </w:p>
        </w:tc>
      </w:tr>
    </w:tbl>
    <w:p w14:paraId="387A391C" w14:textId="77777777" w:rsidR="006A17AB" w:rsidRPr="005B1A37" w:rsidRDefault="006A17AB" w:rsidP="006A17AB">
      <w:pPr>
        <w:pStyle w:val="Heading3"/>
        <w:rPr>
          <w:color w:val="FF0000"/>
        </w:rPr>
      </w:pPr>
      <w:r w:rsidRPr="005B1A37">
        <w:rPr>
          <w:rStyle w:val="Strong"/>
          <w:b/>
          <w:bCs/>
          <w:color w:val="FF0000"/>
        </w:rPr>
        <w:t>Interpretation:</w:t>
      </w:r>
    </w:p>
    <w:p w14:paraId="387A391D"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R² = 0.520 means </w:t>
      </w:r>
      <w:r w:rsidRPr="005B1A37">
        <w:rPr>
          <w:rStyle w:val="Strong"/>
          <w:color w:val="FF0000"/>
        </w:rPr>
        <w:t>52% of variation in financial literacy</w:t>
      </w:r>
      <w:r w:rsidRPr="005B1A37">
        <w:rPr>
          <w:color w:val="FF0000"/>
        </w:rPr>
        <w:t xml:space="preserve"> is explained by independent variables </w:t>
      </w:r>
    </w:p>
    <w:p w14:paraId="387A391E"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The model is a </w:t>
      </w:r>
      <w:r w:rsidRPr="005B1A37">
        <w:rPr>
          <w:rStyle w:val="Strong"/>
          <w:color w:val="FF0000"/>
        </w:rPr>
        <w:t>good fit</w:t>
      </w:r>
      <w:r w:rsidRPr="005B1A37">
        <w:rPr>
          <w:color w:val="FF0000"/>
        </w:rPr>
        <w:t xml:space="preserve"> </w:t>
      </w:r>
    </w:p>
    <w:p w14:paraId="387A391F" w14:textId="77777777" w:rsidR="006A17AB" w:rsidRPr="005B1A37" w:rsidRDefault="006A17AB" w:rsidP="006A17AB">
      <w:pPr>
        <w:pStyle w:val="Heading3"/>
        <w:rPr>
          <w:color w:val="FF0000"/>
        </w:rPr>
      </w:pPr>
      <w:r w:rsidRPr="005B1A37">
        <w:rPr>
          <w:rStyle w:val="Strong"/>
          <w:b/>
          <w:bCs/>
          <w:color w:val="FF0000"/>
        </w:rPr>
        <w:t>Coefficients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479"/>
        <w:gridCol w:w="700"/>
        <w:gridCol w:w="1155"/>
      </w:tblGrid>
      <w:tr w:rsidR="005B1A37" w:rsidRPr="005B1A37" w14:paraId="387A3924" w14:textId="77777777" w:rsidTr="006A17AB">
        <w:trPr>
          <w:tblHeader/>
          <w:tblCellSpacing w:w="15" w:type="dxa"/>
        </w:trPr>
        <w:tc>
          <w:tcPr>
            <w:tcW w:w="0" w:type="auto"/>
            <w:vAlign w:val="center"/>
            <w:hideMark/>
          </w:tcPr>
          <w:p w14:paraId="387A3920" w14:textId="77777777" w:rsidR="006A17AB" w:rsidRPr="005B1A37" w:rsidRDefault="006A17AB">
            <w:pPr>
              <w:jc w:val="center"/>
              <w:rPr>
                <w:b/>
                <w:bCs/>
                <w:color w:val="FF0000"/>
              </w:rPr>
            </w:pPr>
            <w:r w:rsidRPr="005B1A37">
              <w:rPr>
                <w:b/>
                <w:bCs/>
                <w:color w:val="FF0000"/>
              </w:rPr>
              <w:t>Variable</w:t>
            </w:r>
          </w:p>
        </w:tc>
        <w:tc>
          <w:tcPr>
            <w:tcW w:w="0" w:type="auto"/>
            <w:vAlign w:val="center"/>
            <w:hideMark/>
          </w:tcPr>
          <w:p w14:paraId="387A3921" w14:textId="77777777" w:rsidR="006A17AB" w:rsidRPr="005B1A37" w:rsidRDefault="006A17AB">
            <w:pPr>
              <w:jc w:val="center"/>
              <w:rPr>
                <w:b/>
                <w:bCs/>
                <w:color w:val="FF0000"/>
              </w:rPr>
            </w:pPr>
            <w:r w:rsidRPr="005B1A37">
              <w:rPr>
                <w:b/>
                <w:bCs/>
                <w:color w:val="FF0000"/>
              </w:rPr>
              <w:t>Beta</w:t>
            </w:r>
          </w:p>
        </w:tc>
        <w:tc>
          <w:tcPr>
            <w:tcW w:w="0" w:type="auto"/>
            <w:vAlign w:val="center"/>
            <w:hideMark/>
          </w:tcPr>
          <w:p w14:paraId="387A3922"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23" w14:textId="77777777" w:rsidR="006A17AB" w:rsidRPr="005B1A37" w:rsidRDefault="006A17AB">
            <w:pPr>
              <w:jc w:val="center"/>
              <w:rPr>
                <w:b/>
                <w:bCs/>
                <w:color w:val="FF0000"/>
              </w:rPr>
            </w:pPr>
            <w:r w:rsidRPr="005B1A37">
              <w:rPr>
                <w:b/>
                <w:bCs/>
                <w:color w:val="FF0000"/>
              </w:rPr>
              <w:t>Significance</w:t>
            </w:r>
          </w:p>
        </w:tc>
      </w:tr>
      <w:tr w:rsidR="005B1A37" w:rsidRPr="005B1A37" w14:paraId="387A3929" w14:textId="77777777" w:rsidTr="006A17AB">
        <w:trPr>
          <w:tblCellSpacing w:w="15" w:type="dxa"/>
        </w:trPr>
        <w:tc>
          <w:tcPr>
            <w:tcW w:w="0" w:type="auto"/>
            <w:vAlign w:val="center"/>
            <w:hideMark/>
          </w:tcPr>
          <w:p w14:paraId="387A3925" w14:textId="77777777" w:rsidR="006A17AB" w:rsidRPr="005B1A37" w:rsidRDefault="006A17AB">
            <w:pPr>
              <w:rPr>
                <w:color w:val="FF0000"/>
              </w:rPr>
            </w:pPr>
            <w:r w:rsidRPr="005B1A37">
              <w:rPr>
                <w:color w:val="FF0000"/>
              </w:rPr>
              <w:t>Education</w:t>
            </w:r>
          </w:p>
        </w:tc>
        <w:tc>
          <w:tcPr>
            <w:tcW w:w="0" w:type="auto"/>
            <w:vAlign w:val="center"/>
            <w:hideMark/>
          </w:tcPr>
          <w:p w14:paraId="387A3926" w14:textId="77777777" w:rsidR="006A17AB" w:rsidRPr="005B1A37" w:rsidRDefault="006A17AB">
            <w:pPr>
              <w:rPr>
                <w:color w:val="FF0000"/>
              </w:rPr>
            </w:pPr>
            <w:r w:rsidRPr="005B1A37">
              <w:rPr>
                <w:color w:val="FF0000"/>
              </w:rPr>
              <w:t>0.35</w:t>
            </w:r>
          </w:p>
        </w:tc>
        <w:tc>
          <w:tcPr>
            <w:tcW w:w="0" w:type="auto"/>
            <w:vAlign w:val="center"/>
            <w:hideMark/>
          </w:tcPr>
          <w:p w14:paraId="387A3927" w14:textId="77777777" w:rsidR="006A17AB" w:rsidRPr="005B1A37" w:rsidRDefault="006A17AB">
            <w:pPr>
              <w:rPr>
                <w:color w:val="FF0000"/>
              </w:rPr>
            </w:pPr>
            <w:r w:rsidRPr="005B1A37">
              <w:rPr>
                <w:color w:val="FF0000"/>
              </w:rPr>
              <w:t>3.80</w:t>
            </w:r>
          </w:p>
        </w:tc>
        <w:tc>
          <w:tcPr>
            <w:tcW w:w="0" w:type="auto"/>
            <w:vAlign w:val="center"/>
            <w:hideMark/>
          </w:tcPr>
          <w:p w14:paraId="387A3928" w14:textId="77777777" w:rsidR="006A17AB" w:rsidRPr="005B1A37" w:rsidRDefault="006A17AB">
            <w:pPr>
              <w:rPr>
                <w:color w:val="FF0000"/>
              </w:rPr>
            </w:pPr>
            <w:r w:rsidRPr="005B1A37">
              <w:rPr>
                <w:color w:val="FF0000"/>
              </w:rPr>
              <w:t>0.000</w:t>
            </w:r>
          </w:p>
        </w:tc>
      </w:tr>
      <w:tr w:rsidR="005B1A37" w:rsidRPr="005B1A37" w14:paraId="387A392E" w14:textId="77777777" w:rsidTr="006A17AB">
        <w:trPr>
          <w:tblCellSpacing w:w="15" w:type="dxa"/>
        </w:trPr>
        <w:tc>
          <w:tcPr>
            <w:tcW w:w="0" w:type="auto"/>
            <w:vAlign w:val="center"/>
            <w:hideMark/>
          </w:tcPr>
          <w:p w14:paraId="387A392A" w14:textId="77777777" w:rsidR="006A17AB" w:rsidRPr="005B1A37" w:rsidRDefault="006A17AB">
            <w:pPr>
              <w:rPr>
                <w:color w:val="FF0000"/>
              </w:rPr>
            </w:pPr>
            <w:r w:rsidRPr="005B1A37">
              <w:rPr>
                <w:color w:val="FF0000"/>
              </w:rPr>
              <w:t>Income</w:t>
            </w:r>
          </w:p>
        </w:tc>
        <w:tc>
          <w:tcPr>
            <w:tcW w:w="0" w:type="auto"/>
            <w:vAlign w:val="center"/>
            <w:hideMark/>
          </w:tcPr>
          <w:p w14:paraId="387A392B" w14:textId="77777777" w:rsidR="006A17AB" w:rsidRPr="005B1A37" w:rsidRDefault="006A17AB">
            <w:pPr>
              <w:rPr>
                <w:color w:val="FF0000"/>
              </w:rPr>
            </w:pPr>
            <w:r w:rsidRPr="005B1A37">
              <w:rPr>
                <w:color w:val="FF0000"/>
              </w:rPr>
              <w:t>0.28</w:t>
            </w:r>
          </w:p>
        </w:tc>
        <w:tc>
          <w:tcPr>
            <w:tcW w:w="0" w:type="auto"/>
            <w:vAlign w:val="center"/>
            <w:hideMark/>
          </w:tcPr>
          <w:p w14:paraId="387A392C" w14:textId="77777777" w:rsidR="006A17AB" w:rsidRPr="005B1A37" w:rsidRDefault="006A17AB">
            <w:pPr>
              <w:rPr>
                <w:color w:val="FF0000"/>
              </w:rPr>
            </w:pPr>
            <w:r w:rsidRPr="005B1A37">
              <w:rPr>
                <w:color w:val="FF0000"/>
              </w:rPr>
              <w:t>2.95</w:t>
            </w:r>
          </w:p>
        </w:tc>
        <w:tc>
          <w:tcPr>
            <w:tcW w:w="0" w:type="auto"/>
            <w:vAlign w:val="center"/>
            <w:hideMark/>
          </w:tcPr>
          <w:p w14:paraId="387A392D" w14:textId="77777777" w:rsidR="006A17AB" w:rsidRPr="005B1A37" w:rsidRDefault="006A17AB">
            <w:pPr>
              <w:rPr>
                <w:color w:val="FF0000"/>
              </w:rPr>
            </w:pPr>
            <w:r w:rsidRPr="005B1A37">
              <w:rPr>
                <w:color w:val="FF0000"/>
              </w:rPr>
              <w:t>0.004</w:t>
            </w:r>
          </w:p>
        </w:tc>
      </w:tr>
      <w:tr w:rsidR="005B1A37" w:rsidRPr="005B1A37" w14:paraId="387A3933" w14:textId="77777777" w:rsidTr="006A17AB">
        <w:trPr>
          <w:tblCellSpacing w:w="15" w:type="dxa"/>
        </w:trPr>
        <w:tc>
          <w:tcPr>
            <w:tcW w:w="0" w:type="auto"/>
            <w:vAlign w:val="center"/>
            <w:hideMark/>
          </w:tcPr>
          <w:p w14:paraId="387A392F" w14:textId="77777777" w:rsidR="006A17AB" w:rsidRPr="005B1A37" w:rsidRDefault="006A17AB">
            <w:pPr>
              <w:rPr>
                <w:color w:val="FF0000"/>
              </w:rPr>
            </w:pPr>
            <w:r w:rsidRPr="005B1A37">
              <w:rPr>
                <w:color w:val="FF0000"/>
              </w:rPr>
              <w:t>Digital Awareness</w:t>
            </w:r>
          </w:p>
        </w:tc>
        <w:tc>
          <w:tcPr>
            <w:tcW w:w="0" w:type="auto"/>
            <w:vAlign w:val="center"/>
            <w:hideMark/>
          </w:tcPr>
          <w:p w14:paraId="387A3930" w14:textId="77777777" w:rsidR="006A17AB" w:rsidRPr="005B1A37" w:rsidRDefault="006A17AB">
            <w:pPr>
              <w:rPr>
                <w:color w:val="FF0000"/>
              </w:rPr>
            </w:pPr>
            <w:r w:rsidRPr="005B1A37">
              <w:rPr>
                <w:color w:val="FF0000"/>
              </w:rPr>
              <w:t>0.42</w:t>
            </w:r>
          </w:p>
        </w:tc>
        <w:tc>
          <w:tcPr>
            <w:tcW w:w="0" w:type="auto"/>
            <w:vAlign w:val="center"/>
            <w:hideMark/>
          </w:tcPr>
          <w:p w14:paraId="387A3931" w14:textId="77777777" w:rsidR="006A17AB" w:rsidRPr="005B1A37" w:rsidRDefault="006A17AB">
            <w:pPr>
              <w:rPr>
                <w:color w:val="FF0000"/>
              </w:rPr>
            </w:pPr>
            <w:r w:rsidRPr="005B1A37">
              <w:rPr>
                <w:color w:val="FF0000"/>
              </w:rPr>
              <w:t>4.25</w:t>
            </w:r>
          </w:p>
        </w:tc>
        <w:tc>
          <w:tcPr>
            <w:tcW w:w="0" w:type="auto"/>
            <w:vAlign w:val="center"/>
            <w:hideMark/>
          </w:tcPr>
          <w:p w14:paraId="387A3932" w14:textId="77777777" w:rsidR="006A17AB" w:rsidRPr="005B1A37" w:rsidRDefault="006A17AB">
            <w:pPr>
              <w:rPr>
                <w:color w:val="FF0000"/>
              </w:rPr>
            </w:pPr>
            <w:r w:rsidRPr="005B1A37">
              <w:rPr>
                <w:color w:val="FF0000"/>
              </w:rPr>
              <w:t>0.000</w:t>
            </w:r>
          </w:p>
        </w:tc>
      </w:tr>
    </w:tbl>
    <w:p w14:paraId="387A3934" w14:textId="77777777" w:rsidR="006A17AB" w:rsidRPr="005B1A37" w:rsidRDefault="006A17AB" w:rsidP="006A17AB">
      <w:pPr>
        <w:pStyle w:val="Heading3"/>
        <w:rPr>
          <w:color w:val="FF0000"/>
        </w:rPr>
      </w:pPr>
      <w:r w:rsidRPr="005B1A37">
        <w:rPr>
          <w:rStyle w:val="Strong"/>
          <w:b/>
          <w:bCs/>
          <w:color w:val="FF0000"/>
        </w:rPr>
        <w:t>Interpretation:</w:t>
      </w:r>
    </w:p>
    <w:p w14:paraId="387A3935"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rStyle w:val="Strong"/>
          <w:color w:val="FF0000"/>
        </w:rPr>
        <w:t>Digital awareness (0.42)</w:t>
      </w:r>
      <w:r w:rsidRPr="005B1A37">
        <w:rPr>
          <w:color w:val="FF0000"/>
        </w:rPr>
        <w:t xml:space="preserve"> has the strongest impact </w:t>
      </w:r>
    </w:p>
    <w:p w14:paraId="387A3936"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Education and income also significantly influence financial literacy </w:t>
      </w:r>
    </w:p>
    <w:p w14:paraId="387A3937"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All variables are statistically significant </w:t>
      </w:r>
    </w:p>
    <w:p w14:paraId="387A3938" w14:textId="77777777" w:rsidR="006A17AB" w:rsidRPr="005B1A37" w:rsidRDefault="006A17AB" w:rsidP="006A17AB">
      <w:pPr>
        <w:pStyle w:val="Heading1"/>
        <w:rPr>
          <w:color w:val="FF0000"/>
        </w:rPr>
      </w:pPr>
      <w:r w:rsidRPr="005B1A37">
        <w:rPr>
          <w:rStyle w:val="Strong"/>
          <w:b w:val="0"/>
          <w:bCs w:val="0"/>
          <w:color w:val="FF0000"/>
        </w:rPr>
        <w:t>8. Factor Analysis (Optional – High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3"/>
        <w:gridCol w:w="790"/>
      </w:tblGrid>
      <w:tr w:rsidR="005B1A37" w:rsidRPr="005B1A37" w14:paraId="387A393B" w14:textId="77777777" w:rsidTr="006A17AB">
        <w:trPr>
          <w:tblHeader/>
          <w:tblCellSpacing w:w="15" w:type="dxa"/>
        </w:trPr>
        <w:tc>
          <w:tcPr>
            <w:tcW w:w="0" w:type="auto"/>
            <w:vAlign w:val="center"/>
            <w:hideMark/>
          </w:tcPr>
          <w:p w14:paraId="387A3939" w14:textId="77777777" w:rsidR="006A17AB" w:rsidRPr="005B1A37" w:rsidRDefault="006A17AB">
            <w:pPr>
              <w:jc w:val="center"/>
              <w:rPr>
                <w:b/>
                <w:bCs/>
                <w:color w:val="FF0000"/>
              </w:rPr>
            </w:pPr>
            <w:r w:rsidRPr="005B1A37">
              <w:rPr>
                <w:b/>
                <w:bCs/>
                <w:color w:val="FF0000"/>
              </w:rPr>
              <w:t>Factor</w:t>
            </w:r>
          </w:p>
        </w:tc>
        <w:tc>
          <w:tcPr>
            <w:tcW w:w="0" w:type="auto"/>
            <w:vAlign w:val="center"/>
            <w:hideMark/>
          </w:tcPr>
          <w:p w14:paraId="387A393A" w14:textId="77777777" w:rsidR="006A17AB" w:rsidRPr="005B1A37" w:rsidRDefault="006A17AB">
            <w:pPr>
              <w:jc w:val="center"/>
              <w:rPr>
                <w:b/>
                <w:bCs/>
                <w:color w:val="FF0000"/>
              </w:rPr>
            </w:pPr>
            <w:r w:rsidRPr="005B1A37">
              <w:rPr>
                <w:b/>
                <w:bCs/>
                <w:color w:val="FF0000"/>
              </w:rPr>
              <w:t>Loading</w:t>
            </w:r>
          </w:p>
        </w:tc>
      </w:tr>
      <w:tr w:rsidR="005B1A37" w:rsidRPr="005B1A37" w14:paraId="387A393E" w14:textId="77777777" w:rsidTr="006A17AB">
        <w:trPr>
          <w:tblCellSpacing w:w="15" w:type="dxa"/>
        </w:trPr>
        <w:tc>
          <w:tcPr>
            <w:tcW w:w="0" w:type="auto"/>
            <w:vAlign w:val="center"/>
            <w:hideMark/>
          </w:tcPr>
          <w:p w14:paraId="387A393C" w14:textId="77777777" w:rsidR="006A17AB" w:rsidRPr="005B1A37" w:rsidRDefault="006A17AB">
            <w:pPr>
              <w:rPr>
                <w:color w:val="FF0000"/>
              </w:rPr>
            </w:pPr>
            <w:r w:rsidRPr="005B1A37">
              <w:rPr>
                <w:color w:val="FF0000"/>
              </w:rPr>
              <w:t>Digital Literacy</w:t>
            </w:r>
          </w:p>
        </w:tc>
        <w:tc>
          <w:tcPr>
            <w:tcW w:w="0" w:type="auto"/>
            <w:vAlign w:val="center"/>
            <w:hideMark/>
          </w:tcPr>
          <w:p w14:paraId="387A393D" w14:textId="77777777" w:rsidR="006A17AB" w:rsidRPr="005B1A37" w:rsidRDefault="006A17AB">
            <w:pPr>
              <w:rPr>
                <w:color w:val="FF0000"/>
              </w:rPr>
            </w:pPr>
            <w:r w:rsidRPr="005B1A37">
              <w:rPr>
                <w:color w:val="FF0000"/>
              </w:rPr>
              <w:t>0.81</w:t>
            </w:r>
          </w:p>
        </w:tc>
      </w:tr>
      <w:tr w:rsidR="005B1A37" w:rsidRPr="005B1A37" w14:paraId="387A3941" w14:textId="77777777" w:rsidTr="006A17AB">
        <w:trPr>
          <w:tblCellSpacing w:w="15" w:type="dxa"/>
        </w:trPr>
        <w:tc>
          <w:tcPr>
            <w:tcW w:w="0" w:type="auto"/>
            <w:vAlign w:val="center"/>
            <w:hideMark/>
          </w:tcPr>
          <w:p w14:paraId="387A393F" w14:textId="77777777" w:rsidR="006A17AB" w:rsidRPr="005B1A37" w:rsidRDefault="006A17AB">
            <w:pPr>
              <w:rPr>
                <w:color w:val="FF0000"/>
              </w:rPr>
            </w:pPr>
            <w:r w:rsidRPr="005B1A37">
              <w:rPr>
                <w:color w:val="FF0000"/>
              </w:rPr>
              <w:t>Savings Behaviour</w:t>
            </w:r>
          </w:p>
        </w:tc>
        <w:tc>
          <w:tcPr>
            <w:tcW w:w="0" w:type="auto"/>
            <w:vAlign w:val="center"/>
            <w:hideMark/>
          </w:tcPr>
          <w:p w14:paraId="387A3940" w14:textId="77777777" w:rsidR="006A17AB" w:rsidRPr="005B1A37" w:rsidRDefault="006A17AB">
            <w:pPr>
              <w:rPr>
                <w:color w:val="FF0000"/>
              </w:rPr>
            </w:pPr>
            <w:r w:rsidRPr="005B1A37">
              <w:rPr>
                <w:color w:val="FF0000"/>
              </w:rPr>
              <w:t>0.76</w:t>
            </w:r>
          </w:p>
        </w:tc>
      </w:tr>
      <w:tr w:rsidR="005B1A37" w:rsidRPr="005B1A37" w14:paraId="387A3944" w14:textId="77777777" w:rsidTr="006A17AB">
        <w:trPr>
          <w:tblCellSpacing w:w="15" w:type="dxa"/>
        </w:trPr>
        <w:tc>
          <w:tcPr>
            <w:tcW w:w="0" w:type="auto"/>
            <w:vAlign w:val="center"/>
            <w:hideMark/>
          </w:tcPr>
          <w:p w14:paraId="387A3942" w14:textId="77777777" w:rsidR="006A17AB" w:rsidRPr="005B1A37" w:rsidRDefault="006A17AB">
            <w:pPr>
              <w:rPr>
                <w:color w:val="FF0000"/>
              </w:rPr>
            </w:pPr>
            <w:r w:rsidRPr="005B1A37">
              <w:rPr>
                <w:color w:val="FF0000"/>
              </w:rPr>
              <w:t>Investment Awareness</w:t>
            </w:r>
          </w:p>
        </w:tc>
        <w:tc>
          <w:tcPr>
            <w:tcW w:w="0" w:type="auto"/>
            <w:vAlign w:val="center"/>
            <w:hideMark/>
          </w:tcPr>
          <w:p w14:paraId="387A3943" w14:textId="77777777" w:rsidR="006A17AB" w:rsidRPr="005B1A37" w:rsidRDefault="006A17AB">
            <w:pPr>
              <w:rPr>
                <w:color w:val="FF0000"/>
              </w:rPr>
            </w:pPr>
            <w:r w:rsidRPr="005B1A37">
              <w:rPr>
                <w:color w:val="FF0000"/>
              </w:rPr>
              <w:t>0.72</w:t>
            </w:r>
          </w:p>
        </w:tc>
      </w:tr>
    </w:tbl>
    <w:p w14:paraId="387A3945" w14:textId="77777777" w:rsidR="006A17AB" w:rsidRPr="005B1A37" w:rsidRDefault="006A17AB" w:rsidP="006A17AB">
      <w:pPr>
        <w:pStyle w:val="Heading3"/>
        <w:rPr>
          <w:color w:val="FF0000"/>
        </w:rPr>
      </w:pPr>
      <w:r w:rsidRPr="005B1A37">
        <w:rPr>
          <w:rStyle w:val="Strong"/>
          <w:b/>
          <w:bCs/>
          <w:color w:val="FF0000"/>
        </w:rPr>
        <w:t>Interpretation:</w:t>
      </w:r>
    </w:p>
    <w:p w14:paraId="387A3946" w14:textId="77777777" w:rsidR="006A17AB" w:rsidRPr="005B1A37" w:rsidRDefault="006A17AB" w:rsidP="006A17AB">
      <w:pPr>
        <w:pStyle w:val="NormalWeb"/>
        <w:rPr>
          <w:color w:val="FF0000"/>
        </w:rPr>
      </w:pPr>
      <w:r w:rsidRPr="005B1A37">
        <w:rPr>
          <w:color w:val="FF0000"/>
        </w:rPr>
        <w:t>Three major factors influence financial literacy:</w:t>
      </w:r>
    </w:p>
    <w:p w14:paraId="387A3947"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lastRenderedPageBreak/>
        <w:t xml:space="preserve">Digital knowledge </w:t>
      </w:r>
    </w:p>
    <w:p w14:paraId="387A3948"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Saving habits </w:t>
      </w:r>
    </w:p>
    <w:p w14:paraId="387A3949"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Investment awareness </w:t>
      </w:r>
    </w:p>
    <w:p w14:paraId="387A394A" w14:textId="77777777" w:rsidR="006A17AB" w:rsidRPr="005B1A37" w:rsidRDefault="006A17AB" w:rsidP="006A17AB">
      <w:pPr>
        <w:pStyle w:val="Heading1"/>
        <w:rPr>
          <w:color w:val="FF0000"/>
        </w:rPr>
      </w:pPr>
      <w:r w:rsidRPr="005B1A37">
        <w:rPr>
          <w:rStyle w:val="Strong"/>
          <w:b w:val="0"/>
          <w:bCs w:val="0"/>
          <w:color w:val="FF0000"/>
        </w:rPr>
        <w:t>Overall Advanced Findings</w:t>
      </w:r>
    </w:p>
    <w:p w14:paraId="387A394B"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Financial literacy among rural youth is </w:t>
      </w:r>
      <w:r w:rsidRPr="005B1A37">
        <w:rPr>
          <w:rStyle w:val="Strong"/>
          <w:color w:val="FF0000"/>
        </w:rPr>
        <w:t>moderate but improving</w:t>
      </w:r>
      <w:r w:rsidRPr="005B1A37">
        <w:rPr>
          <w:color w:val="FF0000"/>
        </w:rPr>
        <w:t xml:space="preserve"> </w:t>
      </w:r>
    </w:p>
    <w:p w14:paraId="387A394C"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rStyle w:val="Strong"/>
          <w:color w:val="FF0000"/>
        </w:rPr>
        <w:t>Digital awareness is the strongest predictor</w:t>
      </w:r>
      <w:r w:rsidRPr="005B1A37">
        <w:rPr>
          <w:color w:val="FF0000"/>
        </w:rPr>
        <w:t xml:space="preserve"> </w:t>
      </w:r>
    </w:p>
    <w:p w14:paraId="387A394D"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Education and income significantly impact financial literacy </w:t>
      </w:r>
    </w:p>
    <w:p w14:paraId="387A394E"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Gender differences exist in financial knowledge </w:t>
      </w:r>
    </w:p>
    <w:p w14:paraId="387A394F"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Investment awareness is still </w:t>
      </w:r>
      <w:r w:rsidRPr="005B1A37">
        <w:rPr>
          <w:rStyle w:val="Strong"/>
          <w:color w:val="FF0000"/>
        </w:rPr>
        <w:t>very low</w:t>
      </w:r>
    </w:p>
    <w:p w14:paraId="387A3950" w14:textId="77777777" w:rsidR="006A17AB" w:rsidRPr="005B1A37" w:rsidRDefault="006A17AB" w:rsidP="006A17AB">
      <w:pPr>
        <w:pStyle w:val="Heading1"/>
        <w:rPr>
          <w:color w:val="FF0000"/>
        </w:rPr>
      </w:pPr>
      <w:r w:rsidRPr="005B1A37">
        <w:rPr>
          <w:rStyle w:val="Strong"/>
          <w:b w:val="0"/>
          <w:bCs w:val="0"/>
          <w:color w:val="FF0000"/>
        </w:rPr>
        <w:t>Major Findings of the Study</w:t>
      </w:r>
    </w:p>
    <w:p w14:paraId="387A3951" w14:textId="77777777" w:rsidR="006A17AB" w:rsidRPr="005B1A37" w:rsidRDefault="006A17AB" w:rsidP="006A17AB">
      <w:pPr>
        <w:pStyle w:val="NormalWeb"/>
        <w:rPr>
          <w:color w:val="FF0000"/>
        </w:rPr>
      </w:pPr>
      <w:r w:rsidRPr="005B1A37">
        <w:rPr>
          <w:color w:val="FF0000"/>
        </w:rPr>
        <w:t>Based on the analysis of data collected from rural youth in Hassan District, the following findings are observed:</w:t>
      </w:r>
    </w:p>
    <w:p w14:paraId="387A3952" w14:textId="77777777" w:rsidR="006A17AB" w:rsidRPr="005B1A37" w:rsidRDefault="006A17AB" w:rsidP="006A17AB">
      <w:pPr>
        <w:pStyle w:val="Heading3"/>
        <w:rPr>
          <w:color w:val="FF0000"/>
        </w:rPr>
      </w:pPr>
      <w:r w:rsidRPr="005B1A37">
        <w:rPr>
          <w:rStyle w:val="Strong"/>
          <w:b/>
          <w:bCs/>
          <w:color w:val="FF0000"/>
        </w:rPr>
        <w:t>General Findings</w:t>
      </w:r>
    </w:p>
    <w:p w14:paraId="387A3953"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The majority of respondents fall in the </w:t>
      </w:r>
      <w:r w:rsidRPr="005B1A37">
        <w:rPr>
          <w:rStyle w:val="Strong"/>
          <w:color w:val="FF0000"/>
        </w:rPr>
        <w:t>23–27 age group</w:t>
      </w:r>
      <w:r w:rsidRPr="005B1A37">
        <w:rPr>
          <w:color w:val="FF0000"/>
        </w:rPr>
        <w:t xml:space="preserve">, indicating active participation of young adults. </w:t>
      </w:r>
    </w:p>
    <w:p w14:paraId="387A3954"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A higher proportion of respondents are </w:t>
      </w:r>
      <w:r w:rsidRPr="005B1A37">
        <w:rPr>
          <w:rStyle w:val="Strong"/>
          <w:color w:val="FF0000"/>
        </w:rPr>
        <w:t>male compared to female</w:t>
      </w:r>
      <w:r w:rsidRPr="005B1A37">
        <w:rPr>
          <w:color w:val="FF0000"/>
        </w:rPr>
        <w:t xml:space="preserve">. </w:t>
      </w:r>
    </w:p>
    <w:p w14:paraId="387A3955"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degree-level education</w:t>
      </w:r>
      <w:r w:rsidRPr="005B1A37">
        <w:rPr>
          <w:color w:val="FF0000"/>
        </w:rPr>
        <w:t xml:space="preserve">, indicating moderate educational background. </w:t>
      </w:r>
    </w:p>
    <w:p w14:paraId="387A3956" w14:textId="77777777" w:rsidR="006A17AB" w:rsidRPr="005B1A37" w:rsidRDefault="006A17AB" w:rsidP="006A17AB">
      <w:pPr>
        <w:pStyle w:val="Heading3"/>
        <w:rPr>
          <w:color w:val="FF0000"/>
        </w:rPr>
      </w:pPr>
      <w:r w:rsidRPr="005B1A37">
        <w:rPr>
          <w:rStyle w:val="Strong"/>
          <w:b/>
          <w:bCs/>
          <w:color w:val="FF0000"/>
        </w:rPr>
        <w:t>Financial Awareness Findings</w:t>
      </w:r>
    </w:p>
    <w:p w14:paraId="387A3957"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partial awareness of banking services</w:t>
      </w:r>
      <w:r w:rsidRPr="005B1A37">
        <w:rPr>
          <w:color w:val="FF0000"/>
        </w:rPr>
        <w:t xml:space="preserve">, rather than full awareness. </w:t>
      </w:r>
    </w:p>
    <w:p w14:paraId="387A3958"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Awareness of </w:t>
      </w:r>
      <w:r w:rsidRPr="005B1A37">
        <w:rPr>
          <w:rStyle w:val="Strong"/>
          <w:color w:val="FF0000"/>
        </w:rPr>
        <w:t>digital payment systems</w:t>
      </w:r>
      <w:r w:rsidRPr="005B1A37">
        <w:rPr>
          <w:color w:val="FF0000"/>
        </w:rPr>
        <w:t xml:space="preserve"> is increasing, but still not universal. </w:t>
      </w:r>
    </w:p>
    <w:p w14:paraId="387A3959"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 significant number of respondents rely on </w:t>
      </w:r>
      <w:r w:rsidRPr="005B1A37">
        <w:rPr>
          <w:rStyle w:val="Strong"/>
          <w:color w:val="FF0000"/>
        </w:rPr>
        <w:t>family and informal sources</w:t>
      </w:r>
      <w:r w:rsidRPr="005B1A37">
        <w:rPr>
          <w:color w:val="FF0000"/>
        </w:rPr>
        <w:t xml:space="preserve"> for financial information rather than formal channels. </w:t>
      </w:r>
    </w:p>
    <w:p w14:paraId="387A395A" w14:textId="77777777" w:rsidR="006A17AB" w:rsidRPr="005B1A37" w:rsidRDefault="006A17AB" w:rsidP="006A17AB">
      <w:pPr>
        <w:pStyle w:val="Heading3"/>
        <w:rPr>
          <w:color w:val="FF0000"/>
        </w:rPr>
      </w:pPr>
      <w:r w:rsidRPr="005B1A37">
        <w:rPr>
          <w:rStyle w:val="Strong"/>
          <w:b/>
          <w:bCs/>
          <w:color w:val="FF0000"/>
        </w:rPr>
        <w:t>Financial Literacy Findings</w:t>
      </w:r>
    </w:p>
    <w:p w14:paraId="387A395B"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The overall financial literacy level among rural youth is </w:t>
      </w:r>
      <w:r w:rsidRPr="005B1A37">
        <w:rPr>
          <w:rStyle w:val="Strong"/>
          <w:color w:val="FF0000"/>
        </w:rPr>
        <w:t>moderate</w:t>
      </w:r>
      <w:r w:rsidRPr="005B1A37">
        <w:rPr>
          <w:color w:val="FF0000"/>
        </w:rPr>
        <w:t xml:space="preserve">. </w:t>
      </w:r>
    </w:p>
    <w:p w14:paraId="387A395C"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A large proportion of respondents lack </w:t>
      </w:r>
      <w:r w:rsidRPr="005B1A37">
        <w:rPr>
          <w:rStyle w:val="Strong"/>
          <w:color w:val="FF0000"/>
        </w:rPr>
        <w:t>awareness about investment options</w:t>
      </w:r>
      <w:r w:rsidRPr="005B1A37">
        <w:rPr>
          <w:color w:val="FF0000"/>
        </w:rPr>
        <w:t xml:space="preserve"> such as mutual funds, shares, and insurance. </w:t>
      </w:r>
    </w:p>
    <w:p w14:paraId="387A395D"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Only a limited number of respondents practice </w:t>
      </w:r>
      <w:r w:rsidRPr="005B1A37">
        <w:rPr>
          <w:rStyle w:val="Strong"/>
          <w:color w:val="FF0000"/>
        </w:rPr>
        <w:t>regular savings</w:t>
      </w:r>
      <w:r w:rsidRPr="005B1A37">
        <w:rPr>
          <w:color w:val="FF0000"/>
        </w:rPr>
        <w:t xml:space="preserve">, while some do not save at all. </w:t>
      </w:r>
    </w:p>
    <w:p w14:paraId="387A395E" w14:textId="77777777" w:rsidR="006A17AB" w:rsidRPr="005B1A37" w:rsidRDefault="006A17AB" w:rsidP="006A17AB">
      <w:pPr>
        <w:pStyle w:val="Heading3"/>
        <w:rPr>
          <w:color w:val="FF0000"/>
        </w:rPr>
      </w:pPr>
      <w:r w:rsidRPr="005B1A37">
        <w:rPr>
          <w:rStyle w:val="Strong"/>
          <w:b/>
          <w:bCs/>
          <w:color w:val="FF0000"/>
        </w:rPr>
        <w:t>Statistical Findings</w:t>
      </w:r>
    </w:p>
    <w:p w14:paraId="387A395F"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is a </w:t>
      </w:r>
      <w:r w:rsidRPr="005B1A37">
        <w:rPr>
          <w:rStyle w:val="Strong"/>
          <w:color w:val="FF0000"/>
        </w:rPr>
        <w:t>significant relationship between education and financial literacy</w:t>
      </w:r>
      <w:r w:rsidRPr="005B1A37">
        <w:rPr>
          <w:color w:val="FF0000"/>
        </w:rPr>
        <w:t xml:space="preserve">. </w:t>
      </w:r>
    </w:p>
    <w:p w14:paraId="387A3960"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Income level positively influences financial awareness</w:t>
      </w:r>
      <w:r w:rsidRPr="005B1A37">
        <w:rPr>
          <w:color w:val="FF0000"/>
        </w:rPr>
        <w:t xml:space="preserve">. </w:t>
      </w:r>
    </w:p>
    <w:p w14:paraId="387A3961"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Digital awareness has the strongest impact</w:t>
      </w:r>
      <w:r w:rsidRPr="005B1A37">
        <w:rPr>
          <w:color w:val="FF0000"/>
        </w:rPr>
        <w:t xml:space="preserve"> on financial literacy among all variables studied. </w:t>
      </w:r>
    </w:p>
    <w:p w14:paraId="387A3962"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exists a </w:t>
      </w:r>
      <w:r w:rsidRPr="005B1A37">
        <w:rPr>
          <w:rStyle w:val="Strong"/>
          <w:color w:val="FF0000"/>
        </w:rPr>
        <w:t>significant difference between male and female respondents</w:t>
      </w:r>
      <w:r w:rsidRPr="005B1A37">
        <w:rPr>
          <w:color w:val="FF0000"/>
        </w:rPr>
        <w:t xml:space="preserve"> in terms of financial literacy. </w:t>
      </w:r>
    </w:p>
    <w:p w14:paraId="387A3963"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Regression analysis shows that </w:t>
      </w:r>
      <w:r w:rsidRPr="005B1A37">
        <w:rPr>
          <w:rStyle w:val="Strong"/>
          <w:color w:val="FF0000"/>
        </w:rPr>
        <w:t>education, income, and digital literacy together explain a major portion of financial literacy levels</w:t>
      </w:r>
      <w:r w:rsidRPr="005B1A37">
        <w:rPr>
          <w:color w:val="FF0000"/>
        </w:rPr>
        <w:t xml:space="preserve">. </w:t>
      </w:r>
    </w:p>
    <w:p w14:paraId="387A3964" w14:textId="77777777" w:rsidR="006A17AB" w:rsidRPr="005B1A37" w:rsidRDefault="006A17AB" w:rsidP="006A17AB">
      <w:pPr>
        <w:pStyle w:val="Heading1"/>
        <w:rPr>
          <w:color w:val="FF0000"/>
        </w:rPr>
      </w:pPr>
      <w:r w:rsidRPr="005B1A37">
        <w:rPr>
          <w:rStyle w:val="Strong"/>
          <w:b w:val="0"/>
          <w:bCs w:val="0"/>
          <w:color w:val="FF0000"/>
        </w:rPr>
        <w:lastRenderedPageBreak/>
        <w:t>2. Suggestions of the Study</w:t>
      </w:r>
    </w:p>
    <w:p w14:paraId="387A3965" w14:textId="77777777" w:rsidR="006A17AB" w:rsidRPr="005B1A37" w:rsidRDefault="006A17AB" w:rsidP="006A17AB">
      <w:pPr>
        <w:pStyle w:val="NormalWeb"/>
        <w:rPr>
          <w:color w:val="FF0000"/>
        </w:rPr>
      </w:pPr>
      <w:r w:rsidRPr="005B1A37">
        <w:rPr>
          <w:color w:val="FF0000"/>
        </w:rPr>
        <w:t>Based on the findings, the following suggestions are offered to improve financial awareness and literacy among rural youth:</w:t>
      </w:r>
    </w:p>
    <w:p w14:paraId="387A3966" w14:textId="77777777" w:rsidR="006A17AB" w:rsidRPr="005B1A37" w:rsidRDefault="006A17AB" w:rsidP="006A17AB">
      <w:pPr>
        <w:pStyle w:val="Heading3"/>
        <w:rPr>
          <w:color w:val="FF0000"/>
        </w:rPr>
      </w:pPr>
      <w:r w:rsidRPr="005B1A37">
        <w:rPr>
          <w:rStyle w:val="Strong"/>
          <w:b/>
          <w:bCs/>
          <w:color w:val="FF0000"/>
        </w:rPr>
        <w:t>1. Financial Education Programs</w:t>
      </w:r>
    </w:p>
    <w:p w14:paraId="387A3967"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Government and educational institutions should organize </w:t>
      </w:r>
      <w:r w:rsidRPr="005B1A37">
        <w:rPr>
          <w:rStyle w:val="Strong"/>
          <w:color w:val="FF0000"/>
        </w:rPr>
        <w:t>financial literacy workshops and training programs</w:t>
      </w:r>
      <w:r w:rsidRPr="005B1A37">
        <w:rPr>
          <w:color w:val="FF0000"/>
        </w:rPr>
        <w:t xml:space="preserve"> in rural areas. </w:t>
      </w:r>
    </w:p>
    <w:p w14:paraId="387A3968"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Financial education should be introduced at </w:t>
      </w:r>
      <w:r w:rsidRPr="005B1A37">
        <w:rPr>
          <w:rStyle w:val="Strong"/>
          <w:color w:val="FF0000"/>
        </w:rPr>
        <w:t>school and college levels</w:t>
      </w:r>
      <w:r w:rsidRPr="005B1A37">
        <w:rPr>
          <w:color w:val="FF0000"/>
        </w:rPr>
        <w:t xml:space="preserve">. </w:t>
      </w:r>
    </w:p>
    <w:p w14:paraId="387A3969" w14:textId="77777777" w:rsidR="006A17AB" w:rsidRPr="005B1A37" w:rsidRDefault="006A17AB" w:rsidP="006A17AB">
      <w:pPr>
        <w:pStyle w:val="Heading3"/>
        <w:rPr>
          <w:color w:val="FF0000"/>
        </w:rPr>
      </w:pPr>
      <w:r w:rsidRPr="005B1A37">
        <w:rPr>
          <w:rStyle w:val="Strong"/>
          <w:b/>
          <w:bCs/>
          <w:color w:val="FF0000"/>
        </w:rPr>
        <w:t>2. Awareness Campaigns</w:t>
      </w:r>
    </w:p>
    <w:p w14:paraId="387A396A"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Conduct awareness drives on </w:t>
      </w:r>
      <w:r w:rsidRPr="005B1A37">
        <w:rPr>
          <w:rStyle w:val="Strong"/>
          <w:color w:val="FF0000"/>
        </w:rPr>
        <w:t>banking services, savings schemes, and investment options</w:t>
      </w:r>
      <w:r w:rsidRPr="005B1A37">
        <w:rPr>
          <w:color w:val="FF0000"/>
        </w:rPr>
        <w:t xml:space="preserve">. </w:t>
      </w:r>
    </w:p>
    <w:p w14:paraId="387A396B"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Use local languages and simple methods for better understanding. </w:t>
      </w:r>
    </w:p>
    <w:p w14:paraId="387A396C" w14:textId="77777777" w:rsidR="006A17AB" w:rsidRPr="005B1A37" w:rsidRDefault="006A17AB" w:rsidP="006A17AB">
      <w:pPr>
        <w:pStyle w:val="Heading3"/>
        <w:rPr>
          <w:color w:val="FF0000"/>
        </w:rPr>
      </w:pPr>
      <w:r w:rsidRPr="005B1A37">
        <w:rPr>
          <w:rStyle w:val="Strong"/>
          <w:b/>
          <w:bCs/>
          <w:color w:val="FF0000"/>
        </w:rPr>
        <w:t>3. Promotion of Digital Literacy</w:t>
      </w:r>
    </w:p>
    <w:p w14:paraId="387A396D"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Provide training on </w:t>
      </w:r>
      <w:r w:rsidRPr="005B1A37">
        <w:rPr>
          <w:rStyle w:val="Strong"/>
          <w:color w:val="FF0000"/>
        </w:rPr>
        <w:t>digital payment systems</w:t>
      </w:r>
      <w:r w:rsidRPr="005B1A37">
        <w:rPr>
          <w:color w:val="FF0000"/>
        </w:rPr>
        <w:t xml:space="preserve"> such as UPI, mobile banking, and internet banking. </w:t>
      </w:r>
    </w:p>
    <w:p w14:paraId="387A396E"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Improve access to smartphones and internet facilities in rural areas. </w:t>
      </w:r>
    </w:p>
    <w:p w14:paraId="387A396F" w14:textId="77777777" w:rsidR="006A17AB" w:rsidRPr="005B1A37" w:rsidRDefault="006A17AB" w:rsidP="006A17AB">
      <w:pPr>
        <w:pStyle w:val="Heading3"/>
        <w:rPr>
          <w:color w:val="FF0000"/>
        </w:rPr>
      </w:pPr>
      <w:r w:rsidRPr="005B1A37">
        <w:rPr>
          <w:rStyle w:val="Strong"/>
          <w:b/>
          <w:bCs/>
          <w:color w:val="FF0000"/>
        </w:rPr>
        <w:t>4. Role of Banks and Financial Institutions</w:t>
      </w:r>
    </w:p>
    <w:p w14:paraId="387A3970"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Banks should actively engage in </w:t>
      </w:r>
      <w:r w:rsidRPr="005B1A37">
        <w:rPr>
          <w:rStyle w:val="Strong"/>
          <w:color w:val="FF0000"/>
        </w:rPr>
        <w:t>financial awareness programs</w:t>
      </w:r>
      <w:r w:rsidRPr="005B1A37">
        <w:rPr>
          <w:color w:val="FF0000"/>
        </w:rPr>
        <w:t xml:space="preserve"> in villages. </w:t>
      </w:r>
    </w:p>
    <w:p w14:paraId="387A3971"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Simplify procedures and provide </w:t>
      </w:r>
      <w:r w:rsidRPr="005B1A37">
        <w:rPr>
          <w:rStyle w:val="Strong"/>
          <w:color w:val="FF0000"/>
        </w:rPr>
        <w:t>user-friendly financial services</w:t>
      </w:r>
      <w:r w:rsidRPr="005B1A37">
        <w:rPr>
          <w:color w:val="FF0000"/>
        </w:rPr>
        <w:t xml:space="preserve">. </w:t>
      </w:r>
    </w:p>
    <w:p w14:paraId="387A3972" w14:textId="77777777" w:rsidR="006A17AB" w:rsidRPr="005B1A37" w:rsidRDefault="006A17AB" w:rsidP="006A17AB">
      <w:pPr>
        <w:pStyle w:val="Heading3"/>
        <w:rPr>
          <w:color w:val="FF0000"/>
        </w:rPr>
      </w:pPr>
      <w:r w:rsidRPr="005B1A37">
        <w:rPr>
          <w:rStyle w:val="Strong"/>
          <w:b/>
          <w:bCs/>
          <w:color w:val="FF0000"/>
        </w:rPr>
        <w:t>5. Encourage Saving and Investment Habits</w:t>
      </w:r>
    </w:p>
    <w:p w14:paraId="387A3973"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Motivate rural youth to develop </w:t>
      </w:r>
      <w:r w:rsidRPr="005B1A37">
        <w:rPr>
          <w:rStyle w:val="Strong"/>
          <w:color w:val="FF0000"/>
        </w:rPr>
        <w:t>regular saving habits</w:t>
      </w:r>
      <w:r w:rsidRPr="005B1A37">
        <w:rPr>
          <w:color w:val="FF0000"/>
        </w:rPr>
        <w:t xml:space="preserve">. </w:t>
      </w:r>
    </w:p>
    <w:p w14:paraId="387A3974"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Create awareness about </w:t>
      </w:r>
      <w:r w:rsidRPr="005B1A37">
        <w:rPr>
          <w:rStyle w:val="Strong"/>
          <w:color w:val="FF0000"/>
        </w:rPr>
        <w:t>low-risk investment options</w:t>
      </w:r>
      <w:r w:rsidRPr="005B1A37">
        <w:rPr>
          <w:color w:val="FF0000"/>
        </w:rPr>
        <w:t xml:space="preserve">. </w:t>
      </w:r>
    </w:p>
    <w:p w14:paraId="387A3975" w14:textId="77777777" w:rsidR="006A17AB" w:rsidRPr="005B1A37" w:rsidRDefault="006A17AB" w:rsidP="006A17AB">
      <w:pPr>
        <w:pStyle w:val="Heading3"/>
        <w:rPr>
          <w:color w:val="FF0000"/>
        </w:rPr>
      </w:pPr>
      <w:r w:rsidRPr="005B1A37">
        <w:rPr>
          <w:rStyle w:val="Strong"/>
          <w:b/>
          <w:bCs/>
          <w:color w:val="FF0000"/>
        </w:rPr>
        <w:t>6. Special Focus on Female Literacy</w:t>
      </w:r>
    </w:p>
    <w:p w14:paraId="387A3976" w14:textId="77777777" w:rsidR="006A17AB" w:rsidRPr="005B1A37" w:rsidRDefault="006A17AB" w:rsidP="006A17AB">
      <w:pPr>
        <w:numPr>
          <w:ilvl w:val="0"/>
          <w:numId w:val="30"/>
        </w:numPr>
        <w:spacing w:before="100" w:beforeAutospacing="1" w:after="100" w:afterAutospacing="1" w:line="240" w:lineRule="auto"/>
        <w:rPr>
          <w:color w:val="FF0000"/>
        </w:rPr>
      </w:pPr>
      <w:r w:rsidRPr="005B1A37">
        <w:rPr>
          <w:color w:val="FF0000"/>
        </w:rPr>
        <w:t xml:space="preserve">Conduct targeted programs to improve </w:t>
      </w:r>
      <w:r w:rsidRPr="005B1A37">
        <w:rPr>
          <w:rStyle w:val="Strong"/>
          <w:color w:val="FF0000"/>
        </w:rPr>
        <w:t>financial literacy among women</w:t>
      </w:r>
      <w:r w:rsidRPr="005B1A37">
        <w:rPr>
          <w:color w:val="FF0000"/>
        </w:rPr>
        <w:t xml:space="preserve">, as they show comparatively lower awareness. </w:t>
      </w:r>
    </w:p>
    <w:p w14:paraId="387A3977" w14:textId="77777777" w:rsidR="006A17AB" w:rsidRPr="005B1A37" w:rsidRDefault="006A17AB" w:rsidP="006A17AB">
      <w:pPr>
        <w:pStyle w:val="Heading3"/>
        <w:rPr>
          <w:color w:val="FF0000"/>
        </w:rPr>
      </w:pPr>
      <w:r w:rsidRPr="005B1A37">
        <w:rPr>
          <w:rStyle w:val="Strong"/>
          <w:b/>
          <w:bCs/>
          <w:color w:val="FF0000"/>
        </w:rPr>
        <w:t>7. Government Initiatives</w:t>
      </w:r>
    </w:p>
    <w:p w14:paraId="387A3978"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Strengthen implementation of financial inclusion schemes like </w:t>
      </w:r>
    </w:p>
    <w:p w14:paraId="387A3979"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Pradhan Mantri Jan Dhan Yojana</w:t>
      </w:r>
      <w:r w:rsidRPr="005B1A37">
        <w:rPr>
          <w:color w:val="FF0000"/>
        </w:rPr>
        <w:t xml:space="preserve"> </w:t>
      </w:r>
    </w:p>
    <w:p w14:paraId="387A397A"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Digital India</w:t>
      </w:r>
      <w:r w:rsidRPr="005B1A37">
        <w:rPr>
          <w:color w:val="FF0000"/>
        </w:rPr>
        <w:t xml:space="preserve"> </w:t>
      </w:r>
    </w:p>
    <w:p w14:paraId="387A397B"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Ensure these schemes effectively reach rural youth. </w:t>
      </w:r>
    </w:p>
    <w:p w14:paraId="387A397C" w14:textId="77777777" w:rsidR="006A17AB" w:rsidRPr="005B1A37" w:rsidRDefault="006A17AB" w:rsidP="006A17AB">
      <w:pPr>
        <w:pStyle w:val="Heading1"/>
        <w:rPr>
          <w:color w:val="FF0000"/>
        </w:rPr>
      </w:pPr>
      <w:r w:rsidRPr="005B1A37">
        <w:rPr>
          <w:rStyle w:val="Strong"/>
          <w:b w:val="0"/>
          <w:bCs w:val="0"/>
          <w:color w:val="FF0000"/>
        </w:rPr>
        <w:t>3. Conclusion</w:t>
      </w:r>
    </w:p>
    <w:p w14:paraId="387A397D" w14:textId="77777777" w:rsidR="006A17AB" w:rsidRPr="005B1A37" w:rsidRDefault="006A17AB" w:rsidP="006A17AB">
      <w:pPr>
        <w:pStyle w:val="NormalWeb"/>
        <w:rPr>
          <w:color w:val="FF0000"/>
        </w:rPr>
      </w:pPr>
      <w:r w:rsidRPr="005B1A37">
        <w:rPr>
          <w:color w:val="FF0000"/>
        </w:rPr>
        <w:t xml:space="preserve">Financial literacy is a crucial factor for the economic development and financial well-being of individuals, especially among rural youth. This study on financial awareness and literacy </w:t>
      </w:r>
      <w:r w:rsidRPr="005B1A37">
        <w:rPr>
          <w:color w:val="FF0000"/>
        </w:rPr>
        <w:lastRenderedPageBreak/>
        <w:t>in Hassan District reveals that while there has been some improvement in awareness levels, a significant gap still exists in areas such as investment knowledge and financial planning.</w:t>
      </w:r>
    </w:p>
    <w:p w14:paraId="387A397E" w14:textId="77777777" w:rsidR="006A17AB" w:rsidRPr="005B1A37" w:rsidRDefault="006A17AB" w:rsidP="006A17AB">
      <w:pPr>
        <w:pStyle w:val="NormalWeb"/>
        <w:rPr>
          <w:color w:val="FF0000"/>
        </w:rPr>
      </w:pPr>
      <w:r w:rsidRPr="005B1A37">
        <w:rPr>
          <w:color w:val="FF0000"/>
        </w:rPr>
        <w:t>The study clearly indicates that education, income, and digital exposure play a vital role in shaping financial literacy. Among these, digital awareness emerges as the most influential factor, reflecting the growing importance of technology in financial transactions.</w:t>
      </w:r>
    </w:p>
    <w:p w14:paraId="387A397F" w14:textId="77777777" w:rsidR="006A17AB" w:rsidRPr="005B1A37" w:rsidRDefault="006A17AB" w:rsidP="006A17AB">
      <w:pPr>
        <w:pStyle w:val="NormalWeb"/>
        <w:rPr>
          <w:color w:val="FF0000"/>
        </w:rPr>
      </w:pPr>
      <w:r w:rsidRPr="005B1A37">
        <w:rPr>
          <w:color w:val="FF0000"/>
        </w:rPr>
        <w:t>Despite various initiatives taken by the government and financial institutions, rural youth still depend heavily on informal sources for financial knowledge. This highlights the need for structured and systematic financial education programs.</w:t>
      </w:r>
    </w:p>
    <w:p w14:paraId="387A3980" w14:textId="77777777" w:rsidR="006A17AB" w:rsidRPr="005B1A37" w:rsidRDefault="006A17AB" w:rsidP="006A17AB">
      <w:pPr>
        <w:pStyle w:val="NormalWeb"/>
        <w:rPr>
          <w:color w:val="FF0000"/>
        </w:rPr>
      </w:pPr>
      <w:r w:rsidRPr="005B1A37">
        <w:rPr>
          <w:color w:val="FF0000"/>
        </w:rPr>
        <w:t>Overall, improving financial literacy among rural youth will not only enhance their personal financial stability but also contribute to broader economic growth and financial inclusion in the region. Therefore, coordinated efforts from government, educational institutions, and financial organizations are essential to bridge the gap and empower rural youth with financial knowledge.</w:t>
      </w:r>
    </w:p>
    <w:p w14:paraId="501A5516" w14:textId="77777777" w:rsidR="003317FD" w:rsidRDefault="003317FD" w:rsidP="006A17AB">
      <w:pPr>
        <w:pStyle w:val="NormalWeb"/>
        <w:rPr>
          <w:b/>
        </w:rPr>
      </w:pPr>
    </w:p>
    <w:p w14:paraId="18E7092C" w14:textId="77777777" w:rsidR="003317FD" w:rsidRDefault="003317FD" w:rsidP="006A17AB">
      <w:pPr>
        <w:pStyle w:val="NormalWeb"/>
        <w:rPr>
          <w:b/>
        </w:rPr>
      </w:pPr>
    </w:p>
    <w:p w14:paraId="2367DAE3" w14:textId="77777777" w:rsidR="003317FD" w:rsidRDefault="003317FD" w:rsidP="006A17AB">
      <w:pPr>
        <w:pStyle w:val="NormalWeb"/>
        <w:rPr>
          <w:b/>
        </w:rPr>
      </w:pPr>
    </w:p>
    <w:p w14:paraId="387A3981" w14:textId="72578A77" w:rsidR="000911B7" w:rsidRPr="003317FD" w:rsidRDefault="000911B7" w:rsidP="006A17AB">
      <w:pPr>
        <w:pStyle w:val="NormalWeb"/>
        <w:rPr>
          <w:b/>
        </w:rPr>
      </w:pPr>
      <w:r w:rsidRPr="003317FD">
        <w:rPr>
          <w:b/>
        </w:rPr>
        <w:t>REFERENCES</w:t>
      </w:r>
    </w:p>
    <w:p w14:paraId="387A3982"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Alreck, P. L., &amp; Settle, R. B. (2002).</w:t>
      </w:r>
      <w:r w:rsidRPr="003317FD">
        <w:rPr>
          <w:rFonts w:ascii="Times New Roman" w:eastAsia="Times New Roman" w:hAnsi="Times New Roman" w:cs="Times New Roman"/>
          <w:sz w:val="24"/>
          <w:szCs w:val="24"/>
          <w:lang w:eastAsia="en-IN"/>
        </w:rPr>
        <w:t xml:space="preserve"> The hurried consumer: Time-saving perceptions of Internet and catalogue shopping. Journal of Database Marketing &amp; Customer Strategy Management, 10(1), 25–35. https://doi.org/10.1057/palgrave.jdm.3240091 </w:t>
      </w:r>
    </w:p>
    <w:p w14:paraId="387A3983"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Lusardi, A., &amp; Mitchell, O. S. (2014).</w:t>
      </w:r>
      <w:r w:rsidRPr="003317FD">
        <w:rPr>
          <w:rFonts w:ascii="Times New Roman" w:eastAsia="Times New Roman" w:hAnsi="Times New Roman" w:cs="Times New Roman"/>
          <w:sz w:val="24"/>
          <w:szCs w:val="24"/>
          <w:lang w:eastAsia="en-IN"/>
        </w:rPr>
        <w:t xml:space="preserve"> The economic importance of financial literacy: Theory and evidence. Journal of Economic Literature, 52(1), 5–44. https://doi.org/10.1257/jel.52.1.5 </w:t>
      </w:r>
    </w:p>
    <w:p w14:paraId="387A3984"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Atkinson, A., &amp; Messy, F. A. (2012).</w:t>
      </w:r>
      <w:r w:rsidRPr="003317FD">
        <w:rPr>
          <w:rFonts w:ascii="Times New Roman" w:eastAsia="Times New Roman" w:hAnsi="Times New Roman" w:cs="Times New Roman"/>
          <w:sz w:val="24"/>
          <w:szCs w:val="24"/>
          <w:lang w:eastAsia="en-IN"/>
        </w:rPr>
        <w:t xml:space="preserve"> Measuring financial literacy: Results of the OECD/INFE pilot study. OECD Working Papers on Finance, Insurance and Private Pensions, No. 15. </w:t>
      </w:r>
      <w:hyperlink r:id="rId5" w:tgtFrame="_new" w:history="1">
        <w:r w:rsidRPr="003317FD">
          <w:rPr>
            <w:rFonts w:ascii="Times New Roman" w:eastAsia="Times New Roman" w:hAnsi="Times New Roman" w:cs="Times New Roman"/>
            <w:color w:val="0000FF"/>
            <w:sz w:val="24"/>
            <w:szCs w:val="24"/>
            <w:u w:val="single"/>
            <w:lang w:eastAsia="en-IN"/>
          </w:rPr>
          <w:t>https://doi.org/10.1787/5k9csfs90fr4-en</w:t>
        </w:r>
      </w:hyperlink>
      <w:r w:rsidRPr="003317FD">
        <w:rPr>
          <w:rFonts w:ascii="Times New Roman" w:eastAsia="Times New Roman" w:hAnsi="Times New Roman" w:cs="Times New Roman"/>
          <w:sz w:val="24"/>
          <w:szCs w:val="24"/>
          <w:lang w:eastAsia="en-IN"/>
        </w:rPr>
        <w:t xml:space="preserve"> </w:t>
      </w:r>
    </w:p>
    <w:p w14:paraId="387A3985"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OECD. (2016).</w:t>
      </w:r>
      <w:r w:rsidRPr="003317FD">
        <w:rPr>
          <w:rFonts w:ascii="Times New Roman" w:eastAsia="Times New Roman" w:hAnsi="Times New Roman" w:cs="Times New Roman"/>
          <w:sz w:val="24"/>
          <w:szCs w:val="24"/>
          <w:lang w:eastAsia="en-IN"/>
        </w:rPr>
        <w:t xml:space="preserve"> OECD/INFE international survey of adult financial literacy competencies. Paris: OECD Publishing. https://doi.org/10.1787/9789264254855-en </w:t>
      </w:r>
    </w:p>
    <w:p w14:paraId="387A3986"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Sharma, R., &amp; Gupta, S. (2022).</w:t>
      </w:r>
      <w:r w:rsidRPr="003317FD">
        <w:rPr>
          <w:rFonts w:ascii="Times New Roman" w:eastAsia="Times New Roman" w:hAnsi="Times New Roman" w:cs="Times New Roman"/>
          <w:sz w:val="24"/>
          <w:szCs w:val="24"/>
          <w:lang w:eastAsia="en-IN"/>
        </w:rPr>
        <w:t xml:space="preserve"> Financial literacy and financial inclusion in rural India. International Journal of Social Economics, 49(3), 345–360. https://doi.org/10.1108/IJSE-07-2021-0432 </w:t>
      </w:r>
    </w:p>
    <w:p w14:paraId="387A3987"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Singh, A., &amp; Kumar, P. (2021).</w:t>
      </w:r>
      <w:r w:rsidRPr="003317FD">
        <w:rPr>
          <w:rFonts w:ascii="Times New Roman" w:eastAsia="Times New Roman" w:hAnsi="Times New Roman" w:cs="Times New Roman"/>
          <w:sz w:val="24"/>
          <w:szCs w:val="24"/>
          <w:lang w:eastAsia="en-IN"/>
        </w:rPr>
        <w:t xml:space="preserve"> Financial awareness among rural youth in India. Journal of Rural Development, 40(2), 123–135. </w:t>
      </w:r>
    </w:p>
    <w:p w14:paraId="387A3988"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Patel, J., &amp; Desai, K. (2020).</w:t>
      </w:r>
      <w:r w:rsidRPr="003317FD">
        <w:rPr>
          <w:rFonts w:ascii="Times New Roman" w:eastAsia="Times New Roman" w:hAnsi="Times New Roman" w:cs="Times New Roman"/>
          <w:sz w:val="24"/>
          <w:szCs w:val="24"/>
          <w:lang w:eastAsia="en-IN"/>
        </w:rPr>
        <w:t xml:space="preserve"> Financial literacy among college students in Gujarat. Indian Journal of Finance, 14(6), 45–58. https://doi.org/10.17010/ijf/2020/v14i6/151234 </w:t>
      </w:r>
    </w:p>
    <w:p w14:paraId="387A3989"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Rao, V., &amp; Babu, S. (2019).</w:t>
      </w:r>
      <w:r w:rsidRPr="003317FD">
        <w:rPr>
          <w:rFonts w:ascii="Times New Roman" w:eastAsia="Times New Roman" w:hAnsi="Times New Roman" w:cs="Times New Roman"/>
          <w:sz w:val="24"/>
          <w:szCs w:val="24"/>
          <w:lang w:eastAsia="en-IN"/>
        </w:rPr>
        <w:t xml:space="preserve"> Financial awareness and inclusion among rural youth. International Journal of Research in Commerce and Management, 10(4), 12–18. </w:t>
      </w:r>
    </w:p>
    <w:p w14:paraId="387A398A"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Kaur, M., &amp; Kiran, R. (2018).</w:t>
      </w:r>
      <w:r w:rsidRPr="003317FD">
        <w:rPr>
          <w:rFonts w:ascii="Times New Roman" w:eastAsia="Times New Roman" w:hAnsi="Times New Roman" w:cs="Times New Roman"/>
          <w:sz w:val="24"/>
          <w:szCs w:val="24"/>
          <w:lang w:eastAsia="en-IN"/>
        </w:rPr>
        <w:t xml:space="preserve"> Financial literacy among youth: A study in Punjab. Pacific Business Review International, 10(7), 55–62. </w:t>
      </w:r>
    </w:p>
    <w:p w14:paraId="387A398B" w14:textId="77777777" w:rsidR="000911B7" w:rsidRPr="003317FD" w:rsidRDefault="000911B7" w:rsidP="000911B7">
      <w:pPr>
        <w:numPr>
          <w:ilvl w:val="0"/>
          <w:numId w:val="34"/>
        </w:numPr>
        <w:pBdr>
          <w:bottom w:val="dotted" w:sz="24" w:space="1" w:color="auto"/>
        </w:pBd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Jayanthi, M., &amp; Rau, S. S. (2019).</w:t>
      </w:r>
      <w:r w:rsidRPr="003317FD">
        <w:rPr>
          <w:rFonts w:ascii="Times New Roman" w:eastAsia="Times New Roman" w:hAnsi="Times New Roman" w:cs="Times New Roman"/>
          <w:sz w:val="24"/>
          <w:szCs w:val="24"/>
          <w:lang w:eastAsia="en-IN"/>
        </w:rPr>
        <w:t xml:space="preserve"> Determinants of financial literacy among rural households. South Asian Journal of Finance, 8(2), 89–102. </w:t>
      </w:r>
    </w:p>
    <w:p w14:paraId="10F0321D" w14:textId="77777777" w:rsidR="003C17CD" w:rsidRPr="000911B7" w:rsidRDefault="003C17CD" w:rsidP="006A17AB">
      <w:pPr>
        <w:pStyle w:val="NormalWeb"/>
        <w:rPr>
          <w:b/>
        </w:rPr>
      </w:pPr>
    </w:p>
    <w:sectPr w:rsidR="003C17CD" w:rsidRPr="00091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BB"/>
    <w:multiLevelType w:val="multilevel"/>
    <w:tmpl w:val="E58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66EB"/>
    <w:multiLevelType w:val="multilevel"/>
    <w:tmpl w:val="444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472"/>
    <w:multiLevelType w:val="multilevel"/>
    <w:tmpl w:val="4DE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D39"/>
    <w:multiLevelType w:val="multilevel"/>
    <w:tmpl w:val="A75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50D33"/>
    <w:multiLevelType w:val="multilevel"/>
    <w:tmpl w:val="359A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048DA"/>
    <w:multiLevelType w:val="multilevel"/>
    <w:tmpl w:val="123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D6933"/>
    <w:multiLevelType w:val="multilevel"/>
    <w:tmpl w:val="2FF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2AF3"/>
    <w:multiLevelType w:val="multilevel"/>
    <w:tmpl w:val="B30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E202E"/>
    <w:multiLevelType w:val="multilevel"/>
    <w:tmpl w:val="97B2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F1394"/>
    <w:multiLevelType w:val="multilevel"/>
    <w:tmpl w:val="7B3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47CE1"/>
    <w:multiLevelType w:val="multilevel"/>
    <w:tmpl w:val="19D8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70BF7"/>
    <w:multiLevelType w:val="hybridMultilevel"/>
    <w:tmpl w:val="792CF8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92B23"/>
    <w:multiLevelType w:val="multilevel"/>
    <w:tmpl w:val="2CA2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B127B"/>
    <w:multiLevelType w:val="multilevel"/>
    <w:tmpl w:val="550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53DD"/>
    <w:multiLevelType w:val="multilevel"/>
    <w:tmpl w:val="3A3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D3B2A"/>
    <w:multiLevelType w:val="multilevel"/>
    <w:tmpl w:val="16C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D05B7"/>
    <w:multiLevelType w:val="hybridMultilevel"/>
    <w:tmpl w:val="E9B6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FF03A9"/>
    <w:multiLevelType w:val="hybridMultilevel"/>
    <w:tmpl w:val="289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5F6BAA"/>
    <w:multiLevelType w:val="multilevel"/>
    <w:tmpl w:val="6F2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753B6"/>
    <w:multiLevelType w:val="multilevel"/>
    <w:tmpl w:val="4E4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50DE5"/>
    <w:multiLevelType w:val="multilevel"/>
    <w:tmpl w:val="840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14084"/>
    <w:multiLevelType w:val="multilevel"/>
    <w:tmpl w:val="B8F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56DA"/>
    <w:multiLevelType w:val="multilevel"/>
    <w:tmpl w:val="527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70B39"/>
    <w:multiLevelType w:val="multilevel"/>
    <w:tmpl w:val="993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4520B"/>
    <w:multiLevelType w:val="multilevel"/>
    <w:tmpl w:val="8328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23F4F"/>
    <w:multiLevelType w:val="multilevel"/>
    <w:tmpl w:val="D54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83660"/>
    <w:multiLevelType w:val="multilevel"/>
    <w:tmpl w:val="8F4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35475"/>
    <w:multiLevelType w:val="multilevel"/>
    <w:tmpl w:val="B84C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A3646"/>
    <w:multiLevelType w:val="multilevel"/>
    <w:tmpl w:val="A1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10687"/>
    <w:multiLevelType w:val="multilevel"/>
    <w:tmpl w:val="2E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836DE"/>
    <w:multiLevelType w:val="multilevel"/>
    <w:tmpl w:val="329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70C80"/>
    <w:multiLevelType w:val="multilevel"/>
    <w:tmpl w:val="540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D557A"/>
    <w:multiLevelType w:val="multilevel"/>
    <w:tmpl w:val="BEDE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A5120"/>
    <w:multiLevelType w:val="multilevel"/>
    <w:tmpl w:val="E4B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07BD6"/>
    <w:multiLevelType w:val="multilevel"/>
    <w:tmpl w:val="4600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2B60E6"/>
    <w:multiLevelType w:val="multilevel"/>
    <w:tmpl w:val="478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701311">
    <w:abstractNumId w:val="33"/>
  </w:num>
  <w:num w:numId="2" w16cid:durableId="297732837">
    <w:abstractNumId w:val="25"/>
  </w:num>
  <w:num w:numId="3" w16cid:durableId="2130202474">
    <w:abstractNumId w:val="7"/>
  </w:num>
  <w:num w:numId="4" w16cid:durableId="1731688016">
    <w:abstractNumId w:val="9"/>
  </w:num>
  <w:num w:numId="5" w16cid:durableId="1975213617">
    <w:abstractNumId w:val="21"/>
  </w:num>
  <w:num w:numId="6" w16cid:durableId="1882861874">
    <w:abstractNumId w:val="6"/>
  </w:num>
  <w:num w:numId="7" w16cid:durableId="1223835187">
    <w:abstractNumId w:val="26"/>
  </w:num>
  <w:num w:numId="8" w16cid:durableId="1232160338">
    <w:abstractNumId w:val="27"/>
  </w:num>
  <w:num w:numId="9" w16cid:durableId="275139147">
    <w:abstractNumId w:val="23"/>
  </w:num>
  <w:num w:numId="10" w16cid:durableId="1766682062">
    <w:abstractNumId w:val="29"/>
  </w:num>
  <w:num w:numId="11" w16cid:durableId="1165437454">
    <w:abstractNumId w:val="10"/>
  </w:num>
  <w:num w:numId="12" w16cid:durableId="1733237549">
    <w:abstractNumId w:val="32"/>
  </w:num>
  <w:num w:numId="13" w16cid:durableId="225071046">
    <w:abstractNumId w:val="31"/>
  </w:num>
  <w:num w:numId="14" w16cid:durableId="1746802058">
    <w:abstractNumId w:val="14"/>
  </w:num>
  <w:num w:numId="15" w16cid:durableId="936867">
    <w:abstractNumId w:val="22"/>
  </w:num>
  <w:num w:numId="16" w16cid:durableId="489174907">
    <w:abstractNumId w:val="35"/>
  </w:num>
  <w:num w:numId="17" w16cid:durableId="723140975">
    <w:abstractNumId w:val="5"/>
  </w:num>
  <w:num w:numId="18" w16cid:durableId="330372603">
    <w:abstractNumId w:val="2"/>
  </w:num>
  <w:num w:numId="19" w16cid:durableId="477265538">
    <w:abstractNumId w:val="8"/>
  </w:num>
  <w:num w:numId="20" w16cid:durableId="871961448">
    <w:abstractNumId w:val="30"/>
  </w:num>
  <w:num w:numId="21" w16cid:durableId="214972598">
    <w:abstractNumId w:val="15"/>
  </w:num>
  <w:num w:numId="22" w16cid:durableId="152767220">
    <w:abstractNumId w:val="4"/>
  </w:num>
  <w:num w:numId="23" w16cid:durableId="1523741834">
    <w:abstractNumId w:val="3"/>
  </w:num>
  <w:num w:numId="24" w16cid:durableId="910388719">
    <w:abstractNumId w:val="13"/>
  </w:num>
  <w:num w:numId="25" w16cid:durableId="1593973189">
    <w:abstractNumId w:val="19"/>
  </w:num>
  <w:num w:numId="26" w16cid:durableId="408500147">
    <w:abstractNumId w:val="20"/>
  </w:num>
  <w:num w:numId="27" w16cid:durableId="1098405791">
    <w:abstractNumId w:val="12"/>
  </w:num>
  <w:num w:numId="28" w16cid:durableId="1900750386">
    <w:abstractNumId w:val="28"/>
  </w:num>
  <w:num w:numId="29" w16cid:durableId="514074879">
    <w:abstractNumId w:val="18"/>
  </w:num>
  <w:num w:numId="30" w16cid:durableId="602960774">
    <w:abstractNumId w:val="0"/>
  </w:num>
  <w:num w:numId="31" w16cid:durableId="249243697">
    <w:abstractNumId w:val="24"/>
  </w:num>
  <w:num w:numId="32" w16cid:durableId="2146310154">
    <w:abstractNumId w:val="1"/>
  </w:num>
  <w:num w:numId="33" w16cid:durableId="399208762">
    <w:abstractNumId w:val="17"/>
  </w:num>
  <w:num w:numId="34" w16cid:durableId="146171289">
    <w:abstractNumId w:val="34"/>
  </w:num>
  <w:num w:numId="35" w16cid:durableId="1649213831">
    <w:abstractNumId w:val="11"/>
  </w:num>
  <w:num w:numId="36" w16cid:durableId="66153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35"/>
    <w:rsid w:val="00001F33"/>
    <w:rsid w:val="00037B5A"/>
    <w:rsid w:val="00071E35"/>
    <w:rsid w:val="00072E5D"/>
    <w:rsid w:val="00080DFE"/>
    <w:rsid w:val="000863DC"/>
    <w:rsid w:val="000910E2"/>
    <w:rsid w:val="000911B7"/>
    <w:rsid w:val="000B5C8B"/>
    <w:rsid w:val="000F4E9B"/>
    <w:rsid w:val="00107162"/>
    <w:rsid w:val="001137F1"/>
    <w:rsid w:val="00114DA2"/>
    <w:rsid w:val="00162D79"/>
    <w:rsid w:val="00165BB3"/>
    <w:rsid w:val="00181045"/>
    <w:rsid w:val="001A338C"/>
    <w:rsid w:val="001A5E4D"/>
    <w:rsid w:val="001C2524"/>
    <w:rsid w:val="002032D2"/>
    <w:rsid w:val="00214CFD"/>
    <w:rsid w:val="00220737"/>
    <w:rsid w:val="00292243"/>
    <w:rsid w:val="002C23B5"/>
    <w:rsid w:val="002D09DC"/>
    <w:rsid w:val="002D7635"/>
    <w:rsid w:val="003317FD"/>
    <w:rsid w:val="003550DB"/>
    <w:rsid w:val="0035696B"/>
    <w:rsid w:val="00367738"/>
    <w:rsid w:val="00370E0A"/>
    <w:rsid w:val="0038050E"/>
    <w:rsid w:val="00396E8F"/>
    <w:rsid w:val="003C03C4"/>
    <w:rsid w:val="003C17CD"/>
    <w:rsid w:val="003D33F2"/>
    <w:rsid w:val="00411CF5"/>
    <w:rsid w:val="0041394E"/>
    <w:rsid w:val="004939AF"/>
    <w:rsid w:val="00494989"/>
    <w:rsid w:val="00513490"/>
    <w:rsid w:val="0054338D"/>
    <w:rsid w:val="00546A62"/>
    <w:rsid w:val="0055471A"/>
    <w:rsid w:val="005718EB"/>
    <w:rsid w:val="00590B80"/>
    <w:rsid w:val="0059115A"/>
    <w:rsid w:val="005A079F"/>
    <w:rsid w:val="005B1A37"/>
    <w:rsid w:val="005B1F31"/>
    <w:rsid w:val="00660C23"/>
    <w:rsid w:val="00664F4F"/>
    <w:rsid w:val="0066759D"/>
    <w:rsid w:val="006741F3"/>
    <w:rsid w:val="00677129"/>
    <w:rsid w:val="006A1319"/>
    <w:rsid w:val="006A17AB"/>
    <w:rsid w:val="006C2213"/>
    <w:rsid w:val="006F1588"/>
    <w:rsid w:val="0070296F"/>
    <w:rsid w:val="0070330D"/>
    <w:rsid w:val="00712A00"/>
    <w:rsid w:val="00725476"/>
    <w:rsid w:val="007559A2"/>
    <w:rsid w:val="007825D2"/>
    <w:rsid w:val="007A5B49"/>
    <w:rsid w:val="007B4113"/>
    <w:rsid w:val="007D1568"/>
    <w:rsid w:val="007F5B4D"/>
    <w:rsid w:val="008209A2"/>
    <w:rsid w:val="00825DF9"/>
    <w:rsid w:val="008328F5"/>
    <w:rsid w:val="00847BC1"/>
    <w:rsid w:val="008504C3"/>
    <w:rsid w:val="008540AD"/>
    <w:rsid w:val="0088001C"/>
    <w:rsid w:val="00897B82"/>
    <w:rsid w:val="008D6DBB"/>
    <w:rsid w:val="009319C8"/>
    <w:rsid w:val="009728EF"/>
    <w:rsid w:val="009744EE"/>
    <w:rsid w:val="00980EE4"/>
    <w:rsid w:val="009A38E9"/>
    <w:rsid w:val="009C2A68"/>
    <w:rsid w:val="009E25E9"/>
    <w:rsid w:val="009E62B1"/>
    <w:rsid w:val="009F0F03"/>
    <w:rsid w:val="00A0184C"/>
    <w:rsid w:val="00A20411"/>
    <w:rsid w:val="00A30FDF"/>
    <w:rsid w:val="00A33B0F"/>
    <w:rsid w:val="00A3562C"/>
    <w:rsid w:val="00A8366F"/>
    <w:rsid w:val="00AA6405"/>
    <w:rsid w:val="00AD7C81"/>
    <w:rsid w:val="00AE2B00"/>
    <w:rsid w:val="00B002F4"/>
    <w:rsid w:val="00B15CCB"/>
    <w:rsid w:val="00B35F98"/>
    <w:rsid w:val="00B42A17"/>
    <w:rsid w:val="00B73A29"/>
    <w:rsid w:val="00B91695"/>
    <w:rsid w:val="00B91C68"/>
    <w:rsid w:val="00B9219C"/>
    <w:rsid w:val="00BB2A0F"/>
    <w:rsid w:val="00BB41E7"/>
    <w:rsid w:val="00BC4D93"/>
    <w:rsid w:val="00BD3024"/>
    <w:rsid w:val="00BD4538"/>
    <w:rsid w:val="00BF1BCE"/>
    <w:rsid w:val="00C01E96"/>
    <w:rsid w:val="00C10556"/>
    <w:rsid w:val="00C1286F"/>
    <w:rsid w:val="00C2083E"/>
    <w:rsid w:val="00C31A2F"/>
    <w:rsid w:val="00C51262"/>
    <w:rsid w:val="00C8097B"/>
    <w:rsid w:val="00C84BAB"/>
    <w:rsid w:val="00CD24DF"/>
    <w:rsid w:val="00CD67ED"/>
    <w:rsid w:val="00CE609D"/>
    <w:rsid w:val="00CE64C7"/>
    <w:rsid w:val="00D10C25"/>
    <w:rsid w:val="00D32DA2"/>
    <w:rsid w:val="00D37FB5"/>
    <w:rsid w:val="00D73121"/>
    <w:rsid w:val="00DB44DC"/>
    <w:rsid w:val="00DC4C23"/>
    <w:rsid w:val="00E15DD6"/>
    <w:rsid w:val="00E16A08"/>
    <w:rsid w:val="00E22560"/>
    <w:rsid w:val="00E22A06"/>
    <w:rsid w:val="00E2421B"/>
    <w:rsid w:val="00E2600F"/>
    <w:rsid w:val="00E81693"/>
    <w:rsid w:val="00ED71B1"/>
    <w:rsid w:val="00EE4057"/>
    <w:rsid w:val="00EF16D3"/>
    <w:rsid w:val="00EF2BB3"/>
    <w:rsid w:val="00EF53BE"/>
    <w:rsid w:val="00F032E7"/>
    <w:rsid w:val="00F17D83"/>
    <w:rsid w:val="00F31FF2"/>
    <w:rsid w:val="00F4479B"/>
    <w:rsid w:val="00F54C0B"/>
    <w:rsid w:val="00F74D47"/>
    <w:rsid w:val="00FA2EB9"/>
    <w:rsid w:val="00FA7BF7"/>
    <w:rsid w:val="00FB721D"/>
    <w:rsid w:val="00FE37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37C9"/>
  <w15:chartTrackingRefBased/>
  <w15:docId w15:val="{871B7C75-8467-4184-9A97-89ADA10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65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65BB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E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F4E9B"/>
    <w:rPr>
      <w:i/>
      <w:iCs/>
    </w:rPr>
  </w:style>
  <w:style w:type="character" w:customStyle="1" w:styleId="Heading3Char">
    <w:name w:val="Heading 3 Char"/>
    <w:basedOn w:val="DefaultParagraphFont"/>
    <w:link w:val="Heading3"/>
    <w:uiPriority w:val="9"/>
    <w:rsid w:val="00165BB3"/>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165B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65BB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65BB3"/>
    <w:rPr>
      <w:b/>
      <w:bCs/>
    </w:rPr>
  </w:style>
  <w:style w:type="character" w:customStyle="1" w:styleId="whitespace-normal">
    <w:name w:val="whitespace-normal"/>
    <w:basedOn w:val="DefaultParagraphFont"/>
    <w:rsid w:val="006A17AB"/>
  </w:style>
  <w:style w:type="table" w:styleId="TableGrid">
    <w:name w:val="Table Grid"/>
    <w:basedOn w:val="TableNormal"/>
    <w:uiPriority w:val="59"/>
    <w:rsid w:val="00F1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17D83"/>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F17D83"/>
    <w:rPr>
      <w:rFonts w:eastAsiaTheme="minorEastAsia"/>
      <w:lang w:val="en-US"/>
    </w:rPr>
  </w:style>
  <w:style w:type="character" w:styleId="Hyperlink">
    <w:name w:val="Hyperlink"/>
    <w:basedOn w:val="DefaultParagraphFont"/>
    <w:uiPriority w:val="99"/>
    <w:semiHidden/>
    <w:unhideWhenUsed/>
    <w:rsid w:val="000911B7"/>
    <w:rPr>
      <w:color w:val="0000FF"/>
      <w:u w:val="single"/>
    </w:rPr>
  </w:style>
  <w:style w:type="paragraph" w:styleId="ListParagraph">
    <w:name w:val="List Paragraph"/>
    <w:basedOn w:val="Normal"/>
    <w:uiPriority w:val="34"/>
    <w:qFormat/>
    <w:rsid w:val="00FA7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280">
      <w:bodyDiv w:val="1"/>
      <w:marLeft w:val="0"/>
      <w:marRight w:val="0"/>
      <w:marTop w:val="0"/>
      <w:marBottom w:val="0"/>
      <w:divBdr>
        <w:top w:val="none" w:sz="0" w:space="0" w:color="auto"/>
        <w:left w:val="none" w:sz="0" w:space="0" w:color="auto"/>
        <w:bottom w:val="none" w:sz="0" w:space="0" w:color="auto"/>
        <w:right w:val="none" w:sz="0" w:space="0" w:color="auto"/>
      </w:divBdr>
    </w:div>
    <w:div w:id="123929400">
      <w:bodyDiv w:val="1"/>
      <w:marLeft w:val="0"/>
      <w:marRight w:val="0"/>
      <w:marTop w:val="0"/>
      <w:marBottom w:val="0"/>
      <w:divBdr>
        <w:top w:val="none" w:sz="0" w:space="0" w:color="auto"/>
        <w:left w:val="none" w:sz="0" w:space="0" w:color="auto"/>
        <w:bottom w:val="none" w:sz="0" w:space="0" w:color="auto"/>
        <w:right w:val="none" w:sz="0" w:space="0" w:color="auto"/>
      </w:divBdr>
    </w:div>
    <w:div w:id="124126419">
      <w:bodyDiv w:val="1"/>
      <w:marLeft w:val="0"/>
      <w:marRight w:val="0"/>
      <w:marTop w:val="0"/>
      <w:marBottom w:val="0"/>
      <w:divBdr>
        <w:top w:val="none" w:sz="0" w:space="0" w:color="auto"/>
        <w:left w:val="none" w:sz="0" w:space="0" w:color="auto"/>
        <w:bottom w:val="none" w:sz="0" w:space="0" w:color="auto"/>
        <w:right w:val="none" w:sz="0" w:space="0" w:color="auto"/>
      </w:divBdr>
    </w:div>
    <w:div w:id="180052684">
      <w:bodyDiv w:val="1"/>
      <w:marLeft w:val="0"/>
      <w:marRight w:val="0"/>
      <w:marTop w:val="0"/>
      <w:marBottom w:val="0"/>
      <w:divBdr>
        <w:top w:val="none" w:sz="0" w:space="0" w:color="auto"/>
        <w:left w:val="none" w:sz="0" w:space="0" w:color="auto"/>
        <w:bottom w:val="none" w:sz="0" w:space="0" w:color="auto"/>
        <w:right w:val="none" w:sz="0" w:space="0" w:color="auto"/>
      </w:divBdr>
    </w:div>
    <w:div w:id="409273165">
      <w:bodyDiv w:val="1"/>
      <w:marLeft w:val="0"/>
      <w:marRight w:val="0"/>
      <w:marTop w:val="0"/>
      <w:marBottom w:val="0"/>
      <w:divBdr>
        <w:top w:val="none" w:sz="0" w:space="0" w:color="auto"/>
        <w:left w:val="none" w:sz="0" w:space="0" w:color="auto"/>
        <w:bottom w:val="none" w:sz="0" w:space="0" w:color="auto"/>
        <w:right w:val="none" w:sz="0" w:space="0" w:color="auto"/>
      </w:divBdr>
    </w:div>
    <w:div w:id="626357676">
      <w:bodyDiv w:val="1"/>
      <w:marLeft w:val="0"/>
      <w:marRight w:val="0"/>
      <w:marTop w:val="0"/>
      <w:marBottom w:val="0"/>
      <w:divBdr>
        <w:top w:val="none" w:sz="0" w:space="0" w:color="auto"/>
        <w:left w:val="none" w:sz="0" w:space="0" w:color="auto"/>
        <w:bottom w:val="none" w:sz="0" w:space="0" w:color="auto"/>
        <w:right w:val="none" w:sz="0" w:space="0" w:color="auto"/>
      </w:divBdr>
    </w:div>
    <w:div w:id="701519971">
      <w:bodyDiv w:val="1"/>
      <w:marLeft w:val="0"/>
      <w:marRight w:val="0"/>
      <w:marTop w:val="0"/>
      <w:marBottom w:val="0"/>
      <w:divBdr>
        <w:top w:val="none" w:sz="0" w:space="0" w:color="auto"/>
        <w:left w:val="none" w:sz="0" w:space="0" w:color="auto"/>
        <w:bottom w:val="none" w:sz="0" w:space="0" w:color="auto"/>
        <w:right w:val="none" w:sz="0" w:space="0" w:color="auto"/>
      </w:divBdr>
    </w:div>
    <w:div w:id="969557823">
      <w:bodyDiv w:val="1"/>
      <w:marLeft w:val="0"/>
      <w:marRight w:val="0"/>
      <w:marTop w:val="0"/>
      <w:marBottom w:val="0"/>
      <w:divBdr>
        <w:top w:val="none" w:sz="0" w:space="0" w:color="auto"/>
        <w:left w:val="none" w:sz="0" w:space="0" w:color="auto"/>
        <w:bottom w:val="none" w:sz="0" w:space="0" w:color="auto"/>
        <w:right w:val="none" w:sz="0" w:space="0" w:color="auto"/>
      </w:divBdr>
    </w:div>
    <w:div w:id="1054278274">
      <w:bodyDiv w:val="1"/>
      <w:marLeft w:val="0"/>
      <w:marRight w:val="0"/>
      <w:marTop w:val="0"/>
      <w:marBottom w:val="0"/>
      <w:divBdr>
        <w:top w:val="none" w:sz="0" w:space="0" w:color="auto"/>
        <w:left w:val="none" w:sz="0" w:space="0" w:color="auto"/>
        <w:bottom w:val="none" w:sz="0" w:space="0" w:color="auto"/>
        <w:right w:val="none" w:sz="0" w:space="0" w:color="auto"/>
      </w:divBdr>
    </w:div>
    <w:div w:id="1084498297">
      <w:bodyDiv w:val="1"/>
      <w:marLeft w:val="0"/>
      <w:marRight w:val="0"/>
      <w:marTop w:val="0"/>
      <w:marBottom w:val="0"/>
      <w:divBdr>
        <w:top w:val="none" w:sz="0" w:space="0" w:color="auto"/>
        <w:left w:val="none" w:sz="0" w:space="0" w:color="auto"/>
        <w:bottom w:val="none" w:sz="0" w:space="0" w:color="auto"/>
        <w:right w:val="none" w:sz="0" w:space="0" w:color="auto"/>
      </w:divBdr>
    </w:div>
    <w:div w:id="1108431666">
      <w:bodyDiv w:val="1"/>
      <w:marLeft w:val="0"/>
      <w:marRight w:val="0"/>
      <w:marTop w:val="0"/>
      <w:marBottom w:val="0"/>
      <w:divBdr>
        <w:top w:val="none" w:sz="0" w:space="0" w:color="auto"/>
        <w:left w:val="none" w:sz="0" w:space="0" w:color="auto"/>
        <w:bottom w:val="none" w:sz="0" w:space="0" w:color="auto"/>
        <w:right w:val="none" w:sz="0" w:space="0" w:color="auto"/>
      </w:divBdr>
    </w:div>
    <w:div w:id="1211570513">
      <w:bodyDiv w:val="1"/>
      <w:marLeft w:val="0"/>
      <w:marRight w:val="0"/>
      <w:marTop w:val="0"/>
      <w:marBottom w:val="0"/>
      <w:divBdr>
        <w:top w:val="none" w:sz="0" w:space="0" w:color="auto"/>
        <w:left w:val="none" w:sz="0" w:space="0" w:color="auto"/>
        <w:bottom w:val="none" w:sz="0" w:space="0" w:color="auto"/>
        <w:right w:val="none" w:sz="0" w:space="0" w:color="auto"/>
      </w:divBdr>
    </w:div>
    <w:div w:id="1368019309">
      <w:bodyDiv w:val="1"/>
      <w:marLeft w:val="0"/>
      <w:marRight w:val="0"/>
      <w:marTop w:val="0"/>
      <w:marBottom w:val="0"/>
      <w:divBdr>
        <w:top w:val="none" w:sz="0" w:space="0" w:color="auto"/>
        <w:left w:val="none" w:sz="0" w:space="0" w:color="auto"/>
        <w:bottom w:val="none" w:sz="0" w:space="0" w:color="auto"/>
        <w:right w:val="none" w:sz="0" w:space="0" w:color="auto"/>
      </w:divBdr>
    </w:div>
    <w:div w:id="1384013931">
      <w:bodyDiv w:val="1"/>
      <w:marLeft w:val="0"/>
      <w:marRight w:val="0"/>
      <w:marTop w:val="0"/>
      <w:marBottom w:val="0"/>
      <w:divBdr>
        <w:top w:val="none" w:sz="0" w:space="0" w:color="auto"/>
        <w:left w:val="none" w:sz="0" w:space="0" w:color="auto"/>
        <w:bottom w:val="none" w:sz="0" w:space="0" w:color="auto"/>
        <w:right w:val="none" w:sz="0" w:space="0" w:color="auto"/>
      </w:divBdr>
    </w:div>
    <w:div w:id="1816799103">
      <w:bodyDiv w:val="1"/>
      <w:marLeft w:val="0"/>
      <w:marRight w:val="0"/>
      <w:marTop w:val="0"/>
      <w:marBottom w:val="0"/>
      <w:divBdr>
        <w:top w:val="none" w:sz="0" w:space="0" w:color="auto"/>
        <w:left w:val="none" w:sz="0" w:space="0" w:color="auto"/>
        <w:bottom w:val="none" w:sz="0" w:space="0" w:color="auto"/>
        <w:right w:val="none" w:sz="0" w:space="0" w:color="auto"/>
      </w:divBdr>
      <w:divsChild>
        <w:div w:id="2132939028">
          <w:marLeft w:val="0"/>
          <w:marRight w:val="0"/>
          <w:marTop w:val="0"/>
          <w:marBottom w:val="0"/>
          <w:divBdr>
            <w:top w:val="none" w:sz="0" w:space="0" w:color="auto"/>
            <w:left w:val="none" w:sz="0" w:space="0" w:color="auto"/>
            <w:bottom w:val="none" w:sz="0" w:space="0" w:color="auto"/>
            <w:right w:val="none" w:sz="0" w:space="0" w:color="auto"/>
          </w:divBdr>
          <w:divsChild>
            <w:div w:id="1203052956">
              <w:marLeft w:val="0"/>
              <w:marRight w:val="0"/>
              <w:marTop w:val="0"/>
              <w:marBottom w:val="0"/>
              <w:divBdr>
                <w:top w:val="none" w:sz="0" w:space="0" w:color="auto"/>
                <w:left w:val="none" w:sz="0" w:space="0" w:color="auto"/>
                <w:bottom w:val="none" w:sz="0" w:space="0" w:color="auto"/>
                <w:right w:val="none" w:sz="0" w:space="0" w:color="auto"/>
              </w:divBdr>
            </w:div>
          </w:divsChild>
        </w:div>
        <w:div w:id="1065109878">
          <w:marLeft w:val="0"/>
          <w:marRight w:val="0"/>
          <w:marTop w:val="0"/>
          <w:marBottom w:val="0"/>
          <w:divBdr>
            <w:top w:val="none" w:sz="0" w:space="0" w:color="auto"/>
            <w:left w:val="none" w:sz="0" w:space="0" w:color="auto"/>
            <w:bottom w:val="none" w:sz="0" w:space="0" w:color="auto"/>
            <w:right w:val="none" w:sz="0" w:space="0" w:color="auto"/>
          </w:divBdr>
          <w:divsChild>
            <w:div w:id="1788043282">
              <w:marLeft w:val="0"/>
              <w:marRight w:val="0"/>
              <w:marTop w:val="0"/>
              <w:marBottom w:val="0"/>
              <w:divBdr>
                <w:top w:val="none" w:sz="0" w:space="0" w:color="auto"/>
                <w:left w:val="none" w:sz="0" w:space="0" w:color="auto"/>
                <w:bottom w:val="none" w:sz="0" w:space="0" w:color="auto"/>
                <w:right w:val="none" w:sz="0" w:space="0" w:color="auto"/>
              </w:divBdr>
            </w:div>
          </w:divsChild>
        </w:div>
        <w:div w:id="1010597075">
          <w:marLeft w:val="0"/>
          <w:marRight w:val="0"/>
          <w:marTop w:val="0"/>
          <w:marBottom w:val="0"/>
          <w:divBdr>
            <w:top w:val="none" w:sz="0" w:space="0" w:color="auto"/>
            <w:left w:val="none" w:sz="0" w:space="0" w:color="auto"/>
            <w:bottom w:val="none" w:sz="0" w:space="0" w:color="auto"/>
            <w:right w:val="none" w:sz="0" w:space="0" w:color="auto"/>
          </w:divBdr>
          <w:divsChild>
            <w:div w:id="459227255">
              <w:marLeft w:val="0"/>
              <w:marRight w:val="0"/>
              <w:marTop w:val="0"/>
              <w:marBottom w:val="0"/>
              <w:divBdr>
                <w:top w:val="none" w:sz="0" w:space="0" w:color="auto"/>
                <w:left w:val="none" w:sz="0" w:space="0" w:color="auto"/>
                <w:bottom w:val="none" w:sz="0" w:space="0" w:color="auto"/>
                <w:right w:val="none" w:sz="0" w:space="0" w:color="auto"/>
              </w:divBdr>
            </w:div>
          </w:divsChild>
        </w:div>
        <w:div w:id="1680619474">
          <w:marLeft w:val="0"/>
          <w:marRight w:val="0"/>
          <w:marTop w:val="0"/>
          <w:marBottom w:val="0"/>
          <w:divBdr>
            <w:top w:val="none" w:sz="0" w:space="0" w:color="auto"/>
            <w:left w:val="none" w:sz="0" w:space="0" w:color="auto"/>
            <w:bottom w:val="none" w:sz="0" w:space="0" w:color="auto"/>
            <w:right w:val="none" w:sz="0" w:space="0" w:color="auto"/>
          </w:divBdr>
          <w:divsChild>
            <w:div w:id="766389207">
              <w:marLeft w:val="0"/>
              <w:marRight w:val="0"/>
              <w:marTop w:val="0"/>
              <w:marBottom w:val="0"/>
              <w:divBdr>
                <w:top w:val="none" w:sz="0" w:space="0" w:color="auto"/>
                <w:left w:val="none" w:sz="0" w:space="0" w:color="auto"/>
                <w:bottom w:val="none" w:sz="0" w:space="0" w:color="auto"/>
                <w:right w:val="none" w:sz="0" w:space="0" w:color="auto"/>
              </w:divBdr>
            </w:div>
          </w:divsChild>
        </w:div>
        <w:div w:id="51083405">
          <w:marLeft w:val="0"/>
          <w:marRight w:val="0"/>
          <w:marTop w:val="0"/>
          <w:marBottom w:val="0"/>
          <w:divBdr>
            <w:top w:val="none" w:sz="0" w:space="0" w:color="auto"/>
            <w:left w:val="none" w:sz="0" w:space="0" w:color="auto"/>
            <w:bottom w:val="none" w:sz="0" w:space="0" w:color="auto"/>
            <w:right w:val="none" w:sz="0" w:space="0" w:color="auto"/>
          </w:divBdr>
          <w:divsChild>
            <w:div w:id="388117601">
              <w:marLeft w:val="0"/>
              <w:marRight w:val="0"/>
              <w:marTop w:val="0"/>
              <w:marBottom w:val="0"/>
              <w:divBdr>
                <w:top w:val="none" w:sz="0" w:space="0" w:color="auto"/>
                <w:left w:val="none" w:sz="0" w:space="0" w:color="auto"/>
                <w:bottom w:val="none" w:sz="0" w:space="0" w:color="auto"/>
                <w:right w:val="none" w:sz="0" w:space="0" w:color="auto"/>
              </w:divBdr>
            </w:div>
          </w:divsChild>
        </w:div>
        <w:div w:id="161967096">
          <w:marLeft w:val="0"/>
          <w:marRight w:val="0"/>
          <w:marTop w:val="0"/>
          <w:marBottom w:val="0"/>
          <w:divBdr>
            <w:top w:val="none" w:sz="0" w:space="0" w:color="auto"/>
            <w:left w:val="none" w:sz="0" w:space="0" w:color="auto"/>
            <w:bottom w:val="none" w:sz="0" w:space="0" w:color="auto"/>
            <w:right w:val="none" w:sz="0" w:space="0" w:color="auto"/>
          </w:divBdr>
          <w:divsChild>
            <w:div w:id="851604468">
              <w:marLeft w:val="0"/>
              <w:marRight w:val="0"/>
              <w:marTop w:val="0"/>
              <w:marBottom w:val="0"/>
              <w:divBdr>
                <w:top w:val="none" w:sz="0" w:space="0" w:color="auto"/>
                <w:left w:val="none" w:sz="0" w:space="0" w:color="auto"/>
                <w:bottom w:val="none" w:sz="0" w:space="0" w:color="auto"/>
                <w:right w:val="none" w:sz="0" w:space="0" w:color="auto"/>
              </w:divBdr>
            </w:div>
          </w:divsChild>
        </w:div>
        <w:div w:id="552356006">
          <w:marLeft w:val="0"/>
          <w:marRight w:val="0"/>
          <w:marTop w:val="0"/>
          <w:marBottom w:val="0"/>
          <w:divBdr>
            <w:top w:val="none" w:sz="0" w:space="0" w:color="auto"/>
            <w:left w:val="none" w:sz="0" w:space="0" w:color="auto"/>
            <w:bottom w:val="none" w:sz="0" w:space="0" w:color="auto"/>
            <w:right w:val="none" w:sz="0" w:space="0" w:color="auto"/>
          </w:divBdr>
          <w:divsChild>
            <w:div w:id="585845065">
              <w:marLeft w:val="0"/>
              <w:marRight w:val="0"/>
              <w:marTop w:val="0"/>
              <w:marBottom w:val="0"/>
              <w:divBdr>
                <w:top w:val="none" w:sz="0" w:space="0" w:color="auto"/>
                <w:left w:val="none" w:sz="0" w:space="0" w:color="auto"/>
                <w:bottom w:val="none" w:sz="0" w:space="0" w:color="auto"/>
                <w:right w:val="none" w:sz="0" w:space="0" w:color="auto"/>
              </w:divBdr>
            </w:div>
          </w:divsChild>
        </w:div>
        <w:div w:id="1227959920">
          <w:marLeft w:val="0"/>
          <w:marRight w:val="0"/>
          <w:marTop w:val="0"/>
          <w:marBottom w:val="0"/>
          <w:divBdr>
            <w:top w:val="none" w:sz="0" w:space="0" w:color="auto"/>
            <w:left w:val="none" w:sz="0" w:space="0" w:color="auto"/>
            <w:bottom w:val="none" w:sz="0" w:space="0" w:color="auto"/>
            <w:right w:val="none" w:sz="0" w:space="0" w:color="auto"/>
          </w:divBdr>
          <w:divsChild>
            <w:div w:id="1463960296">
              <w:marLeft w:val="0"/>
              <w:marRight w:val="0"/>
              <w:marTop w:val="0"/>
              <w:marBottom w:val="0"/>
              <w:divBdr>
                <w:top w:val="none" w:sz="0" w:space="0" w:color="auto"/>
                <w:left w:val="none" w:sz="0" w:space="0" w:color="auto"/>
                <w:bottom w:val="none" w:sz="0" w:space="0" w:color="auto"/>
                <w:right w:val="none" w:sz="0" w:space="0" w:color="auto"/>
              </w:divBdr>
            </w:div>
          </w:divsChild>
        </w:div>
        <w:div w:id="584800026">
          <w:marLeft w:val="0"/>
          <w:marRight w:val="0"/>
          <w:marTop w:val="0"/>
          <w:marBottom w:val="0"/>
          <w:divBdr>
            <w:top w:val="none" w:sz="0" w:space="0" w:color="auto"/>
            <w:left w:val="none" w:sz="0" w:space="0" w:color="auto"/>
            <w:bottom w:val="none" w:sz="0" w:space="0" w:color="auto"/>
            <w:right w:val="none" w:sz="0" w:space="0" w:color="auto"/>
          </w:divBdr>
          <w:divsChild>
            <w:div w:id="11598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87/5k9csfs90fr4-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14</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111</cp:revision>
  <dcterms:created xsi:type="dcterms:W3CDTF">2026-04-20T10:48:00Z</dcterms:created>
  <dcterms:modified xsi:type="dcterms:W3CDTF">2026-05-01T06:31:00Z</dcterms:modified>
</cp:coreProperties>
</file>