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DF" w:rsidRDefault="004116DF">
      <w:pPr>
        <w:jc w:val="center"/>
        <w:rPr>
          <w:rFonts w:ascii="Arial" w:hAnsi="Arial" w:cs="Arial"/>
          <w:b/>
          <w:bCs/>
          <w:sz w:val="24"/>
          <w:szCs w:val="24"/>
          <w:lang w:val="en-PH"/>
        </w:rPr>
      </w:pPr>
      <w:r>
        <w:rPr>
          <w:rFonts w:ascii="Arial" w:hAnsi="Arial" w:cs="Arial"/>
          <w:b/>
          <w:bCs/>
          <w:sz w:val="22"/>
          <w:szCs w:val="22"/>
          <w:lang w:val="en-PH"/>
        </w:rPr>
        <w:t>MENTAL HEALTH CHALLENGES AND TEACHING PERFORMANCE MEDIATED BY COPING MECHANISMS: BASIS FOR AN ACTION PLAN</w:t>
      </w:r>
    </w:p>
    <w:p w:rsidR="00AE16DF" w:rsidRDefault="00AE16DF">
      <w:pPr>
        <w:jc w:val="center"/>
        <w:rPr>
          <w:rFonts w:ascii="Arial" w:hAnsi="Arial" w:cs="Arial"/>
          <w:b/>
          <w:bCs/>
          <w:sz w:val="24"/>
          <w:szCs w:val="24"/>
          <w:lang w:val="en-PH"/>
        </w:rPr>
      </w:pPr>
    </w:p>
    <w:p w:rsidR="00AE16DF" w:rsidRDefault="004116DF">
      <w:pPr>
        <w:jc w:val="center"/>
        <w:rPr>
          <w:rFonts w:ascii="Times New Roman" w:hAnsi="Times New Roman" w:cs="Times New Roman"/>
          <w:sz w:val="24"/>
          <w:szCs w:val="24"/>
          <w:lang w:val="en-PH"/>
        </w:rPr>
      </w:pPr>
      <w:bookmarkStart w:id="0" w:name="_GoBack"/>
      <w:bookmarkEnd w:id="0"/>
      <w:r>
        <w:rPr>
          <w:rFonts w:ascii="Times New Roman" w:hAnsi="Times New Roman" w:cs="Times New Roman"/>
          <w:sz w:val="24"/>
          <w:szCs w:val="24"/>
          <w:lang w:val="en-PH"/>
        </w:rPr>
        <w:t>________________________________________________________________________</w:t>
      </w:r>
    </w:p>
    <w:p w:rsidR="00AE16DF" w:rsidRDefault="004116DF">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ABSTRACT</w:t>
      </w:r>
    </w:p>
    <w:p w:rsidR="00AE16DF" w:rsidRDefault="004116DF">
      <w:pPr>
        <w:jc w:val="both"/>
        <w:rPr>
          <w:rFonts w:ascii="Arial" w:hAnsi="Arial" w:cs="Arial"/>
          <w:sz w:val="24"/>
          <w:szCs w:val="24"/>
          <w:lang w:val="en-PH"/>
        </w:rPr>
      </w:pPr>
      <w:r>
        <w:rPr>
          <w:rFonts w:ascii="Times New Roman" w:hAnsi="Times New Roman" w:cs="Times New Roman"/>
          <w:i/>
          <w:iCs/>
          <w:sz w:val="24"/>
          <w:szCs w:val="24"/>
          <w:lang w:val="en-PH"/>
        </w:rPr>
        <w:t>The research conducted a study to assess the effect of coping mechanisms on teacher performance and whe</w:t>
      </w:r>
      <w:r>
        <w:rPr>
          <w:rFonts w:ascii="Times New Roman" w:hAnsi="Times New Roman" w:cs="Times New Roman"/>
          <w:i/>
          <w:iCs/>
          <w:sz w:val="24"/>
          <w:szCs w:val="24"/>
          <w:lang w:val="en-PH"/>
        </w:rPr>
        <w:t xml:space="preserve">ther coping mechanisms serve as mediators in relation to teachers’ mental health challenges in the district of Calape. The researcher used surveys and the Individual Performance Commitment and Review Form (IPCRF) to evaluate teachers’ mental health status </w:t>
      </w:r>
      <w:r>
        <w:rPr>
          <w:rFonts w:ascii="Times New Roman" w:hAnsi="Times New Roman" w:cs="Times New Roman"/>
          <w:i/>
          <w:iCs/>
          <w:sz w:val="24"/>
          <w:szCs w:val="24"/>
          <w:lang w:val="en-PH"/>
        </w:rPr>
        <w:t>and performance. The results indicated that most teachers in this study were afraid of how they will react to their past traumatic experiences. Although teachers have met their challenges through various coping strategies, the majority of them were able to</w:t>
      </w:r>
      <w:r>
        <w:rPr>
          <w:rFonts w:ascii="Times New Roman" w:hAnsi="Times New Roman" w:cs="Times New Roman"/>
          <w:i/>
          <w:iCs/>
          <w:sz w:val="24"/>
          <w:szCs w:val="24"/>
          <w:lang w:val="en-PH"/>
        </w:rPr>
        <w:t xml:space="preserve"> cope with their issues. The highest ranked area of mental health from the Anti-Bullying Study was avoidance symptoms (Mean = 1.80, SD = 1.07) and the lowest score for cognitive and mood alterations (Mean = 1.29, SD = 1.12). For the area of Coping Strategi</w:t>
      </w:r>
      <w:r>
        <w:rPr>
          <w:rFonts w:ascii="Times New Roman" w:hAnsi="Times New Roman" w:cs="Times New Roman"/>
          <w:i/>
          <w:iCs/>
          <w:sz w:val="24"/>
          <w:szCs w:val="24"/>
          <w:lang w:val="en-PH"/>
        </w:rPr>
        <w:t xml:space="preserve">es, the highest Mean is Problem Focused Coping (Mean = 3.25, SD = 0.65), while the lowest score is Avoidant Coping (Mean = 2.78, SD = 0.74). The performance rating of all participants was rated as Very Satisfactory (100% of teachers received this rating.) </w:t>
      </w:r>
      <w:r>
        <w:rPr>
          <w:rFonts w:ascii="Times New Roman" w:hAnsi="Times New Roman" w:cs="Times New Roman"/>
          <w:i/>
          <w:iCs/>
          <w:sz w:val="24"/>
          <w:szCs w:val="24"/>
          <w:lang w:val="en-PH"/>
        </w:rPr>
        <w:t>In addition, the results demonstrated that coping mechanisms do not mediate contentious between mental health challenges and teacher performance, since the mean indirect effect of coping mechanisms on mental health and teacher performance results is nonsig</w:t>
      </w:r>
      <w:r>
        <w:rPr>
          <w:rFonts w:ascii="Times New Roman" w:hAnsi="Times New Roman" w:cs="Times New Roman"/>
          <w:i/>
          <w:iCs/>
          <w:sz w:val="24"/>
          <w:szCs w:val="24"/>
          <w:lang w:val="en-PH"/>
        </w:rPr>
        <w:t>nificant (estimate = 0.00205, p = 0.376) and therefore does not support the existence of a mediating relationship. Furthermore, the relationship between coping mechanisms and mental health challenges to teacher performance is nonsignificant, therefore, the</w:t>
      </w:r>
      <w:r>
        <w:rPr>
          <w:rFonts w:ascii="Times New Roman" w:hAnsi="Times New Roman" w:cs="Times New Roman"/>
          <w:i/>
          <w:iCs/>
          <w:sz w:val="24"/>
          <w:szCs w:val="24"/>
          <w:lang w:val="en-PH"/>
        </w:rPr>
        <w:t>re are no significant conditions necessary to support a mediating relationship. Therefore, even though teachers may have an abundance of challenges and difficulties, they may have overcome them without the need for coping strategies. Teachers are truly ama</w:t>
      </w:r>
      <w:r>
        <w:rPr>
          <w:rFonts w:ascii="Times New Roman" w:hAnsi="Times New Roman" w:cs="Times New Roman"/>
          <w:i/>
          <w:iCs/>
          <w:sz w:val="24"/>
          <w:szCs w:val="24"/>
          <w:lang w:val="en-PH"/>
        </w:rPr>
        <w:t>zing in how they handle challenges and maintain their composure when faced with challenging situations. Further based on the findings of this investigation, it is the recommendation of the researcher for continuous professional development, ongoing peer-co</w:t>
      </w:r>
      <w:r>
        <w:rPr>
          <w:rFonts w:ascii="Times New Roman" w:hAnsi="Times New Roman" w:cs="Times New Roman"/>
          <w:i/>
          <w:iCs/>
          <w:sz w:val="24"/>
          <w:szCs w:val="24"/>
          <w:lang w:val="en-PH"/>
        </w:rPr>
        <w:t>nsultation and teacher activities to help promote the mental health and wellness of teachers.</w:t>
      </w:r>
    </w:p>
    <w:p w:rsidR="00AE16DF" w:rsidRDefault="00AE16DF">
      <w:pPr>
        <w:jc w:val="both"/>
        <w:rPr>
          <w:rFonts w:ascii="Times New Roman" w:hAnsi="Times New Roman" w:cs="Times New Roman"/>
          <w:i/>
          <w:iCs/>
          <w:sz w:val="24"/>
          <w:szCs w:val="24"/>
          <w:lang w:val="en-PH"/>
        </w:rPr>
      </w:pPr>
    </w:p>
    <w:p w:rsidR="00AE16DF" w:rsidRDefault="004116DF">
      <w:pPr>
        <w:jc w:val="both"/>
        <w:rPr>
          <w:rFonts w:ascii="Times New Roman" w:hAnsi="Times New Roman" w:cs="Times New Roman"/>
          <w:i/>
          <w:iCs/>
          <w:sz w:val="24"/>
          <w:szCs w:val="24"/>
          <w:lang w:val="en-PH"/>
        </w:rPr>
      </w:pPr>
      <w:r>
        <w:rPr>
          <w:rFonts w:ascii="Times New Roman" w:hAnsi="Times New Roman" w:cs="Times New Roman"/>
          <w:b/>
          <w:bCs/>
          <w:i/>
          <w:iCs/>
          <w:sz w:val="24"/>
          <w:szCs w:val="24"/>
          <w:lang w:val="en-PH"/>
        </w:rPr>
        <w:t xml:space="preserve">Keywords: </w:t>
      </w:r>
      <w:r>
        <w:rPr>
          <w:rFonts w:ascii="Times New Roman" w:hAnsi="Times New Roman" w:cs="Times New Roman"/>
          <w:i/>
          <w:iCs/>
          <w:sz w:val="24"/>
          <w:szCs w:val="24"/>
          <w:lang w:val="en-PH"/>
        </w:rPr>
        <w:t>Challenged, Coping Mechanisms, Mediation, Mental Health, Teaching Performance</w:t>
      </w:r>
    </w:p>
    <w:p w:rsidR="00AE16DF" w:rsidRDefault="004116DF">
      <w:pPr>
        <w:jc w:val="both"/>
        <w:rPr>
          <w:rFonts w:ascii="Times New Roman" w:hAnsi="Times New Roman" w:cs="Times New Roman"/>
          <w:i/>
          <w:iCs/>
          <w:sz w:val="24"/>
          <w:szCs w:val="24"/>
          <w:lang w:val="en-PH"/>
        </w:rPr>
      </w:pPr>
      <w:r>
        <w:rPr>
          <w:rFonts w:ascii="Times New Roman" w:hAnsi="Times New Roman" w:cs="Times New Roman"/>
          <w:i/>
          <w:iCs/>
          <w:sz w:val="24"/>
          <w:szCs w:val="24"/>
          <w:lang w:val="en-PH"/>
        </w:rPr>
        <w:t>________________________________________________________________________</w:t>
      </w:r>
    </w:p>
    <w:p w:rsidR="00AE16DF" w:rsidRDefault="00AE16DF">
      <w:pPr>
        <w:jc w:val="both"/>
        <w:rPr>
          <w:rFonts w:ascii="Times New Roman" w:hAnsi="Times New Roman" w:cs="Times New Roman"/>
          <w:i/>
          <w:iCs/>
          <w:sz w:val="24"/>
          <w:szCs w:val="24"/>
          <w:lang w:val="en-PH"/>
        </w:rPr>
      </w:pPr>
    </w:p>
    <w:p w:rsidR="00AE16DF" w:rsidRDefault="00AE16DF">
      <w:pPr>
        <w:jc w:val="both"/>
        <w:rPr>
          <w:rFonts w:ascii="Times New Roman" w:hAnsi="Times New Roman" w:cs="Times New Roman"/>
          <w:i/>
          <w:iCs/>
          <w:sz w:val="24"/>
          <w:szCs w:val="24"/>
          <w:lang w:val="en-PH"/>
        </w:rPr>
      </w:pP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INTRODUCTION</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Teaching is acknowledged by many as one of the most demanding professions which often expose teachers to high levels of stress. For teachers, specifically those at the elementary level, the long hours, limited supplies/resources, and the dif</w:t>
      </w:r>
      <w:r>
        <w:rPr>
          <w:rFonts w:ascii="Times New Roman" w:eastAsia="SimSun" w:hAnsi="Times New Roman" w:cs="Times New Roman"/>
          <w:sz w:val="24"/>
          <w:szCs w:val="24"/>
          <w:lang w:bidi="ar"/>
        </w:rPr>
        <w:t>ficulty of maintaining work/life balance contributes to the emotional/psychological strain on them. (Dalid, 2025 pp. 287-295) Research has supported that mental health issues are continuing to be a significant issue for teachers and create anxiety or depre</w:t>
      </w:r>
      <w:r>
        <w:rPr>
          <w:rFonts w:ascii="Times New Roman" w:eastAsia="SimSun" w:hAnsi="Times New Roman" w:cs="Times New Roman"/>
          <w:sz w:val="24"/>
          <w:szCs w:val="24"/>
          <w:lang w:bidi="ar"/>
        </w:rPr>
        <w:t>ssion (Agyapong, 2022). The abovenoted facts emphasize the urgent need for improved support for teacher's well-being, thereby developing and enhancing teacher support systems within the educational system.</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Teachers that experience mental health issues util</w:t>
      </w:r>
      <w:r>
        <w:rPr>
          <w:rFonts w:ascii="Times New Roman" w:eastAsia="SimSun" w:hAnsi="Times New Roman" w:cs="Times New Roman"/>
          <w:sz w:val="24"/>
          <w:szCs w:val="24"/>
          <w:lang w:bidi="ar"/>
        </w:rPr>
        <w:t>ize coping strategies to help them through these situations. Alkhawaldeh et al. (2023) define coping strategies as feelings, thoughts and/or actions that are utilized to cope with stress and negative feelings. These coping strategies are particularly helpf</w:t>
      </w:r>
      <w:r>
        <w:rPr>
          <w:rFonts w:ascii="Times New Roman" w:eastAsia="SimSun" w:hAnsi="Times New Roman" w:cs="Times New Roman"/>
          <w:sz w:val="24"/>
          <w:szCs w:val="24"/>
          <w:lang w:bidi="ar"/>
        </w:rPr>
        <w:t>ul for teachers to overcome challenges and improve their situation (Agayon, 2022). Furthermore, these situations create a need to understand elementary teachers teaching performances relative to their mental health and the challenges that they face and wha</w:t>
      </w:r>
      <w:r>
        <w:rPr>
          <w:rFonts w:ascii="Times New Roman" w:eastAsia="SimSun" w:hAnsi="Times New Roman" w:cs="Times New Roman"/>
          <w:sz w:val="24"/>
          <w:szCs w:val="24"/>
          <w:lang w:bidi="ar"/>
        </w:rPr>
        <w:t>t coping strategies they have utilized to address these challenges.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Although teacher's mental health continues to develop as an area of interest, the majority of local research has focused on prevalence, stress level, or burnout, neglecting to assess how t</w:t>
      </w:r>
      <w:r>
        <w:rPr>
          <w:rFonts w:ascii="Times New Roman" w:eastAsia="SimSun" w:hAnsi="Times New Roman" w:cs="Times New Roman"/>
          <w:sz w:val="24"/>
          <w:szCs w:val="24"/>
          <w:lang w:bidi="ar"/>
        </w:rPr>
        <w:t>hese influence the teacher's performance. The relationship between teacher's performance and mental health challenges contains the mediating role of coping strategies, where by exploring teacher cope strategies will enhance the understanding of the teacher</w:t>
      </w:r>
      <w:r>
        <w:rPr>
          <w:rFonts w:ascii="Times New Roman" w:eastAsia="SimSun" w:hAnsi="Times New Roman" w:cs="Times New Roman"/>
          <w:sz w:val="24"/>
          <w:szCs w:val="24"/>
          <w:lang w:bidi="ar"/>
        </w:rPr>
        <w:t xml:space="preserve"> as a whole person rather than just a teacher.</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To address these needs, this study will determine the influence of mental health challenges on the teaching performance of the Calape District Elementary teachers and the mediating role that coping strategies </w:t>
      </w:r>
      <w:r>
        <w:rPr>
          <w:rFonts w:ascii="Times New Roman" w:eastAsia="SimSun" w:hAnsi="Times New Roman" w:cs="Times New Roman"/>
          <w:sz w:val="24"/>
          <w:szCs w:val="24"/>
          <w:lang w:bidi="ar"/>
        </w:rPr>
        <w:t>have on that relationship. There is a limited understanding of how mental health challenges influence the teaching performance of elementary teachers based on their daily emotional experience, professional engagement and interpersonal engagement. Thereby t</w:t>
      </w:r>
      <w:r>
        <w:rPr>
          <w:rFonts w:ascii="Times New Roman" w:eastAsia="SimSun" w:hAnsi="Times New Roman" w:cs="Times New Roman"/>
          <w:sz w:val="24"/>
          <w:szCs w:val="24"/>
          <w:lang w:bidi="ar"/>
        </w:rPr>
        <w:t>his study is an attempt to understand the relationship between levels of teacher mental health challenges and coping strategies.</w:t>
      </w:r>
    </w:p>
    <w:p w:rsidR="00AE16DF" w:rsidRDefault="00AE16DF">
      <w:pPr>
        <w:spacing w:before="105" w:after="105"/>
        <w:jc w:val="both"/>
        <w:rPr>
          <w:rFonts w:ascii="Times New Roman" w:eastAsia="SimSun" w:hAnsi="Times New Roman" w:cs="Times New Roman"/>
          <w:sz w:val="24"/>
          <w:szCs w:val="24"/>
          <w:lang w:bidi="ar"/>
        </w:rPr>
      </w:pPr>
    </w:p>
    <w:p w:rsidR="00AE16DF" w:rsidRDefault="004116DF">
      <w:pPr>
        <w:spacing w:before="105" w:after="105"/>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Literature Review</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Republic Act No. 11036, also called the "Mental Health Act" establishes progressive measures for mental heal</w:t>
      </w:r>
      <w:r>
        <w:rPr>
          <w:rFonts w:ascii="Times New Roman" w:eastAsia="SimSun" w:hAnsi="Times New Roman" w:cs="Times New Roman"/>
          <w:sz w:val="24"/>
          <w:szCs w:val="24"/>
          <w:lang w:bidi="ar"/>
        </w:rPr>
        <w:t>th services, and affirms that each Filipino citizen has a right to receive care as well as to obtain psychosocial support, with an emphasis on non-discrimination, and to have access for receiving these services. In particular, R A 11036 mandates that emplo</w:t>
      </w:r>
      <w:r>
        <w:rPr>
          <w:rFonts w:ascii="Times New Roman" w:eastAsia="SimSun" w:hAnsi="Times New Roman" w:cs="Times New Roman"/>
          <w:sz w:val="24"/>
          <w:szCs w:val="24"/>
          <w:lang w:bidi="ar"/>
        </w:rPr>
        <w:t>yers make mental health a priority for the well-being of their workforce through promotion of mental health in the workplace and encourages government agencies including DepEd to provide the resources needed to implement programs that improve the mental we</w:t>
      </w:r>
      <w:r>
        <w:rPr>
          <w:rFonts w:ascii="Times New Roman" w:eastAsia="SimSun" w:hAnsi="Times New Roman" w:cs="Times New Roman"/>
          <w:sz w:val="24"/>
          <w:szCs w:val="24"/>
          <w:lang w:bidi="ar"/>
        </w:rPr>
        <w:t>ll-being of employees.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World Health Organization (2025) supports R A 11036 as acknowledging that mental health is a vital component of an individual’s total health, hence why the law states that all individuals experiencing mental health challenges sho</w:t>
      </w:r>
      <w:r>
        <w:rPr>
          <w:rFonts w:ascii="Times New Roman" w:eastAsia="SimSun" w:hAnsi="Times New Roman" w:cs="Times New Roman"/>
          <w:sz w:val="24"/>
          <w:szCs w:val="24"/>
          <w:lang w:bidi="ar"/>
        </w:rPr>
        <w:t>uld have access to mental health resources and support. R A 11036 seeks to promote education and awareness about mental health while reducing the discriminatory attitudes and behaviours related to mental ill health. Therefore, through improving the well-be</w:t>
      </w:r>
      <w:r>
        <w:rPr>
          <w:rFonts w:ascii="Times New Roman" w:eastAsia="SimSun" w:hAnsi="Times New Roman" w:cs="Times New Roman"/>
          <w:sz w:val="24"/>
          <w:szCs w:val="24"/>
          <w:lang w:bidi="ar"/>
        </w:rPr>
        <w:t>ing of educators and all school personnel, the Mental Health Act will also improve the quality of education provided in the Philippines.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Under House Bill 6574, a mental and well-being office has been implemented by DepEd in each school division across the </w:t>
      </w:r>
      <w:r>
        <w:rPr>
          <w:rFonts w:ascii="Times New Roman" w:eastAsia="SimSun" w:hAnsi="Times New Roman" w:cs="Times New Roman"/>
          <w:sz w:val="24"/>
          <w:szCs w:val="24"/>
          <w:lang w:bidi="ar"/>
        </w:rPr>
        <w:t>country. R A 11036 establishes that by the end of five years from the enactment, mental health professionals will be hired and deployed to public elementary and secondary schools, vocational institutions, and the DepEd's Central, Regional, and School Divis</w:t>
      </w:r>
      <w:r>
        <w:rPr>
          <w:rFonts w:ascii="Times New Roman" w:eastAsia="SimSun" w:hAnsi="Times New Roman" w:cs="Times New Roman"/>
          <w:sz w:val="24"/>
          <w:szCs w:val="24"/>
          <w:lang w:bidi="ar"/>
        </w:rPr>
        <w:t xml:space="preserve">ion Governance levels of offices to provide for the mental, emotional, and developmental </w:t>
      </w:r>
      <w:r>
        <w:rPr>
          <w:rFonts w:ascii="Times New Roman" w:eastAsia="SimSun" w:hAnsi="Times New Roman" w:cs="Times New Roman"/>
          <w:sz w:val="24"/>
          <w:szCs w:val="24"/>
          <w:lang w:bidi="ar"/>
        </w:rPr>
        <w:lastRenderedPageBreak/>
        <w:t>health-related needs of all DepEd personnel including teachers and students.Furthermore, the Department of Education (DepEd) is putting into place rules and regulation</w:t>
      </w:r>
      <w:r>
        <w:rPr>
          <w:rFonts w:ascii="Times New Roman" w:eastAsia="SimSun" w:hAnsi="Times New Roman" w:cs="Times New Roman"/>
          <w:sz w:val="24"/>
          <w:szCs w:val="24"/>
          <w:lang w:bidi="ar"/>
        </w:rPr>
        <w:t>s (IRR) as set forth in Republic Act No. (RA) 12080, sometimes referred to as the “Basic Education Mental Health and Well-Being Promotion Act”. Its purpose is to ensure that every member of the education staff has the necessary support to both deliver good</w:t>
      </w:r>
      <w:r>
        <w:rPr>
          <w:rFonts w:ascii="Times New Roman" w:eastAsia="SimSun" w:hAnsi="Times New Roman" w:cs="Times New Roman"/>
          <w:sz w:val="24"/>
          <w:szCs w:val="24"/>
          <w:lang w:bidi="ar"/>
        </w:rPr>
        <w:t xml:space="preserve"> instructional performance and to achieve their overall mental health and well-being, thereby supporting their students’ learning and allowing them to achieve the expectations placed on them. Additionally, the law encourages each School Division Office (SD</w:t>
      </w:r>
      <w:r>
        <w:rPr>
          <w:rFonts w:ascii="Times New Roman" w:eastAsia="SimSun" w:hAnsi="Times New Roman" w:cs="Times New Roman"/>
          <w:sz w:val="24"/>
          <w:szCs w:val="24"/>
          <w:lang w:bidi="ar"/>
        </w:rPr>
        <w:t>O) to establish a mental health and well-being office that is administered by and supervised by DepEd, to ensure that both the educators and the students being served by DepEd in the jurisdiction of that SDO have access to mental health and well-being supp</w:t>
      </w:r>
      <w:r>
        <w:rPr>
          <w:rFonts w:ascii="Times New Roman" w:eastAsia="SimSun" w:hAnsi="Times New Roman" w:cs="Times New Roman"/>
          <w:sz w:val="24"/>
          <w:szCs w:val="24"/>
          <w:lang w:bidi="ar"/>
        </w:rPr>
        <w:t>ort services.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 the Philippines, there are many negative consequences related to teachers' mental health. As evidenced by reports of teachers' work overloads, the large amount of additional non-instructional duties assigned to them, the lack of </w:t>
      </w:r>
      <w:r>
        <w:rPr>
          <w:rFonts w:ascii="Times New Roman" w:eastAsia="SimSun" w:hAnsi="Times New Roman" w:cs="Times New Roman"/>
          <w:sz w:val="24"/>
          <w:szCs w:val="24"/>
          <w:lang w:bidi="ar"/>
        </w:rPr>
        <w:t>instructional resources, and their contact with students who may also lack adequate resources, there has been a decline in their ability to develop and use learning resources for their students (Clarion, 2023). Also, there has been an "abrupt" curriculum c</w:t>
      </w:r>
      <w:r>
        <w:rPr>
          <w:rFonts w:ascii="Times New Roman" w:eastAsia="SimSun" w:hAnsi="Times New Roman" w:cs="Times New Roman"/>
          <w:sz w:val="24"/>
          <w:szCs w:val="24"/>
          <w:lang w:bidi="ar"/>
        </w:rPr>
        <w:t xml:space="preserve">hange in the educational system; educators have had to adjust to the new "normal"; and they have been asked to implement a new form of remediation from the previous system of instruction. All of these changes negatively impact teachers' mental health and, </w:t>
      </w:r>
      <w:r>
        <w:rPr>
          <w:rFonts w:ascii="Times New Roman" w:eastAsia="SimSun" w:hAnsi="Times New Roman" w:cs="Times New Roman"/>
          <w:sz w:val="24"/>
          <w:szCs w:val="24"/>
          <w:lang w:bidi="ar"/>
        </w:rPr>
        <w:t>in turn, the quality of education they can provide for their students.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Health Theory of Coping (Stallman, 2020) defines coping as both a cognitive and a behavioral reaction to an unexpected emotional event. Research shows that teachers employ many diff</w:t>
      </w:r>
      <w:r>
        <w:rPr>
          <w:rFonts w:ascii="Times New Roman" w:eastAsia="SimSun" w:hAnsi="Times New Roman" w:cs="Times New Roman"/>
          <w:sz w:val="24"/>
          <w:szCs w:val="24"/>
          <w:lang w:bidi="ar"/>
        </w:rPr>
        <w:t>erent means for coping with their own feelings and emotions. The method used (emotion-focused vs. problem-focused) depends on circumstances, as well as how the circumstances are interpreted (personal/cultural). Among Filipino teachers, coping methods often</w:t>
      </w:r>
      <w:r>
        <w:rPr>
          <w:rFonts w:ascii="Times New Roman" w:eastAsia="SimSun" w:hAnsi="Times New Roman" w:cs="Times New Roman"/>
          <w:sz w:val="24"/>
          <w:szCs w:val="24"/>
          <w:lang w:bidi="ar"/>
        </w:rPr>
        <w:t xml:space="preserve"> include faith-based methods, the use of peer networks, and the use of family networks as support systems to assist them in coping with their perceived problems associated with their jobs and their lives (Talidong &amp; Toquero, 2020). Accordingly, it can be c</w:t>
      </w:r>
      <w:r>
        <w:rPr>
          <w:rFonts w:ascii="Times New Roman" w:eastAsia="SimSun" w:hAnsi="Times New Roman" w:cs="Times New Roman"/>
          <w:sz w:val="24"/>
          <w:szCs w:val="24"/>
          <w:lang w:bidi="ar"/>
        </w:rPr>
        <w:t>oncluded that there are many different coping strategies that rely on both theoretical perspectives and socio-cultural factors.</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Effective coping strategies include (Emeljanova et al., 2023) problem solving, physical exercise, and participation in hobbies, </w:t>
      </w:r>
      <w:r>
        <w:rPr>
          <w:rFonts w:ascii="Times New Roman" w:eastAsia="SimSun" w:hAnsi="Times New Roman" w:cs="Times New Roman"/>
          <w:sz w:val="24"/>
          <w:szCs w:val="24"/>
          <w:lang w:bidi="ar"/>
        </w:rPr>
        <w:t>all of which support individuals in improving their emotional well-being. Additionally, Suttles (2024) found two categorical types of strategies (problem-focused vs. emotion-focused). In summary, the literature supports that a person's mental health status</w:t>
      </w:r>
      <w:r>
        <w:rPr>
          <w:rFonts w:ascii="Times New Roman" w:eastAsia="SimSun" w:hAnsi="Times New Roman" w:cs="Times New Roman"/>
          <w:sz w:val="24"/>
          <w:szCs w:val="24"/>
          <w:lang w:bidi="ar"/>
        </w:rPr>
        <w:t xml:space="preserve"> and their coping mechanisms in the Philippines cannot be considered in isolation. Rather, they are influenced by a person's experiences, the environment in which they work, and the legal-worldview or institutional framework in which the teachers find them</w:t>
      </w:r>
      <w:r>
        <w:rPr>
          <w:rFonts w:ascii="Times New Roman" w:eastAsia="SimSun" w:hAnsi="Times New Roman" w:cs="Times New Roman"/>
          <w:sz w:val="24"/>
          <w:szCs w:val="24"/>
          <w:lang w:bidi="ar"/>
        </w:rPr>
        <w:t>selves.</w:t>
      </w:r>
    </w:p>
    <w:p w:rsidR="00AE16DF" w:rsidRDefault="00AE16DF">
      <w:pPr>
        <w:spacing w:before="105" w:after="105"/>
        <w:jc w:val="both"/>
        <w:rPr>
          <w:rFonts w:ascii="Times New Roman" w:eastAsia="SimSun" w:hAnsi="Times New Roman" w:cs="Times New Roman"/>
          <w:b/>
          <w:bCs/>
          <w:sz w:val="24"/>
          <w:szCs w:val="24"/>
          <w:lang w:bidi="ar"/>
        </w:rPr>
      </w:pP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Statement of the Problem</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primary concern of this research is to find out how coping mechanisms mediate the relationship between the mental health challenges faced by teachers in Calape District and their level of teaching performance for the </w:t>
      </w:r>
      <w:r>
        <w:rPr>
          <w:rFonts w:ascii="Times New Roman" w:eastAsia="SimSun" w:hAnsi="Times New Roman" w:cs="Times New Roman"/>
          <w:sz w:val="24"/>
          <w:szCs w:val="24"/>
          <w:lang w:bidi="ar"/>
        </w:rPr>
        <w:t>school year 2024-2025. Specifically, the study aims to discover answers to the following sub-problems: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1. How do elementary teachers level of mental health challenges compare according to the dimensions of the following: Avoidance Symptoms, Intrusion Sympt</w:t>
      </w:r>
      <w:r>
        <w:rPr>
          <w:rFonts w:ascii="Times New Roman" w:eastAsia="SimSun" w:hAnsi="Times New Roman" w:cs="Times New Roman"/>
          <w:sz w:val="24"/>
          <w:szCs w:val="24"/>
          <w:lang w:bidi="ar"/>
        </w:rPr>
        <w:t>oms, Alterations in Arousal and Reactivity, and Negative Alterations in Cognition or Mood?</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 How do elementary teachers' levels of coping mechanisms compare according to the dimensions of the following: Problem-Focused Coping, Emotion-Focused Coping, Emot</w:t>
      </w:r>
      <w:r>
        <w:rPr>
          <w:rFonts w:ascii="Times New Roman" w:eastAsia="SimSun" w:hAnsi="Times New Roman" w:cs="Times New Roman"/>
          <w:sz w:val="24"/>
          <w:szCs w:val="24"/>
          <w:lang w:bidi="ar"/>
        </w:rPr>
        <w:t>ional Regulation or Stress Relief, and Avoidant Coping?</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 What is the level of elementary teachers' performance overall since they began to work?</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4. Is there a statistically significant mediating effect between the relationship of teacher's mental health </w:t>
      </w:r>
      <w:r>
        <w:rPr>
          <w:rFonts w:ascii="Times New Roman" w:eastAsia="SimSun" w:hAnsi="Times New Roman" w:cs="Times New Roman"/>
          <w:sz w:val="24"/>
          <w:szCs w:val="24"/>
          <w:lang w:bidi="ar"/>
        </w:rPr>
        <w:t>challenges and teaching performance through the use of a coping mechanism?</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5. Based on the research outcomes, what action plan(s) can be made?</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Statement of Null Hypothesis</w:t>
      </w:r>
    </w:p>
    <w:p w:rsidR="00AE16DF" w:rsidRDefault="004116DF">
      <w:pPr>
        <w:spacing w:before="105" w:after="105"/>
        <w:jc w:val="both"/>
        <w:rPr>
          <w:rFonts w:ascii="Times New Roman" w:eastAsia="SimSun" w:hAnsi="Times New Roman" w:cs="Times New Roman"/>
          <w:b/>
          <w:bCs/>
          <w:sz w:val="24"/>
          <w:szCs w:val="24"/>
          <w:lang w:bidi="ar"/>
        </w:rPr>
      </w:pPr>
      <w:r>
        <w:rPr>
          <w:rFonts w:ascii="Times New Roman" w:eastAsia="SimSun" w:hAnsi="Times New Roman" w:cs="Times New Roman"/>
          <w:sz w:val="24"/>
          <w:szCs w:val="24"/>
          <w:lang w:bidi="ar"/>
        </w:rPr>
        <w:t>There is no significant Mediating effect of a Coping Mechanism on the relationship o</w:t>
      </w:r>
      <w:r>
        <w:rPr>
          <w:rFonts w:ascii="Times New Roman" w:eastAsia="SimSun" w:hAnsi="Times New Roman" w:cs="Times New Roman"/>
          <w:sz w:val="24"/>
          <w:szCs w:val="24"/>
          <w:lang w:bidi="ar"/>
        </w:rPr>
        <w:t>f Teachers' Mental Health Challenges and Teaching Performance.</w:t>
      </w:r>
    </w:p>
    <w:p w:rsidR="00AE16DF" w:rsidRDefault="004116DF">
      <w:pPr>
        <w:spacing w:before="105" w:after="105"/>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METHODOLOGY</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Design</w:t>
      </w:r>
    </w:p>
    <w:p w:rsidR="00AE16DF" w:rsidRDefault="004116DF">
      <w:pPr>
        <w:spacing w:before="105" w:after="105"/>
        <w:jc w:val="both"/>
        <w:rPr>
          <w:rFonts w:ascii="Times New Roman" w:eastAsia="SimSun" w:hAnsi="Times New Roman" w:cs="Times New Roman"/>
          <w:b/>
          <w:bCs/>
          <w:sz w:val="24"/>
          <w:szCs w:val="24"/>
          <w:lang w:bidi="ar"/>
        </w:rPr>
      </w:pPr>
      <w:r>
        <w:rPr>
          <w:rFonts w:ascii="Times New Roman" w:eastAsia="SimSun" w:hAnsi="Times New Roman" w:cs="Times New Roman"/>
          <w:sz w:val="24"/>
          <w:szCs w:val="24"/>
          <w:lang w:bidi="ar"/>
        </w:rPr>
        <w:t>This study employed a quantitative, non-experimental, mediation design using a questionnaire-type survey to establish the mediating effect of coping mechanisms upon the menta</w:t>
      </w:r>
      <w:r>
        <w:rPr>
          <w:rFonts w:ascii="Times New Roman" w:eastAsia="SimSun" w:hAnsi="Times New Roman" w:cs="Times New Roman"/>
          <w:sz w:val="24"/>
          <w:szCs w:val="24"/>
          <w:lang w:bidi="ar"/>
        </w:rPr>
        <w:t>l well-being and performance of the teachers within the Calape District. By taking a non-experimental approach, the study preserved the integrity of teacher responses without artificially influencing variable(s).</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Environment and Respondents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study took </w:t>
      </w:r>
      <w:r>
        <w:rPr>
          <w:rFonts w:ascii="Times New Roman" w:eastAsia="SimSun" w:hAnsi="Times New Roman" w:cs="Times New Roman"/>
          <w:sz w:val="24"/>
          <w:szCs w:val="24"/>
          <w:lang w:bidi="ar"/>
        </w:rPr>
        <w:t xml:space="preserve">place in the 19 (nineteen) public elementary schools situated in Calape District during the 2025/2026 school year. The district of Calape has a geographical location found on Bohol’s western coast and contains both a mainland municipality of barangays and </w:t>
      </w:r>
      <w:r>
        <w:rPr>
          <w:rFonts w:ascii="Times New Roman" w:eastAsia="SimSun" w:hAnsi="Times New Roman" w:cs="Times New Roman"/>
          <w:sz w:val="24"/>
          <w:szCs w:val="24"/>
          <w:lang w:bidi="ar"/>
        </w:rPr>
        <w:t>an island grouped into barangays.</w:t>
      </w:r>
    </w:p>
    <w:p w:rsidR="00AE16DF" w:rsidRDefault="004116DF">
      <w:pPr>
        <w:spacing w:before="105" w:after="105"/>
        <w:jc w:val="both"/>
        <w:rPr>
          <w:rFonts w:ascii="Times New Roman" w:eastAsia="SimSun" w:hAnsi="Times New Roman" w:cs="Times New Roman"/>
          <w:b/>
          <w:bCs/>
          <w:sz w:val="24"/>
          <w:szCs w:val="24"/>
          <w:lang w:bidi="ar"/>
        </w:rPr>
      </w:pPr>
      <w:r>
        <w:rPr>
          <w:rFonts w:ascii="Times New Roman" w:eastAsia="SimSun" w:hAnsi="Times New Roman" w:cs="Times New Roman"/>
          <w:sz w:val="24"/>
          <w:szCs w:val="24"/>
          <w:lang w:bidi="ar"/>
        </w:rPr>
        <w:t>Throughout the course of the 2025-2026 academic year, all elementary teachers in the Calape District participated in the study. In total, there were 174 (one hundred seventy-four) teachers eligible to participate; however,</w:t>
      </w:r>
      <w:r>
        <w:rPr>
          <w:rFonts w:ascii="Times New Roman" w:eastAsia="SimSun" w:hAnsi="Times New Roman" w:cs="Times New Roman"/>
          <w:sz w:val="24"/>
          <w:szCs w:val="24"/>
          <w:lang w:bidi="ar"/>
        </w:rPr>
        <w:t xml:space="preserve"> only 140 (140) from (the) forty-five (80.45 percent) participants provided a completed questionnaire due to other potential factors i.e., teacher absences from school.</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Instrument</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 structured survey questionnaire was used to gather information about teach</w:t>
      </w:r>
      <w:r>
        <w:rPr>
          <w:rFonts w:ascii="Times New Roman" w:eastAsia="SimSun" w:hAnsi="Times New Roman" w:cs="Times New Roman"/>
          <w:sz w:val="24"/>
          <w:szCs w:val="24"/>
          <w:lang w:bidi="ar"/>
        </w:rPr>
        <w:t>ers’ mental health issues and their ability to manage stress, anxiety, and depression. The first section of the questionnaire consisted of items based on the PTSD Checklist for DSM-5 (PCL-5) developed by Weathers and colleagues (2013), which has a Cronbach</w:t>
      </w:r>
      <w:r>
        <w:rPr>
          <w:rFonts w:ascii="Times New Roman" w:eastAsia="SimSun" w:hAnsi="Times New Roman" w:cs="Times New Roman"/>
          <w:sz w:val="24"/>
          <w:szCs w:val="24"/>
          <w:lang w:bidi="ar"/>
        </w:rPr>
        <w:t xml:space="preserve">’s alpha of 0.90. The second section was derived from the coping scale by Hamby and Banyard (2013), which has a Cronbach’s alpha </w:t>
      </w:r>
      <w:r>
        <w:rPr>
          <w:rFonts w:ascii="Times New Roman" w:eastAsia="SimSun" w:hAnsi="Times New Roman" w:cs="Times New Roman"/>
          <w:sz w:val="24"/>
          <w:szCs w:val="24"/>
          <w:lang w:bidi="ar"/>
        </w:rPr>
        <w:lastRenderedPageBreak/>
        <w:t>of0.91. The final section of the instrument assessed the performance of the teachers taught by the school year 2024-2025.</w:t>
      </w:r>
    </w:p>
    <w:p w:rsidR="00AE16DF" w:rsidRDefault="004116DF">
      <w:pPr>
        <w:spacing w:before="105" w:after="105"/>
        <w:jc w:val="both"/>
        <w:rPr>
          <w:rFonts w:ascii="Times New Roman" w:eastAsia="SimSun" w:hAnsi="Times New Roman" w:cs="Times New Roman"/>
          <w:b/>
          <w:bCs/>
          <w:sz w:val="24"/>
          <w:szCs w:val="24"/>
          <w:lang w:bidi="ar"/>
        </w:rPr>
      </w:pPr>
      <w:r>
        <w:rPr>
          <w:rFonts w:ascii="Times New Roman" w:eastAsia="SimSun" w:hAnsi="Times New Roman" w:cs="Times New Roman"/>
          <w:sz w:val="24"/>
          <w:szCs w:val="24"/>
          <w:lang w:bidi="ar"/>
        </w:rPr>
        <w:t>The f</w:t>
      </w:r>
      <w:r>
        <w:rPr>
          <w:rFonts w:ascii="Times New Roman" w:eastAsia="SimSun" w:hAnsi="Times New Roman" w:cs="Times New Roman"/>
          <w:sz w:val="24"/>
          <w:szCs w:val="24"/>
          <w:lang w:bidi="ar"/>
        </w:rPr>
        <w:t>irst section of the instrument measured how much teachers were disturbed by (1) avoidance symptoms, (2) intrusion symptoms, (3) alterations in arousal/reactivity, and (4) negative alterations in cognition/mood. The second section measured the types of copi</w:t>
      </w:r>
      <w:r>
        <w:rPr>
          <w:rFonts w:ascii="Times New Roman" w:eastAsia="SimSun" w:hAnsi="Times New Roman" w:cs="Times New Roman"/>
          <w:sz w:val="24"/>
          <w:szCs w:val="24"/>
          <w:lang w:bidi="ar"/>
        </w:rPr>
        <w:t>ng strategies used in four categories: (1) problem-focused coping, (2) emotion-focused coping, (3) emotional regulation/stress relief, and (4) avoidant coping. The third section of the instrument collected data on teachers’ performance (IPCRF rating 2024-2</w:t>
      </w:r>
      <w:r>
        <w:rPr>
          <w:rFonts w:ascii="Times New Roman" w:eastAsia="SimSun" w:hAnsi="Times New Roman" w:cs="Times New Roman"/>
          <w:sz w:val="24"/>
          <w:szCs w:val="24"/>
          <w:lang w:bidi="ar"/>
        </w:rPr>
        <w:t>025).</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RESULT</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data presented in this section presents the presentation, analysis and interpretation of data collected from teachers to provide insight into the levels of mental health challenges over the past several months as well as their effectivenes</w:t>
      </w:r>
      <w:r>
        <w:rPr>
          <w:rFonts w:ascii="Times New Roman" w:eastAsia="SimSun" w:hAnsi="Times New Roman" w:cs="Times New Roman"/>
          <w:sz w:val="24"/>
          <w:szCs w:val="24"/>
          <w:lang w:bidi="ar"/>
        </w:rPr>
        <w:t>s at coping with these challenges (based on how they performed based on the IPCRF rating for teachers for 2024-2025). The discussion of these three sources allows us to establish a foundation for determining how these variables interact with one another an</w:t>
      </w:r>
      <w:r>
        <w:rPr>
          <w:rFonts w:ascii="Times New Roman" w:eastAsia="SimSun" w:hAnsi="Times New Roman" w:cs="Times New Roman"/>
          <w:sz w:val="24"/>
          <w:szCs w:val="24"/>
          <w:lang w:bidi="ar"/>
        </w:rPr>
        <w:t>d for creating an appropriate action plan.</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1. Level of Mental Health Challenges</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Mental health challenges are defined as a common and complex psychiatric disorder, which typically occurs following exposure to a traumatic event. This study examined how the t</w:t>
      </w:r>
      <w:r>
        <w:rPr>
          <w:rFonts w:ascii="Times New Roman" w:eastAsia="SimSun" w:hAnsi="Times New Roman" w:cs="Times New Roman"/>
          <w:sz w:val="24"/>
          <w:szCs w:val="24"/>
          <w:lang w:bidi="ar"/>
        </w:rPr>
        <w:t>eachers in this study felt "bothered" by these challenges over the past several months.</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Table 1</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Level of Mental Health Challenges of the Elementary Teachers</w:t>
      </w:r>
    </w:p>
    <w:p w:rsidR="00AE16DF" w:rsidRDefault="004116DF">
      <w:pPr>
        <w:spacing w:line="480" w:lineRule="auto"/>
        <w:jc w:val="center"/>
        <w:rPr>
          <w:rFonts w:ascii="Times New Roman" w:hAnsi="Times New Roman" w:cs="Times New Roman"/>
          <w:sz w:val="24"/>
          <w:szCs w:val="24"/>
          <w:lang w:val="en-PH"/>
        </w:rPr>
      </w:pPr>
      <w:r>
        <w:rPr>
          <w:rFonts w:ascii="Times New Roman" w:hAnsi="Times New Roman" w:cs="Times New Roman"/>
          <w:sz w:val="24"/>
          <w:szCs w:val="24"/>
          <w:lang w:val="en-PH"/>
        </w:rPr>
        <w:t>n=140</w:t>
      </w:r>
    </w:p>
    <w:tbl>
      <w:tblPr>
        <w:tblStyle w:val="TableGrid"/>
        <w:tblW w:w="8669" w:type="dxa"/>
        <w:tblInd w:w="113" w:type="dxa"/>
        <w:tblLayout w:type="fixed"/>
        <w:tblLook w:val="04A0" w:firstRow="1" w:lastRow="0" w:firstColumn="1" w:lastColumn="0" w:noHBand="0" w:noVBand="1"/>
      </w:tblPr>
      <w:tblGrid>
        <w:gridCol w:w="5425"/>
        <w:gridCol w:w="844"/>
        <w:gridCol w:w="667"/>
        <w:gridCol w:w="1733"/>
      </w:tblGrid>
      <w:tr w:rsidR="00AE16DF">
        <w:trPr>
          <w:trHeight w:val="90"/>
        </w:trPr>
        <w:tc>
          <w:tcPr>
            <w:tcW w:w="5425" w:type="dxa"/>
            <w:tcBorders>
              <w:left w:val="nil"/>
              <w:bottom w:val="single" w:sz="4" w:space="0" w:color="auto"/>
              <w:right w:val="nil"/>
            </w:tcBorders>
            <w:vAlign w:val="center"/>
          </w:tcPr>
          <w:p w:rsidR="00AE16DF" w:rsidRDefault="004116DF">
            <w:pPr>
              <w:contextualSpacing/>
              <w:jc w:val="left"/>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In the past month, how much were you bothered by:</w:t>
            </w:r>
          </w:p>
        </w:tc>
        <w:tc>
          <w:tcPr>
            <w:tcW w:w="844" w:type="dxa"/>
            <w:tcBorders>
              <w:left w:val="nil"/>
              <w:bottom w:val="single" w:sz="4" w:space="0" w:color="auto"/>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Mean</w:t>
            </w:r>
          </w:p>
        </w:tc>
        <w:tc>
          <w:tcPr>
            <w:tcW w:w="667" w:type="dxa"/>
            <w:tcBorders>
              <w:left w:val="nil"/>
              <w:bottom w:val="single" w:sz="4" w:space="0" w:color="auto"/>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SD</w:t>
            </w:r>
          </w:p>
        </w:tc>
        <w:tc>
          <w:tcPr>
            <w:tcW w:w="1733" w:type="dxa"/>
            <w:tcBorders>
              <w:left w:val="nil"/>
              <w:bottom w:val="single" w:sz="4" w:space="0" w:color="auto"/>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Interpretation</w:t>
            </w:r>
          </w:p>
        </w:tc>
      </w:tr>
      <w:tr w:rsidR="00AE16DF">
        <w:trPr>
          <w:trHeight w:val="348"/>
        </w:trPr>
        <w:tc>
          <w:tcPr>
            <w:tcW w:w="5425" w:type="dxa"/>
            <w:tcBorders>
              <w:top w:val="nil"/>
              <w:left w:val="nil"/>
              <w:bottom w:val="nil"/>
              <w:right w:val="nil"/>
            </w:tcBorders>
            <w:vAlign w:val="center"/>
          </w:tcPr>
          <w:p w:rsidR="00AE16DF" w:rsidRDefault="004116DF">
            <w:pPr>
              <w:contextualSpacing/>
              <w:jc w:val="left"/>
              <w:rPr>
                <w:rFonts w:ascii="Times New Roman" w:eastAsia="Times New Roman" w:hAnsi="Times New Roman" w:cs="Times New Roman"/>
                <w:sz w:val="24"/>
                <w:szCs w:val="24"/>
                <w:lang w:eastAsia="en-PH"/>
              </w:rPr>
            </w:pPr>
            <w:r>
              <w:rPr>
                <w:rFonts w:ascii="Times New Roman" w:eastAsia="SimSun" w:hAnsi="Times New Roman" w:cs="Times New Roman"/>
                <w:sz w:val="24"/>
                <w:szCs w:val="24"/>
              </w:rPr>
              <w:t>Avoidance Symptoms</w:t>
            </w:r>
          </w:p>
        </w:tc>
        <w:tc>
          <w:tcPr>
            <w:tcW w:w="844"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1.8</w:t>
            </w:r>
            <w:r>
              <w:rPr>
                <w:rFonts w:ascii="Times New Roman" w:hAnsi="Times New Roman" w:cs="Times New Roman"/>
                <w:color w:val="000000"/>
                <w:sz w:val="24"/>
                <w:szCs w:val="24"/>
                <w:lang w:eastAsia="en-PH"/>
              </w:rPr>
              <w:t>0</w:t>
            </w:r>
          </w:p>
        </w:tc>
        <w:tc>
          <w:tcPr>
            <w:tcW w:w="667"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1.07</w:t>
            </w:r>
          </w:p>
        </w:tc>
        <w:tc>
          <w:tcPr>
            <w:tcW w:w="1733"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Challenged</w:t>
            </w:r>
          </w:p>
        </w:tc>
      </w:tr>
      <w:tr w:rsidR="00AE16DF">
        <w:trPr>
          <w:trHeight w:val="344"/>
        </w:trPr>
        <w:tc>
          <w:tcPr>
            <w:tcW w:w="5425" w:type="dxa"/>
            <w:tcBorders>
              <w:top w:val="nil"/>
              <w:left w:val="nil"/>
              <w:bottom w:val="nil"/>
              <w:right w:val="nil"/>
            </w:tcBorders>
            <w:vAlign w:val="center"/>
          </w:tcPr>
          <w:p w:rsidR="00AE16DF" w:rsidRDefault="004116DF">
            <w:pPr>
              <w:contextualSpacing/>
              <w:jc w:val="left"/>
              <w:rPr>
                <w:rFonts w:ascii="Times New Roman" w:eastAsia="Times New Roman" w:hAnsi="Times New Roman" w:cs="Times New Roman"/>
                <w:sz w:val="24"/>
                <w:szCs w:val="24"/>
                <w:lang w:eastAsia="en-PH"/>
              </w:rPr>
            </w:pPr>
            <w:r>
              <w:rPr>
                <w:rFonts w:ascii="Times New Roman" w:eastAsia="SimSun" w:hAnsi="Times New Roman" w:cs="Times New Roman"/>
                <w:sz w:val="24"/>
                <w:szCs w:val="24"/>
              </w:rPr>
              <w:t>Intrusion Symptoms</w:t>
            </w:r>
          </w:p>
        </w:tc>
        <w:tc>
          <w:tcPr>
            <w:tcW w:w="844"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w:t>
            </w:r>
            <w:r>
              <w:rPr>
                <w:rFonts w:ascii="Times New Roman" w:hAnsi="Times New Roman" w:cs="Times New Roman"/>
                <w:color w:val="000000"/>
                <w:sz w:val="24"/>
                <w:szCs w:val="24"/>
                <w:lang w:eastAsia="en-PH"/>
              </w:rPr>
              <w:t>59</w:t>
            </w:r>
          </w:p>
        </w:tc>
        <w:tc>
          <w:tcPr>
            <w:tcW w:w="667"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1.1</w:t>
            </w:r>
            <w:r>
              <w:rPr>
                <w:rFonts w:ascii="Times New Roman" w:hAnsi="Times New Roman" w:cs="Times New Roman"/>
                <w:color w:val="000000"/>
                <w:sz w:val="24"/>
                <w:szCs w:val="24"/>
                <w:lang w:eastAsia="en-PH"/>
              </w:rPr>
              <w:t>9</w:t>
            </w:r>
          </w:p>
        </w:tc>
        <w:tc>
          <w:tcPr>
            <w:tcW w:w="1733"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Challenged</w:t>
            </w:r>
          </w:p>
        </w:tc>
      </w:tr>
      <w:tr w:rsidR="00AE16DF">
        <w:trPr>
          <w:trHeight w:val="477"/>
        </w:trPr>
        <w:tc>
          <w:tcPr>
            <w:tcW w:w="5425" w:type="dxa"/>
            <w:tcBorders>
              <w:top w:val="nil"/>
              <w:left w:val="nil"/>
              <w:bottom w:val="nil"/>
              <w:right w:val="nil"/>
            </w:tcBorders>
            <w:vAlign w:val="center"/>
          </w:tcPr>
          <w:p w:rsidR="00AE16DF" w:rsidRDefault="004116DF">
            <w:pPr>
              <w:contextualSpacing/>
              <w:jc w:val="left"/>
              <w:rPr>
                <w:rFonts w:ascii="Times New Roman" w:eastAsia="Times New Roman" w:hAnsi="Times New Roman" w:cs="Times New Roman"/>
                <w:sz w:val="24"/>
                <w:szCs w:val="24"/>
                <w:lang w:eastAsia="en-PH"/>
              </w:rPr>
            </w:pPr>
            <w:r>
              <w:rPr>
                <w:rFonts w:ascii="Times New Roman" w:eastAsia="SimSun" w:hAnsi="Times New Roman" w:cs="Times New Roman"/>
                <w:sz w:val="24"/>
                <w:szCs w:val="24"/>
              </w:rPr>
              <w:t>Alterations in Arousal and Reactivity</w:t>
            </w:r>
          </w:p>
        </w:tc>
        <w:tc>
          <w:tcPr>
            <w:tcW w:w="844"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1.32</w:t>
            </w:r>
          </w:p>
        </w:tc>
        <w:tc>
          <w:tcPr>
            <w:tcW w:w="667"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1.10</w:t>
            </w:r>
          </w:p>
        </w:tc>
        <w:tc>
          <w:tcPr>
            <w:tcW w:w="1733"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Moderately Challenged</w:t>
            </w:r>
          </w:p>
        </w:tc>
      </w:tr>
      <w:tr w:rsidR="00AE16DF">
        <w:trPr>
          <w:trHeight w:val="477"/>
        </w:trPr>
        <w:tc>
          <w:tcPr>
            <w:tcW w:w="5425" w:type="dxa"/>
            <w:tcBorders>
              <w:top w:val="nil"/>
              <w:left w:val="nil"/>
              <w:bottom w:val="nil"/>
              <w:right w:val="nil"/>
            </w:tcBorders>
            <w:vAlign w:val="center"/>
          </w:tcPr>
          <w:p w:rsidR="00AE16DF" w:rsidRDefault="004116DF">
            <w:pPr>
              <w:contextualSpacing/>
              <w:jc w:val="left"/>
              <w:rPr>
                <w:rFonts w:ascii="Times New Roman" w:eastAsia="Times New Roman" w:hAnsi="Times New Roman" w:cs="Times New Roman"/>
                <w:sz w:val="24"/>
                <w:szCs w:val="24"/>
                <w:lang w:eastAsia="en-PH"/>
              </w:rPr>
            </w:pPr>
            <w:r>
              <w:rPr>
                <w:rFonts w:ascii="Times New Roman" w:eastAsia="SimSun" w:hAnsi="Times New Roman" w:cs="Times New Roman"/>
                <w:sz w:val="24"/>
                <w:szCs w:val="24"/>
              </w:rPr>
              <w:t>Negative Alterations in Cognition and Mood</w:t>
            </w:r>
          </w:p>
        </w:tc>
        <w:tc>
          <w:tcPr>
            <w:tcW w:w="844"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1.29</w:t>
            </w:r>
          </w:p>
        </w:tc>
        <w:tc>
          <w:tcPr>
            <w:tcW w:w="667" w:type="dxa"/>
            <w:tcBorders>
              <w:top w:val="nil"/>
              <w:left w:val="nil"/>
              <w:bottom w:val="nil"/>
              <w:right w:val="nil"/>
            </w:tcBorders>
            <w:vAlign w:val="center"/>
          </w:tcPr>
          <w:p w:rsidR="00AE16DF" w:rsidRDefault="004116DF">
            <w:pPr>
              <w:contextualSpacing/>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1.12</w:t>
            </w:r>
          </w:p>
        </w:tc>
        <w:tc>
          <w:tcPr>
            <w:tcW w:w="1733" w:type="dxa"/>
            <w:tcBorders>
              <w:top w:val="nil"/>
              <w:left w:val="nil"/>
              <w:bottom w:val="nil"/>
              <w:right w:val="nil"/>
            </w:tcBorders>
            <w:vAlign w:val="center"/>
          </w:tcPr>
          <w:p w:rsidR="00AE16DF" w:rsidRDefault="004116DF">
            <w:pPr>
              <w:contextualSpacing/>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Moderately Challenged</w:t>
            </w:r>
          </w:p>
        </w:tc>
      </w:tr>
      <w:tr w:rsidR="00AE16DF">
        <w:trPr>
          <w:trHeight w:val="549"/>
        </w:trPr>
        <w:tc>
          <w:tcPr>
            <w:tcW w:w="5425" w:type="dxa"/>
            <w:tcBorders>
              <w:top w:val="single" w:sz="4" w:space="0" w:color="auto"/>
              <w:left w:val="nil"/>
              <w:right w:val="nil"/>
            </w:tcBorders>
            <w:vAlign w:val="center"/>
          </w:tcPr>
          <w:p w:rsidR="00AE16DF" w:rsidRDefault="004116DF">
            <w:pPr>
              <w:contextualSpacing/>
              <w:jc w:val="left"/>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Overall</w:t>
            </w:r>
          </w:p>
        </w:tc>
        <w:tc>
          <w:tcPr>
            <w:tcW w:w="844" w:type="dxa"/>
            <w:tcBorders>
              <w:top w:val="single" w:sz="4" w:space="0" w:color="auto"/>
              <w:left w:val="nil"/>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hAnsi="Times New Roman" w:cs="Times New Roman"/>
                <w:b/>
                <w:bCs/>
                <w:color w:val="000000"/>
                <w:sz w:val="24"/>
                <w:szCs w:val="24"/>
                <w:lang w:eastAsia="en-PH"/>
              </w:rPr>
              <w:t>1.44</w:t>
            </w:r>
          </w:p>
        </w:tc>
        <w:tc>
          <w:tcPr>
            <w:tcW w:w="667" w:type="dxa"/>
            <w:tcBorders>
              <w:top w:val="single" w:sz="4" w:space="0" w:color="auto"/>
              <w:left w:val="nil"/>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hAnsi="Times New Roman" w:cs="Times New Roman"/>
                <w:b/>
                <w:bCs/>
                <w:color w:val="000000"/>
                <w:sz w:val="24"/>
                <w:szCs w:val="24"/>
                <w:lang w:eastAsia="en-PH"/>
              </w:rPr>
              <w:t>1.14</w:t>
            </w:r>
          </w:p>
        </w:tc>
        <w:tc>
          <w:tcPr>
            <w:tcW w:w="1733" w:type="dxa"/>
            <w:tcBorders>
              <w:top w:val="single" w:sz="4" w:space="0" w:color="auto"/>
              <w:left w:val="nil"/>
              <w:right w:val="nil"/>
            </w:tcBorders>
            <w:vAlign w:val="center"/>
          </w:tcPr>
          <w:p w:rsidR="00AE16DF" w:rsidRDefault="004116DF">
            <w:pPr>
              <w:contextualSpacing/>
              <w:jc w:val="center"/>
              <w:rPr>
                <w:rFonts w:ascii="Times New Roman" w:eastAsia="Times New Roman" w:hAnsi="Times New Roman" w:cs="Times New Roman"/>
                <w:b/>
                <w:bCs/>
                <w:sz w:val="24"/>
                <w:szCs w:val="24"/>
                <w:lang w:eastAsia="en-PH"/>
              </w:rPr>
            </w:pPr>
            <w:r>
              <w:rPr>
                <w:rFonts w:ascii="Times New Roman" w:hAnsi="Times New Roman" w:cs="Times New Roman"/>
                <w:color w:val="000000"/>
                <w:sz w:val="24"/>
                <w:szCs w:val="24"/>
                <w:lang w:eastAsia="en-PH"/>
              </w:rPr>
              <w:t>Moderately Challenged</w:t>
            </w:r>
          </w:p>
        </w:tc>
      </w:tr>
    </w:tbl>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Table</w:t>
      </w:r>
      <w:r>
        <w:rPr>
          <w:rFonts w:ascii="Times New Roman" w:eastAsia="SimSun" w:hAnsi="Times New Roman" w:cs="Times New Roman"/>
          <w:sz w:val="24"/>
          <w:szCs w:val="24"/>
          <w:lang w:bidi="ar"/>
        </w:rPr>
        <w:t xml:space="preserve"> 1 illustrates how elementary teachers perceive their mental health, according to the average of each teacher's response concerning (1) symptoms of avoidance; (2) symptoms of intrusion; (3) alterations in arousal/alertness and reactivity; and (4) alteratio</w:t>
      </w:r>
      <w:r>
        <w:rPr>
          <w:rFonts w:ascii="Times New Roman" w:eastAsia="SimSun" w:hAnsi="Times New Roman" w:cs="Times New Roman"/>
          <w:sz w:val="24"/>
          <w:szCs w:val="24"/>
          <w:lang w:bidi="ar"/>
        </w:rPr>
        <w:t>ns in negative thoughts and negative moods). The average of each domain was then ranked in descending order to highlight the most common experiences of elementary school teachers.</w:t>
      </w:r>
    </w:p>
    <w:p w:rsidR="00AE16DF" w:rsidRDefault="00AE16DF">
      <w:pPr>
        <w:spacing w:before="105" w:after="105"/>
        <w:jc w:val="both"/>
        <w:rPr>
          <w:rFonts w:ascii="Times New Roman" w:eastAsia="SimSun" w:hAnsi="Times New Roman" w:cs="Times New Roman"/>
          <w:sz w:val="24"/>
          <w:szCs w:val="24"/>
          <w:lang w:bidi="ar"/>
        </w:rPr>
      </w:pP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The total average of all domains was 1.44 (SD = 1.14), meaning that element</w:t>
      </w:r>
      <w:r>
        <w:rPr>
          <w:rFonts w:ascii="Times New Roman" w:eastAsia="SimSun" w:hAnsi="Times New Roman" w:cs="Times New Roman"/>
          <w:sz w:val="24"/>
          <w:szCs w:val="24"/>
          <w:lang w:bidi="ar"/>
        </w:rPr>
        <w:t>ary school teachers were moderately impacted or affected by stress, anxiety and/or challenges that they have had to deal with over the past several months. These findings support Ehlers &amp; Clark’s (2000) cognitive model of PTSD; i.e., for many people, distr</w:t>
      </w:r>
      <w:r>
        <w:rPr>
          <w:rFonts w:ascii="Times New Roman" w:eastAsia="SimSun" w:hAnsi="Times New Roman" w:cs="Times New Roman"/>
          <w:sz w:val="24"/>
          <w:szCs w:val="24"/>
          <w:lang w:bidi="ar"/>
        </w:rPr>
        <w:t>ess following a trauma typically decreases within a few months, while some (many, perhaps) individuals continue to experience PTSD symptoms.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For example, in this data set, teachers reported (on average), "I have had repeatedly tormenting and unwelcome memo</w:t>
      </w:r>
      <w:r>
        <w:rPr>
          <w:rFonts w:ascii="Times New Roman" w:eastAsia="SimSun" w:hAnsi="Times New Roman" w:cs="Times New Roman"/>
          <w:sz w:val="24"/>
          <w:szCs w:val="24"/>
          <w:lang w:bidi="ar"/>
        </w:rPr>
        <w:t xml:space="preserve">ries of the traumatic experience (i.e., the month(s) of August and September 2021), and have subsequently been able to recover from their emotional distress." The same findings were reported in the research conducted by Orlanda-Ventayen &amp; Ventayen (2021), </w:t>
      </w:r>
      <w:r>
        <w:rPr>
          <w:rFonts w:ascii="Times New Roman" w:eastAsia="SimSun" w:hAnsi="Times New Roman" w:cs="Times New Roman"/>
          <w:sz w:val="24"/>
          <w:szCs w:val="24"/>
          <w:lang w:bidi="ar"/>
        </w:rPr>
        <w:t>teachers may be suffering from severe depression related to their jobs, however, all were trained to be teachers, and therefore are able to cope with or manage their stressors regardless of the situation (even during difficult times).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Additionally, Agayon </w:t>
      </w:r>
      <w:r>
        <w:rPr>
          <w:rFonts w:ascii="Times New Roman" w:eastAsia="SimSun" w:hAnsi="Times New Roman" w:cs="Times New Roman"/>
          <w:sz w:val="24"/>
          <w:szCs w:val="24"/>
          <w:lang w:bidi="ar"/>
        </w:rPr>
        <w:t>et al. (2022) indicate that teaching is challenging and frustrating; however, as evidenced by the teachers in this data collection, all things are achievable given the right mindset of the educator to adapt to the changing conditions of education. Therefor</w:t>
      </w:r>
      <w:r>
        <w:rPr>
          <w:rFonts w:ascii="Times New Roman" w:eastAsia="SimSun" w:hAnsi="Times New Roman" w:cs="Times New Roman"/>
          <w:sz w:val="24"/>
          <w:szCs w:val="24"/>
          <w:lang w:bidi="ar"/>
        </w:rPr>
        <w:t>e, educators must prepare for future situations since future conditions will likely not improve, and thus teachers must adapt and accept the "new normal.</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2. Level of Coping Mechanism</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Table 2 provides a detailed description of the level of coping mechanisms</w:t>
      </w:r>
      <w:r>
        <w:rPr>
          <w:rFonts w:ascii="Times New Roman" w:eastAsia="SimSun" w:hAnsi="Times New Roman" w:cs="Times New Roman"/>
          <w:sz w:val="24"/>
          <w:szCs w:val="24"/>
          <w:lang w:bidi="ar"/>
        </w:rPr>
        <w:t xml:space="preserve"> of elementary teachers using both weighted mean and standard deviation formulas. There are four types of coping mechanisms in this research study - problem-focused, emotion-focused, emotional regulation/stress alleviation, and avoidant. The information ab</w:t>
      </w:r>
      <w:r>
        <w:rPr>
          <w:rFonts w:ascii="Times New Roman" w:eastAsia="SimSun" w:hAnsi="Times New Roman" w:cs="Times New Roman"/>
          <w:sz w:val="24"/>
          <w:szCs w:val="24"/>
          <w:lang w:bidi="ar"/>
        </w:rPr>
        <w:t>out these four types of coping mechanisms will help the research study determine how the respondents cope with their difficult situations based upon which type of coping mechanism they choose to use.</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Table 2</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Level of Coping Mechanisms of the Elementary Tea</w:t>
      </w:r>
      <w:r>
        <w:rPr>
          <w:rFonts w:ascii="Times New Roman" w:hAnsi="Times New Roman" w:cs="Times New Roman"/>
          <w:sz w:val="24"/>
          <w:szCs w:val="24"/>
          <w:lang w:val="en-PH"/>
        </w:rPr>
        <w:t>chers</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N=140</w:t>
      </w:r>
    </w:p>
    <w:tbl>
      <w:tblPr>
        <w:tblStyle w:val="TableGrid"/>
        <w:tblW w:w="4922" w:type="pct"/>
        <w:tblLayout w:type="fixed"/>
        <w:tblLook w:val="04A0" w:firstRow="1" w:lastRow="0" w:firstColumn="1" w:lastColumn="0" w:noHBand="0" w:noVBand="1"/>
      </w:tblPr>
      <w:tblGrid>
        <w:gridCol w:w="5303"/>
        <w:gridCol w:w="1096"/>
        <w:gridCol w:w="879"/>
        <w:gridCol w:w="2149"/>
      </w:tblGrid>
      <w:tr w:rsidR="00AE16DF">
        <w:trPr>
          <w:trHeight w:val="371"/>
        </w:trPr>
        <w:tc>
          <w:tcPr>
            <w:tcW w:w="2811" w:type="pct"/>
            <w:tcBorders>
              <w:left w:val="nil"/>
              <w:bottom w:val="single" w:sz="4" w:space="0" w:color="auto"/>
              <w:right w:val="nil"/>
            </w:tcBorders>
            <w:vAlign w:val="center"/>
          </w:tcPr>
          <w:p w:rsidR="00AE16DF" w:rsidRDefault="004116DF">
            <w:pPr>
              <w:jc w:val="left"/>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Coping Strategies</w:t>
            </w:r>
          </w:p>
        </w:tc>
        <w:tc>
          <w:tcPr>
            <w:tcW w:w="581" w:type="pct"/>
            <w:tcBorders>
              <w:left w:val="nil"/>
              <w:bottom w:val="single" w:sz="4" w:space="0" w:color="auto"/>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Mean</w:t>
            </w:r>
          </w:p>
        </w:tc>
        <w:tc>
          <w:tcPr>
            <w:tcW w:w="466" w:type="pct"/>
            <w:tcBorders>
              <w:left w:val="nil"/>
              <w:bottom w:val="single" w:sz="4" w:space="0" w:color="auto"/>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SD</w:t>
            </w:r>
          </w:p>
        </w:tc>
        <w:tc>
          <w:tcPr>
            <w:tcW w:w="1140" w:type="pct"/>
            <w:tcBorders>
              <w:left w:val="nil"/>
              <w:bottom w:val="single" w:sz="4" w:space="0" w:color="auto"/>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Interpretation</w:t>
            </w:r>
          </w:p>
        </w:tc>
      </w:tr>
      <w:tr w:rsidR="00AE16DF">
        <w:trPr>
          <w:trHeight w:val="322"/>
        </w:trPr>
        <w:tc>
          <w:tcPr>
            <w:tcW w:w="2811" w:type="pct"/>
            <w:tcBorders>
              <w:top w:val="single" w:sz="4" w:space="0" w:color="auto"/>
              <w:left w:val="nil"/>
              <w:bottom w:val="nil"/>
              <w:right w:val="nil"/>
            </w:tcBorders>
            <w:vAlign w:val="center"/>
          </w:tcPr>
          <w:p w:rsidR="00AE16DF" w:rsidRDefault="004116DF">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Problem-Focused Coping</w:t>
            </w:r>
          </w:p>
        </w:tc>
        <w:tc>
          <w:tcPr>
            <w:tcW w:w="581" w:type="pct"/>
            <w:tcBorders>
              <w:top w:val="single" w:sz="4" w:space="0" w:color="auto"/>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3.25</w:t>
            </w:r>
          </w:p>
        </w:tc>
        <w:tc>
          <w:tcPr>
            <w:tcW w:w="466" w:type="pct"/>
            <w:tcBorders>
              <w:top w:val="single" w:sz="4" w:space="0" w:color="auto"/>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0.65</w:t>
            </w:r>
          </w:p>
        </w:tc>
        <w:tc>
          <w:tcPr>
            <w:tcW w:w="1140" w:type="pct"/>
            <w:tcBorders>
              <w:top w:val="single" w:sz="4" w:space="0" w:color="auto"/>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Managed</w:t>
            </w:r>
          </w:p>
        </w:tc>
      </w:tr>
      <w:tr w:rsidR="00AE16DF">
        <w:trPr>
          <w:trHeight w:val="325"/>
        </w:trPr>
        <w:tc>
          <w:tcPr>
            <w:tcW w:w="2811" w:type="pct"/>
            <w:tcBorders>
              <w:top w:val="nil"/>
              <w:left w:val="nil"/>
              <w:bottom w:val="nil"/>
              <w:right w:val="nil"/>
            </w:tcBorders>
            <w:vAlign w:val="center"/>
          </w:tcPr>
          <w:p w:rsidR="00AE16DF" w:rsidRDefault="004116DF">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Emotion-Focused Coping</w:t>
            </w:r>
          </w:p>
        </w:tc>
        <w:tc>
          <w:tcPr>
            <w:tcW w:w="581" w:type="pct"/>
            <w:tcBorders>
              <w:top w:val="nil"/>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3.19</w:t>
            </w:r>
          </w:p>
        </w:tc>
        <w:tc>
          <w:tcPr>
            <w:tcW w:w="466" w:type="pct"/>
            <w:tcBorders>
              <w:top w:val="nil"/>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0.63</w:t>
            </w:r>
          </w:p>
        </w:tc>
        <w:tc>
          <w:tcPr>
            <w:tcW w:w="1140" w:type="pct"/>
            <w:tcBorders>
              <w:top w:val="nil"/>
              <w:left w:val="nil"/>
              <w:bottom w:val="nil"/>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Managed</w:t>
            </w:r>
          </w:p>
        </w:tc>
      </w:tr>
      <w:tr w:rsidR="00AE16DF">
        <w:trPr>
          <w:trHeight w:val="311"/>
        </w:trPr>
        <w:tc>
          <w:tcPr>
            <w:tcW w:w="2811" w:type="pct"/>
            <w:tcBorders>
              <w:top w:val="nil"/>
              <w:left w:val="nil"/>
              <w:bottom w:val="nil"/>
              <w:right w:val="nil"/>
            </w:tcBorders>
            <w:vAlign w:val="center"/>
          </w:tcPr>
          <w:p w:rsidR="00AE16DF" w:rsidRDefault="004116DF">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Emotional Regulation/Stress Relief</w:t>
            </w:r>
          </w:p>
        </w:tc>
        <w:tc>
          <w:tcPr>
            <w:tcW w:w="581" w:type="pct"/>
            <w:tcBorders>
              <w:top w:val="nil"/>
              <w:left w:val="nil"/>
              <w:bottom w:val="nil"/>
              <w:right w:val="nil"/>
            </w:tcBorders>
            <w:vAlign w:val="center"/>
          </w:tcPr>
          <w:p w:rsidR="00AE16DF" w:rsidRDefault="004116DF">
            <w:pPr>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3.11</w:t>
            </w:r>
          </w:p>
        </w:tc>
        <w:tc>
          <w:tcPr>
            <w:tcW w:w="466" w:type="pct"/>
            <w:tcBorders>
              <w:top w:val="nil"/>
              <w:left w:val="nil"/>
              <w:bottom w:val="nil"/>
              <w:right w:val="nil"/>
            </w:tcBorders>
            <w:vAlign w:val="center"/>
          </w:tcPr>
          <w:p w:rsidR="00AE16DF" w:rsidRDefault="004116DF">
            <w:pPr>
              <w:jc w:val="center"/>
              <w:rPr>
                <w:rFonts w:ascii="Times New Roman" w:hAnsi="Times New Roman" w:cs="Times New Roman"/>
                <w:color w:val="000000"/>
                <w:sz w:val="24"/>
                <w:szCs w:val="24"/>
                <w:lang w:eastAsia="en-PH"/>
              </w:rPr>
            </w:pPr>
            <w:r>
              <w:rPr>
                <w:rFonts w:ascii="Times New Roman" w:hAnsi="Times New Roman" w:cs="Times New Roman"/>
                <w:color w:val="000000"/>
                <w:sz w:val="24"/>
                <w:szCs w:val="24"/>
                <w:lang w:eastAsia="en-PH"/>
              </w:rPr>
              <w:t>0.69</w:t>
            </w:r>
          </w:p>
        </w:tc>
        <w:tc>
          <w:tcPr>
            <w:tcW w:w="1140" w:type="pct"/>
            <w:tcBorders>
              <w:top w:val="nil"/>
              <w:left w:val="nil"/>
              <w:bottom w:val="nil"/>
              <w:right w:val="nil"/>
            </w:tcBorders>
            <w:vAlign w:val="center"/>
          </w:tcPr>
          <w:p w:rsidR="00AE16DF" w:rsidRDefault="004116DF">
            <w:pPr>
              <w:jc w:val="center"/>
              <w:rPr>
                <w:rFonts w:ascii="Times New Roman" w:hAnsi="Times New Roman" w:cs="Times New Roman"/>
                <w:color w:val="000000"/>
                <w:sz w:val="24"/>
                <w:szCs w:val="24"/>
                <w:lang w:eastAsia="en-PH"/>
              </w:rPr>
            </w:pPr>
            <w:r>
              <w:rPr>
                <w:rFonts w:ascii="Times New Roman" w:eastAsia="Times New Roman" w:hAnsi="Times New Roman" w:cs="Times New Roman"/>
                <w:sz w:val="24"/>
                <w:szCs w:val="24"/>
                <w:lang w:eastAsia="en-PH"/>
              </w:rPr>
              <w:t>Managed</w:t>
            </w:r>
          </w:p>
        </w:tc>
      </w:tr>
      <w:tr w:rsidR="00AE16DF">
        <w:trPr>
          <w:trHeight w:val="271"/>
        </w:trPr>
        <w:tc>
          <w:tcPr>
            <w:tcW w:w="2811" w:type="pct"/>
            <w:tcBorders>
              <w:top w:val="nil"/>
              <w:left w:val="nil"/>
              <w:bottom w:val="single" w:sz="4" w:space="0" w:color="auto"/>
              <w:right w:val="nil"/>
            </w:tcBorders>
            <w:vAlign w:val="center"/>
          </w:tcPr>
          <w:p w:rsidR="00AE16DF" w:rsidRDefault="004116DF">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Avoidant Coping</w:t>
            </w:r>
          </w:p>
        </w:tc>
        <w:tc>
          <w:tcPr>
            <w:tcW w:w="581" w:type="pct"/>
            <w:tcBorders>
              <w:top w:val="nil"/>
              <w:left w:val="nil"/>
              <w:bottom w:val="single" w:sz="4" w:space="0" w:color="auto"/>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2.78</w:t>
            </w:r>
          </w:p>
        </w:tc>
        <w:tc>
          <w:tcPr>
            <w:tcW w:w="466" w:type="pct"/>
            <w:tcBorders>
              <w:top w:val="nil"/>
              <w:left w:val="nil"/>
              <w:bottom w:val="single" w:sz="4" w:space="0" w:color="auto"/>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hAnsi="Times New Roman" w:cs="Times New Roman"/>
                <w:color w:val="000000"/>
                <w:sz w:val="24"/>
                <w:szCs w:val="24"/>
                <w:lang w:eastAsia="en-PH"/>
              </w:rPr>
              <w:t>0.74</w:t>
            </w:r>
          </w:p>
        </w:tc>
        <w:tc>
          <w:tcPr>
            <w:tcW w:w="1140" w:type="pct"/>
            <w:tcBorders>
              <w:top w:val="nil"/>
              <w:left w:val="nil"/>
              <w:bottom w:val="single" w:sz="4" w:space="0" w:color="auto"/>
              <w:right w:val="nil"/>
            </w:tcBorders>
            <w:vAlign w:val="center"/>
          </w:tcPr>
          <w:p w:rsidR="00AE16DF" w:rsidRDefault="004116DF">
            <w:pPr>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Managed</w:t>
            </w:r>
          </w:p>
        </w:tc>
      </w:tr>
      <w:tr w:rsidR="00AE16DF">
        <w:trPr>
          <w:trHeight w:val="481"/>
        </w:trPr>
        <w:tc>
          <w:tcPr>
            <w:tcW w:w="2811" w:type="pct"/>
            <w:tcBorders>
              <w:top w:val="single" w:sz="4" w:space="0" w:color="auto"/>
              <w:left w:val="nil"/>
              <w:right w:val="nil"/>
            </w:tcBorders>
            <w:vAlign w:val="center"/>
          </w:tcPr>
          <w:p w:rsidR="00AE16DF" w:rsidRDefault="004116DF">
            <w:pP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Overall </w:t>
            </w:r>
          </w:p>
        </w:tc>
        <w:tc>
          <w:tcPr>
            <w:tcW w:w="581" w:type="pct"/>
            <w:tcBorders>
              <w:top w:val="single" w:sz="4" w:space="0" w:color="auto"/>
              <w:left w:val="nil"/>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hAnsi="Times New Roman" w:cs="Times New Roman"/>
                <w:b/>
                <w:bCs/>
                <w:color w:val="000000"/>
                <w:sz w:val="24"/>
                <w:szCs w:val="24"/>
                <w:lang w:eastAsia="en-PH"/>
              </w:rPr>
              <w:t>3.15</w:t>
            </w:r>
          </w:p>
        </w:tc>
        <w:tc>
          <w:tcPr>
            <w:tcW w:w="466" w:type="pct"/>
            <w:tcBorders>
              <w:top w:val="single" w:sz="4" w:space="0" w:color="auto"/>
              <w:left w:val="nil"/>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hAnsi="Times New Roman" w:cs="Times New Roman"/>
                <w:b/>
                <w:bCs/>
                <w:color w:val="000000"/>
                <w:sz w:val="24"/>
                <w:szCs w:val="24"/>
                <w:lang w:eastAsia="en-PH"/>
              </w:rPr>
              <w:t>0.71</w:t>
            </w:r>
          </w:p>
        </w:tc>
        <w:tc>
          <w:tcPr>
            <w:tcW w:w="1140" w:type="pct"/>
            <w:tcBorders>
              <w:top w:val="single" w:sz="4" w:space="0" w:color="auto"/>
              <w:left w:val="nil"/>
              <w:right w:val="nil"/>
            </w:tcBorders>
            <w:vAlign w:val="center"/>
          </w:tcPr>
          <w:p w:rsidR="00AE16DF" w:rsidRDefault="004116DF">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sz w:val="24"/>
                <w:szCs w:val="24"/>
                <w:lang w:eastAsia="en-PH"/>
              </w:rPr>
              <w:t>Managed</w:t>
            </w:r>
          </w:p>
        </w:tc>
      </w:tr>
    </w:tbl>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According to Table 2, the highest average score (SD = 0.65) and managed problem-focused coping was achieved after the first two weeks 3.25, which indicates that teachers actively manage their problems and solution by taking appropriate actions and looking </w:t>
      </w:r>
      <w:r>
        <w:rPr>
          <w:rFonts w:ascii="Times New Roman" w:eastAsia="SimSun" w:hAnsi="Times New Roman" w:cs="Times New Roman"/>
          <w:sz w:val="24"/>
          <w:szCs w:val="24"/>
          <w:lang w:bidi="ar"/>
        </w:rPr>
        <w:t>for multiple ways to resolve them, indicating that they regularly utilized these strategies in managing their problems.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On the other hand, avoidant coping received the lowest average (SD = 0.74) and was managed 2.78 (SD = 0.74) indicates that teacher somet</w:t>
      </w:r>
      <w:r>
        <w:rPr>
          <w:rFonts w:ascii="Times New Roman" w:eastAsia="SimSun" w:hAnsi="Times New Roman" w:cs="Times New Roman"/>
          <w:sz w:val="24"/>
          <w:szCs w:val="24"/>
          <w:lang w:bidi="ar"/>
        </w:rPr>
        <w:t>imes uses distraction/denial as a way to avoid dealing with their problems, however they will not let their problem go unresolved.</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total average (SD = 0.71) indicated that the coping strategies of elementary teachers are 3.15, which indicates that copi</w:t>
      </w:r>
      <w:r>
        <w:rPr>
          <w:rFonts w:ascii="Times New Roman" w:eastAsia="SimSun" w:hAnsi="Times New Roman" w:cs="Times New Roman"/>
          <w:sz w:val="24"/>
          <w:szCs w:val="24"/>
          <w:lang w:bidi="ar"/>
        </w:rPr>
        <w:t>ng strategies assist teachers significantly in daily problem solving. Teachers continually attempt to solve problems correctly and constructively, improving their positive outlook on providing constructive solutions.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usage of coping strategies to </w:t>
      </w:r>
      <w:r>
        <w:rPr>
          <w:rFonts w:ascii="Times New Roman" w:eastAsia="SimSun" w:hAnsi="Times New Roman" w:cs="Times New Roman"/>
          <w:sz w:val="24"/>
          <w:szCs w:val="24"/>
          <w:lang w:bidi="ar"/>
        </w:rPr>
        <w:t>manage problems is evident from this research and supports Algorani’s (2023) research, which indicates that coping strategies mobilise thoughts and behaviours to cope with both internal and external sources of stress. Teachers who use time management, self</w:t>
      </w:r>
      <w:r>
        <w:rPr>
          <w:rFonts w:ascii="Times New Roman" w:eastAsia="SimSun" w:hAnsi="Times New Roman" w:cs="Times New Roman"/>
          <w:sz w:val="24"/>
          <w:szCs w:val="24"/>
          <w:lang w:bidi="ar"/>
        </w:rPr>
        <w:t>-care, perseverance, support and faith in God provide them with the resources and benefits of overcoming challenges related to teaching (Emborgo and Ucang, 2025). In addition, teachers have been able to use active coping strategies to manage difficult situ</w:t>
      </w:r>
      <w:r>
        <w:rPr>
          <w:rFonts w:ascii="Times New Roman" w:eastAsia="SimSun" w:hAnsi="Times New Roman" w:cs="Times New Roman"/>
          <w:sz w:val="24"/>
          <w:szCs w:val="24"/>
          <w:lang w:bidi="ar"/>
        </w:rPr>
        <w:t>ations that have occurred in their teaching careers.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 many ways, the theory of adult attachment supports the positive impact that having access to a responsive attachment figure can have on mental health (Mikulincer et al., 2008). According to Bandura </w:t>
      </w:r>
      <w:r>
        <w:rPr>
          <w:rFonts w:ascii="Times New Roman" w:eastAsia="SimSun" w:hAnsi="Times New Roman" w:cs="Times New Roman"/>
          <w:sz w:val="24"/>
          <w:szCs w:val="24"/>
          <w:lang w:bidi="ar"/>
        </w:rPr>
        <w:t>(1991), individuals develop self-regulation through the use of socially-cognitive theory (i.e., self-care) and learn how to self-monitor their own behaviour and actions; becoming more effectively able to manage their behaviour and actions to develop stabil</w:t>
      </w:r>
      <w:r>
        <w:rPr>
          <w:rFonts w:ascii="Times New Roman" w:eastAsia="SimSun" w:hAnsi="Times New Roman" w:cs="Times New Roman"/>
          <w:sz w:val="24"/>
          <w:szCs w:val="24"/>
          <w:lang w:bidi="ar"/>
        </w:rPr>
        <w:t>ity in life.</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 Level of Teachers' Performance</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Table 3 reveals teachers’ performance rating for the school year of 2024-2025 computed in percentage form. This result denotes the Individual Performance and Commitment Review (IPCRF), which provides a compreh</w:t>
      </w:r>
      <w:r>
        <w:rPr>
          <w:rFonts w:ascii="Times New Roman" w:eastAsia="SimSun" w:hAnsi="Times New Roman" w:cs="Times New Roman"/>
          <w:sz w:val="24"/>
          <w:szCs w:val="24"/>
          <w:lang w:bidi="ar"/>
        </w:rPr>
        <w:t>ensive assessment framework to determine the effectiveness of teachers and is vital for ensuring high quality education. The most recent results of the IPCRF will provide valuable information regarding teachers’ areas of strength and growth to inform profe</w:t>
      </w:r>
      <w:r>
        <w:rPr>
          <w:rFonts w:ascii="Times New Roman" w:eastAsia="SimSun" w:hAnsi="Times New Roman" w:cs="Times New Roman"/>
          <w:sz w:val="24"/>
          <w:szCs w:val="24"/>
          <w:lang w:bidi="ar"/>
        </w:rPr>
        <w:t>ssional development programs and support networks.</w:t>
      </w:r>
    </w:p>
    <w:p w:rsidR="00AE16DF" w:rsidRDefault="00AE16DF">
      <w:pPr>
        <w:spacing w:before="105" w:after="105"/>
        <w:jc w:val="both"/>
        <w:rPr>
          <w:rFonts w:ascii="Times New Roman" w:eastAsia="SimSun" w:hAnsi="Times New Roman" w:cs="Times New Roman"/>
          <w:sz w:val="24"/>
          <w:szCs w:val="24"/>
          <w:lang w:bidi="ar"/>
        </w:rPr>
      </w:pPr>
    </w:p>
    <w:p w:rsidR="00AE16DF" w:rsidRDefault="00AE16DF">
      <w:pPr>
        <w:spacing w:before="105" w:after="105"/>
        <w:jc w:val="both"/>
        <w:rPr>
          <w:rFonts w:ascii="Times New Roman" w:eastAsia="SimSun" w:hAnsi="Times New Roman" w:cs="Times New Roman"/>
          <w:sz w:val="24"/>
          <w:szCs w:val="24"/>
          <w:lang w:bidi="ar"/>
        </w:rPr>
      </w:pPr>
    </w:p>
    <w:p w:rsidR="00AE16DF" w:rsidRDefault="00AE16DF">
      <w:pPr>
        <w:spacing w:before="105" w:after="105"/>
        <w:jc w:val="both"/>
        <w:rPr>
          <w:rFonts w:ascii="Times New Roman" w:eastAsia="SimSun" w:hAnsi="Times New Roman" w:cs="Times New Roman"/>
          <w:sz w:val="24"/>
          <w:szCs w:val="24"/>
          <w:lang w:bidi="ar"/>
        </w:rPr>
      </w:pPr>
    </w:p>
    <w:p w:rsidR="00AE16DF" w:rsidRDefault="00AE16DF">
      <w:pPr>
        <w:spacing w:before="105" w:after="105"/>
        <w:jc w:val="both"/>
        <w:rPr>
          <w:rFonts w:ascii="Times New Roman" w:eastAsia="SimSun" w:hAnsi="Times New Roman" w:cs="Times New Roman"/>
          <w:sz w:val="24"/>
          <w:szCs w:val="24"/>
          <w:lang w:bidi="ar"/>
        </w:rPr>
      </w:pPr>
    </w:p>
    <w:p w:rsidR="00AE16DF" w:rsidRDefault="00AE16DF">
      <w:pPr>
        <w:spacing w:before="105" w:after="105"/>
        <w:jc w:val="both"/>
        <w:rPr>
          <w:rFonts w:ascii="Times New Roman" w:eastAsia="SimSun" w:hAnsi="Times New Roman" w:cs="Times New Roman"/>
          <w:sz w:val="24"/>
          <w:szCs w:val="24"/>
          <w:lang w:val="en-PH" w:bidi="ar"/>
        </w:rPr>
      </w:pPr>
    </w:p>
    <w:p w:rsidR="00AE16DF" w:rsidRDefault="00AE16DF">
      <w:pPr>
        <w:jc w:val="center"/>
        <w:rPr>
          <w:rFonts w:ascii="Times New Roman" w:hAnsi="Times New Roman" w:cs="Times New Roman"/>
          <w:sz w:val="24"/>
          <w:szCs w:val="24"/>
          <w:lang w:val="en-PH"/>
        </w:rPr>
      </w:pP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Table 3</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Level of Teacher’s Performance</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N=140</w:t>
      </w:r>
    </w:p>
    <w:tbl>
      <w:tblPr>
        <w:tblStyle w:val="TableGrid"/>
        <w:tblW w:w="88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1711"/>
        <w:gridCol w:w="1014"/>
        <w:gridCol w:w="856"/>
        <w:gridCol w:w="1869"/>
      </w:tblGrid>
      <w:tr w:rsidR="00AE16DF">
        <w:trPr>
          <w:trHeight w:val="423"/>
          <w:jc w:val="center"/>
        </w:trPr>
        <w:tc>
          <w:tcPr>
            <w:tcW w:w="3388" w:type="dxa"/>
            <w:tcBorders>
              <w:top w:val="single" w:sz="4" w:space="0" w:color="auto"/>
              <w:bottom w:val="single" w:sz="4" w:space="0" w:color="auto"/>
            </w:tcBorders>
            <w:vAlign w:val="center"/>
          </w:tcPr>
          <w:p w:rsidR="00AE16DF" w:rsidRDefault="004116DF">
            <w:pPr>
              <w:rPr>
                <w:rFonts w:ascii="Times New Roman" w:hAnsi="Times New Roman" w:cs="Times New Roman"/>
                <w:b/>
                <w:bCs/>
                <w:sz w:val="24"/>
                <w:szCs w:val="24"/>
                <w:lang w:eastAsia="en-PH"/>
              </w:rPr>
            </w:pPr>
            <w:r>
              <w:rPr>
                <w:rFonts w:ascii="Times New Roman" w:hAnsi="Times New Roman" w:cs="Times New Roman"/>
                <w:b/>
                <w:bCs/>
                <w:sz w:val="24"/>
                <w:szCs w:val="24"/>
                <w:lang w:eastAsia="en-PH"/>
              </w:rPr>
              <w:t>Teacher’s Performance</w:t>
            </w:r>
          </w:p>
        </w:tc>
        <w:tc>
          <w:tcPr>
            <w:tcW w:w="2725"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Frequency</w:t>
            </w:r>
          </w:p>
        </w:tc>
        <w:tc>
          <w:tcPr>
            <w:tcW w:w="2725"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Percentage</w:t>
            </w:r>
          </w:p>
        </w:tc>
      </w:tr>
      <w:tr w:rsidR="00AE16DF">
        <w:trPr>
          <w:trHeight w:val="423"/>
          <w:jc w:val="center"/>
        </w:trPr>
        <w:tc>
          <w:tcPr>
            <w:tcW w:w="3388" w:type="dxa"/>
            <w:tcBorders>
              <w:top w:val="single" w:sz="4" w:space="0" w:color="auto"/>
              <w:bottom w:val="single" w:sz="4" w:space="0" w:color="auto"/>
            </w:tcBorders>
            <w:vAlign w:val="center"/>
          </w:tcPr>
          <w:p w:rsidR="00AE16DF" w:rsidRDefault="004116DF">
            <w:pPr>
              <w:rPr>
                <w:rFonts w:ascii="Times New Roman" w:hAnsi="Times New Roman" w:cs="Times New Roman"/>
                <w:sz w:val="24"/>
                <w:szCs w:val="24"/>
                <w:lang w:eastAsia="en-PH"/>
              </w:rPr>
            </w:pPr>
            <w:r>
              <w:rPr>
                <w:rFonts w:ascii="Times New Roman" w:hAnsi="Times New Roman" w:cs="Times New Roman"/>
                <w:sz w:val="24"/>
                <w:szCs w:val="24"/>
                <w:lang w:eastAsia="en-PH"/>
              </w:rPr>
              <w:t>Very Satisfactory</w:t>
            </w:r>
            <w:r>
              <w:rPr>
                <w:rFonts w:ascii="Times New Roman" w:hAnsi="Times New Roman" w:cs="Times New Roman"/>
                <w:sz w:val="24"/>
                <w:szCs w:val="24"/>
                <w:lang w:eastAsia="en-PH"/>
              </w:rPr>
              <w:t xml:space="preserve"> (3.500 - 4.499)</w:t>
            </w:r>
          </w:p>
        </w:tc>
        <w:tc>
          <w:tcPr>
            <w:tcW w:w="2725"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140</w:t>
            </w:r>
          </w:p>
        </w:tc>
        <w:tc>
          <w:tcPr>
            <w:tcW w:w="2725"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100%</w:t>
            </w:r>
          </w:p>
        </w:tc>
      </w:tr>
      <w:tr w:rsidR="00AE16DF">
        <w:trPr>
          <w:trHeight w:val="423"/>
          <w:jc w:val="center"/>
        </w:trPr>
        <w:tc>
          <w:tcPr>
            <w:tcW w:w="3388" w:type="dxa"/>
            <w:tcBorders>
              <w:top w:val="single" w:sz="4" w:space="0" w:color="auto"/>
              <w:bottom w:val="single" w:sz="4" w:space="0" w:color="auto"/>
            </w:tcBorders>
            <w:vAlign w:val="center"/>
          </w:tcPr>
          <w:p w:rsidR="00AE16DF" w:rsidRDefault="00AE16DF">
            <w:pPr>
              <w:rPr>
                <w:rFonts w:ascii="Times New Roman" w:hAnsi="Times New Roman" w:cs="Times New Roman"/>
                <w:sz w:val="24"/>
                <w:szCs w:val="24"/>
                <w:lang w:eastAsia="en-PH"/>
              </w:rPr>
            </w:pPr>
          </w:p>
        </w:tc>
        <w:tc>
          <w:tcPr>
            <w:tcW w:w="1711" w:type="dxa"/>
            <w:tcBorders>
              <w:top w:val="single" w:sz="4" w:space="0" w:color="auto"/>
              <w:bottom w:val="single" w:sz="4" w:space="0" w:color="auto"/>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Mean</w:t>
            </w:r>
          </w:p>
        </w:tc>
        <w:tc>
          <w:tcPr>
            <w:tcW w:w="1870"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SD</w:t>
            </w:r>
          </w:p>
        </w:tc>
        <w:tc>
          <w:tcPr>
            <w:tcW w:w="1869" w:type="dxa"/>
            <w:tcBorders>
              <w:top w:val="single" w:sz="4" w:space="0" w:color="auto"/>
              <w:bottom w:val="single" w:sz="4" w:space="0" w:color="auto"/>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Interpretation</w:t>
            </w:r>
          </w:p>
        </w:tc>
      </w:tr>
      <w:tr w:rsidR="00AE16DF">
        <w:trPr>
          <w:trHeight w:val="475"/>
          <w:jc w:val="center"/>
        </w:trPr>
        <w:tc>
          <w:tcPr>
            <w:tcW w:w="3388" w:type="dxa"/>
            <w:tcBorders>
              <w:top w:val="single" w:sz="4" w:space="0" w:color="auto"/>
              <w:bottom w:val="single" w:sz="4" w:space="0" w:color="auto"/>
            </w:tcBorders>
            <w:vAlign w:val="center"/>
          </w:tcPr>
          <w:p w:rsidR="00AE16DF" w:rsidRDefault="004116DF">
            <w:pPr>
              <w:rPr>
                <w:rFonts w:ascii="Times New Roman" w:hAnsi="Times New Roman" w:cs="Times New Roman"/>
                <w:sz w:val="24"/>
                <w:szCs w:val="24"/>
                <w:lang w:eastAsia="en-PH"/>
              </w:rPr>
            </w:pPr>
            <w:r>
              <w:rPr>
                <w:rFonts w:ascii="Times New Roman" w:hAnsi="Times New Roman" w:cs="Times New Roman"/>
                <w:sz w:val="24"/>
                <w:szCs w:val="24"/>
                <w:lang w:eastAsia="en-PH"/>
              </w:rPr>
              <w:t>Performance Summary</w:t>
            </w:r>
          </w:p>
        </w:tc>
        <w:tc>
          <w:tcPr>
            <w:tcW w:w="1711" w:type="dxa"/>
            <w:tcBorders>
              <w:top w:val="single" w:sz="4" w:space="0" w:color="auto"/>
              <w:bottom w:val="single" w:sz="4" w:space="0" w:color="auto"/>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4.31</w:t>
            </w:r>
          </w:p>
        </w:tc>
        <w:tc>
          <w:tcPr>
            <w:tcW w:w="1870" w:type="dxa"/>
            <w:gridSpan w:val="2"/>
            <w:tcBorders>
              <w:top w:val="single" w:sz="4" w:space="0" w:color="auto"/>
              <w:bottom w:val="single" w:sz="4" w:space="0" w:color="auto"/>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0.15</w:t>
            </w:r>
          </w:p>
        </w:tc>
        <w:tc>
          <w:tcPr>
            <w:tcW w:w="1869" w:type="dxa"/>
            <w:tcBorders>
              <w:top w:val="single" w:sz="4" w:space="0" w:color="auto"/>
              <w:bottom w:val="single" w:sz="4" w:space="0" w:color="auto"/>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 xml:space="preserve">Very </w:t>
            </w:r>
            <w:r>
              <w:rPr>
                <w:rFonts w:ascii="Times New Roman" w:hAnsi="Times New Roman" w:cs="Times New Roman"/>
                <w:sz w:val="24"/>
                <w:szCs w:val="24"/>
                <w:lang w:eastAsia="en-PH"/>
              </w:rPr>
              <w:t>Satisfactory</w:t>
            </w:r>
          </w:p>
        </w:tc>
      </w:tr>
    </w:tbl>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According to the table above, mean teacher performance had a 4.31 (SD=0.15) which can be interpreted as being in the "Very Satisfactory" range. Most teachers had objectives to rate "Very Satisfactory"</w:t>
      </w:r>
      <w:r>
        <w:rPr>
          <w:rFonts w:ascii="Times New Roman" w:eastAsia="SimSun" w:hAnsi="Times New Roman" w:cs="Times New Roman"/>
          <w:sz w:val="24"/>
          <w:szCs w:val="24"/>
          <w:lang w:bidi="ar"/>
        </w:rPr>
        <w:t xml:space="preserve"> on their Individual Performance Commitment Review Form (IPCRF) which serves as an assessment tool for how well they have accomplished an annual task. (DepEd 2015) </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Furthermore, most teachers achieved higher ratings when it comes to their coping mechanisms</w:t>
      </w:r>
      <w:r>
        <w:rPr>
          <w:rFonts w:ascii="Times New Roman" w:eastAsia="SimSun" w:hAnsi="Times New Roman" w:cs="Times New Roman"/>
          <w:sz w:val="24"/>
          <w:szCs w:val="24"/>
          <w:lang w:bidi="ar"/>
        </w:rPr>
        <w:t xml:space="preserve"> and reported that they did so at mostly managed and highly managed levels, depending on the question they answered from the list above. Educators use their coping strategies to help ensure that they are teaching effectively and that they are performing th</w:t>
      </w:r>
      <w:r>
        <w:rPr>
          <w:rFonts w:ascii="Times New Roman" w:eastAsia="SimSun" w:hAnsi="Times New Roman" w:cs="Times New Roman"/>
          <w:sz w:val="24"/>
          <w:szCs w:val="24"/>
          <w:lang w:bidi="ar"/>
        </w:rPr>
        <w:t xml:space="preserve">eir job duties in an appropriate manner. </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These findings are consistent with Gragasin et al. (2023). Based on the data presented above, the IPCRF serves as a very good measure of teachers' performance for a period of 12 months. This also indicates whether </w:t>
      </w:r>
      <w:r>
        <w:rPr>
          <w:rFonts w:ascii="Times New Roman" w:eastAsia="SimSun" w:hAnsi="Times New Roman" w:cs="Times New Roman"/>
          <w:sz w:val="24"/>
          <w:szCs w:val="24"/>
          <w:lang w:bidi="ar"/>
        </w:rPr>
        <w:t>or not a teacher has met the standard performance expectations set by the Department of Education. In addition to the above, all teachers that were successful in meeting the established criteria for this performance were able to accomplish goals and object</w:t>
      </w:r>
      <w:r>
        <w:rPr>
          <w:rFonts w:ascii="Times New Roman" w:eastAsia="SimSun" w:hAnsi="Times New Roman" w:cs="Times New Roman"/>
          <w:sz w:val="24"/>
          <w:szCs w:val="24"/>
          <w:lang w:bidi="ar"/>
        </w:rPr>
        <w:t>ives related to the performance criteria and targets.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 Coping Mechanism as a Mediator of the Teacher’s Mental Health Challenges and Their Teacher Performance</w:t>
      </w:r>
    </w:p>
    <w:p w:rsidR="00AE16DF" w:rsidRDefault="004116DF">
      <w:pPr>
        <w:spacing w:before="105" w:after="105"/>
        <w:jc w:val="both"/>
        <w:rPr>
          <w:rFonts w:ascii="Times New Roman" w:hAnsi="Times New Roman" w:cs="Times New Roman"/>
          <w:sz w:val="24"/>
          <w:szCs w:val="24"/>
          <w:lang w:val="en-PH"/>
        </w:rPr>
      </w:pPr>
      <w:r>
        <w:rPr>
          <w:rFonts w:ascii="Times New Roman" w:eastAsia="SimSun" w:hAnsi="Times New Roman" w:cs="Times New Roman"/>
          <w:sz w:val="24"/>
          <w:szCs w:val="24"/>
          <w:lang w:bidi="ar"/>
        </w:rPr>
        <w:t>The relationship shown in Table 4 demonstrates that coping mechanisms mediate the relationship b</w:t>
      </w:r>
      <w:r>
        <w:rPr>
          <w:rFonts w:ascii="Times New Roman" w:eastAsia="SimSun" w:hAnsi="Times New Roman" w:cs="Times New Roman"/>
          <w:sz w:val="24"/>
          <w:szCs w:val="24"/>
          <w:lang w:bidi="ar"/>
        </w:rPr>
        <w:t>etween teacher mental health challenges and their performance as a teacher. The intent here is to show how coping mechanisms also significantly mediate the relationship between a teacher’s mental health challenge and the teacher’s performance as a teacher.</w:t>
      </w:r>
      <w:r>
        <w:rPr>
          <w:rFonts w:ascii="Times New Roman" w:eastAsia="SimSun" w:hAnsi="Times New Roman" w:cs="Times New Roman"/>
          <w:sz w:val="24"/>
          <w:szCs w:val="24"/>
          <w:lang w:bidi="ar"/>
        </w:rPr>
        <w:t xml:space="preserve"> By examining the mediating effect of a coping mechanism on a teacher’s mental health and their teacher performance, this type of research could provide much-needed insight into how coping mechanisms can impact teaching.</w:t>
      </w:r>
    </w:p>
    <w:p w:rsidR="00AE16DF" w:rsidRDefault="00AE16DF">
      <w:pPr>
        <w:jc w:val="center"/>
        <w:rPr>
          <w:rFonts w:ascii="Times New Roman" w:hAnsi="Times New Roman" w:cs="Times New Roman"/>
          <w:sz w:val="24"/>
          <w:szCs w:val="24"/>
          <w:lang w:val="en-PH"/>
        </w:rPr>
      </w:pP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Table 4</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 xml:space="preserve">The Mediation Role of </w:t>
      </w:r>
      <w:r>
        <w:rPr>
          <w:rFonts w:ascii="Times New Roman" w:hAnsi="Times New Roman" w:cs="Times New Roman"/>
          <w:sz w:val="24"/>
          <w:szCs w:val="24"/>
          <w:lang w:val="en-PH"/>
        </w:rPr>
        <w:t>Coping Mechanism between Mental Health and Teachers Performance</w:t>
      </w:r>
    </w:p>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N=140</w:t>
      </w:r>
    </w:p>
    <w:tbl>
      <w:tblPr>
        <w:tblStyle w:val="TableGrid"/>
        <w:tblW w:w="8625" w:type="dxa"/>
        <w:tblInd w:w="11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5"/>
        <w:gridCol w:w="2565"/>
        <w:gridCol w:w="1155"/>
        <w:gridCol w:w="1170"/>
        <w:gridCol w:w="1005"/>
        <w:gridCol w:w="1245"/>
      </w:tblGrid>
      <w:tr w:rsidR="00AE16DF">
        <w:trPr>
          <w:trHeight w:val="276"/>
        </w:trPr>
        <w:tc>
          <w:tcPr>
            <w:tcW w:w="1485"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Type</w:t>
            </w:r>
          </w:p>
        </w:tc>
        <w:tc>
          <w:tcPr>
            <w:tcW w:w="2565"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Effect</w:t>
            </w:r>
          </w:p>
        </w:tc>
        <w:tc>
          <w:tcPr>
            <w:tcW w:w="1155"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Estimate</w:t>
            </w:r>
          </w:p>
        </w:tc>
        <w:tc>
          <w:tcPr>
            <w:tcW w:w="1170"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SE</w:t>
            </w:r>
          </w:p>
        </w:tc>
        <w:tc>
          <w:tcPr>
            <w:tcW w:w="1005"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i/>
                <w:iCs/>
                <w:sz w:val="24"/>
                <w:szCs w:val="24"/>
                <w:lang w:val="en-PH"/>
              </w:rPr>
            </w:pPr>
            <w:r>
              <w:rPr>
                <w:rFonts w:ascii="Times New Roman" w:hAnsi="Times New Roman" w:cs="Times New Roman"/>
                <w:b/>
                <w:bCs/>
                <w:i/>
                <w:iCs/>
                <w:sz w:val="24"/>
                <w:szCs w:val="24"/>
                <w:lang w:val="en-PH"/>
              </w:rPr>
              <w:t>z</w:t>
            </w:r>
          </w:p>
        </w:tc>
        <w:tc>
          <w:tcPr>
            <w:tcW w:w="1245" w:type="dxa"/>
            <w:tcBorders>
              <w:top w:val="single" w:sz="12" w:space="0" w:color="auto"/>
              <w:left w:val="nil"/>
              <w:bottom w:val="single" w:sz="12" w:space="0" w:color="auto"/>
              <w:right w:val="nil"/>
            </w:tcBorders>
          </w:tcPr>
          <w:p w:rsidR="00AE16DF" w:rsidRDefault="004116DF">
            <w:pPr>
              <w:jc w:val="center"/>
              <w:rPr>
                <w:rFonts w:ascii="Times New Roman" w:hAnsi="Times New Roman" w:cs="Times New Roman"/>
                <w:b/>
                <w:bCs/>
                <w:sz w:val="24"/>
                <w:szCs w:val="24"/>
              </w:rPr>
            </w:pPr>
            <w:r>
              <w:rPr>
                <w:rFonts w:ascii="Times New Roman" w:hAnsi="Times New Roman" w:cs="Times New Roman"/>
                <w:b/>
                <w:bCs/>
                <w:i/>
                <w:iCs/>
                <w:sz w:val="24"/>
                <w:szCs w:val="24"/>
              </w:rPr>
              <w:t>p</w:t>
            </w:r>
          </w:p>
        </w:tc>
      </w:tr>
      <w:tr w:rsidR="00AE16DF">
        <w:trPr>
          <w:trHeight w:val="625"/>
        </w:trPr>
        <w:tc>
          <w:tcPr>
            <w:tcW w:w="148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Indirect</w:t>
            </w:r>
          </w:p>
        </w:tc>
        <w:tc>
          <w:tcPr>
            <w:tcW w:w="2565" w:type="dxa"/>
            <w:tcBorders>
              <w:top w:val="single" w:sz="12" w:space="0" w:color="auto"/>
              <w:left w:val="nil"/>
              <w:bottom w:val="single" w:sz="12" w:space="0" w:color="auto"/>
              <w:right w:val="nil"/>
            </w:tcBorders>
            <w:vAlign w:val="center"/>
          </w:tcPr>
          <w:p w:rsidR="00AE16DF" w:rsidRDefault="004116DF">
            <w:pPr>
              <w:rPr>
                <w:rFonts w:ascii="Times New Roman" w:hAnsi="Times New Roman" w:cs="Times New Roman"/>
                <w:sz w:val="24"/>
                <w:szCs w:val="24"/>
                <w:lang w:val="en-PH"/>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523240</wp:posOffset>
                      </wp:positionH>
                      <wp:positionV relativeFrom="paragraph">
                        <wp:posOffset>210185</wp:posOffset>
                      </wp:positionV>
                      <wp:extent cx="130175" cy="116205"/>
                      <wp:effectExtent l="6350" t="15240" r="15875" b="20955"/>
                      <wp:wrapNone/>
                      <wp:docPr id="24" name="Right Arrow 24"/>
                      <wp:cNvGraphicFramePr/>
                      <a:graphic xmlns:a="http://schemas.openxmlformats.org/drawingml/2006/main">
                        <a:graphicData uri="http://schemas.microsoft.com/office/word/2010/wordprocessingShape">
                          <wps:wsp>
                            <wps:cNvSpPr/>
                            <wps:spPr>
                              <a:xfrm>
                                <a:off x="0" y="0"/>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41.2pt;margin-top:16.55pt;height:9.15pt;width:10.25pt;z-index:251660288;v-text-anchor:middle;mso-width-relative:page;mso-height-relative:page;" fillcolor="#5B9BD5 [3204]" filled="t" stroked="t" coordsize="21600,21600" o:gfxdata="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KO1s62AAAAAgBAAAPAAAA&#10;AAAAAAEAIAAAACIAAABkcnMvZG93bnJldi54bWxQSwECFAAUAAAACACHTuJAfmON1ocCAAAtBQAA&#10;DgAAAAAAAAABACAAAAAnAQAAZHJzL2Uyb0RvYy54bWxQSwUGAAAAAAYABgBZAQAAIAYAAAAA&#10;" adj="11960,5400">
                      <v:fill on="t" focussize="0,0"/>
                      <v:stroke weight="1pt" color="#2E75B6 [2404]" miterlimit="8" joinstyle="miter"/>
                      <v:imagedata o:title=""/>
                      <o:lock v:ext="edit" aspectratio="f"/>
                      <v:textbox>
                        <w:txbxContent>
                          <w:p w14:paraId="5E931CBB">
                            <w:pPr>
                              <w:jc w:val="center"/>
                            </w:pP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34290</wp:posOffset>
                      </wp:positionV>
                      <wp:extent cx="130175" cy="116205"/>
                      <wp:effectExtent l="6350" t="15240" r="15875" b="20955"/>
                      <wp:wrapNone/>
                      <wp:docPr id="21" name="Right Arrow 21"/>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57.45pt;margin-top:2.7pt;height:9.15pt;width:10.25pt;z-index:251659264;v-text-anchor:middle;mso-width-relative:page;mso-height-relative:page;" fillcolor="#5B9BD5 [3204]" filled="t" stroked="t" coordsize="21600,21600" o:gfxdata="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1CUv&#10;hNcAAAAIAQAADwAAAAAAAAABACAAAAAiAAAAZHJzL2Rvd25yZXYueG1sUEsBAhQAFAAAAAgAh07i&#10;QCmWHLWVAgAAOQUAAA4AAAAAAAAAAQAgAAAAJgEAAGRycy9lMm9Eb2MueG1sUEsFBgAAAAAGAAYA&#10;WQEAAC0GAAAAAA==&#10;" adj="11960,5400">
                      <v:fill on="t" focussize="0,0"/>
                      <v:stroke weight="1pt" color="#2E75B6 [2404]" miterlimit="8" joinstyle="miter"/>
                      <v:imagedata o:title=""/>
                      <o:lock v:ext="edit" aspectratio="f"/>
                      <v:textbox>
                        <w:txbxContent>
                          <w:p w14:paraId="4427E08D">
                            <w:pPr>
                              <w:jc w:val="center"/>
                            </w:pPr>
                          </w:p>
                        </w:txbxContent>
                      </v:textbox>
                    </v:shape>
                  </w:pict>
                </mc:Fallback>
              </mc:AlternateContent>
            </w:r>
            <w:r>
              <w:rPr>
                <w:rFonts w:ascii="Times New Roman" w:hAnsi="Times New Roman" w:cs="Times New Roman"/>
                <w:sz w:val="24"/>
                <w:szCs w:val="24"/>
                <w:lang w:val="en-PH"/>
              </w:rPr>
              <w:t>Mental Health       Coping Mechanisms         Rating</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0.00205</w:t>
            </w:r>
          </w:p>
        </w:tc>
        <w:tc>
          <w:tcPr>
            <w:tcW w:w="1170"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0.00231</w:t>
            </w:r>
          </w:p>
        </w:tc>
        <w:tc>
          <w:tcPr>
            <w:tcW w:w="100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0.8858</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0.376</w:t>
            </w:r>
          </w:p>
        </w:tc>
      </w:tr>
      <w:tr w:rsidR="00AE16DF">
        <w:trPr>
          <w:trHeight w:val="481"/>
        </w:trPr>
        <w:tc>
          <w:tcPr>
            <w:tcW w:w="148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Component</w:t>
            </w:r>
          </w:p>
        </w:tc>
        <w:tc>
          <w:tcPr>
            <w:tcW w:w="2565" w:type="dxa"/>
            <w:tcBorders>
              <w:top w:val="single" w:sz="12" w:space="0" w:color="auto"/>
              <w:left w:val="nil"/>
              <w:bottom w:val="single" w:sz="12" w:space="0" w:color="auto"/>
              <w:right w:val="nil"/>
            </w:tcBorders>
            <w:vAlign w:val="center"/>
          </w:tcPr>
          <w:p w:rsidR="00AE16DF" w:rsidRDefault="004116DF">
            <w:pPr>
              <w:rPr>
                <w:rFonts w:ascii="Times New Roman" w:hAnsi="Times New Roman" w:cs="Times New Roman"/>
                <w:sz w:val="24"/>
                <w:szCs w:val="24"/>
                <w:lang w:val="en-PH"/>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701040</wp:posOffset>
                      </wp:positionH>
                      <wp:positionV relativeFrom="paragraph">
                        <wp:posOffset>31115</wp:posOffset>
                      </wp:positionV>
                      <wp:extent cx="130175" cy="116205"/>
                      <wp:effectExtent l="6350" t="15240" r="15875" b="20955"/>
                      <wp:wrapNone/>
                      <wp:docPr id="28" name="Right Arrow 28"/>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55.2pt;margin-top:2.45pt;height:9.15pt;width:10.25pt;z-index:251661312;v-text-anchor:middle;mso-width-relative:page;mso-height-relative:page;" fillcolor="#5B9BD5 [3204]" filled="t" stroked="t" coordsize="21600,21600" o:gfxdata="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1p5&#10;UNcAAAAIAQAADwAAAAAAAAABACAAAAAiAAAAZHJzL2Rvd25yZXYueG1sUEsBAhQAFAAAAAgAh07i&#10;QFXDEgqVAgAAOQUAAA4AAAAAAAAAAQAgAAAAJgEAAGRycy9lMm9Eb2MueG1sUEsFBgAAAAAGAAYA&#10;WQEAAC0GAAAAAA==&#10;" adj="11960,5400">
                      <v:fill on="t" focussize="0,0"/>
                      <v:stroke weight="1pt" color="#2E75B6 [2404]" miterlimit="8" joinstyle="miter"/>
                      <v:imagedata o:title=""/>
                      <o:lock v:ext="edit" aspectratio="f"/>
                      <v:textbox>
                        <w:txbxContent>
                          <w:p w14:paraId="021F6631">
                            <w:pPr>
                              <w:jc w:val="center"/>
                            </w:pPr>
                          </w:p>
                        </w:txbxContent>
                      </v:textbox>
                    </v:shape>
                  </w:pict>
                </mc:Fallback>
              </mc:AlternateContent>
            </w:r>
            <w:r>
              <w:rPr>
                <w:rFonts w:ascii="Times New Roman" w:hAnsi="Times New Roman" w:cs="Times New Roman"/>
                <w:sz w:val="24"/>
                <w:szCs w:val="24"/>
                <w:lang w:val="en-PH"/>
              </w:rPr>
              <w:t>Mental Health      Coping Mechanisms</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0.04116</w:t>
            </w:r>
          </w:p>
        </w:tc>
        <w:tc>
          <w:tcPr>
            <w:tcW w:w="1170"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0.03946</w:t>
            </w:r>
          </w:p>
        </w:tc>
        <w:tc>
          <w:tcPr>
            <w:tcW w:w="100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1.0430</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0.297</w:t>
            </w:r>
          </w:p>
        </w:tc>
      </w:tr>
      <w:tr w:rsidR="00AE16DF">
        <w:trPr>
          <w:trHeight w:val="548"/>
        </w:trPr>
        <w:tc>
          <w:tcPr>
            <w:tcW w:w="1485" w:type="dxa"/>
            <w:tcBorders>
              <w:top w:val="single" w:sz="12" w:space="0" w:color="auto"/>
              <w:left w:val="nil"/>
              <w:bottom w:val="single" w:sz="12" w:space="0" w:color="auto"/>
              <w:right w:val="nil"/>
            </w:tcBorders>
            <w:vAlign w:val="center"/>
          </w:tcPr>
          <w:p w:rsidR="00AE16DF" w:rsidRDefault="00AE16DF">
            <w:pPr>
              <w:jc w:val="center"/>
              <w:rPr>
                <w:rFonts w:ascii="Times New Roman" w:hAnsi="Times New Roman" w:cs="Times New Roman"/>
                <w:sz w:val="24"/>
                <w:szCs w:val="24"/>
                <w:lang w:val="en-PH"/>
              </w:rPr>
            </w:pPr>
          </w:p>
        </w:tc>
        <w:tc>
          <w:tcPr>
            <w:tcW w:w="2565" w:type="dxa"/>
            <w:tcBorders>
              <w:top w:val="single" w:sz="12" w:space="0" w:color="auto"/>
              <w:left w:val="nil"/>
              <w:bottom w:val="single" w:sz="12" w:space="0" w:color="auto"/>
              <w:right w:val="nil"/>
            </w:tcBorders>
            <w:vAlign w:val="center"/>
          </w:tcPr>
          <w:p w:rsidR="00AE16DF" w:rsidRDefault="004116DF">
            <w:pP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517525</wp:posOffset>
                      </wp:positionH>
                      <wp:positionV relativeFrom="paragraph">
                        <wp:posOffset>44450</wp:posOffset>
                      </wp:positionV>
                      <wp:extent cx="130175" cy="116205"/>
                      <wp:effectExtent l="6350" t="15240" r="15875" b="20955"/>
                      <wp:wrapNone/>
                      <wp:docPr id="29" name="Right Arrow 29"/>
                      <wp:cNvGraphicFramePr/>
                      <a:graphic xmlns:a="http://schemas.openxmlformats.org/drawingml/2006/main">
                        <a:graphicData uri="http://schemas.microsoft.com/office/word/2010/wordprocessingShape">
                          <wps:wsp>
                            <wps:cNvSpPr/>
                            <wps:spPr>
                              <a:xfrm>
                                <a:off x="0" y="0"/>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40.75pt;margin-top:3.5pt;height:9.15pt;width:10.25pt;z-index:251662336;v-text-anchor:middle;mso-width-relative:page;mso-height-relative:page;" fillcolor="#5B9BD5 [3204]" filled="t" stroked="t" coordsize="21600,21600" o:gfxdata="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NEYZrXAAAABwEAAA8AAAAA&#10;AAAAAQAgAAAAIgAAAGRycy9kb3ducmV2LnhtbFBLAQIUABQAAAAIAIdO4kBH3w+7hwIAAC0FAAAO&#10;AAAAAAAAAAEAIAAAACYBAABkcnMvZTJvRG9jLnhtbFBLBQYAAAAABgAGAFkBAAAfBgAAAAA=&#10;" adj="11960,5400">
                      <v:fill on="t" focussize="0,0"/>
                      <v:stroke weight="1pt" color="#2E75B6 [2404]" miterlimit="8" joinstyle="miter"/>
                      <v:imagedata o:title=""/>
                      <o:lock v:ext="edit" aspectratio="f"/>
                      <v:textbox>
                        <w:txbxContent>
                          <w:p w14:paraId="63A3CC64">
                            <w:pPr>
                              <w:jc w:val="center"/>
                            </w:pPr>
                          </w:p>
                        </w:txbxContent>
                      </v:textbox>
                    </v:shape>
                  </w:pict>
                </mc:Fallback>
              </mc:AlternateContent>
            </w:r>
            <w:r>
              <w:rPr>
                <w:rFonts w:ascii="Times New Roman" w:hAnsi="Times New Roman" w:cs="Times New Roman"/>
                <w:sz w:val="24"/>
                <w:szCs w:val="24"/>
                <w:lang w:val="en-PH"/>
              </w:rPr>
              <w:t>Coping Mechanisms           Rating</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0.04975</w:t>
            </w:r>
          </w:p>
        </w:tc>
        <w:tc>
          <w:tcPr>
            <w:tcW w:w="1170"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0.02965</w:t>
            </w:r>
          </w:p>
        </w:tc>
        <w:tc>
          <w:tcPr>
            <w:tcW w:w="100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1.6777</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0.093</w:t>
            </w:r>
          </w:p>
        </w:tc>
      </w:tr>
      <w:tr w:rsidR="00AE16DF">
        <w:trPr>
          <w:trHeight w:val="548"/>
        </w:trPr>
        <w:tc>
          <w:tcPr>
            <w:tcW w:w="148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Direct</w:t>
            </w:r>
          </w:p>
        </w:tc>
        <w:tc>
          <w:tcPr>
            <w:tcW w:w="2565" w:type="dxa"/>
            <w:tcBorders>
              <w:top w:val="single" w:sz="12" w:space="0" w:color="auto"/>
              <w:left w:val="nil"/>
              <w:bottom w:val="single" w:sz="12" w:space="0" w:color="auto"/>
              <w:right w:val="nil"/>
            </w:tcBorders>
            <w:vAlign w:val="center"/>
          </w:tcPr>
          <w:p w:rsidR="00AE16DF" w:rsidRDefault="004116DF">
            <w:pPr>
              <w:rPr>
                <w:rFonts w:ascii="Times New Roman" w:hAnsi="Times New Roman" w:cs="Times New Roman"/>
                <w:sz w:val="24"/>
                <w:szCs w:val="24"/>
                <w:lang w:val="en-PH"/>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662940</wp:posOffset>
                      </wp:positionH>
                      <wp:positionV relativeFrom="paragraph">
                        <wp:posOffset>53340</wp:posOffset>
                      </wp:positionV>
                      <wp:extent cx="130175" cy="116205"/>
                      <wp:effectExtent l="6350" t="15240" r="15875" b="20955"/>
                      <wp:wrapNone/>
                      <wp:docPr id="31" name="Right Arrow 31"/>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52.2pt;margin-top:4.2pt;height:9.15pt;width:10.25pt;z-index:251663360;v-text-anchor:middle;mso-width-relative:page;mso-height-relative:page;" fillcolor="#5B9BD5 [3204]" filled="t" stroked="t" coordsize="21600,21600" o:gfxdata="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jJepE&#10;1wAAAAgBAAAPAAAAAAAAAAEAIAAAACIAAABkcnMvZG93bnJldi54bWxQSwECFAAUAAAACACHTuJA&#10;1iVAcJQCAAA5BQAADgAAAAAAAAABACAAAAAmAQAAZHJzL2Uyb0RvYy54bWxQSwUGAAAAAAYABgBZ&#10;AQAALAYAAAAA&#10;" adj="11960,5400">
                      <v:fill on="t" focussize="0,0"/>
                      <v:stroke weight="1pt" color="#2E75B6 [2404]" miterlimit="8" joinstyle="miter"/>
                      <v:imagedata o:title=""/>
                      <o:lock v:ext="edit" aspectratio="f"/>
                      <v:textbox>
                        <w:txbxContent>
                          <w:p w14:paraId="51535490">
                            <w:pPr>
                              <w:jc w:val="center"/>
                            </w:pPr>
                          </w:p>
                        </w:txbxContent>
                      </v:textbox>
                    </v:shape>
                  </w:pict>
                </mc:Fallback>
              </mc:AlternateContent>
            </w:r>
            <w:r>
              <w:rPr>
                <w:rFonts w:ascii="Times New Roman" w:hAnsi="Times New Roman" w:cs="Times New Roman"/>
                <w:sz w:val="24"/>
                <w:szCs w:val="24"/>
                <w:lang w:val="en-PH"/>
              </w:rPr>
              <w:t>Mental Health          Rating</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0.00127</w:t>
            </w:r>
          </w:p>
        </w:tc>
        <w:tc>
          <w:tcPr>
            <w:tcW w:w="1170"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0.01390</w:t>
            </w:r>
          </w:p>
        </w:tc>
        <w:tc>
          <w:tcPr>
            <w:tcW w:w="100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0.0915</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0.927</w:t>
            </w:r>
          </w:p>
        </w:tc>
      </w:tr>
      <w:tr w:rsidR="00AE16DF">
        <w:trPr>
          <w:trHeight w:val="558"/>
        </w:trPr>
        <w:tc>
          <w:tcPr>
            <w:tcW w:w="148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Total</w:t>
            </w:r>
          </w:p>
        </w:tc>
        <w:tc>
          <w:tcPr>
            <w:tcW w:w="2565" w:type="dxa"/>
            <w:tcBorders>
              <w:top w:val="single" w:sz="12" w:space="0" w:color="auto"/>
              <w:left w:val="nil"/>
              <w:bottom w:val="single" w:sz="12" w:space="0" w:color="auto"/>
              <w:right w:val="nil"/>
            </w:tcBorders>
            <w:vAlign w:val="center"/>
          </w:tcPr>
          <w:p w:rsidR="00AE16DF" w:rsidRDefault="004116DF">
            <w:pPr>
              <w:rPr>
                <w:rFonts w:ascii="Times New Roman" w:hAnsi="Times New Roman" w:cs="Times New Roman"/>
                <w:sz w:val="24"/>
                <w:szCs w:val="24"/>
                <w:lang w:val="en-PH"/>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653415</wp:posOffset>
                      </wp:positionH>
                      <wp:positionV relativeFrom="paragraph">
                        <wp:posOffset>40640</wp:posOffset>
                      </wp:positionV>
                      <wp:extent cx="130175" cy="116205"/>
                      <wp:effectExtent l="6350" t="15240" r="15875" b="20955"/>
                      <wp:wrapNone/>
                      <wp:docPr id="33" name="Right Arrow 33"/>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AE16DF" w:rsidRDefault="00AE1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51.45pt;margin-top:3.2pt;height:9.15pt;width:10.25pt;z-index:251664384;v-text-anchor:middle;mso-width-relative:page;mso-height-relative:page;" fillcolor="#5B9BD5 [3204]" filled="t" stroked="t" coordsize="21600,21600" o:gfxdata="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N0tcG&#10;1wAAAAgBAAAPAAAAAAAAAAEAIAAAACIAAABkcnMvZG93bnJldi54bWxQSwECFAAUAAAACACHTuJA&#10;56AhZpQCAAA5BQAADgAAAAAAAAABACAAAAAmAQAAZHJzL2Uyb0RvYy54bWxQSwUGAAAAAAYABgBZ&#10;AQAALAYAAAAA&#10;" adj="11960,5400">
                      <v:fill on="t" focussize="0,0"/>
                      <v:stroke weight="1pt" color="#2E75B6 [2404]" miterlimit="8" joinstyle="miter"/>
                      <v:imagedata o:title=""/>
                      <o:lock v:ext="edit" aspectratio="f"/>
                      <v:textbox>
                        <w:txbxContent>
                          <w:p w14:paraId="3FD8AEC6">
                            <w:pPr>
                              <w:jc w:val="center"/>
                            </w:pPr>
                          </w:p>
                        </w:txbxContent>
                      </v:textbox>
                    </v:shape>
                  </w:pict>
                </mc:Fallback>
              </mc:AlternateContent>
            </w:r>
            <w:r>
              <w:rPr>
                <w:rFonts w:ascii="Times New Roman" w:hAnsi="Times New Roman" w:cs="Times New Roman"/>
                <w:sz w:val="24"/>
                <w:szCs w:val="24"/>
                <w:lang w:val="en-PH"/>
              </w:rPr>
              <w:t>Mental Health          Rating</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0.00332</w:t>
            </w:r>
          </w:p>
        </w:tc>
        <w:tc>
          <w:tcPr>
            <w:tcW w:w="1170"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0.01403</w:t>
            </w:r>
          </w:p>
        </w:tc>
        <w:tc>
          <w:tcPr>
            <w:tcW w:w="100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0.2365</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0.813</w:t>
            </w:r>
          </w:p>
        </w:tc>
      </w:tr>
      <w:tr w:rsidR="00AE16DF">
        <w:trPr>
          <w:trHeight w:val="558"/>
        </w:trPr>
        <w:tc>
          <w:tcPr>
            <w:tcW w:w="148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 xml:space="preserve">Mediation </w:t>
            </w:r>
            <w:r>
              <w:rPr>
                <w:rFonts w:ascii="Times New Roman" w:hAnsi="Times New Roman" w:cs="Times New Roman"/>
                <w:b/>
                <w:bCs/>
                <w:sz w:val="24"/>
                <w:szCs w:val="24"/>
                <w:lang w:val="en-PH"/>
              </w:rPr>
              <w:t>Analysis Summary</w:t>
            </w:r>
          </w:p>
        </w:tc>
        <w:tc>
          <w:tcPr>
            <w:tcW w:w="256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b/>
                <w:bCs/>
                <w:sz w:val="24"/>
                <w:szCs w:val="24"/>
                <w:lang w:eastAsia="en-PH"/>
              </w:rPr>
            </w:pPr>
            <w:r>
              <w:rPr>
                <w:rFonts w:ascii="Times New Roman" w:hAnsi="Times New Roman" w:cs="Times New Roman"/>
                <w:b/>
                <w:bCs/>
                <w:sz w:val="24"/>
                <w:szCs w:val="24"/>
                <w:lang w:eastAsia="en-PH"/>
              </w:rPr>
              <w:t>p-value</w:t>
            </w:r>
          </w:p>
        </w:tc>
        <w:tc>
          <w:tcPr>
            <w:tcW w:w="115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p-direct</w:t>
            </w:r>
          </w:p>
        </w:tc>
        <w:tc>
          <w:tcPr>
            <w:tcW w:w="2175" w:type="dxa"/>
            <w:gridSpan w:val="2"/>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Interpretation</w:t>
            </w:r>
          </w:p>
        </w:tc>
        <w:tc>
          <w:tcPr>
            <w:tcW w:w="1245" w:type="dxa"/>
            <w:tcBorders>
              <w:top w:val="single" w:sz="12" w:space="0" w:color="auto"/>
              <w:left w:val="nil"/>
              <w:bottom w:val="single" w:sz="12" w:space="0" w:color="auto"/>
              <w:right w:val="nil"/>
            </w:tcBorders>
            <w:vAlign w:val="center"/>
          </w:tcPr>
          <w:p w:rsidR="00AE16DF" w:rsidRDefault="004116DF">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Decision</w:t>
            </w:r>
          </w:p>
        </w:tc>
      </w:tr>
      <w:tr w:rsidR="00AE16DF">
        <w:trPr>
          <w:trHeight w:val="558"/>
        </w:trPr>
        <w:tc>
          <w:tcPr>
            <w:tcW w:w="1485" w:type="dxa"/>
            <w:tcBorders>
              <w:top w:val="single" w:sz="12" w:space="0" w:color="auto"/>
              <w:left w:val="nil"/>
              <w:bottom w:val="single" w:sz="4" w:space="0" w:color="auto"/>
              <w:right w:val="nil"/>
            </w:tcBorders>
            <w:vAlign w:val="center"/>
          </w:tcPr>
          <w:p w:rsidR="00AE16DF" w:rsidRDefault="00AE16DF">
            <w:pPr>
              <w:jc w:val="center"/>
              <w:rPr>
                <w:rFonts w:ascii="Times New Roman" w:hAnsi="Times New Roman" w:cs="Times New Roman"/>
                <w:sz w:val="24"/>
                <w:szCs w:val="24"/>
                <w:lang w:val="en-PH"/>
              </w:rPr>
            </w:pPr>
          </w:p>
        </w:tc>
        <w:tc>
          <w:tcPr>
            <w:tcW w:w="2565" w:type="dxa"/>
            <w:tcBorders>
              <w:top w:val="single" w:sz="12" w:space="0" w:color="auto"/>
              <w:left w:val="nil"/>
              <w:bottom w:val="single" w:sz="4" w:space="0" w:color="auto"/>
              <w:right w:val="nil"/>
            </w:tcBorders>
            <w:vAlign w:val="center"/>
          </w:tcPr>
          <w:p w:rsidR="00AE16DF" w:rsidRDefault="004116DF">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0.376</w:t>
            </w:r>
          </w:p>
        </w:tc>
        <w:tc>
          <w:tcPr>
            <w:tcW w:w="1155" w:type="dxa"/>
            <w:tcBorders>
              <w:top w:val="single" w:sz="12" w:space="0" w:color="auto"/>
              <w:left w:val="nil"/>
              <w:bottom w:val="single" w:sz="4"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0.05</w:t>
            </w:r>
          </w:p>
        </w:tc>
        <w:tc>
          <w:tcPr>
            <w:tcW w:w="2175" w:type="dxa"/>
            <w:gridSpan w:val="2"/>
            <w:tcBorders>
              <w:top w:val="single" w:sz="12" w:space="0" w:color="auto"/>
              <w:left w:val="nil"/>
              <w:bottom w:val="single" w:sz="4"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not significant</w:t>
            </w:r>
          </w:p>
        </w:tc>
        <w:tc>
          <w:tcPr>
            <w:tcW w:w="1245" w:type="dxa"/>
            <w:tcBorders>
              <w:top w:val="single" w:sz="12" w:space="0" w:color="auto"/>
              <w:left w:val="nil"/>
              <w:bottom w:val="single" w:sz="4" w:space="0" w:color="auto"/>
              <w:right w:val="nil"/>
            </w:tcBorders>
            <w:vAlign w:val="center"/>
          </w:tcPr>
          <w:p w:rsidR="00AE16DF" w:rsidRDefault="004116DF">
            <w:pPr>
              <w:jc w:val="center"/>
              <w:rPr>
                <w:rFonts w:ascii="Times New Roman" w:hAnsi="Times New Roman" w:cs="Times New Roman"/>
                <w:sz w:val="24"/>
                <w:szCs w:val="24"/>
                <w:lang w:val="en-PH"/>
              </w:rPr>
            </w:pPr>
            <w:r>
              <w:rPr>
                <w:rFonts w:ascii="Times New Roman" w:hAnsi="Times New Roman" w:cs="Times New Roman"/>
                <w:sz w:val="24"/>
                <w:szCs w:val="24"/>
                <w:lang w:val="en-PH"/>
              </w:rPr>
              <w:t xml:space="preserve">Do not reject </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0</w:t>
            </w:r>
          </w:p>
        </w:tc>
      </w:tr>
    </w:tbl>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 mediation analysis was run to investigate if the use of coping mechanisms mediates the link between mental health difficulties and teacher performance. It was discovered that the impact of mental health difficulties on table scores through the use of cop</w:t>
      </w:r>
      <w:r>
        <w:rPr>
          <w:rFonts w:ascii="Times New Roman" w:eastAsia="SimSun" w:hAnsi="Times New Roman" w:cs="Times New Roman"/>
          <w:sz w:val="24"/>
          <w:szCs w:val="24"/>
          <w:lang w:bidi="ar"/>
        </w:rPr>
        <w:t xml:space="preserve">ing mechanisms was not significantly different from zero (B =.002, SE = .002, 95%, CI = [-.002, .007] p = .376). Therefore, coping mechanisms do not function as a mediator in the relationship between mental health issues and teacher performance. </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fact </w:t>
      </w:r>
      <w:r>
        <w:rPr>
          <w:rFonts w:ascii="Times New Roman" w:eastAsia="SimSun" w:hAnsi="Times New Roman" w:cs="Times New Roman"/>
          <w:sz w:val="24"/>
          <w:szCs w:val="24"/>
          <w:lang w:bidi="ar"/>
        </w:rPr>
        <w:t>that these three variables do not have a statistically significant relationship indicates that the necessary requirements for mediation cannot be met. Additionally, the path from mental health difficulties to teacher performance produces a statistically no</w:t>
      </w:r>
      <w:r>
        <w:rPr>
          <w:rFonts w:ascii="Times New Roman" w:eastAsia="SimSun" w:hAnsi="Times New Roman" w:cs="Times New Roman"/>
          <w:sz w:val="24"/>
          <w:szCs w:val="24"/>
          <w:lang w:bidi="ar"/>
        </w:rPr>
        <w:t>n-significant result (p-value = .927), and shows no evidence to suggest that mental health has a direct effect on teacher performance. Furthermore, the path from Mental Health Challenges to Coping Mechanisms produces a non-significant result (p-value = .29</w:t>
      </w:r>
      <w:r>
        <w:rPr>
          <w:rFonts w:ascii="Times New Roman" w:eastAsia="SimSun" w:hAnsi="Times New Roman" w:cs="Times New Roman"/>
          <w:sz w:val="24"/>
          <w:szCs w:val="24"/>
          <w:lang w:bidi="ar"/>
        </w:rPr>
        <w:t xml:space="preserve">7), indicating that Mental Health Challenges does not predict the use of coping mechanisms. </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The finding also supports the assertion that there is no significant relationship between Coping Mechanisms and Teacher Performance (p = .093). Taken together, thi</w:t>
      </w:r>
      <w:r>
        <w:rPr>
          <w:rFonts w:ascii="Times New Roman" w:eastAsia="SimSun" w:hAnsi="Times New Roman" w:cs="Times New Roman"/>
          <w:sz w:val="24"/>
          <w:szCs w:val="24"/>
          <w:lang w:bidi="ar"/>
        </w:rPr>
        <w:t>s suggests that Coping Mechanisms are not a mediating variable in the relationship between Mental Health Challenges and Teacher Performance; therefore, there is little to suggest the variables studied have an influence on Teacher Performance. The results a</w:t>
      </w:r>
      <w:r>
        <w:rPr>
          <w:rFonts w:ascii="Times New Roman" w:eastAsia="SimSun" w:hAnsi="Times New Roman" w:cs="Times New Roman"/>
          <w:sz w:val="24"/>
          <w:szCs w:val="24"/>
          <w:lang w:bidi="ar"/>
        </w:rPr>
        <w:t>re alongside what Li et al. (2022) found indicating that the addressing of Mental Health issues is not significantly connected to Teacher Well Being. Although a teacher may have problems due to stressful situations, this does not affect them professionally</w:t>
      </w:r>
      <w:r>
        <w:rPr>
          <w:rFonts w:ascii="Times New Roman" w:eastAsia="SimSun" w:hAnsi="Times New Roman" w:cs="Times New Roman"/>
          <w:sz w:val="24"/>
          <w:szCs w:val="24"/>
          <w:lang w:bidi="ar"/>
        </w:rPr>
        <w:t xml:space="preserve"> or their performance as a teacher.</w:t>
      </w:r>
    </w:p>
    <w:p w:rsidR="00AE16DF" w:rsidRDefault="00AE16DF">
      <w:pPr>
        <w:spacing w:before="105" w:after="105"/>
        <w:jc w:val="both"/>
        <w:rPr>
          <w:rFonts w:ascii="Times New Roman" w:eastAsia="SimSun" w:hAnsi="Times New Roman" w:cs="Times New Roman"/>
          <w:b/>
          <w:bCs/>
          <w:sz w:val="24"/>
          <w:szCs w:val="24"/>
          <w:lang w:bidi="ar"/>
        </w:rPr>
      </w:pP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DISCUSSION</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The following were the findings of the study.</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 Elementary teacher's mental health has faced some level of stress, with an average rating of 1.44, Standard deviation of 1.14.</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 Teachers' ability to deal wit</w:t>
      </w:r>
      <w:r>
        <w:rPr>
          <w:rFonts w:ascii="Times New Roman" w:eastAsia="SimSun" w:hAnsi="Times New Roman" w:cs="Times New Roman"/>
          <w:sz w:val="24"/>
          <w:szCs w:val="24"/>
          <w:lang w:bidi="ar"/>
        </w:rPr>
        <w:t>h or solve problems has been evaluated to be as handled well, with an average of 3.15, SD of 0.71.</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3. All of the teachers involved in the evaluation have demonstrated Very Satisfactory performance based on their individual IPCRF results.</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4. There were no s</w:t>
      </w:r>
      <w:r>
        <w:rPr>
          <w:rFonts w:ascii="Times New Roman" w:eastAsia="SimSun" w:hAnsi="Times New Roman" w:cs="Times New Roman"/>
          <w:sz w:val="24"/>
          <w:szCs w:val="24"/>
          <w:lang w:bidi="ar"/>
        </w:rPr>
        <w:t>ignificant findings that would support or reject the null hypothesis for the mediator between teacher's mental health and challenges and teacher's performance through coping mechanisms.</w:t>
      </w:r>
    </w:p>
    <w:p w:rsidR="00AE16DF" w:rsidRDefault="00AE16DF">
      <w:pPr>
        <w:spacing w:before="105" w:after="105"/>
        <w:jc w:val="both"/>
        <w:rPr>
          <w:rFonts w:ascii="Times New Roman" w:eastAsia="SimSun" w:hAnsi="Times New Roman" w:cs="Times New Roman"/>
          <w:b/>
          <w:bCs/>
          <w:sz w:val="24"/>
          <w:szCs w:val="24"/>
          <w:lang w:bidi="ar"/>
        </w:rPr>
      </w:pP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CONCLUSION</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t>According to teachers from the Calape District, while they</w:t>
      </w:r>
      <w:r>
        <w:rPr>
          <w:rFonts w:ascii="Times New Roman" w:eastAsia="SimSun" w:hAnsi="Times New Roman" w:cs="Times New Roman"/>
          <w:sz w:val="24"/>
          <w:szCs w:val="24"/>
          <w:lang w:bidi="ar"/>
        </w:rPr>
        <w:t xml:space="preserve"> face challenges due to their previous experiences, they have coped with them using coping strategies. Statistical analysis has shown that there is no significant relationship between the mental health challenge level of teachers and their teaching perform</w:t>
      </w:r>
      <w:r>
        <w:rPr>
          <w:rFonts w:ascii="Times New Roman" w:eastAsia="SimSun" w:hAnsi="Times New Roman" w:cs="Times New Roman"/>
          <w:sz w:val="24"/>
          <w:szCs w:val="24"/>
          <w:lang w:bidi="ar"/>
        </w:rPr>
        <w:t>ance or between the mental health challenge level of teachers and the type of coping strategies used. However, the study does have some limitations. One limitation is how some teachers answer the survey/questionnaire. Many will answer the survey in a biase</w:t>
      </w:r>
      <w:r>
        <w:rPr>
          <w:rFonts w:ascii="Times New Roman" w:eastAsia="SimSun" w:hAnsi="Times New Roman" w:cs="Times New Roman"/>
          <w:sz w:val="24"/>
          <w:szCs w:val="24"/>
          <w:lang w:bidi="ar"/>
        </w:rPr>
        <w:t>d manner when answering in order to provide the researcher with an answer they think is desirable, potentially affecting the validity of the data when answering correctly.. Furthermore, the way in which teachers interpret individual questions may also affe</w:t>
      </w:r>
      <w:r>
        <w:rPr>
          <w:rFonts w:ascii="Times New Roman" w:eastAsia="SimSun" w:hAnsi="Times New Roman" w:cs="Times New Roman"/>
          <w:sz w:val="24"/>
          <w:szCs w:val="24"/>
          <w:lang w:bidi="ar"/>
        </w:rPr>
        <w:t>ct the validity of the results. Additionally, the time frame set by the researcher may also have affected some teachers' ability to answer the questions correctly. Lastly, the reliance on self-reported data, as well as the use of the Individual Performance</w:t>
      </w:r>
      <w:r>
        <w:rPr>
          <w:rFonts w:ascii="Times New Roman" w:eastAsia="SimSun" w:hAnsi="Times New Roman" w:cs="Times New Roman"/>
          <w:sz w:val="24"/>
          <w:szCs w:val="24"/>
          <w:lang w:bidi="ar"/>
        </w:rPr>
        <w:t xml:space="preserve"> and Contribution Rating Form (IPCRF) to assess performance levels, may have further impacted the study. Despite these limitations, the study has shown that teachers’ coping behaviours and mental health conditions can be confirmed.</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b/>
          <w:bCs/>
          <w:sz w:val="24"/>
          <w:szCs w:val="24"/>
          <w:lang w:bidi="ar"/>
        </w:rPr>
        <w:t>RECOMMENDATIONS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w:t>
      </w:r>
      <w:r>
        <w:rPr>
          <w:rFonts w:ascii="Times New Roman" w:eastAsia="SimSun" w:hAnsi="Times New Roman" w:cs="Times New Roman"/>
          <w:sz w:val="24"/>
          <w:szCs w:val="24"/>
          <w:lang w:bidi="ar"/>
        </w:rPr>
        <w:t>following recommendations stem from the study’s conclusions: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 Administrators are encouraged to provide comprehensive support for emotional avoidance and cognitive responses to stress among elementary educators, including stress management, counselling an</w:t>
      </w:r>
      <w:r>
        <w:rPr>
          <w:rFonts w:ascii="Times New Roman" w:eastAsia="SimSun" w:hAnsi="Times New Roman" w:cs="Times New Roman"/>
          <w:sz w:val="24"/>
          <w:szCs w:val="24"/>
          <w:lang w:bidi="ar"/>
        </w:rPr>
        <w:t>d mentorship training.</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 The Department of Education is encouraged to continue implementing and consistently using proactive coping strategies, such as self-care and future-oriented planning.</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 The Department of Education should continue to monitor and r</w:t>
      </w:r>
      <w:r>
        <w:rPr>
          <w:rFonts w:ascii="Times New Roman" w:eastAsia="SimSun" w:hAnsi="Times New Roman" w:cs="Times New Roman"/>
          <w:sz w:val="24"/>
          <w:szCs w:val="24"/>
          <w:lang w:bidi="ar"/>
        </w:rPr>
        <w:t>ate teacher performance for sustainable improvement and identify trends in need of enhancement.</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 The Department of Education should continue to recognize teacher performance standards and mental health support systems as equally important but independent</w:t>
      </w:r>
      <w:r>
        <w:rPr>
          <w:rFonts w:ascii="Times New Roman" w:eastAsia="SimSun" w:hAnsi="Times New Roman" w:cs="Times New Roman"/>
          <w:sz w:val="24"/>
          <w:szCs w:val="24"/>
          <w:lang w:bidi="ar"/>
        </w:rPr>
        <w:t>ly managed priorities. The lack of a strong correlation indicates that mental health issues will not be neglected but rather that teachers may maintain professional performance even while experiencing difficulties.</w:t>
      </w:r>
    </w:p>
    <w:p w:rsidR="00AE16DF" w:rsidRDefault="004116DF">
      <w:pPr>
        <w:spacing w:before="105" w:after="105"/>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5. The proposed action plan included comp</w:t>
      </w:r>
      <w:r>
        <w:rPr>
          <w:rFonts w:ascii="Times New Roman" w:eastAsia="SimSun" w:hAnsi="Times New Roman" w:cs="Times New Roman"/>
          <w:sz w:val="24"/>
          <w:szCs w:val="24"/>
          <w:lang w:bidi="ar"/>
        </w:rPr>
        <w:t>onents that promote mental health awareness amongst teachers and support teachers' well-being to improve their performance and achievement within the classroom.</w:t>
      </w:r>
    </w:p>
    <w:p w:rsidR="00AE16DF" w:rsidRDefault="004116DF">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6. Future researchers can consider conducting studies using other variables that may affect tea</w:t>
      </w:r>
      <w:r>
        <w:rPr>
          <w:rFonts w:ascii="Times New Roman" w:eastAsia="SimSun" w:hAnsi="Times New Roman" w:cs="Times New Roman"/>
          <w:sz w:val="24"/>
          <w:szCs w:val="24"/>
          <w:lang w:bidi="ar"/>
        </w:rPr>
        <w:t>cher performance in future studies.</w:t>
      </w:r>
    </w:p>
    <w:p w:rsidR="00AE16DF" w:rsidRDefault="00AE16DF"/>
    <w:p w:rsidR="00AE16DF" w:rsidRDefault="00AE16DF"/>
    <w:p w:rsidR="00AE16DF" w:rsidRDefault="00AE16DF"/>
    <w:p w:rsidR="00AE16DF" w:rsidRDefault="00AE16DF"/>
    <w:p w:rsidR="00AE16DF" w:rsidRDefault="00AE16DF"/>
    <w:p w:rsidR="00AE16DF" w:rsidRDefault="004116DF">
      <w:pPr>
        <w:spacing w:line="480" w:lineRule="auto"/>
        <w:jc w:val="center"/>
        <w:rPr>
          <w:rFonts w:ascii="Times New Roman" w:hAnsi="Times New Roman" w:cs="Times New Roman"/>
          <w:sz w:val="24"/>
          <w:szCs w:val="24"/>
        </w:rPr>
      </w:pPr>
      <w:r>
        <w:rPr>
          <w:rFonts w:ascii="Arial" w:hAnsi="Arial" w:cs="Arial"/>
          <w:b/>
          <w:bCs/>
          <w:sz w:val="24"/>
          <w:szCs w:val="24"/>
          <w:lang w:val="en-PH"/>
        </w:rPr>
        <w:t xml:space="preserve"> REFERENCES</w:t>
      </w:r>
    </w:p>
    <w:p w:rsidR="00AE16DF" w:rsidRDefault="00AE16DF">
      <w:pPr>
        <w:jc w:val="center"/>
        <w:rPr>
          <w:rFonts w:ascii="Arial" w:hAnsi="Arial" w:cs="Arial"/>
          <w:b/>
          <w:bCs/>
          <w:sz w:val="24"/>
          <w:szCs w:val="24"/>
          <w:lang w:val="en-PH"/>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Agayon, A. J. D., Agayon, A. K. R., &amp; Pentang, J. T. (2022). Teachers in The New Normal: Challenges and Coping Mechanisms in Secondary Schools. </w:t>
      </w:r>
      <w:r>
        <w:rPr>
          <w:rFonts w:ascii="Times New Roman" w:eastAsia="SimSun" w:hAnsi="Times New Roman" w:cs="Times New Roman"/>
          <w:i/>
          <w:iCs/>
          <w:sz w:val="24"/>
          <w:szCs w:val="24"/>
          <w:lang w:bidi="ar"/>
        </w:rPr>
        <w:t>International Journal of Humanities and Education Developm</w:t>
      </w:r>
      <w:r>
        <w:rPr>
          <w:rFonts w:ascii="Times New Roman" w:eastAsia="SimSun" w:hAnsi="Times New Roman" w:cs="Times New Roman"/>
          <w:i/>
          <w:iCs/>
          <w:sz w:val="24"/>
          <w:szCs w:val="24"/>
          <w:lang w:bidi="ar"/>
        </w:rPr>
        <w:t>ent (IJHED)</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w:t>
      </w:r>
      <w:r>
        <w:rPr>
          <w:rFonts w:ascii="Times New Roman" w:eastAsia="SimSun" w:hAnsi="Times New Roman" w:cs="Times New Roman"/>
          <w:sz w:val="24"/>
          <w:szCs w:val="24"/>
          <w:lang w:bidi="ar"/>
        </w:rPr>
        <w:t>(1), 67–75.</w:t>
      </w:r>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Agyapong, B., Obuobi-Donkor, G., Burback, L., &amp; Wei, Y. (2022). Stress, Burnout, Anxiety and Depression among Teachers: A Scoping Review. </w:t>
      </w:r>
      <w:r>
        <w:rPr>
          <w:rFonts w:ascii="Times New Roman" w:eastAsia="SimSun" w:hAnsi="Times New Roman" w:cs="Times New Roman"/>
          <w:i/>
          <w:iCs/>
          <w:sz w:val="24"/>
          <w:szCs w:val="24"/>
          <w:lang w:bidi="ar"/>
        </w:rPr>
        <w:t>International Journal of Environmental Research and Public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19</w:t>
      </w:r>
      <w:r>
        <w:rPr>
          <w:rFonts w:ascii="Times New Roman" w:eastAsia="SimSun" w:hAnsi="Times New Roman" w:cs="Times New Roman"/>
          <w:sz w:val="24"/>
          <w:szCs w:val="24"/>
          <w:lang w:bidi="ar"/>
        </w:rPr>
        <w:t xml:space="preserve">(17), 10706. </w:t>
      </w:r>
      <w:hyperlink r:id="rId7" w:history="1">
        <w:r>
          <w:rPr>
            <w:rStyle w:val="Hyperlink"/>
            <w:rFonts w:ascii="Times New Roman" w:eastAsia="SimSun" w:hAnsi="Times New Roman" w:cs="Times New Roman"/>
            <w:color w:val="auto"/>
            <w:sz w:val="24"/>
            <w:szCs w:val="24"/>
            <w:u w:val="none"/>
          </w:rPr>
          <w:t>https://doi.org/10.3390/ijerph191710706</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Ahmed, M., Hussain, I., Ahmed, S., &amp; ud Din, M. Q. (2020). A study of the factors affecting the professional performance of teachers at higher education level </w:t>
      </w:r>
      <w:r>
        <w:rPr>
          <w:rFonts w:ascii="Times New Roman" w:eastAsia="SimSun" w:hAnsi="Times New Roman" w:cs="Times New Roman"/>
          <w:sz w:val="24"/>
          <w:szCs w:val="24"/>
        </w:rPr>
        <w:t>in Khyber Pakhtunkhwa. Academic Research International, 2(2), 336.</w:t>
      </w:r>
    </w:p>
    <w:p w:rsidR="00AE16DF" w:rsidRDefault="00AE16DF">
      <w:pPr>
        <w:ind w:left="420" w:hanging="420"/>
        <w:jc w:val="both"/>
        <w:rPr>
          <w:rFonts w:ascii="Times New Roman" w:eastAsia="SimSun" w:hAnsi="Times New Roman" w:cs="Times New Roman"/>
          <w:sz w:val="24"/>
          <w:szCs w:val="24"/>
        </w:rPr>
      </w:pPr>
    </w:p>
    <w:p w:rsidR="00AE16DF" w:rsidRDefault="004116DF">
      <w:pPr>
        <w:ind w:left="420" w:hanging="420"/>
        <w:jc w:val="both"/>
        <w:rPr>
          <w:rFonts w:ascii="Times New Roman" w:eastAsia="monospace" w:hAnsi="Times New Roman" w:cs="Times New Roman"/>
          <w:sz w:val="24"/>
          <w:szCs w:val="24"/>
          <w:shd w:val="clear" w:color="auto" w:fill="FFFFFF"/>
        </w:rPr>
      </w:pPr>
      <w:r>
        <w:rPr>
          <w:rFonts w:ascii="Times New Roman" w:eastAsia="monospace" w:hAnsi="Times New Roman" w:cs="Times New Roman"/>
          <w:sz w:val="24"/>
          <w:szCs w:val="24"/>
          <w:shd w:val="clear" w:color="auto" w:fill="FFFFFF"/>
        </w:rPr>
        <w:t>Algorani EB, Gupta V. Coping Mechanisms. [Updated 2023 Apr 24]. In: StatPearls [Internet]. Treasure Island (FL): StatPearls Publishing; 2026 Jan-.</w:t>
      </w:r>
      <w:hyperlink r:id="rId8" w:history="1">
        <w:r>
          <w:rPr>
            <w:rStyle w:val="Hyperlink"/>
            <w:rFonts w:ascii="Times New Roman" w:eastAsia="monospace" w:hAnsi="Times New Roman" w:cs="Times New Roman"/>
            <w:color w:val="auto"/>
            <w:sz w:val="24"/>
            <w:szCs w:val="24"/>
            <w:u w:val="none"/>
            <w:shd w:val="clear" w:color="auto" w:fill="FFFFFF"/>
          </w:rPr>
          <w:t>https://www.ncbi.nlm.nih.gov/books/NBK559031/</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Alkhawaldeh, A., Al Omari, O., Al Aldawi, S., Al Hashmi, I., Ann Ballad, C., Ibrahim, A., Al Sabei, S., Alsaraireh, A., Al Qadire, M., &amp;</w:t>
      </w:r>
      <w:r>
        <w:rPr>
          <w:rFonts w:ascii="Times New Roman" w:eastAsia="SimSun" w:hAnsi="Times New Roman" w:cs="Times New Roman"/>
          <w:sz w:val="24"/>
          <w:szCs w:val="24"/>
          <w:lang w:bidi="ar"/>
        </w:rPr>
        <w:t xml:space="preserve"> ALBashtawy, M. (2023). Stress Factors, Stress Levels, and Coping Mechanisms among University Students. </w:t>
      </w:r>
      <w:r>
        <w:rPr>
          <w:rFonts w:ascii="Times New Roman" w:eastAsia="SimSun" w:hAnsi="Times New Roman" w:cs="Times New Roman"/>
          <w:i/>
          <w:iCs/>
          <w:sz w:val="24"/>
          <w:szCs w:val="24"/>
          <w:lang w:bidi="ar"/>
        </w:rPr>
        <w:t>The Scientific World Journal</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2023</w:t>
      </w:r>
      <w:r>
        <w:rPr>
          <w:rFonts w:ascii="Times New Roman" w:eastAsia="SimSun" w:hAnsi="Times New Roman" w:cs="Times New Roman"/>
          <w:sz w:val="24"/>
          <w:szCs w:val="24"/>
          <w:lang w:bidi="ar"/>
        </w:rPr>
        <w:t xml:space="preserve">, 1–9. </w:t>
      </w:r>
      <w:hyperlink r:id="rId9" w:history="1">
        <w:r>
          <w:rPr>
            <w:rStyle w:val="Hyperlink"/>
            <w:rFonts w:ascii="Times New Roman" w:eastAsia="SimSun" w:hAnsi="Times New Roman" w:cs="Times New Roman"/>
            <w:color w:val="auto"/>
            <w:sz w:val="24"/>
            <w:szCs w:val="24"/>
            <w:u w:val="none"/>
          </w:rPr>
          <w:t>https://doi.org/10.1155/2023/2026971</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Aris Sabthazi, Eva F</w:t>
      </w:r>
      <w:r>
        <w:rPr>
          <w:rFonts w:ascii="Times New Roman" w:eastAsia="SimSun" w:hAnsi="Times New Roman" w:cs="Times New Roman"/>
          <w:sz w:val="24"/>
          <w:szCs w:val="24"/>
          <w:lang w:bidi="ar"/>
        </w:rPr>
        <w:t xml:space="preserve">arihah Megawaty, Moch Rahman Saleh, &amp; Efrita Norman. (2024). Analysis of the Influence of Intrinsic and Extrinsic Factors on Teachers’ Work Motivation in Improving Educational Performance in Elementary Schools. </w:t>
      </w:r>
      <w:r>
        <w:rPr>
          <w:rFonts w:ascii="Times New Roman" w:eastAsia="SimSun" w:hAnsi="Times New Roman" w:cs="Times New Roman"/>
          <w:i/>
          <w:iCs/>
          <w:sz w:val="24"/>
          <w:szCs w:val="24"/>
          <w:lang w:bidi="ar"/>
        </w:rPr>
        <w:t>MES Management Journal</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3</w:t>
      </w:r>
      <w:r>
        <w:rPr>
          <w:rFonts w:ascii="Times New Roman" w:eastAsia="SimSun" w:hAnsi="Times New Roman" w:cs="Times New Roman"/>
          <w:sz w:val="24"/>
          <w:szCs w:val="24"/>
          <w:lang w:bidi="ar"/>
        </w:rPr>
        <w:t xml:space="preserve">(3). </w:t>
      </w:r>
      <w:hyperlink r:id="rId10" w:history="1">
        <w:r>
          <w:rPr>
            <w:rStyle w:val="Hyperlink"/>
            <w:rFonts w:ascii="Times New Roman" w:eastAsia="SimSun" w:hAnsi="Times New Roman" w:cs="Times New Roman"/>
            <w:color w:val="auto"/>
            <w:sz w:val="24"/>
            <w:szCs w:val="24"/>
            <w:u w:val="none"/>
          </w:rPr>
          <w:t>https://doi.org/10.56709/mesman.v3i3.554</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Bandura, A. (1991). Social cognitive theory of self-regulation. </w:t>
      </w:r>
      <w:r>
        <w:rPr>
          <w:rFonts w:ascii="Times New Roman" w:eastAsia="SimSun" w:hAnsi="Times New Roman" w:cs="Times New Roman"/>
          <w:i/>
          <w:iCs/>
          <w:sz w:val="24"/>
          <w:szCs w:val="24"/>
          <w:lang w:bidi="ar"/>
        </w:rPr>
        <w:t>Organizational Behavior and Human Decision Processes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50</w:t>
      </w:r>
      <w:r>
        <w:rPr>
          <w:rFonts w:ascii="Times New Roman" w:eastAsia="SimSun" w:hAnsi="Times New Roman" w:cs="Times New Roman"/>
          <w:sz w:val="24"/>
          <w:szCs w:val="24"/>
          <w:lang w:bidi="ar"/>
        </w:rPr>
        <w:t xml:space="preserve">(2), 248–287. </w:t>
      </w:r>
      <w:hyperlink r:id="rId11" w:history="1">
        <w:r>
          <w:rPr>
            <w:rStyle w:val="Hyperlink"/>
            <w:rFonts w:ascii="Times New Roman" w:eastAsia="SimSun" w:hAnsi="Times New Roman" w:cs="Times New Roman"/>
            <w:color w:val="auto"/>
            <w:sz w:val="24"/>
            <w:szCs w:val="24"/>
            <w:u w:val="none"/>
          </w:rPr>
          <w:t>https://doi.org/10.1016/0749-5978(91)90022-L</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Brandão, T., Alfacinha, L., Brites, R., &amp; Diniz, E. (2025). Burnout in Teachers: The Role of Emotion Regulation, Empathy, and Educational Level Taught. </w:t>
      </w:r>
      <w:r>
        <w:rPr>
          <w:rFonts w:ascii="Times New Roman" w:eastAsia="SimSun" w:hAnsi="Times New Roman" w:cs="Times New Roman"/>
          <w:i/>
          <w:iCs/>
          <w:sz w:val="24"/>
          <w:szCs w:val="24"/>
          <w:lang w:bidi="ar"/>
        </w:rPr>
        <w:t xml:space="preserve">School </w:t>
      </w:r>
      <w:r>
        <w:rPr>
          <w:rFonts w:ascii="Times New Roman" w:eastAsia="SimSun" w:hAnsi="Times New Roman" w:cs="Times New Roman"/>
          <w:i/>
          <w:iCs/>
          <w:sz w:val="24"/>
          <w:szCs w:val="24"/>
          <w:lang w:bidi="ar"/>
        </w:rPr>
        <w:t>Mental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17</w:t>
      </w:r>
      <w:r>
        <w:rPr>
          <w:rFonts w:ascii="Times New Roman" w:eastAsia="SimSun" w:hAnsi="Times New Roman" w:cs="Times New Roman"/>
          <w:sz w:val="24"/>
          <w:szCs w:val="24"/>
          <w:lang w:bidi="ar"/>
        </w:rPr>
        <w:t xml:space="preserve">(3), 1014–1025. </w:t>
      </w:r>
      <w:hyperlink r:id="rId12" w:history="1">
        <w:r>
          <w:rPr>
            <w:rStyle w:val="Hyperlink"/>
            <w:rFonts w:ascii="Times New Roman" w:eastAsia="SimSun" w:hAnsi="Times New Roman" w:cs="Times New Roman"/>
            <w:color w:val="auto"/>
            <w:sz w:val="24"/>
            <w:szCs w:val="24"/>
            <w:u w:val="none"/>
          </w:rPr>
          <w:t>https://doi.org/10.1007/s12310-025-09794-7</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Cezar-Vaz, M. R., Bonow, C. A., Almeida, M. C. V. D., Rocha, L. P., &amp; Borges, A. M. (2015). Mental Health of Elementary </w:t>
      </w:r>
      <w:r>
        <w:rPr>
          <w:rFonts w:ascii="Times New Roman" w:eastAsia="SimSun" w:hAnsi="Times New Roman" w:cs="Times New Roman"/>
          <w:sz w:val="24"/>
          <w:szCs w:val="24"/>
          <w:lang w:bidi="ar"/>
        </w:rPr>
        <w:t xml:space="preserve">Schoolteachers in Southern Brazil: Working Conditions and Health Consequences. </w:t>
      </w:r>
      <w:r>
        <w:rPr>
          <w:rFonts w:ascii="Times New Roman" w:eastAsia="SimSun" w:hAnsi="Times New Roman" w:cs="Times New Roman"/>
          <w:i/>
          <w:iCs/>
          <w:sz w:val="24"/>
          <w:szCs w:val="24"/>
          <w:lang w:bidi="ar"/>
        </w:rPr>
        <w:t>The Scientific World Journal</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2015</w:t>
      </w:r>
      <w:r>
        <w:rPr>
          <w:rFonts w:ascii="Times New Roman" w:eastAsia="SimSun" w:hAnsi="Times New Roman" w:cs="Times New Roman"/>
          <w:sz w:val="24"/>
          <w:szCs w:val="24"/>
          <w:lang w:bidi="ar"/>
        </w:rPr>
        <w:t xml:space="preserve">(1), 825925. </w:t>
      </w:r>
      <w:hyperlink r:id="rId13" w:history="1">
        <w:r>
          <w:rPr>
            <w:rStyle w:val="Hyperlink"/>
            <w:rFonts w:ascii="Times New Roman" w:eastAsia="SimSun" w:hAnsi="Times New Roman" w:cs="Times New Roman"/>
            <w:color w:val="auto"/>
            <w:sz w:val="24"/>
            <w:szCs w:val="24"/>
            <w:u w:val="none"/>
          </w:rPr>
          <w:t>https://doi.org/10.1155/2015/825925</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Clarion, E. B., &amp; Palarisan, N. J. (2023)</w:t>
      </w:r>
      <w:r>
        <w:rPr>
          <w:rFonts w:ascii="Times New Roman" w:eastAsia="SimSun" w:hAnsi="Times New Roman" w:cs="Times New Roman"/>
          <w:sz w:val="24"/>
          <w:szCs w:val="24"/>
          <w:lang w:bidi="ar"/>
        </w:rPr>
        <w:t xml:space="preserve">. Mental Health of Public School Teachers in Davao de Oro, Philippines. </w:t>
      </w:r>
      <w:r>
        <w:rPr>
          <w:rFonts w:ascii="Times New Roman" w:eastAsia="SimSun" w:hAnsi="Times New Roman" w:cs="Times New Roman"/>
          <w:i/>
          <w:iCs/>
          <w:sz w:val="24"/>
          <w:szCs w:val="24"/>
          <w:lang w:bidi="ar"/>
        </w:rPr>
        <w:t>Asian Journal of Education and Social Studies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43</w:t>
      </w:r>
      <w:r>
        <w:rPr>
          <w:rFonts w:ascii="Times New Roman" w:eastAsia="SimSun" w:hAnsi="Times New Roman" w:cs="Times New Roman"/>
          <w:sz w:val="24"/>
          <w:szCs w:val="24"/>
          <w:lang w:bidi="ar"/>
        </w:rPr>
        <w:t xml:space="preserve">(2), 1–8. </w:t>
      </w:r>
      <w:hyperlink r:id="rId14" w:history="1">
        <w:r>
          <w:rPr>
            <w:rStyle w:val="Hyperlink"/>
            <w:rFonts w:ascii="Times New Roman" w:eastAsia="SimSun" w:hAnsi="Times New Roman" w:cs="Times New Roman"/>
            <w:color w:val="auto"/>
            <w:sz w:val="24"/>
            <w:szCs w:val="24"/>
            <w:u w:val="none"/>
          </w:rPr>
          <w:t>https://doi.org/10.9734/ajess/2023/v43i2935</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Corthorn, C., Pedrer</w:t>
      </w:r>
      <w:r>
        <w:rPr>
          <w:rFonts w:ascii="Times New Roman" w:eastAsia="SimSun" w:hAnsi="Times New Roman" w:cs="Times New Roman"/>
          <w:sz w:val="24"/>
          <w:szCs w:val="24"/>
          <w:lang w:bidi="ar"/>
        </w:rPr>
        <w:t xml:space="preserve">o, V., Torres, N., Reynaldos-Grandón, K., &amp; Paredes, P. (2024). Mindfulness, teacher mental health, and well-being in early education: A correlational study. </w:t>
      </w:r>
      <w:r>
        <w:rPr>
          <w:rFonts w:ascii="Times New Roman" w:eastAsia="SimSun" w:hAnsi="Times New Roman" w:cs="Times New Roman"/>
          <w:i/>
          <w:iCs/>
          <w:sz w:val="24"/>
          <w:szCs w:val="24"/>
          <w:lang w:bidi="ar"/>
        </w:rPr>
        <w:t>BMC Psychology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 xml:space="preserve">(1), 428. </w:t>
      </w:r>
      <w:hyperlink r:id="rId15" w:history="1">
        <w:r>
          <w:rPr>
            <w:rStyle w:val="Hyperlink"/>
            <w:rFonts w:ascii="Times New Roman" w:eastAsia="SimSun" w:hAnsi="Times New Roman" w:cs="Times New Roman"/>
            <w:color w:val="auto"/>
            <w:sz w:val="24"/>
            <w:szCs w:val="24"/>
            <w:u w:val="none"/>
          </w:rPr>
          <w:t>https://doi.or</w:t>
        </w:r>
        <w:r>
          <w:rPr>
            <w:rStyle w:val="Hyperlink"/>
            <w:rFonts w:ascii="Times New Roman" w:eastAsia="SimSun" w:hAnsi="Times New Roman" w:cs="Times New Roman"/>
            <w:color w:val="auto"/>
            <w:sz w:val="24"/>
            <w:szCs w:val="24"/>
            <w:u w:val="none"/>
          </w:rPr>
          <w:t>g/10.1186/s40359-024-01930-3</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De Rubeis, V., Repchuck, R., Halladay, J., Cost, K. T., Thabane, L., &amp; Georgiades, K. (2024). The association between teacher distress and student mental health outcomes: A cross-sectional study using data from the school m</w:t>
      </w:r>
      <w:r>
        <w:rPr>
          <w:rFonts w:ascii="Times New Roman" w:eastAsia="SimSun" w:hAnsi="Times New Roman" w:cs="Times New Roman"/>
          <w:sz w:val="24"/>
          <w:szCs w:val="24"/>
          <w:lang w:bidi="ar"/>
        </w:rPr>
        <w:t xml:space="preserve">ental health survey. </w:t>
      </w:r>
      <w:r>
        <w:rPr>
          <w:rFonts w:ascii="Times New Roman" w:eastAsia="SimSun" w:hAnsi="Times New Roman" w:cs="Times New Roman"/>
          <w:i/>
          <w:iCs/>
          <w:sz w:val="24"/>
          <w:szCs w:val="24"/>
          <w:lang w:bidi="ar"/>
        </w:rPr>
        <w:t>BMC Psychology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 xml:space="preserve">(1), 583. </w:t>
      </w:r>
      <w:hyperlink r:id="rId16" w:history="1">
        <w:r>
          <w:rPr>
            <w:rStyle w:val="Hyperlink"/>
            <w:rFonts w:ascii="Times New Roman" w:eastAsia="SimSun" w:hAnsi="Times New Roman" w:cs="Times New Roman"/>
            <w:color w:val="auto"/>
            <w:sz w:val="24"/>
            <w:szCs w:val="24"/>
            <w:u w:val="none"/>
          </w:rPr>
          <w:t>https://doi.org/10.1186/s40359-024-02071-3</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val="en-PH" w:bidi="ar"/>
        </w:rPr>
      </w:pPr>
      <w:r>
        <w:rPr>
          <w:rFonts w:ascii="Times New Roman" w:eastAsia="SimSun" w:hAnsi="Times New Roman" w:cs="Times New Roman"/>
          <w:sz w:val="24"/>
          <w:szCs w:val="24"/>
          <w:lang w:val="en-PH" w:bidi="ar"/>
        </w:rPr>
        <w:t xml:space="preserve">Department of Education (2015). Guidelines on the establishment and implementation of Results-Based Performance Management System (RPMS) </w:t>
      </w:r>
      <w:r>
        <w:rPr>
          <w:rFonts w:ascii="Times New Roman" w:eastAsia="SimSun" w:hAnsi="Times New Roman" w:cs="Times New Roman"/>
          <w:sz w:val="24"/>
          <w:szCs w:val="24"/>
          <w:lang w:val="en-PH"/>
        </w:rPr>
        <w:t>https://www.deped.gov.ph/wp-content/uploads/2015/02/DO_s2015_02.pdf</w:t>
      </w:r>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398" w:hangingChars="166" w:hanging="398"/>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val="en-PH" w:bidi="ar"/>
        </w:rPr>
        <w:t xml:space="preserve">E. </w:t>
      </w:r>
      <w:r>
        <w:rPr>
          <w:rFonts w:ascii="Times New Roman" w:eastAsia="SimSun" w:hAnsi="Times New Roman" w:cs="Times New Roman"/>
          <w:sz w:val="24"/>
          <w:szCs w:val="24"/>
          <w:lang w:bidi="ar"/>
        </w:rPr>
        <w:t>Emborgo, R. R., &amp; Ucang, J. T. (2025). Coping S</w:t>
      </w:r>
      <w:r>
        <w:rPr>
          <w:rFonts w:ascii="Times New Roman" w:eastAsia="SimSun" w:hAnsi="Times New Roman" w:cs="Times New Roman"/>
          <w:sz w:val="24"/>
          <w:szCs w:val="24"/>
          <w:lang w:bidi="ar"/>
        </w:rPr>
        <w:t xml:space="preserve">trategies of Public School Teachers in Addressing Professional Development Demands. </w:t>
      </w:r>
      <w:r>
        <w:rPr>
          <w:rFonts w:ascii="Times New Roman" w:eastAsia="SimSun" w:hAnsi="Times New Roman" w:cs="Times New Roman"/>
          <w:i/>
          <w:iCs/>
          <w:sz w:val="24"/>
          <w:szCs w:val="24"/>
          <w:lang w:bidi="ar"/>
        </w:rPr>
        <w:t>Science International</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13</w:t>
      </w:r>
      <w:r>
        <w:rPr>
          <w:rFonts w:ascii="Times New Roman" w:eastAsia="SimSun" w:hAnsi="Times New Roman" w:cs="Times New Roman"/>
          <w:sz w:val="24"/>
          <w:szCs w:val="24"/>
          <w:lang w:bidi="ar"/>
        </w:rPr>
        <w:t xml:space="preserve">(1), 13–20. </w:t>
      </w:r>
      <w:hyperlink r:id="rId17" w:history="1">
        <w:r>
          <w:rPr>
            <w:rStyle w:val="Hyperlink"/>
            <w:rFonts w:ascii="Times New Roman" w:eastAsia="SimSun" w:hAnsi="Times New Roman" w:cs="Times New Roman"/>
            <w:color w:val="auto"/>
            <w:sz w:val="24"/>
            <w:szCs w:val="24"/>
            <w:u w:val="none"/>
          </w:rPr>
          <w:t>https://doi.org/10.17311/sciintl.2025.13.20</w:t>
        </w:r>
      </w:hyperlink>
    </w:p>
    <w:p w:rsidR="00AE16DF" w:rsidRDefault="00AE16DF">
      <w:pPr>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Ehlers, A., &amp;</w:t>
      </w:r>
      <w:r>
        <w:rPr>
          <w:rFonts w:ascii="Times New Roman" w:eastAsia="SimSun" w:hAnsi="Times New Roman" w:cs="Times New Roman"/>
          <w:sz w:val="24"/>
          <w:szCs w:val="24"/>
          <w:lang w:bidi="ar"/>
        </w:rPr>
        <w:t xml:space="preserve"> Clark, D. M. (2000). A cognitive model of posttraumatic stress disorder. </w:t>
      </w:r>
      <w:r>
        <w:rPr>
          <w:rFonts w:ascii="Times New Roman" w:eastAsia="SimSun" w:hAnsi="Times New Roman" w:cs="Times New Roman"/>
          <w:i/>
          <w:iCs/>
          <w:sz w:val="24"/>
          <w:szCs w:val="24"/>
          <w:lang w:bidi="ar"/>
        </w:rPr>
        <w:t>Behaviour Research and Therapy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38</w:t>
      </w:r>
      <w:r>
        <w:rPr>
          <w:rFonts w:ascii="Times New Roman" w:eastAsia="SimSun" w:hAnsi="Times New Roman" w:cs="Times New Roman"/>
          <w:sz w:val="24"/>
          <w:szCs w:val="24"/>
          <w:lang w:bidi="ar"/>
        </w:rPr>
        <w:t xml:space="preserve">(4), 319–345. </w:t>
      </w:r>
      <w:hyperlink r:id="rId18" w:history="1">
        <w:r>
          <w:rPr>
            <w:rStyle w:val="Hyperlink"/>
            <w:rFonts w:ascii="Times New Roman" w:eastAsia="SimSun" w:hAnsi="Times New Roman" w:cs="Times New Roman"/>
            <w:color w:val="auto"/>
            <w:sz w:val="24"/>
            <w:szCs w:val="24"/>
            <w:u w:val="none"/>
          </w:rPr>
          <w:t>https://doi.org/10.1016/S0005-7967(99)00123-0</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Emeljanovas, A., Sabaliau</w:t>
      </w:r>
      <w:r>
        <w:rPr>
          <w:rFonts w:ascii="Times New Roman" w:eastAsia="SimSun" w:hAnsi="Times New Roman" w:cs="Times New Roman"/>
          <w:sz w:val="24"/>
          <w:szCs w:val="24"/>
          <w:lang w:bidi="ar"/>
        </w:rPr>
        <w:t xml:space="preserve">skas, S., Mežienė, B., &amp; Istomina, N. (2023). The relationships between teachers’ emotional health and stress coping. </w:t>
      </w:r>
      <w:r>
        <w:rPr>
          <w:rFonts w:ascii="Times New Roman" w:eastAsia="SimSun" w:hAnsi="Times New Roman" w:cs="Times New Roman"/>
          <w:i/>
          <w:iCs/>
          <w:sz w:val="24"/>
          <w:szCs w:val="24"/>
          <w:lang w:bidi="ar"/>
        </w:rPr>
        <w:t>Frontiers in Psychology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14</w:t>
      </w:r>
      <w:r>
        <w:rPr>
          <w:rFonts w:ascii="Times New Roman" w:eastAsia="SimSun" w:hAnsi="Times New Roman" w:cs="Times New Roman"/>
          <w:sz w:val="24"/>
          <w:szCs w:val="24"/>
          <w:lang w:bidi="ar"/>
        </w:rPr>
        <w:t xml:space="preserve">, 1276431. </w:t>
      </w:r>
      <w:hyperlink r:id="rId19" w:history="1">
        <w:r>
          <w:rPr>
            <w:rStyle w:val="Hyperlink"/>
            <w:rFonts w:ascii="Times New Roman" w:eastAsia="SimSun" w:hAnsi="Times New Roman" w:cs="Times New Roman"/>
            <w:color w:val="auto"/>
            <w:sz w:val="24"/>
            <w:szCs w:val="24"/>
            <w:u w:val="none"/>
          </w:rPr>
          <w:t>https://doi.org/10.3389/fpsyg.2023.1276431</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Gragasin, E. R., Gante, L. I., Jr., Limos-Galay, J. A., &amp; Lazaro, N. J. (2023). The impact of job satisfaction, anxiety, and attitude toward teaching on individual performance commitment and review form (IPCRF) rating. </w:t>
      </w:r>
      <w:r>
        <w:rPr>
          <w:rFonts w:ascii="Times New Roman" w:eastAsia="SimSun" w:hAnsi="Times New Roman" w:cs="Times New Roman"/>
          <w:i/>
          <w:iCs/>
          <w:sz w:val="24"/>
          <w:szCs w:val="24"/>
          <w:lang w:bidi="ar"/>
        </w:rPr>
        <w:t xml:space="preserve">International Journal of Research </w:t>
      </w:r>
      <w:r>
        <w:rPr>
          <w:rFonts w:ascii="Times New Roman" w:eastAsia="SimSun" w:hAnsi="Times New Roman" w:cs="Times New Roman"/>
          <w:i/>
          <w:iCs/>
          <w:sz w:val="24"/>
          <w:szCs w:val="24"/>
          <w:lang w:bidi="ar"/>
        </w:rPr>
        <w:t>Studies in Management</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11</w:t>
      </w:r>
      <w:r>
        <w:rPr>
          <w:rFonts w:ascii="Times New Roman" w:eastAsia="SimSun" w:hAnsi="Times New Roman" w:cs="Times New Roman"/>
          <w:sz w:val="24"/>
          <w:szCs w:val="24"/>
          <w:lang w:bidi="ar"/>
        </w:rPr>
        <w:t xml:space="preserve">(12). </w:t>
      </w:r>
      <w:hyperlink r:id="rId20" w:history="1">
        <w:r>
          <w:rPr>
            <w:rStyle w:val="Hyperlink"/>
            <w:rFonts w:ascii="Times New Roman" w:eastAsia="SimSun" w:hAnsi="Times New Roman" w:cs="Times New Roman"/>
            <w:color w:val="auto"/>
            <w:sz w:val="24"/>
            <w:szCs w:val="24"/>
            <w:u w:val="none"/>
          </w:rPr>
          <w:t>https://doi.org/10.5861/ijrsm.2023.1147</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Hamby, S., Grych, J., &amp; Banyard, V. (2015). </w:t>
      </w:r>
      <w:r>
        <w:rPr>
          <w:rFonts w:ascii="Times New Roman" w:eastAsia="SimSun" w:hAnsi="Times New Roman" w:cs="Times New Roman"/>
          <w:i/>
          <w:iCs/>
          <w:sz w:val="24"/>
          <w:szCs w:val="24"/>
          <w:lang w:bidi="ar"/>
        </w:rPr>
        <w:t>Coping Scale</w:t>
      </w:r>
      <w:r>
        <w:rPr>
          <w:rFonts w:ascii="Times New Roman" w:eastAsia="SimSun" w:hAnsi="Times New Roman" w:cs="Times New Roman"/>
          <w:sz w:val="24"/>
          <w:szCs w:val="24"/>
          <w:lang w:bidi="ar"/>
        </w:rPr>
        <w:t xml:space="preserve">. Unpublished. </w:t>
      </w:r>
      <w:hyperlink r:id="rId21" w:history="1">
        <w:r>
          <w:rPr>
            <w:rStyle w:val="Hyperlink"/>
            <w:rFonts w:ascii="Times New Roman" w:eastAsia="SimSun" w:hAnsi="Times New Roman" w:cs="Times New Roman"/>
            <w:color w:val="auto"/>
            <w:sz w:val="24"/>
            <w:szCs w:val="24"/>
            <w:u w:val="none"/>
          </w:rPr>
          <w:t>ht</w:t>
        </w:r>
        <w:r>
          <w:rPr>
            <w:rStyle w:val="Hyperlink"/>
            <w:rFonts w:ascii="Times New Roman" w:eastAsia="SimSun" w:hAnsi="Times New Roman" w:cs="Times New Roman"/>
            <w:color w:val="auto"/>
            <w:sz w:val="24"/>
            <w:szCs w:val="24"/>
            <w:u w:val="none"/>
          </w:rPr>
          <w:t>tps://doi.org/10.13140/RG.2.1.3094.0001</w:t>
        </w:r>
      </w:hyperlink>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Harding, S., Morris, R., Gunnell, D., Ford, T., Hollingworth, W., Tilling, K., Evans, R., Bell, S., Grey, J., Brockman, R., Campbell, R., Araya, R., Murphy, S., &amp; Kidger, J. (2019). Is teachers’ mental health and </w:t>
      </w:r>
      <w:r>
        <w:rPr>
          <w:rFonts w:ascii="Times New Roman" w:eastAsia="SimSun" w:hAnsi="Times New Roman" w:cs="Times New Roman"/>
          <w:sz w:val="24"/>
          <w:szCs w:val="24"/>
          <w:lang w:bidi="ar"/>
        </w:rPr>
        <w:t xml:space="preserve">wellbeing associated with students’ mental health and wellbeing? </w:t>
      </w:r>
      <w:r>
        <w:rPr>
          <w:rFonts w:ascii="Times New Roman" w:eastAsia="SimSun" w:hAnsi="Times New Roman" w:cs="Times New Roman"/>
          <w:i/>
          <w:iCs/>
          <w:sz w:val="24"/>
          <w:szCs w:val="24"/>
          <w:lang w:bidi="ar"/>
        </w:rPr>
        <w:t>Journal of Affective Disorders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242</w:t>
      </w:r>
      <w:r>
        <w:rPr>
          <w:rFonts w:ascii="Times New Roman" w:eastAsia="SimSun" w:hAnsi="Times New Roman" w:cs="Times New Roman"/>
          <w:sz w:val="24"/>
          <w:szCs w:val="24"/>
          <w:lang w:bidi="ar"/>
        </w:rPr>
        <w:t xml:space="preserve">, 180–187. </w:t>
      </w:r>
      <w:hyperlink r:id="rId22" w:history="1">
        <w:r>
          <w:rPr>
            <w:rStyle w:val="Hyperlink"/>
            <w:rFonts w:ascii="Times New Roman" w:eastAsia="SimSun" w:hAnsi="Times New Roman" w:cs="Times New Roman"/>
            <w:color w:val="auto"/>
            <w:sz w:val="24"/>
            <w:szCs w:val="24"/>
            <w:u w:val="none"/>
          </w:rPr>
          <w:t>https://doi.org/10.1016/j.jad.2018.08.080</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val="en-PH"/>
        </w:rPr>
      </w:pPr>
      <w:r>
        <w:rPr>
          <w:rFonts w:ascii="Times New Roman" w:eastAsia="SimSun" w:hAnsi="Times New Roman" w:cs="Times New Roman"/>
          <w:sz w:val="24"/>
          <w:szCs w:val="24"/>
          <w:lang w:val="en-PH" w:bidi="ar"/>
        </w:rPr>
        <w:t xml:space="preserve">Hermogeno et.al. (2022). Work attitude and performance of elementary school teachers in the City Division of San Carlos. </w:t>
      </w:r>
      <w:hyperlink r:id="rId23" w:history="1">
        <w:r>
          <w:rPr>
            <w:rStyle w:val="Hyperlink"/>
            <w:rFonts w:ascii="Times New Roman" w:eastAsia="SimSun" w:hAnsi="Times New Roman" w:cs="Times New Roman"/>
            <w:color w:val="auto"/>
            <w:sz w:val="24"/>
            <w:szCs w:val="24"/>
            <w:u w:val="none"/>
            <w:lang w:val="en-PH" w:bidi="ar"/>
          </w:rPr>
          <w:t>https://</w:t>
        </w:r>
        <w:r>
          <w:rPr>
            <w:rStyle w:val="Hyperlink"/>
            <w:rFonts w:ascii="Times New Roman" w:eastAsia="SimSun" w:hAnsi="Times New Roman" w:cs="Times New Roman"/>
            <w:color w:val="auto"/>
            <w:sz w:val="24"/>
            <w:szCs w:val="24"/>
            <w:u w:val="none"/>
            <w:lang w:val="en-PH"/>
          </w:rPr>
          <w:t>https://ijsmr.in/vol-5-issue-1/work-attitude-and-performance-of-elementary-school-teachers-in-the-city-division-of-san-carlos/</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 xml:space="preserve">Hiver, P., &amp; Dörnyei, Z. (2015). Language Teacher Immunity: A Double-Edged Sword. </w:t>
      </w:r>
      <w:r>
        <w:rPr>
          <w:rFonts w:ascii="Times New Roman" w:eastAsia="SimSun" w:hAnsi="Times New Roman" w:cs="Times New Roman"/>
          <w:i/>
          <w:iCs/>
          <w:sz w:val="24"/>
          <w:szCs w:val="24"/>
          <w:lang w:bidi="ar"/>
        </w:rPr>
        <w:t>Applied Linguistics</w:t>
      </w:r>
      <w:r>
        <w:rPr>
          <w:rFonts w:ascii="Times New Roman" w:eastAsia="SimSun" w:hAnsi="Times New Roman" w:cs="Times New Roman"/>
          <w:sz w:val="24"/>
          <w:szCs w:val="24"/>
          <w:lang w:bidi="ar"/>
        </w:rPr>
        <w:t>, am</w:t>
      </w:r>
      <w:r>
        <w:rPr>
          <w:rFonts w:ascii="Times New Roman" w:eastAsia="SimSun" w:hAnsi="Times New Roman" w:cs="Times New Roman"/>
          <w:sz w:val="24"/>
          <w:szCs w:val="24"/>
          <w:lang w:bidi="ar"/>
        </w:rPr>
        <w:t xml:space="preserve">v034. </w:t>
      </w:r>
      <w:hyperlink r:id="rId24" w:history="1">
        <w:r>
          <w:rPr>
            <w:rStyle w:val="Hyperlink"/>
            <w:rFonts w:ascii="Times New Roman" w:eastAsia="SimSun" w:hAnsi="Times New Roman" w:cs="Times New Roman"/>
            <w:color w:val="auto"/>
            <w:sz w:val="24"/>
            <w:szCs w:val="24"/>
            <w:u w:val="none"/>
          </w:rPr>
          <w:t>https://doi.org/10.1093/applin/amv034</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Hofmann, S. G., &amp; Hay, A. C. (2018). Rethinking avoidance: Toward a balanced approach to avoidance in treating anxiety disorders. </w:t>
      </w:r>
      <w:r>
        <w:rPr>
          <w:rFonts w:ascii="Times New Roman" w:eastAsia="SimSun" w:hAnsi="Times New Roman" w:cs="Times New Roman"/>
          <w:i/>
          <w:iCs/>
          <w:sz w:val="24"/>
          <w:szCs w:val="24"/>
          <w:lang w:bidi="ar"/>
        </w:rPr>
        <w:t xml:space="preserve">Journal of Anxiety </w:t>
      </w:r>
      <w:r>
        <w:rPr>
          <w:rFonts w:ascii="Times New Roman" w:eastAsia="SimSun" w:hAnsi="Times New Roman" w:cs="Times New Roman"/>
          <w:i/>
          <w:iCs/>
          <w:sz w:val="24"/>
          <w:szCs w:val="24"/>
          <w:lang w:bidi="ar"/>
        </w:rPr>
        <w:t>Disorders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55</w:t>
      </w:r>
      <w:r>
        <w:rPr>
          <w:rFonts w:ascii="Times New Roman" w:eastAsia="SimSun" w:hAnsi="Times New Roman" w:cs="Times New Roman"/>
          <w:sz w:val="24"/>
          <w:szCs w:val="24"/>
          <w:lang w:bidi="ar"/>
        </w:rPr>
        <w:t xml:space="preserve">, 14–21. </w:t>
      </w:r>
      <w:hyperlink r:id="rId25" w:history="1">
        <w:r>
          <w:rPr>
            <w:rStyle w:val="Hyperlink"/>
            <w:rFonts w:ascii="Times New Roman" w:eastAsia="SimSun" w:hAnsi="Times New Roman" w:cs="Times New Roman"/>
            <w:color w:val="auto"/>
            <w:sz w:val="24"/>
            <w:szCs w:val="24"/>
            <w:u w:val="none"/>
          </w:rPr>
          <w:t>https://doi.org/10.1016/j.janxdis.2018.03.004</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val="en-PH" w:bidi="ar"/>
        </w:rPr>
      </w:pPr>
      <w:r>
        <w:rPr>
          <w:rFonts w:ascii="Times New Roman" w:eastAsia="SimSun" w:hAnsi="Times New Roman" w:cs="Times New Roman"/>
          <w:sz w:val="24"/>
          <w:szCs w:val="24"/>
        </w:rPr>
        <w:t xml:space="preserve">House of Representatives, Republic of the Philippines. (2023). </w:t>
      </w:r>
      <w:r>
        <w:rPr>
          <w:rStyle w:val="Emphasis"/>
          <w:rFonts w:ascii="Times New Roman" w:eastAsia="SimSun" w:hAnsi="Times New Roman" w:cs="Times New Roman"/>
          <w:sz w:val="24"/>
          <w:szCs w:val="24"/>
        </w:rPr>
        <w:t>House Bill No. 6574: An Act strengthening the promotion and de</w:t>
      </w:r>
      <w:r>
        <w:rPr>
          <w:rStyle w:val="Emphasis"/>
          <w:rFonts w:ascii="Times New Roman" w:eastAsia="SimSun" w:hAnsi="Times New Roman" w:cs="Times New Roman"/>
          <w:sz w:val="24"/>
          <w:szCs w:val="24"/>
        </w:rPr>
        <w:t>livery of mental health services in basic education through the hiring and deployment of mental health professionals, and appropriating funds therefor.</w:t>
      </w:r>
      <w:r>
        <w:rPr>
          <w:rFonts w:ascii="Times New Roman" w:eastAsia="SimSun" w:hAnsi="Times New Roman" w:cs="Times New Roman"/>
          <w:sz w:val="24"/>
          <w:szCs w:val="24"/>
        </w:rPr>
        <w:t xml:space="preserve"> 19th Congress. Retrieved from </w:t>
      </w:r>
      <w:hyperlink r:id="rId26" w:history="1">
        <w:r>
          <w:rPr>
            <w:rStyle w:val="Hyperlink"/>
            <w:rFonts w:ascii="Times New Roman" w:eastAsia="SimSun" w:hAnsi="Times New Roman" w:cs="Times New Roman"/>
            <w:color w:val="auto"/>
            <w:sz w:val="24"/>
            <w:szCs w:val="24"/>
            <w:u w:val="none"/>
          </w:rPr>
          <w:t>https://</w:t>
        </w:r>
        <w:r>
          <w:rPr>
            <w:rStyle w:val="Hyperlink"/>
            <w:rFonts w:ascii="Times New Roman" w:eastAsia="SimSun" w:hAnsi="Times New Roman" w:cs="Times New Roman"/>
            <w:color w:val="auto"/>
            <w:sz w:val="24"/>
            <w:szCs w:val="24"/>
            <w:u w:val="none"/>
          </w:rPr>
          <w:t>legacy.senate.gov.ph/lisdata/4014236574!.pdf</w:t>
        </w:r>
      </w:hyperlink>
    </w:p>
    <w:p w:rsidR="00AE16DF" w:rsidRDefault="00AE16DF">
      <w:pPr>
        <w:ind w:left="420" w:hanging="420"/>
        <w:jc w:val="both"/>
        <w:rPr>
          <w:rFonts w:ascii="Times New Roman" w:eastAsia="SimSun" w:hAnsi="Times New Roman" w:cs="Times New Roman"/>
          <w:sz w:val="24"/>
          <w:szCs w:val="24"/>
          <w:lang w:val="en-PH"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Issakah, A. C., Nyame, I., &amp; Abu, F. I. (2021). Perceived Stress and Coping Mechanisms among Teachers in Three Special Schools in the Northern Parts of Ghana. </w:t>
      </w:r>
      <w:r>
        <w:rPr>
          <w:rFonts w:ascii="Times New Roman" w:eastAsia="SimSun" w:hAnsi="Times New Roman" w:cs="Times New Roman"/>
          <w:i/>
          <w:iCs/>
          <w:sz w:val="24"/>
          <w:szCs w:val="24"/>
          <w:lang w:bidi="ar"/>
        </w:rPr>
        <w:t>Universal Journal of Psychology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9</w:t>
      </w:r>
      <w:r>
        <w:rPr>
          <w:rFonts w:ascii="Times New Roman" w:eastAsia="SimSun" w:hAnsi="Times New Roman" w:cs="Times New Roman"/>
          <w:sz w:val="24"/>
          <w:szCs w:val="24"/>
          <w:lang w:bidi="ar"/>
        </w:rPr>
        <w:t xml:space="preserve">(2), 9–22. </w:t>
      </w:r>
      <w:hyperlink r:id="rId27" w:history="1">
        <w:r>
          <w:rPr>
            <w:rStyle w:val="Hyperlink"/>
            <w:rFonts w:ascii="Times New Roman" w:eastAsia="SimSun" w:hAnsi="Times New Roman" w:cs="Times New Roman"/>
            <w:color w:val="auto"/>
            <w:sz w:val="24"/>
            <w:szCs w:val="24"/>
            <w:u w:val="none"/>
          </w:rPr>
          <w:t>https://doi.org/10.13189/ujp.2021.090201</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Kariou, A., Koutsimani, P., Montgomery, A., &amp; Lainidi, O. (2021). Emotional Labor and Burnout among Teachers: A Systematic Review. </w:t>
      </w:r>
      <w:r>
        <w:rPr>
          <w:rFonts w:ascii="Times New Roman" w:eastAsia="SimSun" w:hAnsi="Times New Roman" w:cs="Times New Roman"/>
          <w:i/>
          <w:iCs/>
          <w:sz w:val="24"/>
          <w:szCs w:val="24"/>
          <w:lang w:bidi="ar"/>
        </w:rPr>
        <w:t>International Journal of E</w:t>
      </w:r>
      <w:r>
        <w:rPr>
          <w:rFonts w:ascii="Times New Roman" w:eastAsia="SimSun" w:hAnsi="Times New Roman" w:cs="Times New Roman"/>
          <w:i/>
          <w:iCs/>
          <w:sz w:val="24"/>
          <w:szCs w:val="24"/>
          <w:lang w:bidi="ar"/>
        </w:rPr>
        <w:t>nvironmental Research and Public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18</w:t>
      </w:r>
      <w:r>
        <w:rPr>
          <w:rFonts w:ascii="Times New Roman" w:eastAsia="SimSun" w:hAnsi="Times New Roman" w:cs="Times New Roman"/>
          <w:sz w:val="24"/>
          <w:szCs w:val="24"/>
          <w:lang w:bidi="ar"/>
        </w:rPr>
        <w:t xml:space="preserve">(23), 12760. </w:t>
      </w:r>
      <w:hyperlink r:id="rId28" w:history="1">
        <w:r>
          <w:rPr>
            <w:rStyle w:val="Hyperlink"/>
            <w:rFonts w:ascii="Times New Roman" w:eastAsia="SimSun" w:hAnsi="Times New Roman" w:cs="Times New Roman"/>
            <w:color w:val="auto"/>
            <w:sz w:val="24"/>
            <w:szCs w:val="24"/>
            <w:u w:val="none"/>
          </w:rPr>
          <w:t>https://doi.org/10.3390/ijerph182312760</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Maslach, C., &amp; Leiter, M. P. (2016). Understanding the burnout experience: Recent research and its impl</w:t>
      </w:r>
      <w:r>
        <w:rPr>
          <w:rFonts w:ascii="Times New Roman" w:eastAsia="SimSun" w:hAnsi="Times New Roman" w:cs="Times New Roman"/>
          <w:sz w:val="24"/>
          <w:szCs w:val="24"/>
          <w:lang w:bidi="ar"/>
        </w:rPr>
        <w:t xml:space="preserve">ications for psychiatry. </w:t>
      </w:r>
      <w:r>
        <w:rPr>
          <w:rFonts w:ascii="Times New Roman" w:eastAsia="SimSun" w:hAnsi="Times New Roman" w:cs="Times New Roman"/>
          <w:i/>
          <w:iCs/>
          <w:sz w:val="24"/>
          <w:szCs w:val="24"/>
          <w:lang w:bidi="ar"/>
        </w:rPr>
        <w:t>World Psychiatry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15</w:t>
      </w:r>
      <w:r>
        <w:rPr>
          <w:rFonts w:ascii="Times New Roman" w:eastAsia="SimSun" w:hAnsi="Times New Roman" w:cs="Times New Roman"/>
          <w:sz w:val="24"/>
          <w:szCs w:val="24"/>
          <w:lang w:bidi="ar"/>
        </w:rPr>
        <w:t xml:space="preserve">(2), 103–111. </w:t>
      </w:r>
      <w:hyperlink r:id="rId29" w:history="1">
        <w:r>
          <w:rPr>
            <w:rStyle w:val="Hyperlink"/>
            <w:rFonts w:ascii="Times New Roman" w:eastAsia="SimSun" w:hAnsi="Times New Roman" w:cs="Times New Roman"/>
            <w:color w:val="auto"/>
            <w:sz w:val="24"/>
            <w:szCs w:val="24"/>
            <w:u w:val="none"/>
          </w:rPr>
          <w:t>https://doi.org/10.1002/wps.20311</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Mental health. (n.d.). Retrieved December 19, 2025, from </w:t>
      </w:r>
      <w:hyperlink r:id="rId30" w:history="1">
        <w:r>
          <w:rPr>
            <w:rStyle w:val="Hyperlink"/>
            <w:rFonts w:ascii="Times New Roman" w:eastAsia="SimSun" w:hAnsi="Times New Roman" w:cs="Times New Roman"/>
            <w:color w:val="auto"/>
            <w:sz w:val="24"/>
            <w:szCs w:val="24"/>
            <w:u w:val="none"/>
          </w:rPr>
          <w:t>https://www.who.int/news-room/fact-sheets/detail/mental-health-strengthening-our-response</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360" w:hangingChars="150" w:hanging="360"/>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Mikulincer, M., &amp; Shaver, P. R. (2008). Adult attachment and affect regulation. In J. Cassidy &amp; P. R. Shaver (Eds.</w:t>
      </w:r>
      <w:r>
        <w:rPr>
          <w:rFonts w:ascii="Times New Roman" w:eastAsia="sans-serif" w:hAnsi="Times New Roman" w:cs="Times New Roman"/>
          <w:sz w:val="24"/>
          <w:szCs w:val="24"/>
          <w:shd w:val="clear" w:color="auto" w:fill="FFFFFF"/>
        </w:rPr>
        <w:t>), </w:t>
      </w:r>
      <w:r>
        <w:rPr>
          <w:rStyle w:val="Emphasis"/>
          <w:rFonts w:ascii="Times New Roman" w:eastAsia="sans-serif" w:hAnsi="Times New Roman" w:cs="Times New Roman"/>
          <w:sz w:val="24"/>
          <w:szCs w:val="24"/>
          <w:shd w:val="clear" w:color="auto" w:fill="FFFFFF"/>
        </w:rPr>
        <w:t>Handbook of attachment: Theory, research, and clinical applications</w:t>
      </w:r>
      <w:r>
        <w:rPr>
          <w:rFonts w:ascii="Times New Roman" w:eastAsia="sans-serif" w:hAnsi="Times New Roman" w:cs="Times New Roman"/>
          <w:sz w:val="24"/>
          <w:szCs w:val="24"/>
          <w:shd w:val="clear" w:color="auto" w:fill="FFFFFF"/>
        </w:rPr>
        <w:t> (2nd ed., pp. 503–531). The Guilford Press.</w:t>
      </w:r>
    </w:p>
    <w:p w:rsidR="00AE16DF" w:rsidRDefault="00AE16DF">
      <w:pPr>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Orlanda-Ventayen, C. C., &amp; Ventayen, R. J. M. (2021). </w:t>
      </w:r>
      <w:r>
        <w:rPr>
          <w:rFonts w:ascii="Times New Roman" w:eastAsia="SimSun" w:hAnsi="Times New Roman" w:cs="Times New Roman"/>
          <w:i/>
          <w:iCs/>
          <w:sz w:val="24"/>
          <w:szCs w:val="24"/>
          <w:lang w:bidi="ar"/>
        </w:rPr>
        <w:t>Stress and Depression in the Workplace of Educators in the Philippines</w:t>
      </w:r>
      <w:r>
        <w:rPr>
          <w:rFonts w:ascii="Times New Roman" w:eastAsia="SimSun" w:hAnsi="Times New Roman" w:cs="Times New Roman"/>
          <w:sz w:val="24"/>
          <w:szCs w:val="24"/>
          <w:lang w:bidi="ar"/>
        </w:rPr>
        <w:t xml:space="preserve">. Occupational and Environmental Health. </w:t>
      </w:r>
      <w:hyperlink r:id="rId31" w:history="1">
        <w:r>
          <w:rPr>
            <w:rStyle w:val="Hyperlink"/>
            <w:rFonts w:ascii="Times New Roman" w:eastAsia="SimSun" w:hAnsi="Times New Roman" w:cs="Times New Roman"/>
            <w:color w:val="auto"/>
            <w:sz w:val="24"/>
            <w:szCs w:val="24"/>
            <w:u w:val="none"/>
          </w:rPr>
          <w:t>https://doi.org/10.1101/2021.04.22.21254017</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val="en-PH"/>
        </w:rPr>
      </w:pPr>
      <w:r>
        <w:rPr>
          <w:rFonts w:ascii="Times New Roman" w:eastAsia="SimSun" w:hAnsi="Times New Roman" w:cs="Times New Roman"/>
          <w:sz w:val="24"/>
          <w:szCs w:val="24"/>
          <w:lang w:val="en-PH" w:bidi="ar"/>
        </w:rPr>
        <w:t xml:space="preserve">PTSD: National Center for PTSD (2025). PTSD and DSM-5. </w:t>
      </w:r>
      <w:r>
        <w:rPr>
          <w:rFonts w:ascii="Times New Roman" w:eastAsia="SimSun" w:hAnsi="Times New Roman" w:cs="Times New Roman"/>
          <w:sz w:val="24"/>
          <w:szCs w:val="24"/>
          <w:lang w:val="en-PH"/>
        </w:rPr>
        <w:t>https://www.ptsd.va.gov/professional/treat/essentials/d</w:t>
      </w:r>
      <w:r>
        <w:rPr>
          <w:rFonts w:ascii="Times New Roman" w:eastAsia="SimSun" w:hAnsi="Times New Roman" w:cs="Times New Roman"/>
          <w:sz w:val="24"/>
          <w:szCs w:val="24"/>
          <w:lang w:val="en-PH"/>
        </w:rPr>
        <w:t>sm5_ptsd.asp</w:t>
      </w:r>
    </w:p>
    <w:p w:rsidR="00AE16DF" w:rsidRDefault="00AE16DF">
      <w:pPr>
        <w:ind w:left="420" w:hanging="420"/>
        <w:jc w:val="both"/>
        <w:rPr>
          <w:rFonts w:ascii="Times New Roman" w:eastAsia="SimSun" w:hAnsi="Times New Roman" w:cs="Times New Roman"/>
          <w:sz w:val="24"/>
          <w:szCs w:val="24"/>
          <w:lang w:val="en-PH"/>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Stallman, H. M. (2020). Health theory of coping. </w:t>
      </w:r>
      <w:r>
        <w:rPr>
          <w:rFonts w:ascii="Times New Roman" w:eastAsia="SimSun" w:hAnsi="Times New Roman" w:cs="Times New Roman"/>
          <w:i/>
          <w:iCs/>
          <w:sz w:val="24"/>
          <w:szCs w:val="24"/>
          <w:lang w:bidi="ar"/>
        </w:rPr>
        <w:t>Australian Psychologist</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55</w:t>
      </w:r>
      <w:r>
        <w:rPr>
          <w:rFonts w:ascii="Times New Roman" w:eastAsia="SimSun" w:hAnsi="Times New Roman" w:cs="Times New Roman"/>
          <w:sz w:val="24"/>
          <w:szCs w:val="24"/>
          <w:lang w:bidi="ar"/>
        </w:rPr>
        <w:t xml:space="preserve">(4), 295–306. </w:t>
      </w:r>
      <w:hyperlink r:id="rId32" w:history="1">
        <w:r>
          <w:rPr>
            <w:rStyle w:val="Hyperlink"/>
            <w:rFonts w:ascii="Times New Roman" w:eastAsia="SimSun" w:hAnsi="Times New Roman" w:cs="Times New Roman"/>
            <w:color w:val="auto"/>
            <w:sz w:val="24"/>
            <w:szCs w:val="24"/>
            <w:u w:val="none"/>
          </w:rPr>
          <w:t>https://doi.org/10.1111/ap.12465</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hAnsi="Times New Roman" w:cs="Times New Roman"/>
        </w:rPr>
      </w:pPr>
      <w:r>
        <w:rPr>
          <w:rFonts w:ascii="Times New Roman" w:eastAsia="SimSun" w:hAnsi="Times New Roman" w:cs="Times New Roman"/>
          <w:sz w:val="24"/>
          <w:szCs w:val="24"/>
          <w:lang w:bidi="ar"/>
        </w:rPr>
        <w:t>Spiller, T. R., Gross, G., Duek, O., Pietrzak, R. H., &amp;</w:t>
      </w:r>
      <w:r>
        <w:rPr>
          <w:rFonts w:ascii="Times New Roman" w:eastAsia="SimSun" w:hAnsi="Times New Roman" w:cs="Times New Roman"/>
          <w:sz w:val="24"/>
          <w:szCs w:val="24"/>
          <w:lang w:bidi="ar"/>
        </w:rPr>
        <w:t xml:space="preserve"> Harpaz-Rotem, I. (2023). The Functional Significance of a Novel Conceptualization of Intrusion Symptoms of PTSD. </w:t>
      </w:r>
      <w:r>
        <w:rPr>
          <w:rFonts w:ascii="Times New Roman" w:eastAsia="SimSun" w:hAnsi="Times New Roman" w:cs="Times New Roman"/>
          <w:i/>
          <w:iCs/>
          <w:sz w:val="24"/>
          <w:szCs w:val="24"/>
          <w:lang w:bidi="ar"/>
        </w:rPr>
        <w:t>European Psychiatry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66</w:t>
      </w:r>
      <w:r>
        <w:rPr>
          <w:rFonts w:ascii="Times New Roman" w:eastAsia="SimSun" w:hAnsi="Times New Roman" w:cs="Times New Roman"/>
          <w:sz w:val="24"/>
          <w:szCs w:val="24"/>
          <w:lang w:bidi="ar"/>
        </w:rPr>
        <w:t xml:space="preserve">(S1), S476–S477. </w:t>
      </w:r>
      <w:hyperlink r:id="rId33" w:history="1">
        <w:r>
          <w:rPr>
            <w:rStyle w:val="Hyperlink"/>
            <w:rFonts w:ascii="Times New Roman" w:eastAsia="SimSun" w:hAnsi="Times New Roman" w:cs="Times New Roman"/>
            <w:color w:val="auto"/>
            <w:sz w:val="24"/>
            <w:szCs w:val="24"/>
            <w:u w:val="none"/>
          </w:rPr>
          <w:t>https://doi.org/10.1192/j.eurpsy.2023.1020</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398" w:hangingChars="166" w:hanging="398"/>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 xml:space="preserve">Suttles, J. (2024). </w:t>
      </w:r>
      <w:r>
        <w:rPr>
          <w:rFonts w:ascii="Times New Roman" w:eastAsia="SimSun" w:hAnsi="Times New Roman" w:cs="Times New Roman"/>
          <w:i/>
          <w:iCs/>
          <w:sz w:val="24"/>
          <w:szCs w:val="24"/>
          <w:lang w:bidi="ar"/>
        </w:rPr>
        <w:t>Teacher Voices: Stress and Coping Mechanisms among the Teaching Profession</w:t>
      </w:r>
      <w:r>
        <w:rPr>
          <w:rFonts w:ascii="Times New Roman" w:eastAsia="SimSun" w:hAnsi="Times New Roman" w:cs="Times New Roman"/>
          <w:sz w:val="24"/>
          <w:szCs w:val="24"/>
          <w:lang w:bidi="ar"/>
        </w:rPr>
        <w:t xml:space="preserve"> [Master of Science, Dominican University of California]. </w:t>
      </w:r>
      <w:hyperlink r:id="rId34" w:history="1">
        <w:r>
          <w:rPr>
            <w:rStyle w:val="Hyperlink"/>
            <w:rFonts w:ascii="Times New Roman" w:eastAsia="SimSun" w:hAnsi="Times New Roman" w:cs="Times New Roman"/>
            <w:color w:val="auto"/>
            <w:sz w:val="24"/>
            <w:szCs w:val="24"/>
            <w:u w:val="none"/>
          </w:rPr>
          <w:t>https://doi.org/10.33015/dominican.edu/</w:t>
        </w:r>
        <w:r>
          <w:rPr>
            <w:rStyle w:val="Hyperlink"/>
            <w:rFonts w:ascii="Times New Roman" w:eastAsia="SimSun" w:hAnsi="Times New Roman" w:cs="Times New Roman"/>
            <w:color w:val="auto"/>
            <w:sz w:val="24"/>
            <w:szCs w:val="24"/>
            <w:u w:val="none"/>
          </w:rPr>
          <w:t>2024.EDU.03</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val="en-PH" w:bidi="ar"/>
        </w:rPr>
      </w:pPr>
      <w:r>
        <w:rPr>
          <w:rFonts w:ascii="Times New Roman" w:eastAsia="SimSun" w:hAnsi="Times New Roman" w:cs="Times New Roman"/>
          <w:sz w:val="24"/>
          <w:szCs w:val="24"/>
          <w:lang w:val="en-PH" w:bidi="ar"/>
        </w:rPr>
        <w:t>Republic Act No. 11036. (2018). An Act establishing a national mental health policy for the purpose of enhancing the delivery of integrated mental health services, promoting and protecting the rights of persons utilizing psychiatric, neurol</w:t>
      </w:r>
      <w:r>
        <w:rPr>
          <w:rFonts w:ascii="Times New Roman" w:eastAsia="SimSun" w:hAnsi="Times New Roman" w:cs="Times New Roman"/>
          <w:sz w:val="24"/>
          <w:szCs w:val="24"/>
          <w:lang w:val="en-PH" w:bidi="ar"/>
        </w:rPr>
        <w:t xml:space="preserve">ogic, and psychosocial health services, appropropriating funds therefore, and for other purposes. </w:t>
      </w:r>
      <w:r>
        <w:rPr>
          <w:rFonts w:ascii="Times New Roman" w:eastAsia="SimSun" w:hAnsi="Times New Roman" w:cs="Times New Roman"/>
          <w:sz w:val="24"/>
          <w:szCs w:val="24"/>
        </w:rPr>
        <w:t>https://lawphil.net/statutes/repacts/ra2018/ra_11036_2018.html</w:t>
      </w:r>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Style w:val="HTMLCode"/>
          <w:rFonts w:ascii="Times New Roman" w:eastAsia="SimSun" w:hAnsi="Times New Roman" w:cs="Times New Roman"/>
          <w:sz w:val="24"/>
          <w:szCs w:val="24"/>
        </w:rPr>
      </w:pPr>
      <w:r>
        <w:rPr>
          <w:rFonts w:ascii="Times New Roman" w:eastAsia="SimSun" w:hAnsi="Times New Roman" w:cs="Times New Roman"/>
          <w:sz w:val="24"/>
          <w:szCs w:val="24"/>
        </w:rPr>
        <w:t xml:space="preserve">Republic Act No. 12080. (2024). </w:t>
      </w:r>
      <w:r>
        <w:rPr>
          <w:rStyle w:val="Emphasis"/>
          <w:rFonts w:ascii="Times New Roman" w:eastAsia="SimSun" w:hAnsi="Times New Roman" w:cs="Times New Roman"/>
          <w:sz w:val="24"/>
          <w:szCs w:val="24"/>
        </w:rPr>
        <w:t xml:space="preserve">An Act strengthening the promotion and delivery of mental </w:t>
      </w:r>
      <w:r>
        <w:rPr>
          <w:rStyle w:val="Emphasis"/>
          <w:rFonts w:ascii="Times New Roman" w:eastAsia="SimSun" w:hAnsi="Times New Roman" w:cs="Times New Roman"/>
          <w:sz w:val="24"/>
          <w:szCs w:val="24"/>
        </w:rPr>
        <w:t>health services in basic education by developing school-based mental health programs, establishing schools division mental health and well-being offices and care centers, prescribing the creation of new plantilla positions, and hiring and deploying schools</w:t>
      </w:r>
      <w:r>
        <w:rPr>
          <w:rStyle w:val="Emphasis"/>
          <w:rFonts w:ascii="Times New Roman" w:eastAsia="SimSun" w:hAnsi="Times New Roman" w:cs="Times New Roman"/>
          <w:sz w:val="24"/>
          <w:szCs w:val="24"/>
        </w:rPr>
        <w:t xml:space="preserve"> division counselors, school counselors, and school counselor associates in the Department of Education, and appropriating funds therefor.</w:t>
      </w:r>
      <w:r>
        <w:rPr>
          <w:rFonts w:ascii="Times New Roman" w:eastAsia="SimSun" w:hAnsi="Times New Roman" w:cs="Times New Roman"/>
          <w:sz w:val="24"/>
          <w:szCs w:val="24"/>
        </w:rPr>
        <w:t xml:space="preserve"> Official Gazette. Retrieved from </w:t>
      </w:r>
      <w:hyperlink r:id="rId35" w:history="1">
        <w:r>
          <w:rPr>
            <w:rStyle w:val="Hyperlink"/>
            <w:rFonts w:ascii="Times New Roman" w:eastAsia="SimSun" w:hAnsi="Times New Roman" w:cs="Times New Roman"/>
            <w:color w:val="auto"/>
            <w:sz w:val="24"/>
            <w:szCs w:val="24"/>
            <w:u w:val="none"/>
          </w:rPr>
          <w:t>https://</w:t>
        </w:r>
        <w:r>
          <w:rPr>
            <w:rStyle w:val="Hyperlink"/>
            <w:rFonts w:ascii="Times New Roman" w:eastAsia="SimSun" w:hAnsi="Times New Roman" w:cs="Times New Roman"/>
            <w:color w:val="auto"/>
            <w:sz w:val="24"/>
            <w:szCs w:val="24"/>
            <w:u w:val="none"/>
          </w:rPr>
          <w:t>lawphil.net/statutes/repacts/ra2024/ra_12080_2024.html</w:t>
        </w:r>
      </w:hyperlink>
    </w:p>
    <w:p w:rsidR="00AE16DF" w:rsidRDefault="00AE16DF">
      <w:pPr>
        <w:ind w:left="420" w:hanging="420"/>
        <w:jc w:val="both"/>
        <w:rPr>
          <w:rFonts w:ascii="Times New Roman" w:eastAsia="SimSun" w:hAnsi="Times New Roman" w:cs="Times New Roman"/>
          <w:sz w:val="24"/>
          <w:szCs w:val="24"/>
          <w:lang w:bidi="ar"/>
        </w:rPr>
      </w:pPr>
    </w:p>
    <w:p w:rsidR="00AE16DF" w:rsidRDefault="004116DF">
      <w:pPr>
        <w:ind w:left="420" w:hanging="4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Talidong, K. J. B., &amp; Toquero, C. M. D. (2020). Philippine Teachers’ Practices to Deal with Anxiety amid COVID-19. </w:t>
      </w:r>
      <w:r>
        <w:rPr>
          <w:rFonts w:ascii="Times New Roman" w:eastAsia="SimSun" w:hAnsi="Times New Roman" w:cs="Times New Roman"/>
          <w:i/>
          <w:iCs/>
          <w:sz w:val="24"/>
          <w:szCs w:val="24"/>
          <w:lang w:bidi="ar"/>
        </w:rPr>
        <w:t>Journal of Loss and Trauma</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25</w:t>
      </w:r>
      <w:r>
        <w:rPr>
          <w:rFonts w:ascii="Times New Roman" w:eastAsia="SimSun" w:hAnsi="Times New Roman" w:cs="Times New Roman"/>
          <w:sz w:val="24"/>
          <w:szCs w:val="24"/>
          <w:lang w:bidi="ar"/>
        </w:rPr>
        <w:t xml:space="preserve">(6–7), 573–579. </w:t>
      </w:r>
      <w:hyperlink r:id="rId36" w:history="1">
        <w:r>
          <w:rPr>
            <w:rStyle w:val="Hyperlink"/>
            <w:rFonts w:ascii="Times New Roman" w:eastAsia="SimSun" w:hAnsi="Times New Roman" w:cs="Times New Roman"/>
            <w:color w:val="auto"/>
            <w:sz w:val="24"/>
            <w:szCs w:val="24"/>
            <w:u w:val="none"/>
          </w:rPr>
          <w:t>https://doi.org/10.1080/15325024.2020.1759225</w:t>
        </w:r>
      </w:hyperlink>
    </w:p>
    <w:p w:rsidR="00AE16DF" w:rsidRDefault="00AE16DF">
      <w:pPr>
        <w:jc w:val="both"/>
        <w:rPr>
          <w:rFonts w:ascii="Times New Roman" w:hAnsi="Times New Roman" w:cs="Times New Roman"/>
          <w:b/>
          <w:bCs/>
          <w:sz w:val="24"/>
          <w:szCs w:val="24"/>
          <w:lang w:val="en-PH"/>
        </w:rPr>
      </w:pPr>
    </w:p>
    <w:p w:rsidR="00AE16DF" w:rsidRDefault="004116DF">
      <w:pPr>
        <w:jc w:val="both"/>
        <w:rPr>
          <w:rFonts w:ascii="Times New Roman" w:hAnsi="Times New Roman" w:cs="Times New Roman"/>
          <w:sz w:val="24"/>
          <w:szCs w:val="24"/>
        </w:rPr>
        <w:sectPr w:rsidR="00AE16DF">
          <w:pgSz w:w="12240" w:h="15840"/>
          <w:pgMar w:top="1440" w:right="1440" w:bottom="1440" w:left="1440" w:header="720" w:footer="720" w:gutter="0"/>
          <w:cols w:space="0"/>
          <w:docGrid w:linePitch="360"/>
        </w:sectPr>
      </w:pPr>
      <w:r>
        <w:rPr>
          <w:rFonts w:ascii="Times New Roman" w:eastAsia="SimSun" w:hAnsi="Times New Roman" w:cs="Times New Roman"/>
          <w:color w:val="2E2E2E"/>
          <w:sz w:val="24"/>
          <w:szCs w:val="24"/>
          <w:shd w:val="clear" w:color="auto" w:fill="FFFFFF"/>
        </w:rPr>
        <w:t xml:space="preserve">Weathers, F.W., Litz, B.T., Keane, T.M., Palmieri, P.A., Marx, B.P., &amp; Schnurr, </w:t>
      </w:r>
      <w:r>
        <w:rPr>
          <w:rFonts w:ascii="Times New Roman" w:eastAsia="SimSun" w:hAnsi="Times New Roman" w:cs="Times New Roman"/>
          <w:color w:val="2E2E2E"/>
          <w:sz w:val="24"/>
          <w:szCs w:val="24"/>
          <w:shd w:val="clear" w:color="auto" w:fill="FFFFFF"/>
          <w:lang w:val="en-PH"/>
        </w:rPr>
        <w:tab/>
      </w:r>
      <w:r>
        <w:rPr>
          <w:rFonts w:ascii="Times New Roman" w:eastAsia="SimSun" w:hAnsi="Times New Roman" w:cs="Times New Roman"/>
          <w:color w:val="2E2E2E"/>
          <w:sz w:val="24"/>
          <w:szCs w:val="24"/>
          <w:shd w:val="clear" w:color="auto" w:fill="FFFFFF"/>
        </w:rPr>
        <w:t xml:space="preserve">P.P. </w:t>
      </w:r>
      <w:r>
        <w:rPr>
          <w:rFonts w:ascii="Times New Roman" w:eastAsia="SimSun" w:hAnsi="Times New Roman" w:cs="Times New Roman"/>
          <w:color w:val="2E2E2E"/>
          <w:sz w:val="24"/>
          <w:szCs w:val="24"/>
          <w:shd w:val="clear" w:color="auto" w:fill="FFFFFF"/>
          <w:lang w:val="en-PH"/>
        </w:rPr>
        <w:tab/>
      </w:r>
      <w:r>
        <w:rPr>
          <w:rFonts w:ascii="Times New Roman" w:eastAsia="SimSun" w:hAnsi="Times New Roman" w:cs="Times New Roman"/>
          <w:color w:val="2E2E2E"/>
          <w:sz w:val="24"/>
          <w:szCs w:val="24"/>
          <w:shd w:val="clear" w:color="auto" w:fill="FFFFFF"/>
        </w:rPr>
        <w:t>(2013). The PTSD Checklist for </w:t>
      </w:r>
      <w:r>
        <w:rPr>
          <w:rStyle w:val="Emphasis"/>
          <w:rFonts w:ascii="Times New Roman" w:eastAsia="SimSun" w:hAnsi="Times New Roman" w:cs="Times New Roman"/>
          <w:color w:val="2E2E2E"/>
          <w:sz w:val="24"/>
          <w:szCs w:val="24"/>
          <w:shd w:val="clear" w:color="auto" w:fill="FFFFFF"/>
        </w:rPr>
        <w:t>DSM-5</w:t>
      </w:r>
      <w:r>
        <w:rPr>
          <w:rFonts w:ascii="Times New Roman" w:eastAsia="SimSun" w:hAnsi="Times New Roman" w:cs="Times New Roman"/>
          <w:color w:val="2E2E2E"/>
          <w:sz w:val="24"/>
          <w:szCs w:val="24"/>
          <w:shd w:val="clear" w:color="auto" w:fill="FFFFFF"/>
        </w:rPr>
        <w:t xml:space="preserve"> (PCL-5). Scale available from </w:t>
      </w:r>
      <w:r>
        <w:rPr>
          <w:rFonts w:ascii="Times New Roman" w:eastAsia="SimSun" w:hAnsi="Times New Roman" w:cs="Times New Roman"/>
          <w:color w:val="2E2E2E"/>
          <w:sz w:val="24"/>
          <w:szCs w:val="24"/>
          <w:shd w:val="clear" w:color="auto" w:fill="FFFFFF"/>
          <w:lang w:val="en-PH"/>
        </w:rPr>
        <w:tab/>
      </w:r>
      <w:r>
        <w:rPr>
          <w:rFonts w:ascii="Times New Roman" w:eastAsia="SimSun" w:hAnsi="Times New Roman" w:cs="Times New Roman"/>
          <w:color w:val="2E2E2E"/>
          <w:sz w:val="24"/>
          <w:szCs w:val="24"/>
          <w:shd w:val="clear" w:color="auto" w:fill="FFFFFF"/>
        </w:rPr>
        <w:t xml:space="preserve">the </w:t>
      </w:r>
      <w:r>
        <w:rPr>
          <w:rFonts w:ascii="Times New Roman" w:eastAsia="SimSun" w:hAnsi="Times New Roman" w:cs="Times New Roman"/>
          <w:color w:val="2E2E2E"/>
          <w:sz w:val="24"/>
          <w:szCs w:val="24"/>
          <w:shd w:val="clear" w:color="auto" w:fill="FFFFFF"/>
          <w:lang w:val="en-PH"/>
        </w:rPr>
        <w:tab/>
      </w:r>
      <w:r>
        <w:rPr>
          <w:rFonts w:ascii="Times New Roman" w:eastAsia="SimSun" w:hAnsi="Times New Roman" w:cs="Times New Roman"/>
          <w:color w:val="2E2E2E"/>
          <w:sz w:val="24"/>
          <w:szCs w:val="24"/>
          <w:shd w:val="clear" w:color="auto" w:fill="FFFFFF"/>
        </w:rPr>
        <w:t xml:space="preserve">National Center </w:t>
      </w:r>
      <w:r>
        <w:rPr>
          <w:rFonts w:ascii="Times New Roman" w:eastAsia="SimSun" w:hAnsi="Times New Roman" w:cs="Times New Roman"/>
          <w:color w:val="2E2E2E"/>
          <w:sz w:val="24"/>
          <w:szCs w:val="24"/>
          <w:shd w:val="clear" w:color="auto" w:fill="FFFFFF"/>
        </w:rPr>
        <w:t>for PTSD at</w:t>
      </w:r>
      <w:r>
        <w:rPr>
          <w:rFonts w:ascii="Times New Roman" w:eastAsia="SimSun" w:hAnsi="Times New Roman" w:cs="Times New Roman"/>
          <w:sz w:val="24"/>
          <w:szCs w:val="24"/>
          <w:shd w:val="clear" w:color="auto" w:fill="FFFFFF"/>
        </w:rPr>
        <w:t> </w:t>
      </w:r>
      <w:hyperlink r:id="rId37" w:history="1">
        <w:r>
          <w:rPr>
            <w:rStyle w:val="Hyperlink"/>
            <w:rFonts w:ascii="Times New Roman" w:eastAsia="SimSun" w:hAnsi="Times New Roman" w:cs="Times New Roman"/>
            <w:color w:val="auto"/>
            <w:sz w:val="24"/>
            <w:szCs w:val="24"/>
            <w:u w:val="none"/>
            <w:shd w:val="clear" w:color="auto" w:fill="FFFFFF"/>
          </w:rPr>
          <w:t>www.ptsd.va.gov</w:t>
        </w:r>
      </w:hyperlink>
    </w:p>
    <w:p w:rsidR="00AE16DF" w:rsidRDefault="00AE16DF"/>
    <w:sectPr w:rsidR="00AE16DF">
      <w:pgSz w:w="12240" w:h="15840"/>
      <w:pgMar w:top="1440" w:right="1440" w:bottom="1440" w:left="144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25A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16DF"/>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16D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DA30CA9"/>
    <w:rsid w:val="33725A54"/>
    <w:rsid w:val="4EDD1863"/>
    <w:rsid w:val="63F8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qFormat="0"/>
    <w:lsdException w:name="toc 3" w:qFormat="0"/>
    <w:lsdException w:name="caption" w:semiHidden="1" w:unhideWhenUsed="1"/>
    <w:lsdException w:name="Default Paragraph Font" w:semiHidden="1"/>
    <w:lsdException w:name="Body Text" w:qFormat="0"/>
    <w:lsdException w:name="Body Text First Indent 2" w:qFormat="0"/>
    <w:lsdException w:name="HTML Top of Form" w:semiHidden="1" w:uiPriority="99" w:unhideWhenUsed="1" w:qFormat="0"/>
    <w:lsdException w:name="HTML Bottom of Form" w:semiHidden="1" w:uiPriority="99" w:unhideWhenUsed="1"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List 8" w:qFormat="0"/>
    <w:lsdException w:name="Table Subtle 2" w:qFormat="0"/>
    <w:lsdException w:name="Table Web 2" w:qFormat="0"/>
    <w:lsdException w:name="Table Web 3" w:qFormat="0"/>
    <w:lsdException w:name="Table Theme"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qFormat="0"/>
    <w:lsdException w:name="Light Grid Accent 2" w:uiPriority="62" w:qFormat="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qFormat="0"/>
    <w:lsdException w:name="Dark List Accent 3" w:uiPriority="70" w:qFormat="0"/>
    <w:lsdException w:name="Colorful Shading Accent 3" w:uiPriority="71" w:qFormat="0"/>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0"/>
    <w:lsdException w:name="Medium Shading 1 Accent 4" w:uiPriority="63"/>
    <w:lsdException w:name="Medium Shading 2 Accent 4" w:uiPriority="64"/>
    <w:lsdException w:name="Medium List 1 Accent 4" w:uiPriority="65" w:qFormat="0"/>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0"/>
    <w:lsdException w:name="Medium Shading 1 Accent 5" w:uiPriority="63" w:qFormat="0"/>
    <w:lsdException w:name="Medium Shading 2 Accent 5" w:uiPriority="64"/>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qFormat="0"/>
    <w:lsdException w:name="toc 3" w:qFormat="0"/>
    <w:lsdException w:name="caption" w:semiHidden="1" w:unhideWhenUsed="1"/>
    <w:lsdException w:name="Default Paragraph Font" w:semiHidden="1"/>
    <w:lsdException w:name="Body Text" w:qFormat="0"/>
    <w:lsdException w:name="Body Text First Indent 2" w:qFormat="0"/>
    <w:lsdException w:name="HTML Top of Form" w:semiHidden="1" w:uiPriority="99" w:unhideWhenUsed="1" w:qFormat="0"/>
    <w:lsdException w:name="HTML Bottom of Form" w:semiHidden="1" w:uiPriority="99" w:unhideWhenUsed="1"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List 8" w:qFormat="0"/>
    <w:lsdException w:name="Table Subtle 2" w:qFormat="0"/>
    <w:lsdException w:name="Table Web 2" w:qFormat="0"/>
    <w:lsdException w:name="Table Web 3" w:qFormat="0"/>
    <w:lsdException w:name="Table Theme"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qFormat="0"/>
    <w:lsdException w:name="Light Grid Accent 2" w:uiPriority="62" w:qFormat="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qFormat="0"/>
    <w:lsdException w:name="Dark List Accent 3" w:uiPriority="70" w:qFormat="0"/>
    <w:lsdException w:name="Colorful Shading Accent 3" w:uiPriority="71" w:qFormat="0"/>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0"/>
    <w:lsdException w:name="Medium Shading 1 Accent 4" w:uiPriority="63"/>
    <w:lsdException w:name="Medium Shading 2 Accent 4" w:uiPriority="64"/>
    <w:lsdException w:name="Medium List 1 Accent 4" w:uiPriority="65" w:qFormat="0"/>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0"/>
    <w:lsdException w:name="Medium Shading 1 Accent 5" w:uiPriority="63" w:qFormat="0"/>
    <w:lsdException w:name="Medium Shading 2 Accent 5" w:uiPriority="64"/>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55/2015/825925" TargetMode="External"/><Relationship Id="rId18" Type="http://schemas.openxmlformats.org/officeDocument/2006/relationships/hyperlink" Target="https://doi.org/10.1016/S0005-7967(99)00123-0" TargetMode="External"/><Relationship Id="rId26" Type="http://schemas.openxmlformats.org/officeDocument/2006/relationships/hyperlink" Target="https://legacy.senate.gov.ph/lisdata/4014236574!.pdf" TargetMode="External"/><Relationship Id="rId39" Type="http://schemas.openxmlformats.org/officeDocument/2006/relationships/theme" Target="theme/theme1.xml"/><Relationship Id="rId21" Type="http://schemas.openxmlformats.org/officeDocument/2006/relationships/hyperlink" Target="https://doi.org/10.13140/RG.2.1.3094.0001" TargetMode="External"/><Relationship Id="rId34" Type="http://schemas.openxmlformats.org/officeDocument/2006/relationships/hyperlink" Target="https://doi.org/10.33015/dominican.edu/2024.EDU.03" TargetMode="External"/><Relationship Id="rId7" Type="http://schemas.openxmlformats.org/officeDocument/2006/relationships/hyperlink" Target="https://doi.org/10.3390/ijerph191710706" TargetMode="External"/><Relationship Id="rId12" Type="http://schemas.openxmlformats.org/officeDocument/2006/relationships/hyperlink" Target="https://doi.org/10.1007/s12310-025-09794-7" TargetMode="External"/><Relationship Id="rId17" Type="http://schemas.openxmlformats.org/officeDocument/2006/relationships/hyperlink" Target="https://doi.org/10.17311/sciintl.2025.13.20" TargetMode="External"/><Relationship Id="rId25" Type="http://schemas.openxmlformats.org/officeDocument/2006/relationships/hyperlink" Target="https://doi.org/10.1016/j.janxdis.2018.03.004" TargetMode="External"/><Relationship Id="rId33" Type="http://schemas.openxmlformats.org/officeDocument/2006/relationships/hyperlink" Target="https://doi.org/10.1192/j.eurpsy.2023.10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40359-024-02071-3" TargetMode="External"/><Relationship Id="rId20" Type="http://schemas.openxmlformats.org/officeDocument/2006/relationships/hyperlink" Target="https://doi.org/10.5861/ijrsm.2023.1147" TargetMode="External"/><Relationship Id="rId29" Type="http://schemas.openxmlformats.org/officeDocument/2006/relationships/hyperlink" Target="https://doi.org/10.1002/wps.203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0749-5978(91)90022-L" TargetMode="External"/><Relationship Id="rId24" Type="http://schemas.openxmlformats.org/officeDocument/2006/relationships/hyperlink" Target="https://doi.org/10.1093/applin/amv034" TargetMode="External"/><Relationship Id="rId32" Type="http://schemas.openxmlformats.org/officeDocument/2006/relationships/hyperlink" Target="https://doi.org/10.1111/ap.12465" TargetMode="External"/><Relationship Id="rId37" Type="http://schemas.openxmlformats.org/officeDocument/2006/relationships/hyperlink" Target="https://www.ptsd.va.gov/" TargetMode="External"/><Relationship Id="rId5" Type="http://schemas.openxmlformats.org/officeDocument/2006/relationships/settings" Target="settings.xml"/><Relationship Id="rId15" Type="http://schemas.openxmlformats.org/officeDocument/2006/relationships/hyperlink" Target="https://doi.org/10.1186/s40359-024-01930-3" TargetMode="External"/><Relationship Id="rId23" Type="http://schemas.openxmlformats.org/officeDocument/2006/relationships/hyperlink" Target="https://https:/ijsmr.in/vol-5-issue-1/work-attitude-and-performance-of-elementary-school-teachers-in-the-city-division-of-san-carlos/" TargetMode="External"/><Relationship Id="rId28" Type="http://schemas.openxmlformats.org/officeDocument/2006/relationships/hyperlink" Target="https://doi.org/10.3390/ijerph182312760" TargetMode="External"/><Relationship Id="rId36" Type="http://schemas.openxmlformats.org/officeDocument/2006/relationships/hyperlink" Target="https://doi.org/10.1080/15325024.2020.1759225" TargetMode="External"/><Relationship Id="rId10" Type="http://schemas.openxmlformats.org/officeDocument/2006/relationships/hyperlink" Target="https://doi.org/10.56709/mesman.v3i3.554" TargetMode="External"/><Relationship Id="rId19" Type="http://schemas.openxmlformats.org/officeDocument/2006/relationships/hyperlink" Target="https://doi.org/10.3389/fpsyg.2023.1276431" TargetMode="External"/><Relationship Id="rId31" Type="http://schemas.openxmlformats.org/officeDocument/2006/relationships/hyperlink" Target="https://doi.org/10.1101/2021.04.22.21254017" TargetMode="External"/><Relationship Id="rId4" Type="http://schemas.microsoft.com/office/2007/relationships/stylesWithEffects" Target="stylesWithEffects.xml"/><Relationship Id="rId9" Type="http://schemas.openxmlformats.org/officeDocument/2006/relationships/hyperlink" Target="https://doi.org/10.1155/2023/2026971" TargetMode="External"/><Relationship Id="rId14" Type="http://schemas.openxmlformats.org/officeDocument/2006/relationships/hyperlink" Target="https://doi.org/10.9734/ajess/2023/v43i2935" TargetMode="External"/><Relationship Id="rId22" Type="http://schemas.openxmlformats.org/officeDocument/2006/relationships/hyperlink" Target="https://doi.org/10.1016/j.jad.2018.08.080" TargetMode="External"/><Relationship Id="rId27" Type="http://schemas.openxmlformats.org/officeDocument/2006/relationships/hyperlink" Target="https://doi.org/10.13189/ujp.2021.090201" TargetMode="External"/><Relationship Id="rId30" Type="http://schemas.openxmlformats.org/officeDocument/2006/relationships/hyperlink" Target="https://www.who.int/news-room/fact-sheets/detail/mental-health-strengthening-our-response" TargetMode="External"/><Relationship Id="rId35" Type="http://schemas.openxmlformats.org/officeDocument/2006/relationships/hyperlink" Target="https://lawphil.net/statutes/repacts/ra2024/ra_12080_2024.html" TargetMode="External"/><Relationship Id="rId8" Type="http://schemas.openxmlformats.org/officeDocument/2006/relationships/hyperlink" Target="https://www.ncbi.nlm.nih.gov/books/NBK559031/"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5854</Words>
  <Characters>33370</Characters>
  <Application>Microsoft Office Word</Application>
  <DocSecurity>0</DocSecurity>
  <Lines>278</Lines>
  <Paragraphs>78</Paragraphs>
  <ScaleCrop>false</ScaleCrop>
  <Company/>
  <LinksUpToDate>false</LinksUpToDate>
  <CharactersWithSpaces>39146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mechelle mea josol</dc:creator>
  <cp:lastModifiedBy>qwert</cp:lastModifiedBy>
  <cp:revision>2</cp:revision>
  <dcterms:created xsi:type="dcterms:W3CDTF">2026-04-30T06:52:00Z</dcterms:created>
  <dcterms:modified xsi:type="dcterms:W3CDTF">2026-05-01T11:03:00Z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4424656901FF441F9C59C47C12BBA7AC_11</vt:lpwstr>
  </property>
  <property fmtid="{D5CDD505-2E9C-101B-9397-08002B2CF9AE}" pid="4" name="KSOTemplateDocerSaveRecord">
    <vt:lpwstr>eyJoZGlkIjoiOTA4YjQ1OTNmOTQzNWFhMDQyZGUwYzQxNDAzYjQ3MTgiLCJ1c2VySWQiOiI2ODcxOTY5MDczNTMifQ==</vt:lpwstr>
  </property>
</Properties>
</file>