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A8" w:rsidRPr="00E14B7D" w:rsidRDefault="00684F9A" w:rsidP="00706F89">
      <w:pPr>
        <w:jc w:val="center"/>
        <w:rPr>
          <w:b/>
        </w:rPr>
      </w:pPr>
      <w:r w:rsidRPr="00E14B7D">
        <w:rPr>
          <w:b/>
        </w:rPr>
        <w:t>Artificial Intelligence and Academic Legitimacy: Reconceptualizing Originality, Authorship, and Ethical Use in Education</w:t>
      </w:r>
    </w:p>
    <w:p w:rsidR="00684F9A" w:rsidRDefault="00706F89">
      <w:bookmarkStart w:id="0" w:name="_GoBack"/>
      <w:bookmarkEnd w:id="0"/>
      <w:r w:rsidRPr="00E14B7D">
        <w:rPr>
          <w:b/>
        </w:rPr>
        <w:t>Abstract</w:t>
      </w:r>
    </w:p>
    <w:p w:rsidR="00703D5C" w:rsidRDefault="00703D5C" w:rsidP="0069787C">
      <w:pPr>
        <w:jc w:val="both"/>
        <w:rPr>
          <w:rFonts w:cs="Times New Roman"/>
        </w:rPr>
      </w:pPr>
      <w:r>
        <w:rPr>
          <w:rFonts w:cs="Times New Roman"/>
        </w:rPr>
        <w:t>The adoption of a</w:t>
      </w:r>
      <w:r w:rsidRPr="00385E64">
        <w:rPr>
          <w:rFonts w:cs="Times New Roman"/>
        </w:rPr>
        <w:t xml:space="preserve">rtificial </w:t>
      </w:r>
      <w:r>
        <w:rPr>
          <w:rFonts w:cs="Times New Roman"/>
        </w:rPr>
        <w:t>i</w:t>
      </w:r>
      <w:r w:rsidRPr="00385E64">
        <w:rPr>
          <w:rFonts w:cs="Times New Roman"/>
        </w:rPr>
        <w:t xml:space="preserve">ntelligence (AI) is rapidly </w:t>
      </w:r>
      <w:r>
        <w:rPr>
          <w:rFonts w:cs="Times New Roman"/>
        </w:rPr>
        <w:t>spreading</w:t>
      </w:r>
      <w:r w:rsidRPr="00385E64">
        <w:rPr>
          <w:rFonts w:cs="Times New Roman"/>
        </w:rPr>
        <w:t xml:space="preserve"> </w:t>
      </w:r>
      <w:r>
        <w:rPr>
          <w:rFonts w:cs="Times New Roman"/>
        </w:rPr>
        <w:t>across various industries, including</w:t>
      </w:r>
      <w:r w:rsidRPr="00385E64">
        <w:rPr>
          <w:rFonts w:cs="Times New Roman"/>
        </w:rPr>
        <w:t xml:space="preserve"> engineering, medicine, and </w:t>
      </w:r>
      <w:r>
        <w:rPr>
          <w:rFonts w:cs="Times New Roman"/>
        </w:rPr>
        <w:t>manufacturing.</w:t>
      </w:r>
      <w:r w:rsidRPr="00385E64">
        <w:rPr>
          <w:rFonts w:cs="Times New Roman"/>
        </w:rPr>
        <w:t xml:space="preserve"> However, there is still considerable debate regarding the legality and legitimacy of using AI</w:t>
      </w:r>
      <w:r>
        <w:rPr>
          <w:rFonts w:cs="Times New Roman"/>
        </w:rPr>
        <w:t>-</w:t>
      </w:r>
      <w:r w:rsidRPr="00385E64">
        <w:rPr>
          <w:rFonts w:cs="Times New Roman"/>
        </w:rPr>
        <w:t>based technologies in educational setting</w:t>
      </w:r>
      <w:r>
        <w:rPr>
          <w:rFonts w:cs="Times New Roman"/>
        </w:rPr>
        <w:t>s</w:t>
      </w:r>
      <w:r w:rsidRPr="00385E64">
        <w:rPr>
          <w:rFonts w:cs="Times New Roman"/>
        </w:rPr>
        <w:t xml:space="preserve">. </w:t>
      </w:r>
      <w:r>
        <w:rPr>
          <w:rFonts w:cs="Times New Roman"/>
        </w:rPr>
        <w:t>T</w:t>
      </w:r>
      <w:r w:rsidRPr="00385E64">
        <w:rPr>
          <w:rFonts w:cs="Times New Roman"/>
        </w:rPr>
        <w:t xml:space="preserve">he </w:t>
      </w:r>
      <w:r>
        <w:rPr>
          <w:rFonts w:cs="Times New Roman"/>
        </w:rPr>
        <w:t>use</w:t>
      </w:r>
      <w:r w:rsidRPr="00385E64">
        <w:rPr>
          <w:rFonts w:cs="Times New Roman"/>
        </w:rPr>
        <w:t xml:space="preserve"> of AI </w:t>
      </w:r>
      <w:r>
        <w:rPr>
          <w:rFonts w:cs="Times New Roman"/>
        </w:rPr>
        <w:t xml:space="preserve">is generally perceived </w:t>
      </w:r>
      <w:r w:rsidRPr="00385E64">
        <w:rPr>
          <w:rFonts w:cs="Times New Roman"/>
        </w:rPr>
        <w:t>as a positive thing as far as boosting and enhancing human capabilities in technical and applied disciplines</w:t>
      </w:r>
      <w:r>
        <w:rPr>
          <w:rFonts w:cs="Times New Roman"/>
        </w:rPr>
        <w:t>. Nevertheless</w:t>
      </w:r>
      <w:r w:rsidRPr="00385E64">
        <w:rPr>
          <w:rFonts w:cs="Times New Roman"/>
        </w:rPr>
        <w:t>, there are also many who believe that integrating AI into acade</w:t>
      </w:r>
      <w:r>
        <w:rPr>
          <w:rFonts w:cs="Times New Roman"/>
        </w:rPr>
        <w:t>mic or scholarly activities</w:t>
      </w:r>
      <w:r w:rsidRPr="00385E64">
        <w:rPr>
          <w:rFonts w:cs="Times New Roman"/>
        </w:rPr>
        <w:t xml:space="preserve"> will compromise originality, authorship, and academic integrity. This article presents an</w:t>
      </w:r>
      <w:r>
        <w:rPr>
          <w:rFonts w:cs="Times New Roman"/>
        </w:rPr>
        <w:t xml:space="preserve"> in-depth theoretical analysis and literature review</w:t>
      </w:r>
      <w:r w:rsidRPr="00385E64">
        <w:rPr>
          <w:rFonts w:cs="Times New Roman"/>
        </w:rPr>
        <w:t xml:space="preserve"> of over 100 years of scholarly </w:t>
      </w:r>
      <w:r>
        <w:rPr>
          <w:rFonts w:cs="Times New Roman"/>
        </w:rPr>
        <w:t>publications</w:t>
      </w:r>
      <w:r w:rsidRPr="00385E64">
        <w:rPr>
          <w:rFonts w:cs="Times New Roman"/>
        </w:rPr>
        <w:t xml:space="preserve"> in education, philosophy, and technology studies to provide a better understanding of what has occurred to cause this disparity. It </w:t>
      </w:r>
      <w:r>
        <w:rPr>
          <w:rFonts w:cs="Times New Roman"/>
        </w:rPr>
        <w:t>shows how the</w:t>
      </w:r>
      <w:r w:rsidRPr="00385E64">
        <w:rPr>
          <w:rFonts w:cs="Times New Roman"/>
        </w:rPr>
        <w:t xml:space="preserve"> resistance to AI </w:t>
      </w:r>
      <w:r>
        <w:rPr>
          <w:rFonts w:cs="Times New Roman"/>
        </w:rPr>
        <w:t xml:space="preserve">integration into academia </w:t>
      </w:r>
      <w:r w:rsidRPr="00385E64">
        <w:rPr>
          <w:rFonts w:cs="Times New Roman"/>
        </w:rPr>
        <w:t xml:space="preserve">is driven by epistemological views of authorship, knowledge production, and learning that </w:t>
      </w:r>
      <w:r w:rsidR="00A64AF8">
        <w:rPr>
          <w:rFonts w:cs="Times New Roman"/>
        </w:rPr>
        <w:t>may soon</w:t>
      </w:r>
      <w:r w:rsidRPr="00385E64">
        <w:rPr>
          <w:rFonts w:cs="Times New Roman"/>
        </w:rPr>
        <w:t xml:space="preserve"> become obsolete. This paper proposes that originality be recast as being conceptual rather than textual and establishes a foundational framework to ethically incorporate AI into education according to concepts</w:t>
      </w:r>
      <w:r w:rsidR="00B23F77">
        <w:rPr>
          <w:rFonts w:cs="Times New Roman"/>
        </w:rPr>
        <w:t>,</w:t>
      </w:r>
      <w:r w:rsidRPr="00385E64">
        <w:rPr>
          <w:rFonts w:cs="Times New Roman"/>
        </w:rPr>
        <w:t xml:space="preserve"> such as intellectual ownership, transparency, and epistemic accountability. </w:t>
      </w:r>
      <w:r w:rsidR="00B23F77">
        <w:rPr>
          <w:rFonts w:cs="Times New Roman"/>
        </w:rPr>
        <w:t>T</w:t>
      </w:r>
      <w:r w:rsidR="00B23F77" w:rsidRPr="00385E64">
        <w:rPr>
          <w:rFonts w:cs="Times New Roman"/>
        </w:rPr>
        <w:t xml:space="preserve">he article </w:t>
      </w:r>
      <w:r w:rsidR="00B23F77">
        <w:rPr>
          <w:rFonts w:cs="Times New Roman"/>
        </w:rPr>
        <w:t xml:space="preserve">provides </w:t>
      </w:r>
      <w:r w:rsidR="00B23F77" w:rsidRPr="00385E64">
        <w:rPr>
          <w:rFonts w:cs="Times New Roman"/>
        </w:rPr>
        <w:t xml:space="preserve">recommendations </w:t>
      </w:r>
      <w:r w:rsidR="00B23F77">
        <w:rPr>
          <w:rFonts w:cs="Times New Roman"/>
        </w:rPr>
        <w:t>on policy</w:t>
      </w:r>
      <w:r w:rsidR="00B23F77" w:rsidRPr="00385E64">
        <w:rPr>
          <w:rFonts w:cs="Times New Roman"/>
        </w:rPr>
        <w:t xml:space="preserve"> and pedagogical implications for </w:t>
      </w:r>
      <w:r w:rsidR="00B23F77">
        <w:rPr>
          <w:rFonts w:cs="Times New Roman"/>
        </w:rPr>
        <w:t>educational institutions</w:t>
      </w:r>
      <w:r w:rsidR="00B23F77" w:rsidRPr="00385E64">
        <w:rPr>
          <w:rFonts w:cs="Times New Roman"/>
        </w:rPr>
        <w:t xml:space="preserve"> that are moving toward the integration of AI into learning environments.</w:t>
      </w:r>
    </w:p>
    <w:p w:rsidR="00F51BF8" w:rsidRDefault="00F51BF8">
      <w:pPr>
        <w:rPr>
          <w:rFonts w:cs="Times New Roman"/>
        </w:rPr>
      </w:pPr>
      <w:r>
        <w:rPr>
          <w:rFonts w:cs="Times New Roman"/>
        </w:rPr>
        <w:br w:type="page"/>
      </w:r>
    </w:p>
    <w:p w:rsidR="00F51BF8" w:rsidRDefault="00F9181B">
      <w:r>
        <w:rPr>
          <w:b/>
        </w:rPr>
        <w:lastRenderedPageBreak/>
        <w:t xml:space="preserve">1.0 </w:t>
      </w:r>
      <w:r w:rsidR="00F51BF8" w:rsidRPr="00F51BF8">
        <w:rPr>
          <w:b/>
        </w:rPr>
        <w:t>Introduction</w:t>
      </w:r>
    </w:p>
    <w:p w:rsidR="00C81BE6" w:rsidRDefault="0016223C" w:rsidP="00C81BE6">
      <w:pPr>
        <w:jc w:val="both"/>
        <w:rPr>
          <w:rFonts w:cs="Times New Roman"/>
        </w:rPr>
      </w:pPr>
      <w:r w:rsidRPr="0016223C">
        <w:rPr>
          <w:rFonts w:cs="Times New Roman"/>
        </w:rPr>
        <w:t>Although artificial intelligence (AI) initially served primarily as a specialized computer program, it now serves as a framework that supports various aspects of life. Many engineering processes are optimized using automated systems to develop product designs and create simulations of products and companies (Cimino et al., 2025). AI tools are adopted in healthcare to support various procedures, including diagnoses and the prediction of future health issues. Stakeholders in the finance industry also use AI for algorithmic trading and analyzing risk models (Olatunbosun &amp; Olatunbosun, 2025). Across the board, AI has gained traction with its use becoming increasingly necessary. However, the status of AI in academic settings, especially in higher education, is incredibly different. In many cases, Pikhart and Al-Obaydi (2025) indicate that AI is treated with suspicion and strict regulations or entirely prohibited in some instances. The creation of generative AI systems for learning and academic activities has led to many concerns about plagiarism, authorship, and diminishing intellectual integrity. This divergence raises a central question: why is AI embraced in knowledge-producing domains but resisted in knowledge-evaluating institutions?</w:t>
      </w:r>
    </w:p>
    <w:p w:rsidR="00F51BF8" w:rsidRDefault="00D30077" w:rsidP="00C81BE6">
      <w:pPr>
        <w:jc w:val="both"/>
        <w:rPr>
          <w:rFonts w:cs="Times New Roman"/>
        </w:rPr>
      </w:pPr>
      <w:r w:rsidRPr="00385E64">
        <w:rPr>
          <w:rFonts w:cs="Times New Roman"/>
        </w:rPr>
        <w:t xml:space="preserve">The paper argues that there is tension in academia </w:t>
      </w:r>
      <w:r w:rsidR="005D3EE5">
        <w:rPr>
          <w:rFonts w:cs="Times New Roman"/>
        </w:rPr>
        <w:t>about a</w:t>
      </w:r>
      <w:r w:rsidRPr="00385E64">
        <w:rPr>
          <w:rFonts w:cs="Times New Roman"/>
        </w:rPr>
        <w:t xml:space="preserve"> disconnect between academia’s understandings of authorship based on traditional academic processes and the technical realities of today due to technology. Traditional academic processes define authorship and originality based on ideas as being tied to text. </w:t>
      </w:r>
      <w:r w:rsidR="00C81BE6">
        <w:rPr>
          <w:rFonts w:cs="Times New Roman"/>
        </w:rPr>
        <w:t>In the context of AI</w:t>
      </w:r>
      <w:r w:rsidRPr="00385E64">
        <w:rPr>
          <w:rFonts w:cs="Times New Roman"/>
        </w:rPr>
        <w:t xml:space="preserve">, </w:t>
      </w:r>
      <w:r w:rsidR="00E477AA">
        <w:rPr>
          <w:rFonts w:cs="Times New Roman"/>
        </w:rPr>
        <w:t>ideas and texts</w:t>
      </w:r>
      <w:r w:rsidRPr="00385E64">
        <w:rPr>
          <w:rFonts w:cs="Times New Roman"/>
        </w:rPr>
        <w:t xml:space="preserve"> are disconnected because </w:t>
      </w:r>
      <w:r w:rsidR="00E477AA">
        <w:rPr>
          <w:rFonts w:cs="Times New Roman"/>
        </w:rPr>
        <w:t xml:space="preserve">Hwang et al. (2026) reveal that </w:t>
      </w:r>
      <w:r w:rsidRPr="00385E64">
        <w:rPr>
          <w:rFonts w:cs="Times New Roman"/>
        </w:rPr>
        <w:t>AI creates language from an idea through two distinct processes.</w:t>
      </w:r>
      <w:r w:rsidR="00C81BE6">
        <w:rPr>
          <w:rFonts w:cs="Times New Roman"/>
        </w:rPr>
        <w:t xml:space="preserve"> </w:t>
      </w:r>
      <w:r w:rsidRPr="00385E64">
        <w:rPr>
          <w:rFonts w:cs="Times New Roman"/>
        </w:rPr>
        <w:t>This paper argues that AI can be allowed in academic settings as long as humans generate the concept. The paper also develops an educational theory, philosophical theory of authorship, and ethical theories for AI to support its argument.</w:t>
      </w:r>
    </w:p>
    <w:p w:rsidR="009D5CDD" w:rsidRPr="00A21530" w:rsidRDefault="00F9181B" w:rsidP="00C81BE6">
      <w:pPr>
        <w:jc w:val="both"/>
        <w:rPr>
          <w:rFonts w:cs="Times New Roman"/>
          <w:b/>
        </w:rPr>
      </w:pPr>
      <w:r>
        <w:rPr>
          <w:rFonts w:cs="Times New Roman"/>
          <w:b/>
        </w:rPr>
        <w:lastRenderedPageBreak/>
        <w:t xml:space="preserve">2.0 </w:t>
      </w:r>
      <w:r w:rsidR="00A21530" w:rsidRPr="00A21530">
        <w:rPr>
          <w:rFonts w:cs="Times New Roman"/>
          <w:b/>
        </w:rPr>
        <w:t>Literature Review</w:t>
      </w:r>
    </w:p>
    <w:p w:rsidR="00A21530" w:rsidRPr="00F9181B" w:rsidRDefault="00F9181B" w:rsidP="00C81BE6">
      <w:pPr>
        <w:jc w:val="both"/>
        <w:rPr>
          <w:b/>
        </w:rPr>
      </w:pPr>
      <w:r w:rsidRPr="00F9181B">
        <w:rPr>
          <w:b/>
        </w:rPr>
        <w:t xml:space="preserve">2.1 </w:t>
      </w:r>
      <w:r w:rsidRPr="007C7E9C">
        <w:rPr>
          <w:rFonts w:cs="Times New Roman"/>
          <w:b/>
          <w:bCs/>
        </w:rPr>
        <w:t>Historical Foundations of Academic Integrity</w:t>
      </w:r>
    </w:p>
    <w:p w:rsidR="0016223C" w:rsidRDefault="0016223C" w:rsidP="0016223C">
      <w:pPr>
        <w:jc w:val="both"/>
      </w:pPr>
      <w:r>
        <w:t xml:space="preserve">Academic integrity has been a fundamental element of higher education throughout its history. The roots of academic integrity can be linked to ideas from the Enlightenment, including those related to authorship and ownership of knowledge (Aithal &amp; Srinivasan, 2024). The age of Enlightenment advanced the foundational belief that knowledge must be built on reason, empirical evidence, and individual accountability rather than tradition, dogma, or superstition. Vlasenko et al. (2024) identify the core values of academic integrity as honesty, trust, fairness, respect, responsibility, and courage. These values require students to submit original work, properly cite sources, and avoid cheating and plagiarism. Plagiarism involves the improper use of another individual's work. Therefore, credible academic work requires ownership of work, which should be informed by empirical evidence and reason. </w:t>
      </w:r>
    </w:p>
    <w:p w:rsidR="0016223C" w:rsidRDefault="0016223C" w:rsidP="0016223C">
      <w:pPr>
        <w:jc w:val="both"/>
      </w:pPr>
      <w:r>
        <w:t>With the advent of the printing press and the commercialization of authorship, the contemporary understanding of plagiarism developed. Studies from the 20th century have examined how complex plagiarism can be as an issue for students. Researchers such as Pecorari (2003) and Howard (1995) have shown that it is possible to consider many examples of plagiarism as being accidental rather than deliberate. Both researchers found evidence that many students experience developmental issues when developing their academic writing skills that can lead to incidents of plagiarism.</w:t>
      </w:r>
    </w:p>
    <w:p w:rsidR="0037088F" w:rsidRDefault="0016223C" w:rsidP="0016223C">
      <w:pPr>
        <w:jc w:val="both"/>
      </w:pPr>
      <w:r>
        <w:t xml:space="preserve">Advancements in digital technologies have complicated issues surrounding plagiarism. According to Ogunsuji and Fagbule (2020), the internet has transformed plagiarism from an activity that required much work to an easy activity. The academic community responded by adopting technologies to develop text-matching software, such as Turnitin, to detect plagiarism </w:t>
      </w:r>
      <w:r>
        <w:lastRenderedPageBreak/>
        <w:t>(Quiminales et al., 2023). Turnitin was assumed to be an ideal tool for showing the difference between original text and copied text. However, the emergence of AI in academia rendered such detection tools ineffective in revealing plagiarism.</w:t>
      </w:r>
    </w:p>
    <w:p w:rsidR="00E86169" w:rsidRPr="0037088F" w:rsidRDefault="00E86169" w:rsidP="00E86169">
      <w:pPr>
        <w:jc w:val="both"/>
        <w:rPr>
          <w:b/>
        </w:rPr>
      </w:pPr>
      <w:r w:rsidRPr="0037088F">
        <w:rPr>
          <w:b/>
        </w:rPr>
        <w:t>2.2 The Philosophy of Authorship and “The Death of the Author”</w:t>
      </w:r>
    </w:p>
    <w:p w:rsidR="0016223C" w:rsidRDefault="0016223C" w:rsidP="0016223C">
      <w:pPr>
        <w:jc w:val="both"/>
      </w:pPr>
      <w:r>
        <w:t>Theoretical discussions concerning authorship supply an indispensable framework for interpreting the impact of AI on society. Barthes (1967) stated that the author has died because he argued that meaning will not be given only by what the author created or intended. Meaning can also be derived through the reader, who constructs meaning based on their own personal experiences. Similarly, Michael Foucault, a philosopher, characterized 'the author function' as a social construction rather than as an intrinsic aspect of a text (Langyan, 2021). Therefore, meaning is subject to the larger contexts and cultural conventions in which texts are produced, as well as how readers link the texts to their lived experiences.</w:t>
      </w:r>
    </w:p>
    <w:p w:rsidR="00F9181B" w:rsidRDefault="0016223C" w:rsidP="0016223C">
      <w:pPr>
        <w:jc w:val="both"/>
      </w:pPr>
      <w:r>
        <w:t>These views question the idea that producing an author means having some regularity of being a unique creator to a degree of purity. According to KhosraviShakib (2012), every piece of written material is intertextual in and of itself. In other words, all written works borrow their ideas and words from others. AI is another instance of intertextuality since it produces new outputs through synthesizing large volumes of text. This raises the question of whether AI produces something distinct from human writing or simply presents the same basic processes in an overt manner.</w:t>
      </w:r>
    </w:p>
    <w:p w:rsidR="00AB34B7" w:rsidRPr="007C7E9C" w:rsidRDefault="00AB34B7" w:rsidP="00AB34B7">
      <w:pPr>
        <w:rPr>
          <w:rFonts w:cs="Times New Roman"/>
          <w:b/>
          <w:bCs/>
        </w:rPr>
      </w:pPr>
      <w:r w:rsidRPr="007C7E9C">
        <w:rPr>
          <w:rFonts w:cs="Times New Roman"/>
          <w:b/>
          <w:bCs/>
        </w:rPr>
        <w:t>2.3 AI in Education: Opportunities and Risks</w:t>
      </w:r>
    </w:p>
    <w:p w:rsidR="00AB34B7" w:rsidRPr="00385E64" w:rsidRDefault="0016223C" w:rsidP="00AB34B7">
      <w:pPr>
        <w:jc w:val="both"/>
        <w:rPr>
          <w:rFonts w:cs="Times New Roman"/>
        </w:rPr>
      </w:pPr>
      <w:r w:rsidRPr="0016223C">
        <w:rPr>
          <w:rFonts w:cs="Times New Roman"/>
        </w:rPr>
        <w:t xml:space="preserve">Numerous recent articles discuss the impact of AI on Education from different viewpoints. Many researchers, including Holmes and Tuomi (2022) and Amin et al. (2025), believe that AI could help revolutionize education with capabilities, such as personalization, adaptive learning, and better feedback mechanisms. Another group of scholars, including De Cremer and Kasparov </w:t>
      </w:r>
      <w:r w:rsidRPr="0016223C">
        <w:rPr>
          <w:rFonts w:cs="Times New Roman"/>
        </w:rPr>
        <w:lastRenderedPageBreak/>
        <w:t xml:space="preserve">(2021) and Mazurek (2025), believe that AI will supplement human intelligence instead of replacing it. Such views highlight our need to create a partnership between humans and AI to optimize the potential of humans and improve the quality of their lives. While some researchers see many benefits, others express concerns about the risks AI poses. Recently, Abubakar et al. (2025) identified over-dependence on using technology, lack of critical thinking, and lack of validity in measuring a child's ability through assessment as possible risks associated with the use of AI in Education. The same concerns are voiced by Vieriu and Petrea (2023) by stressing the need to be cautious when implementing new technologies in schools. The adoption of AI in education should be careful enough to assist learning without limiting the ability of learners to think critically </w:t>
      </w:r>
      <w:r w:rsidR="00DE6018">
        <w:rPr>
          <w:rFonts w:cs="Times New Roman"/>
        </w:rPr>
        <w:t>and execute tasks on their own.</w:t>
      </w:r>
      <w:r w:rsidR="00984094">
        <w:rPr>
          <w:rFonts w:cs="Times New Roman"/>
        </w:rPr>
        <w:t xml:space="preserve"> </w:t>
      </w:r>
    </w:p>
    <w:p w:rsidR="00AB34B7" w:rsidRPr="007C7E9C" w:rsidRDefault="00AB34B7" w:rsidP="00AB34B7">
      <w:pPr>
        <w:rPr>
          <w:rFonts w:cs="Times New Roman"/>
          <w:b/>
          <w:bCs/>
        </w:rPr>
      </w:pPr>
      <w:r w:rsidRPr="007C7E9C">
        <w:rPr>
          <w:rFonts w:cs="Times New Roman"/>
          <w:b/>
          <w:bCs/>
        </w:rPr>
        <w:t>2.4 AI and Academic Writing</w:t>
      </w:r>
    </w:p>
    <w:p w:rsidR="00DE6018" w:rsidRPr="00DE6018" w:rsidRDefault="00DE6018" w:rsidP="00DE6018">
      <w:pPr>
        <w:jc w:val="both"/>
        <w:rPr>
          <w:rFonts w:cs="Times New Roman"/>
        </w:rPr>
      </w:pPr>
      <w:r w:rsidRPr="00DE6018">
        <w:rPr>
          <w:rFonts w:cs="Times New Roman"/>
        </w:rPr>
        <w:t>The rise of generative AI has changed scholastic written communication. Research shows that AI-generated essays often look similar to human-written essays because AI tools mimic human abilities (Abubakar et al., 2025). It is increasingly becoming challenging to determine whether an essay has been generated by AI since Deep et al. (2025) report that detection tools are proven unreliable with high occurrences of false positives and false negatives. These inaccuracies threaten the ability of institutions to uphold established academic integrity policies. Research evidence also indicates that students utilize AI at different levels, from idea generation to complete dependence to write an essay (Vieriu &amp; Petrea, 2023). The multitude of ways students use AI complicates the classification of what is appropriate versus inappropriate use.</w:t>
      </w:r>
    </w:p>
    <w:p w:rsidR="00DE6018" w:rsidRPr="00DE6018" w:rsidRDefault="00DE6018" w:rsidP="00DE6018">
      <w:pPr>
        <w:jc w:val="both"/>
        <w:rPr>
          <w:rFonts w:cs="Times New Roman"/>
        </w:rPr>
      </w:pPr>
      <w:r w:rsidRPr="00DE6018">
        <w:rPr>
          <w:rFonts w:cs="Times New Roman"/>
        </w:rPr>
        <w:t xml:space="preserve">Educational theories provide a critical perspective on evaluating AI's role as a tool. Constructivist approaches focus on interaction with an environment during development, where children actively learn and create their own knowledge by constructing new understanding of </w:t>
      </w:r>
      <w:r w:rsidRPr="00DE6018">
        <w:rPr>
          <w:rFonts w:cs="Times New Roman"/>
        </w:rPr>
        <w:lastRenderedPageBreak/>
        <w:t>things around them (Deep et al., 2025). Given this viewpoint, the question becomes "How does AI help support cognitive engagement and help understand learning?" If AI can assist me in developing my cognitive abilities by enhancing or improving my comprehension process, it will likely enhance my learning experiences. On the other hand, Abubakar et al. (2025) argue that AI could also undermine learning by reducing learners’ cognitive effort since they do not have to exert as much energy to better understand something as they could have without AI.</w:t>
      </w:r>
    </w:p>
    <w:p w:rsidR="00AB34B7" w:rsidRDefault="00DE6018" w:rsidP="00DE6018">
      <w:pPr>
        <w:jc w:val="both"/>
        <w:rPr>
          <w:rFonts w:cs="Times New Roman"/>
        </w:rPr>
      </w:pPr>
      <w:r w:rsidRPr="00DE6018">
        <w:rPr>
          <w:rFonts w:cs="Times New Roman"/>
        </w:rPr>
        <w:t>According to Veine et al. (2020), learning is about creating ideas through experience and reflection, not simply repeating the same thing over again. The rise of AI has resulted in many traditional assessment methods being challenged because of their emphasis on output versus process. Universities vary in their response to AI, with some imposing very strict restrictions and others adopting flexible and permissive policies requiring disclosure (Deep et al., 2025). This inconsistency indicates an absence of clarity in the theoretical basis underlying academic integrity and the use of AI. Hähnel and Müller (2025) and Munn (2023) reveal that there is very little theory that supports ethical frameworks for AI. However, there is a need for a framework to establish a balance between conduct and responsibility. Policies are primarily looking at the detection and enforcement processes of AI, exposing their ineffectiveness. Instead, policies should provide guidance on the integration of AI systems in the academic field.</w:t>
      </w:r>
    </w:p>
    <w:p w:rsidR="000F0841" w:rsidRPr="007C7E9C" w:rsidRDefault="000F0841" w:rsidP="000F0841">
      <w:pPr>
        <w:rPr>
          <w:rFonts w:cs="Times New Roman"/>
          <w:b/>
          <w:bCs/>
        </w:rPr>
      </w:pPr>
      <w:r w:rsidRPr="007C7E9C">
        <w:rPr>
          <w:rFonts w:cs="Times New Roman"/>
          <w:b/>
          <w:bCs/>
        </w:rPr>
        <w:t xml:space="preserve">3. Theoretical Framework </w:t>
      </w:r>
    </w:p>
    <w:p w:rsidR="000F0841" w:rsidRPr="007C7E9C" w:rsidRDefault="000F0841" w:rsidP="000F0841">
      <w:pPr>
        <w:rPr>
          <w:rFonts w:cs="Times New Roman"/>
          <w:b/>
          <w:bCs/>
        </w:rPr>
      </w:pPr>
      <w:r w:rsidRPr="007C7E9C">
        <w:rPr>
          <w:rFonts w:cs="Times New Roman"/>
          <w:b/>
          <w:bCs/>
        </w:rPr>
        <w:t xml:space="preserve">3.1 Conceptual versus Textual Originality </w:t>
      </w:r>
    </w:p>
    <w:p w:rsidR="000F0841" w:rsidRDefault="000F0841" w:rsidP="009978B5">
      <w:pPr>
        <w:jc w:val="both"/>
        <w:rPr>
          <w:rFonts w:cs="Times New Roman"/>
        </w:rPr>
      </w:pPr>
      <w:r w:rsidRPr="00385E64">
        <w:rPr>
          <w:rFonts w:cs="Times New Roman"/>
        </w:rPr>
        <w:t>In this paper, we make a fundamental distinction between</w:t>
      </w:r>
      <w:r>
        <w:rPr>
          <w:rFonts w:cs="Times New Roman"/>
        </w:rPr>
        <w:t xml:space="preserve"> t</w:t>
      </w:r>
      <w:r w:rsidRPr="00385E64">
        <w:rPr>
          <w:rFonts w:cs="Times New Roman"/>
        </w:rPr>
        <w:t xml:space="preserve">extual </w:t>
      </w:r>
      <w:r>
        <w:rPr>
          <w:rFonts w:cs="Times New Roman"/>
        </w:rPr>
        <w:t>o</w:t>
      </w:r>
      <w:r w:rsidRPr="00385E64">
        <w:rPr>
          <w:rFonts w:cs="Times New Roman"/>
        </w:rPr>
        <w:t>riginality</w:t>
      </w:r>
      <w:r>
        <w:rPr>
          <w:rFonts w:cs="Times New Roman"/>
        </w:rPr>
        <w:t xml:space="preserve"> and conceptual o</w:t>
      </w:r>
      <w:r w:rsidRPr="00385E64">
        <w:rPr>
          <w:rFonts w:cs="Times New Roman"/>
        </w:rPr>
        <w:t>riginality</w:t>
      </w:r>
      <w:r>
        <w:rPr>
          <w:rFonts w:cs="Times New Roman"/>
        </w:rPr>
        <w:t xml:space="preserve">. Textual originality refers to the </w:t>
      </w:r>
      <w:r w:rsidRPr="00385E64">
        <w:rPr>
          <w:rFonts w:cs="Times New Roman"/>
        </w:rPr>
        <w:t>uniqueness of the words</w:t>
      </w:r>
      <w:r w:rsidR="00DE6018">
        <w:rPr>
          <w:rFonts w:cs="Times New Roman"/>
        </w:rPr>
        <w:t>,</w:t>
      </w:r>
      <w:r w:rsidRPr="00385E64">
        <w:rPr>
          <w:rFonts w:cs="Times New Roman"/>
        </w:rPr>
        <w:t xml:space="preserve"> </w:t>
      </w:r>
      <w:r>
        <w:rPr>
          <w:rFonts w:cs="Times New Roman"/>
        </w:rPr>
        <w:t>while conceptual originality refers to t</w:t>
      </w:r>
      <w:r w:rsidRPr="00385E64">
        <w:rPr>
          <w:rFonts w:cs="Times New Roman"/>
        </w:rPr>
        <w:t>he newness of the ideas</w:t>
      </w:r>
      <w:r w:rsidR="00853824">
        <w:rPr>
          <w:rFonts w:cs="Times New Roman"/>
        </w:rPr>
        <w:t xml:space="preserve"> (</w:t>
      </w:r>
      <w:r w:rsidR="00853824" w:rsidRPr="00BE7890">
        <w:t>Al-Busaidi</w:t>
      </w:r>
      <w:r w:rsidR="00853824">
        <w:t xml:space="preserve"> et al., 2024)</w:t>
      </w:r>
      <w:r>
        <w:rPr>
          <w:rFonts w:cs="Times New Roman"/>
        </w:rPr>
        <w:t>.</w:t>
      </w:r>
      <w:r w:rsidRPr="00385E64">
        <w:rPr>
          <w:rFonts w:cs="Times New Roman"/>
        </w:rPr>
        <w:t xml:space="preserve"> The emphasis of traditional academic integrity frameworks has usually been on textual originality</w:t>
      </w:r>
      <w:r w:rsidR="00645627">
        <w:rPr>
          <w:rFonts w:cs="Times New Roman"/>
        </w:rPr>
        <w:t xml:space="preserve">. </w:t>
      </w:r>
      <w:r w:rsidR="00853824" w:rsidRPr="00BE7890">
        <w:t>Al-Busaidi</w:t>
      </w:r>
      <w:r w:rsidR="00853824">
        <w:t xml:space="preserve"> et al. (2024) contend </w:t>
      </w:r>
      <w:r w:rsidR="00853824">
        <w:lastRenderedPageBreak/>
        <w:t>that</w:t>
      </w:r>
      <w:r w:rsidRPr="00385E64">
        <w:rPr>
          <w:rFonts w:cs="Times New Roman"/>
        </w:rPr>
        <w:t xml:space="preserve"> textual originality will be significantly impacted by AI, while conceptual originality will remain largely unchanged.</w:t>
      </w:r>
      <w:r w:rsidR="00EA31B9">
        <w:rPr>
          <w:rFonts w:cs="Times New Roman"/>
        </w:rPr>
        <w:t xml:space="preserve"> Therefore, </w:t>
      </w:r>
      <w:r w:rsidR="002D69C6">
        <w:rPr>
          <w:rFonts w:cs="Times New Roman"/>
        </w:rPr>
        <w:t>there is a need for new academic integrity frameworks that focus on</w:t>
      </w:r>
      <w:r w:rsidR="009F46F9">
        <w:rPr>
          <w:rFonts w:cs="Times New Roman"/>
        </w:rPr>
        <w:t xml:space="preserve"> conceptual originality</w:t>
      </w:r>
      <w:r w:rsidR="009568D6">
        <w:rPr>
          <w:rFonts w:cs="Times New Roman"/>
        </w:rPr>
        <w:t xml:space="preserve">, given that AI is penetrating </w:t>
      </w:r>
      <w:r w:rsidR="00DE2CFB">
        <w:rPr>
          <w:rFonts w:cs="Times New Roman"/>
        </w:rPr>
        <w:t>various aspects of human life, including academia.</w:t>
      </w:r>
    </w:p>
    <w:p w:rsidR="000F0841" w:rsidRPr="007C7E9C" w:rsidRDefault="00F31EAB" w:rsidP="000F0841">
      <w:pPr>
        <w:rPr>
          <w:rFonts w:cs="Times New Roman"/>
          <w:b/>
          <w:bCs/>
        </w:rPr>
      </w:pPr>
      <w:r>
        <w:rPr>
          <w:rFonts w:cs="Times New Roman"/>
          <w:b/>
          <w:bCs/>
        </w:rPr>
        <w:t xml:space="preserve">3.2 </w:t>
      </w:r>
      <w:r w:rsidR="00A8362D" w:rsidRPr="003C7509">
        <w:rPr>
          <w:rFonts w:cs="Times New Roman"/>
          <w:b/>
        </w:rPr>
        <w:t>The Extended Mind Theory</w:t>
      </w:r>
    </w:p>
    <w:p w:rsidR="000F0841" w:rsidRDefault="00751D6D" w:rsidP="00016FB8">
      <w:pPr>
        <w:jc w:val="both"/>
        <w:rPr>
          <w:rFonts w:cs="Times New Roman"/>
        </w:rPr>
      </w:pPr>
      <w:r>
        <w:rPr>
          <w:rFonts w:cs="Times New Roman"/>
        </w:rPr>
        <w:t xml:space="preserve">AI </w:t>
      </w:r>
      <w:r w:rsidR="000F0841" w:rsidRPr="00385E64">
        <w:rPr>
          <w:rFonts w:cs="Times New Roman"/>
        </w:rPr>
        <w:t xml:space="preserve">can be interpreted according to </w:t>
      </w:r>
      <w:r w:rsidR="002E28E8">
        <w:rPr>
          <w:rFonts w:cs="Times New Roman"/>
        </w:rPr>
        <w:t xml:space="preserve">the </w:t>
      </w:r>
      <w:r w:rsidR="000F0841" w:rsidRPr="00385E64">
        <w:rPr>
          <w:rFonts w:cs="Times New Roman"/>
        </w:rPr>
        <w:t xml:space="preserve">extended mind theory as a cognitive resource amplifying our ability to think. </w:t>
      </w:r>
      <w:r w:rsidR="00FE2875" w:rsidRPr="00FE2875">
        <w:rPr>
          <w:rFonts w:cs="Times New Roman"/>
        </w:rPr>
        <w:t>This theory challenges the traditional view that cognition is confined to the brain</w:t>
      </w:r>
      <w:r w:rsidR="00FE2875">
        <w:rPr>
          <w:rFonts w:cs="Times New Roman"/>
        </w:rPr>
        <w:t xml:space="preserve"> by</w:t>
      </w:r>
      <w:r w:rsidR="00FE2875" w:rsidRPr="00FE2875">
        <w:rPr>
          <w:rFonts w:cs="Times New Roman"/>
        </w:rPr>
        <w:t xml:space="preserve"> arguing </w:t>
      </w:r>
      <w:r w:rsidR="00DE6018">
        <w:rPr>
          <w:rFonts w:cs="Times New Roman"/>
        </w:rPr>
        <w:t xml:space="preserve">that </w:t>
      </w:r>
      <w:r w:rsidR="00FE2875" w:rsidRPr="00FE2875">
        <w:rPr>
          <w:rFonts w:cs="Times New Roman"/>
        </w:rPr>
        <w:t xml:space="preserve">tools, technologies, and the environment </w:t>
      </w:r>
      <w:r w:rsidR="00FE2875">
        <w:rPr>
          <w:rFonts w:cs="Times New Roman"/>
        </w:rPr>
        <w:t>are</w:t>
      </w:r>
      <w:r w:rsidR="00FE2875" w:rsidRPr="00FE2875">
        <w:rPr>
          <w:rFonts w:cs="Times New Roman"/>
        </w:rPr>
        <w:t xml:space="preserve"> integral parts of the thinking process</w:t>
      </w:r>
      <w:r w:rsidR="0095258C">
        <w:rPr>
          <w:rFonts w:cs="Times New Roman"/>
        </w:rPr>
        <w:t xml:space="preserve"> (Yuksel, 2025)</w:t>
      </w:r>
      <w:r w:rsidR="00FE2875" w:rsidRPr="00FE2875">
        <w:rPr>
          <w:rFonts w:cs="Times New Roman"/>
        </w:rPr>
        <w:t>. When applied to education, AI systems are not merely aids but can function as extensions of learners’ cognitive capacities.</w:t>
      </w:r>
      <w:r w:rsidR="00FE2875">
        <w:rPr>
          <w:rFonts w:cs="Times New Roman"/>
        </w:rPr>
        <w:t xml:space="preserve"> </w:t>
      </w:r>
      <w:r w:rsidR="00FE2875" w:rsidRPr="00FE2875">
        <w:rPr>
          <w:rFonts w:cs="Times New Roman"/>
        </w:rPr>
        <w:t>AI-driven platforms can store, retrieve, and process information in ways that complement human memory and reasoning</w:t>
      </w:r>
      <w:r w:rsidR="00FE2875">
        <w:rPr>
          <w:rFonts w:cs="Times New Roman"/>
        </w:rPr>
        <w:t xml:space="preserve"> (</w:t>
      </w:r>
      <w:r w:rsidR="00F0189B">
        <w:rPr>
          <w:rFonts w:cs="Times New Roman"/>
        </w:rPr>
        <w:t>Holmes &amp; Tuomi, 2022; Mazurek, 2025</w:t>
      </w:r>
      <w:r w:rsidR="00FE2875">
        <w:rPr>
          <w:rFonts w:cs="Times New Roman"/>
        </w:rPr>
        <w:t>)</w:t>
      </w:r>
      <w:r w:rsidR="00FE2875" w:rsidRPr="00FE2875">
        <w:rPr>
          <w:rFonts w:cs="Times New Roman"/>
        </w:rPr>
        <w:t xml:space="preserve">. </w:t>
      </w:r>
      <w:r w:rsidR="00FE2875">
        <w:rPr>
          <w:rFonts w:cs="Times New Roman"/>
        </w:rPr>
        <w:t>Therefore, a</w:t>
      </w:r>
      <w:r w:rsidR="00FE2875" w:rsidRPr="00FE2875">
        <w:rPr>
          <w:rFonts w:cs="Times New Roman"/>
        </w:rPr>
        <w:t xml:space="preserve"> student using an AI tutor to solve c</w:t>
      </w:r>
      <w:r w:rsidR="00FE2875">
        <w:rPr>
          <w:rFonts w:cs="Times New Roman"/>
        </w:rPr>
        <w:t>omplex problems is effectively outsourcing</w:t>
      </w:r>
      <w:r w:rsidR="00FE2875" w:rsidRPr="00FE2875">
        <w:rPr>
          <w:rFonts w:cs="Times New Roman"/>
        </w:rPr>
        <w:t xml:space="preserve"> parts of their cognitive workload, similar to how a calculator extends mathematical capability.</w:t>
      </w:r>
      <w:r w:rsidR="00FE2875">
        <w:rPr>
          <w:rFonts w:cs="Times New Roman"/>
        </w:rPr>
        <w:t xml:space="preserve"> </w:t>
      </w:r>
      <w:r w:rsidR="00016FB8">
        <w:rPr>
          <w:rFonts w:cs="Times New Roman"/>
        </w:rPr>
        <w:t>In line with e</w:t>
      </w:r>
      <w:r w:rsidR="00016FB8" w:rsidRPr="00016FB8">
        <w:rPr>
          <w:rFonts w:cs="Times New Roman"/>
        </w:rPr>
        <w:t xml:space="preserve">xtended </w:t>
      </w:r>
      <w:r w:rsidR="00016FB8">
        <w:rPr>
          <w:rFonts w:cs="Times New Roman"/>
        </w:rPr>
        <w:t>m</w:t>
      </w:r>
      <w:r w:rsidR="00016FB8" w:rsidRPr="00016FB8">
        <w:rPr>
          <w:rFonts w:cs="Times New Roman"/>
        </w:rPr>
        <w:t xml:space="preserve">ind </w:t>
      </w:r>
      <w:r w:rsidR="00016FB8">
        <w:rPr>
          <w:rFonts w:cs="Times New Roman"/>
        </w:rPr>
        <w:t>t</w:t>
      </w:r>
      <w:r w:rsidR="00016FB8" w:rsidRPr="00016FB8">
        <w:rPr>
          <w:rFonts w:cs="Times New Roman"/>
        </w:rPr>
        <w:t>heory, the boundary between the learner’s mind and the AI system becomes blurred, forming a coupled system that performs cognitive tasks more efficiently than either could alone.</w:t>
      </w:r>
    </w:p>
    <w:p w:rsidR="00016FB8" w:rsidRPr="00016FB8" w:rsidRDefault="00016FB8" w:rsidP="00016FB8">
      <w:pPr>
        <w:jc w:val="both"/>
        <w:rPr>
          <w:rFonts w:cs="Times New Roman"/>
        </w:rPr>
      </w:pPr>
      <w:r w:rsidRPr="00016FB8">
        <w:rPr>
          <w:rFonts w:cs="Times New Roman"/>
        </w:rPr>
        <w:t>However, applying extended mind theory to AI in education also raises important concerns. If learners rely excessively on AI systems for problem-solving, they may underdevelop critical thinking and independent reasoning skills</w:t>
      </w:r>
      <w:r w:rsidR="0022163E">
        <w:rPr>
          <w:rFonts w:cs="Times New Roman"/>
        </w:rPr>
        <w:t xml:space="preserve"> (</w:t>
      </w:r>
      <w:r w:rsidR="00E21221">
        <w:rPr>
          <w:rFonts w:cs="Times New Roman"/>
        </w:rPr>
        <w:t>Abubakar et al., 2025</w:t>
      </w:r>
      <w:r w:rsidR="0022163E">
        <w:rPr>
          <w:rFonts w:cs="Times New Roman"/>
        </w:rPr>
        <w:t>)</w:t>
      </w:r>
      <w:r w:rsidRPr="00016FB8">
        <w:rPr>
          <w:rFonts w:cs="Times New Roman"/>
        </w:rPr>
        <w:t>. From the extended mind perspective, this</w:t>
      </w:r>
      <w:r>
        <w:rPr>
          <w:rFonts w:cs="Times New Roman"/>
        </w:rPr>
        <w:t xml:space="preserve"> outcome is not inherently negative because </w:t>
      </w:r>
      <w:r w:rsidRPr="00016FB8">
        <w:rPr>
          <w:rFonts w:cs="Times New Roman"/>
        </w:rPr>
        <w:t>outsourcing cognition is a natural human practice</w:t>
      </w:r>
      <w:r>
        <w:rPr>
          <w:rFonts w:cs="Times New Roman"/>
        </w:rPr>
        <w:t xml:space="preserve">. </w:t>
      </w:r>
      <w:r w:rsidR="00E21221">
        <w:rPr>
          <w:rFonts w:cs="Times New Roman"/>
        </w:rPr>
        <w:t>I</w:t>
      </w:r>
      <w:r w:rsidRPr="00016FB8">
        <w:rPr>
          <w:rFonts w:cs="Times New Roman"/>
        </w:rPr>
        <w:t xml:space="preserve">t becomes problematic if the external system replaces rather than complements internal cognitive processes. When AI becomes part of the cognitive system, learners must trust its outputs. </w:t>
      </w:r>
      <w:r>
        <w:rPr>
          <w:rFonts w:cs="Times New Roman"/>
        </w:rPr>
        <w:t>However,</w:t>
      </w:r>
      <w:r w:rsidRPr="00016FB8">
        <w:rPr>
          <w:rFonts w:cs="Times New Roman"/>
        </w:rPr>
        <w:t xml:space="preserve"> AI systems can produce incorrect or biased information</w:t>
      </w:r>
      <w:r>
        <w:rPr>
          <w:rFonts w:cs="Times New Roman"/>
        </w:rPr>
        <w:t>, creating</w:t>
      </w:r>
      <w:r w:rsidRPr="00016FB8">
        <w:rPr>
          <w:rFonts w:cs="Times New Roman"/>
        </w:rPr>
        <w:t xml:space="preserve"> a risk </w:t>
      </w:r>
      <w:r w:rsidRPr="00016FB8">
        <w:rPr>
          <w:rFonts w:cs="Times New Roman"/>
        </w:rPr>
        <w:lastRenderedPageBreak/>
        <w:t>where flawed external processes incorpora</w:t>
      </w:r>
      <w:r>
        <w:rPr>
          <w:rFonts w:cs="Times New Roman"/>
        </w:rPr>
        <w:t>ted into the learner’s thinking can potentially distort</w:t>
      </w:r>
      <w:r w:rsidRPr="00016FB8">
        <w:rPr>
          <w:rFonts w:cs="Times New Roman"/>
        </w:rPr>
        <w:t xml:space="preserve"> knowledge construction</w:t>
      </w:r>
      <w:r w:rsidR="0026115C">
        <w:rPr>
          <w:rFonts w:cs="Times New Roman"/>
        </w:rPr>
        <w:t xml:space="preserve"> (Abubakar et al., 2025)</w:t>
      </w:r>
      <w:r w:rsidRPr="00016FB8">
        <w:rPr>
          <w:rFonts w:cs="Times New Roman"/>
        </w:rPr>
        <w:t>. A</w:t>
      </w:r>
      <w:r>
        <w:rPr>
          <w:rFonts w:cs="Times New Roman"/>
        </w:rPr>
        <w:t>dditionally, a</w:t>
      </w:r>
      <w:r w:rsidRPr="00016FB8">
        <w:rPr>
          <w:rFonts w:cs="Times New Roman"/>
        </w:rPr>
        <w:t xml:space="preserve">ccess to advanced AI tools is uneven across educational contexts, particularly in low-resource settings. If cognition increasingly extends into AI systems, disparities in access may widen educational inequalities. </w:t>
      </w:r>
    </w:p>
    <w:p w:rsidR="000F0841" w:rsidRPr="007C7E9C" w:rsidRDefault="000F0841" w:rsidP="000F0841">
      <w:pPr>
        <w:rPr>
          <w:rFonts w:cs="Times New Roman"/>
          <w:b/>
          <w:bCs/>
        </w:rPr>
      </w:pPr>
      <w:r w:rsidRPr="007C7E9C">
        <w:rPr>
          <w:rFonts w:cs="Times New Roman"/>
          <w:b/>
          <w:bCs/>
        </w:rPr>
        <w:t xml:space="preserve">3.3 Epistemic Integrity </w:t>
      </w:r>
    </w:p>
    <w:p w:rsidR="00DE6018" w:rsidRPr="00DE6018" w:rsidRDefault="00DE6018" w:rsidP="00DE6018">
      <w:pPr>
        <w:jc w:val="both"/>
        <w:rPr>
          <w:rFonts w:cs="Times New Roman"/>
        </w:rPr>
      </w:pPr>
      <w:r w:rsidRPr="00DE6018">
        <w:rPr>
          <w:rFonts w:cs="Times New Roman"/>
        </w:rPr>
        <w:t xml:space="preserve">Epistemic integrity can be defined by three criteria. The first criterion is that humans define the direction of their intellectual pursuits (Nieminen &amp; Ketonen, 2024). In principle, AI can support rather than undermine this criterion. Adaptive platforms, recommender systems, and generative tools can expand the range of available pathways, helping learners explore topics more efficiently. Many AI systems are designed to optimize engagement or performance based on prior data. Over time, this can orient learners toward certain topics, methods, or perspectives, effectively shaping the trajectory of their thinking. Therefore, from an epistemic integrity standpoint, Nieminen and Ketonen (2024) indicate that the issue is whether the learner retains agency. If a student actively chooses to use AI outputs as inputs into their decision-making, the criterion is preserved. However, the direction of inquiry is no longer fully self-determined if students passively follow AI-generated prompts, summaries, and solution paths without reflection. In practice, maintaining this criterion requires deliberate educational design that makes it possible to set goals, formulate questions, and use AI as a tool to pursue their inquiries, not as a system that defines them. </w:t>
      </w:r>
    </w:p>
    <w:p w:rsidR="00DE6018" w:rsidRPr="00DE6018" w:rsidRDefault="00DE6018" w:rsidP="00DE6018">
      <w:pPr>
        <w:jc w:val="both"/>
        <w:rPr>
          <w:rFonts w:cs="Times New Roman"/>
        </w:rPr>
      </w:pPr>
      <w:r w:rsidRPr="00DE6018">
        <w:rPr>
          <w:rFonts w:cs="Times New Roman"/>
        </w:rPr>
        <w:t xml:space="preserve">The second criterion is that the human understands the value of their intellectual pursuits. Allard and Clavien (2024) assert that understanding why one is learning something is central to meaningful education. AI can both enhance and erode this understanding. On the positive side, AI can contextualize knowledge by linking concepts to real-world applications, generating </w:t>
      </w:r>
      <w:r w:rsidRPr="00DE6018">
        <w:rPr>
          <w:rFonts w:cs="Times New Roman"/>
        </w:rPr>
        <w:lastRenderedPageBreak/>
        <w:t>explanations at appropriate levels, and helping learners see relevance, deepening intrinsic motivation and conceptual clarity (Mazurek, 2025). However, Abubakar et al. (2025) caution that learners can end up focusing on getting correct answers with AI assistance, instead of understanding underlying concepts. Epistemic integrity requires learners to remain cognitively and reflectively engaged, where they question outputs, interpret results, and connect them to broader knowledge structures.</w:t>
      </w:r>
    </w:p>
    <w:p w:rsidR="00C87692" w:rsidRDefault="00DE6018" w:rsidP="00DE6018">
      <w:pPr>
        <w:jc w:val="both"/>
        <w:rPr>
          <w:rFonts w:cs="Times New Roman"/>
        </w:rPr>
      </w:pPr>
      <w:r w:rsidRPr="00DE6018">
        <w:rPr>
          <w:rFonts w:cs="Times New Roman"/>
        </w:rPr>
        <w:t>The third criterion holds that the human is responsible for their own outcomes. This is perhaps the most contested criterion in AI-supported learning. When outcomes are co-produced by humans and AI, responsibility becomes diffuse. To what extent are students accountable for the accuracy, originality, or ethical implications of AI-assisted work? From a strict epistemic integrity perspective, responsibility cannot be outsourced (Allard &amp; Clavien, 2024). Even if AI contributes to the process, the learner must take ownership of the final output with regard to its correctness, its reasoning, and its ethical standing. According to Thomson et al. (2024), taking ownership involves verifying information, acknowledging AI use where appropriate, and being able to explain and defend the work produced. The challenge is that students may produce high-quality outputs without fully grasping the underlying concepts, creating a gap between performance and competence. Educational practices must emphasize transparency and justification by requiring learners not just to present answers, but to demonstrate understanding.</w:t>
      </w:r>
    </w:p>
    <w:p w:rsidR="0092233D" w:rsidRPr="008B38A6" w:rsidRDefault="000F0841" w:rsidP="000F0841">
      <w:pPr>
        <w:rPr>
          <w:rFonts w:cs="Times New Roman"/>
          <w:b/>
        </w:rPr>
      </w:pPr>
      <w:r w:rsidRPr="008B38A6">
        <w:rPr>
          <w:rFonts w:cs="Times New Roman"/>
          <w:b/>
        </w:rPr>
        <w:t xml:space="preserve">4. Core Argument </w:t>
      </w:r>
    </w:p>
    <w:p w:rsidR="0092233D" w:rsidRPr="008B38A6" w:rsidRDefault="000F0841" w:rsidP="000F0841">
      <w:pPr>
        <w:rPr>
          <w:rFonts w:cs="Times New Roman"/>
          <w:b/>
        </w:rPr>
      </w:pPr>
      <w:r w:rsidRPr="008B38A6">
        <w:rPr>
          <w:rFonts w:cs="Times New Roman"/>
          <w:b/>
        </w:rPr>
        <w:t xml:space="preserve">4.1 The AI Inconsistency Problem </w:t>
      </w:r>
    </w:p>
    <w:p w:rsidR="003F1C0D" w:rsidRPr="003F1C0D" w:rsidRDefault="003F1C0D" w:rsidP="003F1C0D">
      <w:pPr>
        <w:jc w:val="both"/>
        <w:rPr>
          <w:rFonts w:cs="Times New Roman"/>
        </w:rPr>
      </w:pPr>
      <w:r w:rsidRPr="003F1C0D">
        <w:rPr>
          <w:rFonts w:cs="Times New Roman"/>
        </w:rPr>
        <w:t xml:space="preserve">The apparent acceptance of AI in engineering and its resistance in education reflects a deeper assumption about what counts as legitimate work in each domain. In engineering, outputs are judged primarily by functionality, accuracy, and problem-solving effectiveness. </w:t>
      </w:r>
      <w:r w:rsidR="00F61EF7">
        <w:rPr>
          <w:rFonts w:cs="Times New Roman"/>
        </w:rPr>
        <w:t>T</w:t>
      </w:r>
      <w:r w:rsidRPr="003F1C0D">
        <w:rPr>
          <w:rFonts w:cs="Times New Roman"/>
        </w:rPr>
        <w:t>herefore</w:t>
      </w:r>
      <w:r w:rsidR="00F61EF7">
        <w:rPr>
          <w:rFonts w:cs="Times New Roman"/>
        </w:rPr>
        <w:t xml:space="preserve">, </w:t>
      </w:r>
      <w:r w:rsidR="00F61EF7">
        <w:rPr>
          <w:rFonts w:cs="Times New Roman"/>
        </w:rPr>
        <w:lastRenderedPageBreak/>
        <w:t>engineering treats AI</w:t>
      </w:r>
      <w:r w:rsidRPr="003F1C0D">
        <w:rPr>
          <w:rFonts w:cs="Times New Roman"/>
        </w:rPr>
        <w:t xml:space="preserve"> as an advanced tool that enhances human capability without undermining the legitimacy of the outcome. By contrast, educational assessment</w:t>
      </w:r>
      <w:r w:rsidR="00CA70F6">
        <w:rPr>
          <w:rFonts w:cs="Times New Roman"/>
        </w:rPr>
        <w:t xml:space="preserve"> </w:t>
      </w:r>
      <w:r w:rsidRPr="003F1C0D">
        <w:rPr>
          <w:rFonts w:cs="Times New Roman"/>
        </w:rPr>
        <w:t>has traditionally relied on language as the visible evidence of thinking. Essays, reports, and written responses are treated not just as communication tools but as proxies for cognition itself. When AI generates coherent text, it d</w:t>
      </w:r>
      <w:r w:rsidR="00AF45AD">
        <w:rPr>
          <w:rFonts w:cs="Times New Roman"/>
        </w:rPr>
        <w:t>isrupts this proxy relationship by</w:t>
      </w:r>
      <w:r w:rsidRPr="003F1C0D">
        <w:rPr>
          <w:rFonts w:cs="Times New Roman"/>
        </w:rPr>
        <w:t xml:space="preserve"> creating uncertainty about whether the language reflects the learner’s own understanding or an external system’s output. This difference explains why AI use in engineering is framed as augmentation, while in education it i</w:t>
      </w:r>
      <w:r>
        <w:rPr>
          <w:rFonts w:cs="Times New Roman"/>
        </w:rPr>
        <w:t>s often framed as substitution.</w:t>
      </w:r>
    </w:p>
    <w:p w:rsidR="000F0841" w:rsidRPr="00385E64" w:rsidRDefault="0092259A" w:rsidP="0092259A">
      <w:pPr>
        <w:jc w:val="both"/>
        <w:rPr>
          <w:rFonts w:cs="Times New Roman"/>
        </w:rPr>
      </w:pPr>
      <w:r>
        <w:rPr>
          <w:rFonts w:cs="Times New Roman"/>
        </w:rPr>
        <w:t>T</w:t>
      </w:r>
      <w:r w:rsidR="003F1C0D" w:rsidRPr="003F1C0D">
        <w:rPr>
          <w:rFonts w:cs="Times New Roman"/>
        </w:rPr>
        <w:t xml:space="preserve">his distinction </w:t>
      </w:r>
      <w:r>
        <w:rPr>
          <w:rFonts w:cs="Times New Roman"/>
        </w:rPr>
        <w:t xml:space="preserve">also </w:t>
      </w:r>
      <w:r w:rsidR="003F1C0D" w:rsidRPr="003F1C0D">
        <w:rPr>
          <w:rFonts w:cs="Times New Roman"/>
        </w:rPr>
        <w:t>exposes a limitation in h</w:t>
      </w:r>
      <w:r w:rsidR="006345D2">
        <w:rPr>
          <w:rFonts w:cs="Times New Roman"/>
        </w:rPr>
        <w:t>ow academic work is conceptualiz</w:t>
      </w:r>
      <w:r w:rsidR="003F1C0D" w:rsidRPr="003F1C0D">
        <w:rPr>
          <w:rFonts w:cs="Times New Roman"/>
        </w:rPr>
        <w:t>ed rather than a fundamental incompatibility between AI and education. If knowledge</w:t>
      </w:r>
      <w:r w:rsidR="0069787C">
        <w:rPr>
          <w:rFonts w:cs="Times New Roman"/>
        </w:rPr>
        <w:t xml:space="preserve"> </w:t>
      </w:r>
      <w:r w:rsidR="003F1C0D" w:rsidRPr="003F1C0D">
        <w:rPr>
          <w:rFonts w:cs="Times New Roman"/>
        </w:rPr>
        <w:t>is the true goal of learning, then overreliance on written expression as the primary measure of understanding becomes problematic in an AI-rich environment</w:t>
      </w:r>
      <w:r w:rsidR="0069787C">
        <w:rPr>
          <w:rFonts w:cs="Times New Roman"/>
        </w:rPr>
        <w:t xml:space="preserve"> (</w:t>
      </w:r>
      <w:r w:rsidR="008B1360">
        <w:rPr>
          <w:rFonts w:cs="Times New Roman"/>
        </w:rPr>
        <w:t>Abubakar et al., 2025</w:t>
      </w:r>
      <w:r w:rsidR="0069787C">
        <w:rPr>
          <w:rFonts w:cs="Times New Roman"/>
        </w:rPr>
        <w:t>)</w:t>
      </w:r>
      <w:r w:rsidR="003F1C0D" w:rsidRPr="003F1C0D">
        <w:rPr>
          <w:rFonts w:cs="Times New Roman"/>
        </w:rPr>
        <w:t>. The challenge is not that AI produces language, but that educational systems have equated language production with knowledge possession. In reality, knowledge is better demonstrated through application, reasoning, transfer, and the ability to justify decisions</w:t>
      </w:r>
      <w:r w:rsidR="0069787C">
        <w:rPr>
          <w:rFonts w:cs="Times New Roman"/>
        </w:rPr>
        <w:t xml:space="preserve"> (</w:t>
      </w:r>
      <w:r w:rsidR="00995604">
        <w:t>Kivijärvi, 2024</w:t>
      </w:r>
      <w:r w:rsidR="0069787C">
        <w:rPr>
          <w:rFonts w:cs="Times New Roman"/>
        </w:rPr>
        <w:t>)</w:t>
      </w:r>
      <w:r w:rsidR="003F1C0D" w:rsidRPr="003F1C0D">
        <w:rPr>
          <w:rFonts w:cs="Times New Roman"/>
        </w:rPr>
        <w:t xml:space="preserve">. </w:t>
      </w:r>
      <w:r w:rsidR="0069787C">
        <w:rPr>
          <w:rFonts w:cs="Times New Roman"/>
        </w:rPr>
        <w:t>Therefore,</w:t>
      </w:r>
      <w:r w:rsidR="003F1C0D" w:rsidRPr="003F1C0D">
        <w:rPr>
          <w:rFonts w:cs="Times New Roman"/>
        </w:rPr>
        <w:t xml:space="preserve"> the resistance to AI in education is less about preserving learning and more about preserving traditional assessment models. A shift toward evaluat</w:t>
      </w:r>
      <w:r w:rsidR="0069787C">
        <w:rPr>
          <w:rFonts w:cs="Times New Roman"/>
        </w:rPr>
        <w:t xml:space="preserve">ing deeper cognitive engagement through </w:t>
      </w:r>
      <w:r w:rsidR="003F1C0D" w:rsidRPr="003F1C0D">
        <w:rPr>
          <w:rFonts w:cs="Times New Roman"/>
        </w:rPr>
        <w:t xml:space="preserve">oral </w:t>
      </w:r>
      <w:r w:rsidR="0069787C" w:rsidRPr="003F1C0D">
        <w:rPr>
          <w:rFonts w:cs="Times New Roman"/>
        </w:rPr>
        <w:t>defense</w:t>
      </w:r>
      <w:r w:rsidR="003F1C0D" w:rsidRPr="003F1C0D">
        <w:rPr>
          <w:rFonts w:cs="Times New Roman"/>
        </w:rPr>
        <w:t>, problem-based ta</w:t>
      </w:r>
      <w:r w:rsidR="0069787C">
        <w:rPr>
          <w:rFonts w:cs="Times New Roman"/>
        </w:rPr>
        <w:t xml:space="preserve">sks, and reflective explanation </w:t>
      </w:r>
      <w:r w:rsidR="003F1C0D" w:rsidRPr="003F1C0D">
        <w:rPr>
          <w:rFonts w:cs="Times New Roman"/>
        </w:rPr>
        <w:t>would align education more closely with knowledge-based validation and reduce the tension around AI use.</w:t>
      </w:r>
    </w:p>
    <w:p w:rsidR="000F0841" w:rsidRPr="008B38A6" w:rsidRDefault="000F0841" w:rsidP="000F0841">
      <w:pPr>
        <w:rPr>
          <w:rFonts w:cs="Times New Roman"/>
          <w:b/>
        </w:rPr>
      </w:pPr>
      <w:r w:rsidRPr="008B38A6">
        <w:rPr>
          <w:rFonts w:cs="Times New Roman"/>
          <w:b/>
        </w:rPr>
        <w:t xml:space="preserve">4.2 Thinking and Writing </w:t>
      </w:r>
    </w:p>
    <w:p w:rsidR="0012070F" w:rsidRDefault="0069787C" w:rsidP="00A006AC">
      <w:pPr>
        <w:jc w:val="both"/>
        <w:rPr>
          <w:rFonts w:cs="Times New Roman"/>
        </w:rPr>
      </w:pPr>
      <w:r w:rsidRPr="0069787C">
        <w:rPr>
          <w:rFonts w:cs="Times New Roman"/>
        </w:rPr>
        <w:t xml:space="preserve">The rise of </w:t>
      </w:r>
      <w:r>
        <w:rPr>
          <w:rFonts w:cs="Times New Roman"/>
        </w:rPr>
        <w:t xml:space="preserve">AI </w:t>
      </w:r>
      <w:r w:rsidRPr="0069787C">
        <w:rPr>
          <w:rFonts w:cs="Times New Roman"/>
        </w:rPr>
        <w:t xml:space="preserve">tools </w:t>
      </w:r>
      <w:r w:rsidR="0056782D">
        <w:rPr>
          <w:rFonts w:cs="Times New Roman"/>
        </w:rPr>
        <w:t>have</w:t>
      </w:r>
      <w:r w:rsidRPr="0069787C">
        <w:rPr>
          <w:rFonts w:cs="Times New Roman"/>
        </w:rPr>
        <w:t xml:space="preserve"> made it difficult to maintain the long-standing assumption that writing is equivalent to thinking. </w:t>
      </w:r>
      <w:r>
        <w:rPr>
          <w:rFonts w:cs="Times New Roman"/>
        </w:rPr>
        <w:t xml:space="preserve">The fact that AI tools </w:t>
      </w:r>
      <w:r w:rsidRPr="0069787C">
        <w:rPr>
          <w:rFonts w:cs="Times New Roman"/>
        </w:rPr>
        <w:t xml:space="preserve">can generate coherent, well-structured, and even persuasive text without possessing </w:t>
      </w:r>
      <w:r>
        <w:rPr>
          <w:rFonts w:cs="Times New Roman"/>
        </w:rPr>
        <w:t xml:space="preserve">human </w:t>
      </w:r>
      <w:r w:rsidRPr="0069787C">
        <w:rPr>
          <w:rFonts w:cs="Times New Roman"/>
        </w:rPr>
        <w:t xml:space="preserve">understanding demonstrates that writing can simulate </w:t>
      </w:r>
      <w:r w:rsidRPr="0069787C">
        <w:rPr>
          <w:rFonts w:cs="Times New Roman"/>
        </w:rPr>
        <w:lastRenderedPageBreak/>
        <w:t>the appearance of thought without necessarily reflecting genuine cognition</w:t>
      </w:r>
      <w:r w:rsidR="00D47A99">
        <w:rPr>
          <w:rFonts w:cs="Times New Roman"/>
        </w:rPr>
        <w:t xml:space="preserve"> (</w:t>
      </w:r>
      <w:r w:rsidR="0095258C">
        <w:rPr>
          <w:rFonts w:cs="Times New Roman"/>
        </w:rPr>
        <w:t>Vieriu &amp; Petrea, 2023</w:t>
      </w:r>
      <w:r w:rsidR="00D47A99">
        <w:rPr>
          <w:rFonts w:cs="Times New Roman"/>
        </w:rPr>
        <w:t>)</w:t>
      </w:r>
      <w:r w:rsidRPr="0069787C">
        <w:rPr>
          <w:rFonts w:cs="Times New Roman"/>
        </w:rPr>
        <w:t xml:space="preserve">. </w:t>
      </w:r>
      <w:r w:rsidR="001D4406">
        <w:rPr>
          <w:rFonts w:cs="Times New Roman"/>
        </w:rPr>
        <w:t>In this regard</w:t>
      </w:r>
      <w:r w:rsidRPr="0069787C">
        <w:rPr>
          <w:rFonts w:cs="Times New Roman"/>
        </w:rPr>
        <w:t xml:space="preserve">, writing </w:t>
      </w:r>
      <w:r w:rsidR="00A006AC">
        <w:rPr>
          <w:rFonts w:cs="Times New Roman"/>
        </w:rPr>
        <w:t>should be</w:t>
      </w:r>
      <w:r w:rsidRPr="0069787C">
        <w:rPr>
          <w:rFonts w:cs="Times New Roman"/>
        </w:rPr>
        <w:t xml:space="preserve"> </w:t>
      </w:r>
      <w:r w:rsidR="00A006AC">
        <w:rPr>
          <w:rFonts w:cs="Times New Roman"/>
        </w:rPr>
        <w:t>treated</w:t>
      </w:r>
      <w:r w:rsidRPr="0069787C">
        <w:rPr>
          <w:rFonts w:cs="Times New Roman"/>
        </w:rPr>
        <w:t xml:space="preserve"> as a representation of thinking rather than thinking itself.</w:t>
      </w:r>
      <w:r w:rsidR="00A006AC">
        <w:rPr>
          <w:rFonts w:cs="Times New Roman"/>
        </w:rPr>
        <w:t xml:space="preserve"> </w:t>
      </w:r>
      <w:r w:rsidRPr="0069787C">
        <w:rPr>
          <w:rFonts w:cs="Times New Roman"/>
        </w:rPr>
        <w:t>While writing remains a powerful way to organi</w:t>
      </w:r>
      <w:r w:rsidR="00A006AC">
        <w:rPr>
          <w:rFonts w:cs="Times New Roman"/>
        </w:rPr>
        <w:t>z</w:t>
      </w:r>
      <w:r w:rsidRPr="0069787C">
        <w:rPr>
          <w:rFonts w:cs="Times New Roman"/>
        </w:rPr>
        <w:t>e, clarify, and communicate ideas, it is only one</w:t>
      </w:r>
      <w:r w:rsidR="00A006AC">
        <w:rPr>
          <w:rFonts w:cs="Times New Roman"/>
        </w:rPr>
        <w:t xml:space="preserve"> of the many</w:t>
      </w:r>
      <w:r w:rsidRPr="0069787C">
        <w:rPr>
          <w:rFonts w:cs="Times New Roman"/>
        </w:rPr>
        <w:t xml:space="preserve"> mode</w:t>
      </w:r>
      <w:r w:rsidR="00A006AC">
        <w:rPr>
          <w:rFonts w:cs="Times New Roman"/>
        </w:rPr>
        <w:t>s</w:t>
      </w:r>
      <w:r w:rsidRPr="0069787C">
        <w:rPr>
          <w:rFonts w:cs="Times New Roman"/>
        </w:rPr>
        <w:t xml:space="preserve"> of cognition. </w:t>
      </w:r>
      <w:r w:rsidR="00D47A99" w:rsidRPr="00D47A99">
        <w:t>De los Santos</w:t>
      </w:r>
      <w:r w:rsidR="00D47A99">
        <w:rPr>
          <w:rFonts w:cs="Times New Roman"/>
        </w:rPr>
        <w:t xml:space="preserve"> et al. (2025) indicate that h</w:t>
      </w:r>
      <w:r w:rsidR="001E516A">
        <w:rPr>
          <w:rFonts w:cs="Times New Roman"/>
        </w:rPr>
        <w:t>umans can engage in th</w:t>
      </w:r>
      <w:r w:rsidRPr="0069787C">
        <w:rPr>
          <w:rFonts w:cs="Times New Roman"/>
        </w:rPr>
        <w:t>inking t</w:t>
      </w:r>
      <w:r w:rsidR="001E516A">
        <w:rPr>
          <w:rFonts w:cs="Times New Roman"/>
        </w:rPr>
        <w:t>hrough problem-solving, visualiz</w:t>
      </w:r>
      <w:r w:rsidRPr="0069787C">
        <w:rPr>
          <w:rFonts w:cs="Times New Roman"/>
        </w:rPr>
        <w:t xml:space="preserve">ation, discussion, experimentation, and embodied practice. </w:t>
      </w:r>
      <w:r w:rsidR="001E516A">
        <w:rPr>
          <w:rFonts w:cs="Times New Roman"/>
        </w:rPr>
        <w:t>As</w:t>
      </w:r>
      <w:r w:rsidRPr="0069787C">
        <w:rPr>
          <w:rFonts w:cs="Times New Roman"/>
        </w:rPr>
        <w:t xml:space="preserve"> student</w:t>
      </w:r>
      <w:r w:rsidR="001E516A">
        <w:rPr>
          <w:rFonts w:cs="Times New Roman"/>
        </w:rPr>
        <w:t>s</w:t>
      </w:r>
      <w:r w:rsidRPr="0069787C">
        <w:rPr>
          <w:rFonts w:cs="Times New Roman"/>
        </w:rPr>
        <w:t xml:space="preserve"> </w:t>
      </w:r>
      <w:r w:rsidR="001E516A">
        <w:rPr>
          <w:rFonts w:cs="Times New Roman"/>
        </w:rPr>
        <w:t>solve</w:t>
      </w:r>
      <w:r w:rsidRPr="0069787C">
        <w:rPr>
          <w:rFonts w:cs="Times New Roman"/>
        </w:rPr>
        <w:t xml:space="preserve"> a complex mathematical problem</w:t>
      </w:r>
      <w:r w:rsidR="001E516A">
        <w:rPr>
          <w:rFonts w:cs="Times New Roman"/>
        </w:rPr>
        <w:t>, they</w:t>
      </w:r>
      <w:r w:rsidRPr="0069787C">
        <w:rPr>
          <w:rFonts w:cs="Times New Roman"/>
        </w:rPr>
        <w:t xml:space="preserve"> </w:t>
      </w:r>
      <w:r w:rsidR="001E516A">
        <w:rPr>
          <w:rFonts w:cs="Times New Roman"/>
        </w:rPr>
        <w:t>engage</w:t>
      </w:r>
      <w:r w:rsidRPr="0069787C">
        <w:rPr>
          <w:rFonts w:cs="Times New Roman"/>
        </w:rPr>
        <w:t xml:space="preserve"> in deep cognitive processes that may not be fully captured through written expression alone. The capabilities of AI challenge education systems to </w:t>
      </w:r>
      <w:r w:rsidR="00FC60B2">
        <w:rPr>
          <w:rFonts w:cs="Times New Roman"/>
        </w:rPr>
        <w:t>review</w:t>
      </w:r>
      <w:r w:rsidRPr="0069787C">
        <w:rPr>
          <w:rFonts w:cs="Times New Roman"/>
        </w:rPr>
        <w:t xml:space="preserve"> how thinking is identified and assessed. </w:t>
      </w:r>
      <w:r w:rsidR="00194924">
        <w:rPr>
          <w:rFonts w:cs="Times New Roman"/>
        </w:rPr>
        <w:t>T</w:t>
      </w:r>
      <w:r w:rsidRPr="0069787C">
        <w:rPr>
          <w:rFonts w:cs="Times New Roman"/>
        </w:rPr>
        <w:t>here is a growing need to incorporate diverse forms of assessment that capture reasoning, application, and understanding</w:t>
      </w:r>
      <w:r w:rsidR="00194924">
        <w:rPr>
          <w:rFonts w:cs="Times New Roman"/>
        </w:rPr>
        <w:t xml:space="preserve">, instead of </w:t>
      </w:r>
      <w:r w:rsidR="00194924" w:rsidRPr="0069787C">
        <w:rPr>
          <w:rFonts w:cs="Times New Roman"/>
        </w:rPr>
        <w:t>relying predominantly on written outputs</w:t>
      </w:r>
      <w:r w:rsidRPr="0069787C">
        <w:rPr>
          <w:rFonts w:cs="Times New Roman"/>
        </w:rPr>
        <w:t xml:space="preserve">. </w:t>
      </w:r>
    </w:p>
    <w:p w:rsidR="0012070F" w:rsidRPr="008B38A6" w:rsidRDefault="000F0841" w:rsidP="000F0841">
      <w:pPr>
        <w:rPr>
          <w:rFonts w:cs="Times New Roman"/>
          <w:b/>
        </w:rPr>
      </w:pPr>
      <w:r w:rsidRPr="008B38A6">
        <w:rPr>
          <w:rFonts w:cs="Times New Roman"/>
          <w:b/>
        </w:rPr>
        <w:t xml:space="preserve">4.3 Paradigm Shift Needed </w:t>
      </w:r>
    </w:p>
    <w:p w:rsidR="00F80A8C" w:rsidRDefault="0015628A" w:rsidP="0015628A">
      <w:pPr>
        <w:jc w:val="both"/>
        <w:rPr>
          <w:rFonts w:cs="Times New Roman"/>
        </w:rPr>
      </w:pPr>
      <w:r>
        <w:rPr>
          <w:rFonts w:cs="Times New Roman"/>
        </w:rPr>
        <w:t>T</w:t>
      </w:r>
      <w:r w:rsidRPr="0069787C">
        <w:rPr>
          <w:rFonts w:cs="Times New Roman"/>
        </w:rPr>
        <w:t>here is a growing need to incorporate diverse forms of assessment that capture reasoning, application, and understanding</w:t>
      </w:r>
      <w:r>
        <w:rPr>
          <w:rFonts w:cs="Times New Roman"/>
        </w:rPr>
        <w:t xml:space="preserve">, instead of </w:t>
      </w:r>
      <w:r w:rsidRPr="0069787C">
        <w:rPr>
          <w:rFonts w:cs="Times New Roman"/>
        </w:rPr>
        <w:t>relying predominantly on written outputs.</w:t>
      </w:r>
      <w:r>
        <w:rPr>
          <w:rFonts w:cs="Times New Roman"/>
        </w:rPr>
        <w:t xml:space="preserve"> </w:t>
      </w:r>
      <w:r w:rsidR="0095258C">
        <w:rPr>
          <w:rFonts w:cs="Times New Roman"/>
        </w:rPr>
        <w:t>T</w:t>
      </w:r>
      <w:r w:rsidRPr="0015628A">
        <w:rPr>
          <w:rFonts w:cs="Times New Roman"/>
        </w:rPr>
        <w:t>raditional a</w:t>
      </w:r>
      <w:r w:rsidR="000D6925">
        <w:rPr>
          <w:rFonts w:cs="Times New Roman"/>
        </w:rPr>
        <w:t>ssessment models often prioritiz</w:t>
      </w:r>
      <w:r w:rsidRPr="0015628A">
        <w:rPr>
          <w:rFonts w:cs="Times New Roman"/>
        </w:rPr>
        <w:t>e outputs</w:t>
      </w:r>
      <w:r w:rsidR="001A7F9C">
        <w:rPr>
          <w:rFonts w:cs="Times New Roman"/>
        </w:rPr>
        <w:t xml:space="preserve"> </w:t>
      </w:r>
      <w:r w:rsidRPr="0015628A">
        <w:rPr>
          <w:rFonts w:cs="Times New Roman"/>
        </w:rPr>
        <w:t xml:space="preserve">on the assumption that </w:t>
      </w:r>
      <w:r w:rsidR="001A7F9C" w:rsidRPr="0015628A">
        <w:rPr>
          <w:rFonts w:cs="Times New Roman"/>
        </w:rPr>
        <w:t xml:space="preserve">essays, exams, or </w:t>
      </w:r>
      <w:r w:rsidR="001A7F9C">
        <w:rPr>
          <w:rFonts w:cs="Times New Roman"/>
        </w:rPr>
        <w:t xml:space="preserve">written </w:t>
      </w:r>
      <w:r w:rsidR="001A7F9C" w:rsidRPr="0015628A">
        <w:rPr>
          <w:rFonts w:cs="Times New Roman"/>
        </w:rPr>
        <w:t xml:space="preserve">reports </w:t>
      </w:r>
      <w:r w:rsidRPr="0015628A">
        <w:rPr>
          <w:rFonts w:cs="Times New Roman"/>
        </w:rPr>
        <w:t>accurately represent learning</w:t>
      </w:r>
      <w:r w:rsidR="00220716">
        <w:rPr>
          <w:rFonts w:cs="Times New Roman"/>
        </w:rPr>
        <w:t xml:space="preserve"> (</w:t>
      </w:r>
      <w:r w:rsidR="0095258C">
        <w:rPr>
          <w:rFonts w:cs="Times New Roman"/>
        </w:rPr>
        <w:t>Perkins, 2026</w:t>
      </w:r>
      <w:r w:rsidR="00220716">
        <w:rPr>
          <w:rFonts w:cs="Times New Roman"/>
        </w:rPr>
        <w:t>)</w:t>
      </w:r>
      <w:r w:rsidRPr="0015628A">
        <w:rPr>
          <w:rFonts w:cs="Times New Roman"/>
        </w:rPr>
        <w:t xml:space="preserve">. However, </w:t>
      </w:r>
      <w:r w:rsidR="00A611ED">
        <w:rPr>
          <w:rFonts w:cs="Times New Roman"/>
        </w:rPr>
        <w:t>Veine et al.</w:t>
      </w:r>
      <w:r w:rsidR="00220716">
        <w:rPr>
          <w:rFonts w:cs="Times New Roman"/>
        </w:rPr>
        <w:t xml:space="preserve"> (</w:t>
      </w:r>
      <w:r w:rsidR="00A611ED">
        <w:rPr>
          <w:rFonts w:cs="Times New Roman"/>
        </w:rPr>
        <w:t>2020</w:t>
      </w:r>
      <w:r w:rsidR="00220716">
        <w:rPr>
          <w:rFonts w:cs="Times New Roman"/>
        </w:rPr>
        <w:t xml:space="preserve">) contend that </w:t>
      </w:r>
      <w:r w:rsidRPr="0015628A">
        <w:rPr>
          <w:rFonts w:cs="Times New Roman"/>
        </w:rPr>
        <w:t>the product alone is no longer a reliable indicator of understanding</w:t>
      </w:r>
      <w:r w:rsidR="003A5418">
        <w:rPr>
          <w:rFonts w:cs="Times New Roman"/>
        </w:rPr>
        <w:t>, creating the need for</w:t>
      </w:r>
      <w:r w:rsidRPr="0015628A">
        <w:rPr>
          <w:rFonts w:cs="Times New Roman"/>
        </w:rPr>
        <w:t xml:space="preserve"> process-based assessment</w:t>
      </w:r>
      <w:r w:rsidR="006A4927">
        <w:rPr>
          <w:rFonts w:cs="Times New Roman"/>
        </w:rPr>
        <w:t>s</w:t>
      </w:r>
      <w:r w:rsidR="003A5418">
        <w:rPr>
          <w:rFonts w:cs="Times New Roman"/>
        </w:rPr>
        <w:t xml:space="preserve"> that </w:t>
      </w:r>
      <w:r w:rsidRPr="0015628A">
        <w:rPr>
          <w:rFonts w:cs="Times New Roman"/>
        </w:rPr>
        <w:t xml:space="preserve">allow educators to observe how students think, adapt, and construct knowledge over time. </w:t>
      </w:r>
      <w:r w:rsidR="006A4927">
        <w:rPr>
          <w:rFonts w:cs="Times New Roman"/>
        </w:rPr>
        <w:t>P</w:t>
      </w:r>
      <w:r w:rsidR="006A4927" w:rsidRPr="0015628A">
        <w:rPr>
          <w:rFonts w:cs="Times New Roman"/>
        </w:rPr>
        <w:t>rocess-based assessment</w:t>
      </w:r>
      <w:r w:rsidR="006A4927">
        <w:rPr>
          <w:rFonts w:cs="Times New Roman"/>
        </w:rPr>
        <w:t xml:space="preserve"> </w:t>
      </w:r>
      <w:r w:rsidR="000A3F02">
        <w:rPr>
          <w:rFonts w:cs="Times New Roman"/>
        </w:rPr>
        <w:t xml:space="preserve">is ideal </w:t>
      </w:r>
      <w:r w:rsidR="002F29E9">
        <w:rPr>
          <w:rFonts w:cs="Times New Roman"/>
        </w:rPr>
        <w:t xml:space="preserve">in the era of AI </w:t>
      </w:r>
      <w:r w:rsidR="000A3F02">
        <w:rPr>
          <w:rFonts w:cs="Times New Roman"/>
        </w:rPr>
        <w:t xml:space="preserve">because it </w:t>
      </w:r>
      <w:r w:rsidRPr="0015628A">
        <w:rPr>
          <w:rFonts w:cs="Times New Roman"/>
        </w:rPr>
        <w:t xml:space="preserve">provides a more authentic measure of learning </w:t>
      </w:r>
      <w:r w:rsidR="00F23159">
        <w:rPr>
          <w:rFonts w:cs="Times New Roman"/>
        </w:rPr>
        <w:t>while</w:t>
      </w:r>
      <w:r w:rsidRPr="0015628A">
        <w:rPr>
          <w:rFonts w:cs="Times New Roman"/>
        </w:rPr>
        <w:t xml:space="preserve"> </w:t>
      </w:r>
      <w:r w:rsidR="00F23159">
        <w:rPr>
          <w:rFonts w:cs="Times New Roman"/>
        </w:rPr>
        <w:t>encouraging</w:t>
      </w:r>
      <w:r w:rsidRPr="0015628A">
        <w:rPr>
          <w:rFonts w:cs="Times New Roman"/>
        </w:rPr>
        <w:t xml:space="preserve"> metacognition, resilience, and deeper engagement. </w:t>
      </w:r>
      <w:r w:rsidR="00256BF0">
        <w:rPr>
          <w:rFonts w:cs="Times New Roman"/>
        </w:rPr>
        <w:t>This approach values</w:t>
      </w:r>
      <w:r w:rsidRPr="0015628A">
        <w:rPr>
          <w:rFonts w:cs="Times New Roman"/>
        </w:rPr>
        <w:t xml:space="preserve"> the reasoning, decisions,</w:t>
      </w:r>
      <w:r w:rsidR="009A7734">
        <w:rPr>
          <w:rFonts w:cs="Times New Roman"/>
        </w:rPr>
        <w:t xml:space="preserve"> reflection,</w:t>
      </w:r>
      <w:r w:rsidRPr="0015628A">
        <w:rPr>
          <w:rFonts w:cs="Times New Roman"/>
        </w:rPr>
        <w:t xml:space="preserve"> and revisions that lead to a final product</w:t>
      </w:r>
      <w:r w:rsidR="00220716">
        <w:rPr>
          <w:rFonts w:cs="Times New Roman"/>
        </w:rPr>
        <w:t xml:space="preserve"> (</w:t>
      </w:r>
      <w:r w:rsidR="009A7734">
        <w:rPr>
          <w:rFonts w:cs="Times New Roman"/>
        </w:rPr>
        <w:t>Veine et al., 2020</w:t>
      </w:r>
      <w:r w:rsidR="00220716">
        <w:rPr>
          <w:rFonts w:cs="Times New Roman"/>
        </w:rPr>
        <w:t>)</w:t>
      </w:r>
      <w:r w:rsidR="00256BF0">
        <w:rPr>
          <w:rFonts w:cs="Times New Roman"/>
        </w:rPr>
        <w:t>. As such</w:t>
      </w:r>
      <w:r w:rsidRPr="0015628A">
        <w:rPr>
          <w:rFonts w:cs="Times New Roman"/>
        </w:rPr>
        <w:t>, assessment becomes aligned with genuine intellectual development rather than mere performance.</w:t>
      </w:r>
    </w:p>
    <w:p w:rsidR="00F80A8C" w:rsidRPr="008B38A6" w:rsidRDefault="000F0841" w:rsidP="000F0841">
      <w:pPr>
        <w:rPr>
          <w:rFonts w:cs="Times New Roman"/>
          <w:b/>
        </w:rPr>
      </w:pPr>
      <w:r w:rsidRPr="008B38A6">
        <w:rPr>
          <w:rFonts w:cs="Times New Roman"/>
          <w:b/>
        </w:rPr>
        <w:lastRenderedPageBreak/>
        <w:t xml:space="preserve">5. IET Framework for Integrating AI </w:t>
      </w:r>
    </w:p>
    <w:p w:rsidR="00BC7731" w:rsidRPr="00BC7731" w:rsidRDefault="00BC7731" w:rsidP="00BC7731">
      <w:pPr>
        <w:jc w:val="both"/>
        <w:rPr>
          <w:rFonts w:cs="Times New Roman"/>
        </w:rPr>
      </w:pPr>
      <w:r w:rsidRPr="00BC7731">
        <w:rPr>
          <w:rFonts w:cs="Times New Roman"/>
        </w:rPr>
        <w:t>The IET framework is a structured approach for integrating AI in academic settings to enhance learning while preserving epistemic integrity. IET is typically the abbreviation for three core principles, including intentionality, engagement, and transparency. These principles guide how students and educators incorporate AI into academic activities. The principle of intentionality emphasizes that AI should be used with a clear purpose, aligned to learning goals rather than convenience. Nieminen and Ketonen (2024) argue that students must decide why they are using AI to ensure that the tool supports their cognitive effort rather than replacing it. For example, they should use AI to brainstorm ideas, clarify concepts, or receive feedback on an activity they have completed. This principle reinforces learner agency and the idea that humans should direct their intellectual pursuits.</w:t>
      </w:r>
    </w:p>
    <w:p w:rsidR="001049CD" w:rsidRPr="004E5679" w:rsidRDefault="00BC7731" w:rsidP="00BC7731">
      <w:pPr>
        <w:jc w:val="both"/>
        <w:rPr>
          <w:rFonts w:cs="Times New Roman"/>
        </w:rPr>
      </w:pPr>
      <w:r w:rsidRPr="00BC7731">
        <w:rPr>
          <w:rFonts w:cs="Times New Roman"/>
        </w:rPr>
        <w:t>The principle of engagement focuses on active cognitive involvement. Instead of passively accepting AI-generated outputs, there is a need to adopt systems that require students to critically interact with them (Nieminen &amp; Ketonen, 2024). As such, students should question AI outputs' accuracy, compare perspectives, and integrate AI insights into their own reasoning. AI-assisted learning remains a reflective and constructive process. The principle of transparency requires openness about how AI is used in academic work (Nieminen, &amp; Ketonen, 2024). Educators should require students to acknowledge AI contributions, document their process, and be able to explain and justify their final outputs. As a result, they will be accountable for what they submit and aid in a fair assessment of their work.</w:t>
      </w:r>
    </w:p>
    <w:p w:rsidR="00F80A8C" w:rsidRPr="00651177" w:rsidRDefault="000F0841" w:rsidP="000F0841">
      <w:pPr>
        <w:jc w:val="both"/>
        <w:rPr>
          <w:rFonts w:cs="Times New Roman"/>
          <w:b/>
        </w:rPr>
      </w:pPr>
      <w:r w:rsidRPr="00651177">
        <w:rPr>
          <w:rFonts w:cs="Times New Roman"/>
          <w:b/>
        </w:rPr>
        <w:t xml:space="preserve">6. Implications </w:t>
      </w:r>
      <w:r w:rsidR="001B6CA5" w:rsidRPr="00651177">
        <w:rPr>
          <w:rFonts w:cs="Times New Roman"/>
          <w:b/>
        </w:rPr>
        <w:t>of C</w:t>
      </w:r>
      <w:r w:rsidR="00F80A8C" w:rsidRPr="00651177">
        <w:rPr>
          <w:rFonts w:cs="Times New Roman"/>
          <w:b/>
        </w:rPr>
        <w:t xml:space="preserve">hanged </w:t>
      </w:r>
      <w:r w:rsidR="001B6CA5" w:rsidRPr="00651177">
        <w:rPr>
          <w:rFonts w:cs="Times New Roman"/>
          <w:b/>
        </w:rPr>
        <w:t>E</w:t>
      </w:r>
      <w:r w:rsidR="00F80A8C" w:rsidRPr="00651177">
        <w:rPr>
          <w:rFonts w:cs="Times New Roman"/>
          <w:b/>
        </w:rPr>
        <w:t>ducational</w:t>
      </w:r>
      <w:r w:rsidR="001B6CA5" w:rsidRPr="00651177">
        <w:rPr>
          <w:rFonts w:cs="Times New Roman"/>
          <w:b/>
        </w:rPr>
        <w:t xml:space="preserve"> P</w:t>
      </w:r>
      <w:r w:rsidR="00F80A8C" w:rsidRPr="00651177">
        <w:rPr>
          <w:rFonts w:cs="Times New Roman"/>
          <w:b/>
        </w:rPr>
        <w:t>ractice</w:t>
      </w:r>
    </w:p>
    <w:p w:rsidR="000F0841" w:rsidRDefault="004B5456" w:rsidP="000F0841">
      <w:pPr>
        <w:jc w:val="both"/>
        <w:rPr>
          <w:rFonts w:cs="Times New Roman"/>
        </w:rPr>
      </w:pPr>
      <w:r w:rsidRPr="004B5456">
        <w:rPr>
          <w:rFonts w:cs="Times New Roman"/>
        </w:rPr>
        <w:t xml:space="preserve">There is an increasing push for a shift in educational practice to rethink how learning is assessed, demonstrated, and supported. For example, redesigning assessment is becoming essential to </w:t>
      </w:r>
      <w:r w:rsidRPr="004B5456">
        <w:rPr>
          <w:rFonts w:cs="Times New Roman"/>
        </w:rPr>
        <w:lastRenderedPageBreak/>
        <w:t>move away from product-based evaluation toward approaches that focus on reasoning, iteration, and understanding. Such a shift can help educational institutions navigate the era of AI, where digital tools can generate polished outputs. Furthermore, the shift naturally elevates the role of oral defense in evaluating learning. Oral defense enables educators to assess learning by having students explain, justify, and apply their knowledge in real time, making their thinking visible and harder to outsource. Another implication is the growing need to integrate AI literacy in instructional design. Such an integration will equip learners with the skills to use AI critically, ethically, and effectively, and understand its limitations. Implementing these changes can lead to a more authentic, process-oriented education that prioritizes deep understanding, accountability, and the ability to work intelligently with AI rather than compete against it.</w:t>
      </w:r>
    </w:p>
    <w:p w:rsidR="000F0841" w:rsidRPr="00651177" w:rsidRDefault="000F0841" w:rsidP="000F0841">
      <w:pPr>
        <w:jc w:val="both"/>
        <w:rPr>
          <w:rFonts w:cs="Times New Roman"/>
          <w:b/>
        </w:rPr>
      </w:pPr>
      <w:r w:rsidRPr="00651177">
        <w:rPr>
          <w:rFonts w:cs="Times New Roman"/>
          <w:b/>
        </w:rPr>
        <w:t xml:space="preserve">7. Conclusion: </w:t>
      </w:r>
    </w:p>
    <w:p w:rsidR="0025587D" w:rsidRDefault="00DC0126" w:rsidP="000F0841">
      <w:pPr>
        <w:jc w:val="both"/>
      </w:pPr>
      <w:r w:rsidRPr="00DC0126">
        <w:t>This paper has demonstrated that the tension surrounding AI use in academic settings stems less from the technology itself and more from outdated epistemological assumptions about authorship, originality, and learning. The difference between conceptual and textual originality reveals that genuine intellectual contribution lies in idea generation rather than linguistic expression. Since the integration of AI does not inherently undermine academic integrity, there is a need to redefine it. Frameworks, such as epistemic integrity and the IET model, provide a foundation for ethically incorporating AI while preserving human agency, responsibility, and understanding. Furthermore, there is a need to reform academic assessment to focus on process, reasoning, and oral defense. Educational institutions should embrace AI as a cognitive partner instead of resisting it to leverage the opportunity to create more authentic, equitable, and intellectually meaningful learning environments that are aligned with contemporary technological realities.</w:t>
      </w:r>
    </w:p>
    <w:p w:rsidR="00FE3D97" w:rsidRDefault="00FE3D97" w:rsidP="00FE3D97">
      <w:pPr>
        <w:jc w:val="center"/>
      </w:pPr>
      <w:r>
        <w:br w:type="page"/>
      </w:r>
      <w:r w:rsidRPr="00FE3D97">
        <w:rPr>
          <w:b/>
        </w:rPr>
        <w:lastRenderedPageBreak/>
        <w:t>References</w:t>
      </w:r>
    </w:p>
    <w:p w:rsidR="00AD45EA" w:rsidRDefault="00AD45EA" w:rsidP="00FE3D97">
      <w:pPr>
        <w:ind w:left="720" w:hanging="720"/>
      </w:pPr>
      <w:r w:rsidRPr="004D08CB">
        <w:t>Abubakar, S., Jeilani, A., &amp; Yusuf, M. (2025). The role of over-reliance on AI in the negative consequences of student learning: The moderating effects of ethical concerns and institutional policies. </w:t>
      </w:r>
      <w:r w:rsidRPr="004D08CB">
        <w:rPr>
          <w:i/>
          <w:iCs/>
        </w:rPr>
        <w:t>Cogent Education</w:t>
      </w:r>
      <w:r w:rsidRPr="004D08CB">
        <w:t>, </w:t>
      </w:r>
      <w:r w:rsidRPr="004D08CB">
        <w:rPr>
          <w:i/>
          <w:iCs/>
        </w:rPr>
        <w:t>12</w:t>
      </w:r>
      <w:r w:rsidRPr="004D08CB">
        <w:t>(1), 2591503.</w:t>
      </w:r>
    </w:p>
    <w:p w:rsidR="00AD45EA" w:rsidRDefault="00AD45EA" w:rsidP="00FE3D97">
      <w:pPr>
        <w:ind w:left="720" w:hanging="720"/>
      </w:pPr>
      <w:r w:rsidRPr="00FE3D97">
        <w:t>Aithal, P. S., &amp; Srinivasan, R. (2024). Marching Towards a Scientific, Religionless, Casteless Ideal Society for Upholding Sustainable Humanity. </w:t>
      </w:r>
      <w:r w:rsidRPr="00FE3D97">
        <w:rPr>
          <w:i/>
          <w:iCs/>
        </w:rPr>
        <w:t>Poornaprajna International Journal of Philosophy &amp; Languages (PIJPL)</w:t>
      </w:r>
      <w:r w:rsidRPr="00FE3D97">
        <w:t>, </w:t>
      </w:r>
      <w:r w:rsidRPr="00FE3D97">
        <w:rPr>
          <w:i/>
          <w:iCs/>
        </w:rPr>
        <w:t>1</w:t>
      </w:r>
      <w:r w:rsidRPr="00FE3D97">
        <w:t>(1), 54-111.</w:t>
      </w:r>
    </w:p>
    <w:p w:rsidR="00AD45EA" w:rsidRDefault="00AD45EA" w:rsidP="00FE3D97">
      <w:pPr>
        <w:ind w:left="720" w:hanging="720"/>
      </w:pPr>
      <w:r w:rsidRPr="00BE7890">
        <w:t>Al-Busaidi, A. S., Raman, R., Hughes, L., Albashrawi, M. A., Malik, T., Dwivedi, Y. K., &amp; Walton, P. (2024). Redefining boundaries in innovation and knowledge domains: Investigating the impact of generative artificial intelligence on copyright and intellectual property rights. </w:t>
      </w:r>
      <w:r w:rsidRPr="00BE7890">
        <w:rPr>
          <w:i/>
          <w:iCs/>
        </w:rPr>
        <w:t>Journal of Innovation &amp; Knowledge</w:t>
      </w:r>
      <w:r w:rsidRPr="00BE7890">
        <w:t>, </w:t>
      </w:r>
      <w:r w:rsidRPr="00BE7890">
        <w:rPr>
          <w:i/>
          <w:iCs/>
        </w:rPr>
        <w:t>9</w:t>
      </w:r>
      <w:r w:rsidRPr="00BE7890">
        <w:t>(4), 100630.</w:t>
      </w:r>
    </w:p>
    <w:p w:rsidR="00AD45EA" w:rsidRDefault="00AD45EA" w:rsidP="00FE3D97">
      <w:pPr>
        <w:ind w:left="720" w:hanging="720"/>
      </w:pPr>
      <w:r w:rsidRPr="00E90CF9">
        <w:t>Allard, A., &amp; Clavien, C. (2024). Teaching epistemic integrity to promote reliable scientific communication. </w:t>
      </w:r>
      <w:r w:rsidRPr="00E90CF9">
        <w:rPr>
          <w:i/>
          <w:iCs/>
        </w:rPr>
        <w:t>Frontiers in Psychology</w:t>
      </w:r>
      <w:r w:rsidRPr="00E90CF9">
        <w:t>, </w:t>
      </w:r>
      <w:r w:rsidRPr="00E90CF9">
        <w:rPr>
          <w:i/>
          <w:iCs/>
        </w:rPr>
        <w:t>15</w:t>
      </w:r>
      <w:r w:rsidRPr="00E90CF9">
        <w:t>, 1308304.</w:t>
      </w:r>
    </w:p>
    <w:p w:rsidR="00AD45EA" w:rsidRDefault="00AD45EA" w:rsidP="00FE3D97">
      <w:pPr>
        <w:ind w:left="720" w:hanging="720"/>
      </w:pPr>
      <w:r w:rsidRPr="00FC0450">
        <w:t>Amin, M. R. M., Ismail, I., &amp; Sivakumaran, V. M. (2025). Revolutionizing education with artificial intelligence (AI)? Challenges, and implications for open and distance learning (ODL). </w:t>
      </w:r>
      <w:r w:rsidRPr="00FC0450">
        <w:rPr>
          <w:i/>
          <w:iCs/>
        </w:rPr>
        <w:t>Social Sciences &amp; Humanities Open</w:t>
      </w:r>
      <w:r w:rsidRPr="00FC0450">
        <w:t>, </w:t>
      </w:r>
      <w:r w:rsidRPr="00FC0450">
        <w:rPr>
          <w:i/>
          <w:iCs/>
        </w:rPr>
        <w:t>11</w:t>
      </w:r>
      <w:r w:rsidRPr="00FC0450">
        <w:t>, 101308.</w:t>
      </w:r>
    </w:p>
    <w:p w:rsidR="00AD45EA" w:rsidRDefault="00AD45EA" w:rsidP="00FE3D97">
      <w:pPr>
        <w:ind w:left="720" w:hanging="720"/>
      </w:pPr>
      <w:r w:rsidRPr="00AC5C8E">
        <w:t>Cimino, A., Elbasheer, M., Longo, F., Mirabelli, G., Solina, V., &amp; Veltri, P. (2025). Automatic simulation models generation in industrial systems: A systematic literature review and outlook towards simulation technology in the Industry 5.0. </w:t>
      </w:r>
      <w:r w:rsidRPr="00AC5C8E">
        <w:rPr>
          <w:i/>
          <w:iCs/>
        </w:rPr>
        <w:t>Journal of Manufacturing Systems</w:t>
      </w:r>
      <w:r w:rsidRPr="00AC5C8E">
        <w:t>, </w:t>
      </w:r>
      <w:r w:rsidRPr="00AC5C8E">
        <w:rPr>
          <w:i/>
          <w:iCs/>
        </w:rPr>
        <w:t>80</w:t>
      </w:r>
      <w:r w:rsidRPr="00AC5C8E">
        <w:t>, 859-882.</w:t>
      </w:r>
    </w:p>
    <w:p w:rsidR="00AD45EA" w:rsidRDefault="00AD45EA" w:rsidP="00FE3D97">
      <w:pPr>
        <w:ind w:left="720" w:hanging="720"/>
      </w:pPr>
      <w:r w:rsidRPr="00BF47F7">
        <w:t>De Cremer, D., &amp; Kasparov, G. (2021). AI should augment human intelligence, not replace it. </w:t>
      </w:r>
      <w:r w:rsidRPr="00BF47F7">
        <w:rPr>
          <w:i/>
          <w:iCs/>
        </w:rPr>
        <w:t>Harvard Business Review</w:t>
      </w:r>
      <w:r w:rsidRPr="00BF47F7">
        <w:t>, </w:t>
      </w:r>
      <w:r w:rsidRPr="00BF47F7">
        <w:rPr>
          <w:i/>
          <w:iCs/>
        </w:rPr>
        <w:t>18</w:t>
      </w:r>
      <w:r w:rsidRPr="00BF47F7">
        <w:t>(1), 1-8.</w:t>
      </w:r>
    </w:p>
    <w:p w:rsidR="00AD45EA" w:rsidRDefault="00AD45EA" w:rsidP="00FE3D97">
      <w:pPr>
        <w:ind w:left="720" w:hanging="720"/>
      </w:pPr>
      <w:r w:rsidRPr="00D47A99">
        <w:lastRenderedPageBreak/>
        <w:t>de los Santos, O., Hernández-Padilla, E., Vázquez-Alonso, Á., López-Aymes, G., Aguilar-Tamayo, M. F., &amp; Arce, E. (2025). Scientific thinking promotes the development of critical thinking in primary education. </w:t>
      </w:r>
      <w:r w:rsidRPr="00D47A99">
        <w:rPr>
          <w:i/>
          <w:iCs/>
        </w:rPr>
        <w:t>Education Sciences</w:t>
      </w:r>
      <w:r w:rsidRPr="00D47A99">
        <w:t>, </w:t>
      </w:r>
      <w:r w:rsidRPr="00D47A99">
        <w:rPr>
          <w:i/>
          <w:iCs/>
        </w:rPr>
        <w:t>15</w:t>
      </w:r>
      <w:r w:rsidRPr="00D47A99">
        <w:t>(9), 1174.</w:t>
      </w:r>
    </w:p>
    <w:p w:rsidR="00AD45EA" w:rsidRPr="00F64505" w:rsidRDefault="00AD45EA" w:rsidP="00FE3D97">
      <w:pPr>
        <w:ind w:left="720" w:hanging="720"/>
        <w:rPr>
          <w:lang w:val="de-LU"/>
        </w:rPr>
      </w:pPr>
      <w:r w:rsidRPr="00F62AC0">
        <w:t xml:space="preserve">Deep, P. D., Edgington, W. D., Ghosh, N., &amp; Rahaman, M. S. (2025). Evaluating the effectiveness and ethical implications of AI detection tools in higher education. </w:t>
      </w:r>
      <w:r w:rsidRPr="00F64505">
        <w:rPr>
          <w:i/>
          <w:lang w:val="de-LU"/>
        </w:rPr>
        <w:t>Information, 16</w:t>
      </w:r>
      <w:r w:rsidRPr="00F64505">
        <w:rPr>
          <w:lang w:val="de-LU"/>
        </w:rPr>
        <w:t>(10), 905.</w:t>
      </w:r>
    </w:p>
    <w:p w:rsidR="00AD45EA" w:rsidRDefault="00AD45EA" w:rsidP="00FE3D97">
      <w:pPr>
        <w:ind w:left="720" w:hanging="720"/>
      </w:pPr>
      <w:r w:rsidRPr="00F64505">
        <w:rPr>
          <w:lang w:val="de-LU"/>
        </w:rPr>
        <w:t xml:space="preserve">Erol, G., Ergen, A., Gülşen Erol, B., Kaya Ergen, Ş., Bora, T. S., Çölgeçen, A. D., ... </w:t>
      </w:r>
      <w:r w:rsidRPr="004850EF">
        <w:t>&amp; Güngör, A. (2025). Can we trust academic AI detective? Accuracy and limitations of AI-output detectors. </w:t>
      </w:r>
      <w:r w:rsidRPr="004850EF">
        <w:rPr>
          <w:i/>
          <w:iCs/>
        </w:rPr>
        <w:t>Acta neurochirurgica</w:t>
      </w:r>
      <w:r w:rsidRPr="004850EF">
        <w:t>, </w:t>
      </w:r>
      <w:r w:rsidRPr="004850EF">
        <w:rPr>
          <w:i/>
          <w:iCs/>
        </w:rPr>
        <w:t>167</w:t>
      </w:r>
      <w:r w:rsidRPr="004850EF">
        <w:t>(1), 214.</w:t>
      </w:r>
    </w:p>
    <w:p w:rsidR="00AD45EA" w:rsidRDefault="00AD45EA" w:rsidP="00FE3D97">
      <w:pPr>
        <w:ind w:left="720" w:hanging="720"/>
      </w:pPr>
      <w:r w:rsidRPr="00603235">
        <w:t>Hähnel, M., &amp; Müller, R. (2025). Ethical Theories for AI: Systematizing the Discourse. </w:t>
      </w:r>
      <w:r w:rsidRPr="00603235">
        <w:rPr>
          <w:i/>
          <w:iCs/>
        </w:rPr>
        <w:t>A Companion to Applied Philosophy of AI</w:t>
      </w:r>
      <w:r w:rsidRPr="00603235">
        <w:t>, 133-150.</w:t>
      </w:r>
    </w:p>
    <w:p w:rsidR="00AD45EA" w:rsidRDefault="00AD45EA" w:rsidP="00FE3D97">
      <w:pPr>
        <w:ind w:left="720" w:hanging="720"/>
      </w:pPr>
      <w:r w:rsidRPr="00FC0450">
        <w:t>Holmes, W., &amp; Tuomi, I. (2022). State of the art and practice in AI in education. </w:t>
      </w:r>
      <w:r w:rsidRPr="00FC0450">
        <w:rPr>
          <w:i/>
          <w:iCs/>
        </w:rPr>
        <w:t>European journal of education</w:t>
      </w:r>
      <w:r w:rsidRPr="00FC0450">
        <w:t>, </w:t>
      </w:r>
      <w:r w:rsidRPr="00FC0450">
        <w:rPr>
          <w:i/>
          <w:iCs/>
        </w:rPr>
        <w:t>57</w:t>
      </w:r>
      <w:r w:rsidRPr="00FC0450">
        <w:t>(4), 542-570.</w:t>
      </w:r>
    </w:p>
    <w:p w:rsidR="00AD45EA" w:rsidRDefault="00AD45EA" w:rsidP="00FE3D97">
      <w:pPr>
        <w:ind w:left="720" w:hanging="720"/>
      </w:pPr>
      <w:r w:rsidRPr="0021216A">
        <w:t>Howard, R. M. (1995). Plagiarisms, authorships, and the academic death penalty. </w:t>
      </w:r>
      <w:r w:rsidRPr="0021216A">
        <w:rPr>
          <w:i/>
          <w:iCs/>
        </w:rPr>
        <w:t>College English</w:t>
      </w:r>
      <w:r w:rsidRPr="0021216A">
        <w:t>, </w:t>
      </w:r>
      <w:r w:rsidRPr="0021216A">
        <w:rPr>
          <w:i/>
          <w:iCs/>
        </w:rPr>
        <w:t>57</w:t>
      </w:r>
      <w:r w:rsidRPr="0021216A">
        <w:t>(7), 788-806.</w:t>
      </w:r>
    </w:p>
    <w:p w:rsidR="00AD45EA" w:rsidRDefault="00AD45EA" w:rsidP="00FE3D97">
      <w:pPr>
        <w:ind w:left="720" w:hanging="720"/>
      </w:pPr>
      <w:r w:rsidRPr="00D866E5">
        <w:t>Hwang, H., Chang, X., &amp; Sun, J. (2025). Generative AI is useful for second language writing, but when, why, and for how long do learners use it?. </w:t>
      </w:r>
      <w:r w:rsidRPr="00D866E5">
        <w:rPr>
          <w:i/>
          <w:iCs/>
        </w:rPr>
        <w:t>Journal of Second Language Writing</w:t>
      </w:r>
      <w:r w:rsidRPr="00D866E5">
        <w:t>, </w:t>
      </w:r>
      <w:r w:rsidRPr="00D866E5">
        <w:rPr>
          <w:i/>
          <w:iCs/>
        </w:rPr>
        <w:t>69</w:t>
      </w:r>
      <w:r w:rsidRPr="00D866E5">
        <w:t>, 101230.</w:t>
      </w:r>
    </w:p>
    <w:p w:rsidR="00AD45EA" w:rsidRDefault="00AD45EA" w:rsidP="00FE3D97">
      <w:pPr>
        <w:ind w:left="720" w:hanging="720"/>
      </w:pPr>
      <w:r w:rsidRPr="00D239D6">
        <w:t>KhosraviShakib, M. (2012). Inevitability of arts from intertextuality. </w:t>
      </w:r>
      <w:r w:rsidRPr="00D239D6">
        <w:rPr>
          <w:i/>
          <w:iCs/>
        </w:rPr>
        <w:t>Frontiers of Language and Teaching</w:t>
      </w:r>
      <w:r w:rsidRPr="00D239D6">
        <w:t>, </w:t>
      </w:r>
      <w:r w:rsidRPr="00D239D6">
        <w:rPr>
          <w:i/>
          <w:iCs/>
        </w:rPr>
        <w:t>3</w:t>
      </w:r>
      <w:r w:rsidRPr="00D239D6">
        <w:t>, 183-189.</w:t>
      </w:r>
    </w:p>
    <w:p w:rsidR="00AD45EA" w:rsidRDefault="00AD45EA" w:rsidP="00FE3D97">
      <w:pPr>
        <w:ind w:left="720" w:hanging="720"/>
      </w:pPr>
      <w:r w:rsidRPr="00995604">
        <w:t>Kivijärvi, H. (2024). Knowledge as a capability to make decisions: Experiences with a virtual support context. </w:t>
      </w:r>
      <w:r w:rsidRPr="00995604">
        <w:rPr>
          <w:i/>
          <w:iCs/>
        </w:rPr>
        <w:t>Knowledge and Process Management</w:t>
      </w:r>
      <w:r w:rsidRPr="00995604">
        <w:t>, </w:t>
      </w:r>
      <w:r w:rsidRPr="00995604">
        <w:rPr>
          <w:i/>
          <w:iCs/>
        </w:rPr>
        <w:t>31</w:t>
      </w:r>
      <w:r w:rsidRPr="00995604">
        <w:t>(3), 185-206.</w:t>
      </w:r>
    </w:p>
    <w:p w:rsidR="00AD45EA" w:rsidRDefault="00AD45EA" w:rsidP="00FE3D97">
      <w:pPr>
        <w:ind w:left="720" w:hanging="720"/>
      </w:pPr>
      <w:r w:rsidRPr="00801948">
        <w:lastRenderedPageBreak/>
        <w:t xml:space="preserve">Langyan, R. (2021). Author and text: A critical analysis of Michel Foucault’s what is an author. </w:t>
      </w:r>
      <w:r w:rsidRPr="00801948">
        <w:rPr>
          <w:i/>
        </w:rPr>
        <w:t>IJAR, 7</w:t>
      </w:r>
      <w:r w:rsidRPr="00801948">
        <w:t>(7), 193-195.</w:t>
      </w:r>
    </w:p>
    <w:p w:rsidR="00AD45EA" w:rsidRDefault="00AD45EA" w:rsidP="00FE3D97">
      <w:pPr>
        <w:ind w:left="720" w:hanging="720"/>
      </w:pPr>
      <w:r w:rsidRPr="00155A3A">
        <w:t>Mazurek, M. (2025). Limitations of Artificial Intelligence. Why Artificial Intelligence Cannot Replace the Human Mind. </w:t>
      </w:r>
      <w:r w:rsidRPr="00155A3A">
        <w:rPr>
          <w:i/>
          <w:iCs/>
        </w:rPr>
        <w:t>Filozofia i Nauka</w:t>
      </w:r>
      <w:r w:rsidRPr="00155A3A">
        <w:t>, 97-111.</w:t>
      </w:r>
    </w:p>
    <w:p w:rsidR="00AD45EA" w:rsidRPr="00F64505" w:rsidRDefault="00AD45EA" w:rsidP="00FE3D97">
      <w:pPr>
        <w:ind w:left="720" w:hanging="720"/>
        <w:rPr>
          <w:lang w:val="de-LU"/>
        </w:rPr>
      </w:pPr>
      <w:r w:rsidRPr="00603235">
        <w:t>Munn, L. (2023). The uselessness of AI ethics. </w:t>
      </w:r>
      <w:r w:rsidRPr="00F64505">
        <w:rPr>
          <w:i/>
          <w:iCs/>
          <w:lang w:val="de-LU"/>
        </w:rPr>
        <w:t>AI and Ethics</w:t>
      </w:r>
      <w:r w:rsidRPr="00F64505">
        <w:rPr>
          <w:lang w:val="de-LU"/>
        </w:rPr>
        <w:t>, </w:t>
      </w:r>
      <w:r w:rsidRPr="00F64505">
        <w:rPr>
          <w:i/>
          <w:iCs/>
          <w:lang w:val="de-LU"/>
        </w:rPr>
        <w:t>3</w:t>
      </w:r>
      <w:r w:rsidRPr="00F64505">
        <w:rPr>
          <w:lang w:val="de-LU"/>
        </w:rPr>
        <w:t>(3), 869-877.</w:t>
      </w:r>
    </w:p>
    <w:p w:rsidR="00AD45EA" w:rsidRDefault="00AD45EA" w:rsidP="00FE3D97">
      <w:pPr>
        <w:ind w:left="720" w:hanging="720"/>
      </w:pPr>
      <w:r w:rsidRPr="00F64505">
        <w:rPr>
          <w:lang w:val="de-LU"/>
        </w:rPr>
        <w:t xml:space="preserve">Nieminen, J. H., &amp; Ketonen, L. (2024). </w:t>
      </w:r>
      <w:r w:rsidRPr="00DE28DB">
        <w:t xml:space="preserve">Epistemic agency: a link between assessment, knowledge and society. </w:t>
      </w:r>
      <w:r w:rsidRPr="00DE28DB">
        <w:rPr>
          <w:i/>
        </w:rPr>
        <w:t>Higher Education, 88</w:t>
      </w:r>
      <w:r w:rsidRPr="00DE28DB">
        <w:t>(2), 777-794.</w:t>
      </w:r>
    </w:p>
    <w:p w:rsidR="00AD45EA" w:rsidRDefault="00AD45EA" w:rsidP="00FE3D97">
      <w:pPr>
        <w:ind w:left="720" w:hanging="720"/>
      </w:pPr>
      <w:r w:rsidRPr="0021216A">
        <w:t>Ogunsuji, O. O., &amp; Fagbule, O. F. (2020). Plagiarism: The Curse Of Internet In African Academia?. </w:t>
      </w:r>
      <w:r w:rsidRPr="0021216A">
        <w:rPr>
          <w:i/>
          <w:iCs/>
        </w:rPr>
        <w:t>Annals of Ibadan Postgraduate Medicine</w:t>
      </w:r>
      <w:r w:rsidRPr="0021216A">
        <w:t>, </w:t>
      </w:r>
      <w:r w:rsidRPr="0021216A">
        <w:rPr>
          <w:i/>
          <w:iCs/>
        </w:rPr>
        <w:t>18</w:t>
      </w:r>
      <w:r w:rsidRPr="0021216A">
        <w:t>(2), 98.</w:t>
      </w:r>
    </w:p>
    <w:p w:rsidR="00AD45EA" w:rsidRDefault="00AD45EA" w:rsidP="00FE3D97">
      <w:pPr>
        <w:ind w:left="720" w:hanging="720"/>
      </w:pPr>
      <w:r w:rsidRPr="00AC5C8E">
        <w:t>Olatunbosun, I. E., &amp; Olatunbosun, A. R. (2025). Artificial Intelligence and Risk Management in Financial Institutions: Evidence from the UK Banking Sector. </w:t>
      </w:r>
      <w:r w:rsidRPr="00AC5C8E">
        <w:rPr>
          <w:i/>
          <w:iCs/>
        </w:rPr>
        <w:t>EthAIca: Journal of Ethics, AI and Critical Analysis</w:t>
      </w:r>
      <w:r w:rsidRPr="00AC5C8E">
        <w:t>, (4), 436.</w:t>
      </w:r>
    </w:p>
    <w:p w:rsidR="00AD45EA" w:rsidRDefault="00AD45EA" w:rsidP="00FE3D97">
      <w:pPr>
        <w:ind w:left="720" w:hanging="720"/>
      </w:pPr>
      <w:r w:rsidRPr="0021216A">
        <w:t>Pecorari, D. (2003). Good and original: Plagiarism and patchwriting in academic second-language writing. </w:t>
      </w:r>
      <w:r w:rsidRPr="0021216A">
        <w:rPr>
          <w:i/>
          <w:iCs/>
        </w:rPr>
        <w:t>Journal of second language writing</w:t>
      </w:r>
      <w:r w:rsidRPr="0021216A">
        <w:t>, </w:t>
      </w:r>
      <w:r w:rsidRPr="0021216A">
        <w:rPr>
          <w:i/>
          <w:iCs/>
        </w:rPr>
        <w:t>12</w:t>
      </w:r>
      <w:r w:rsidRPr="0021216A">
        <w:t>(4), 317-345.</w:t>
      </w:r>
    </w:p>
    <w:p w:rsidR="00AD45EA" w:rsidRDefault="00AD45EA" w:rsidP="00FE3D97">
      <w:pPr>
        <w:ind w:left="720" w:hanging="720"/>
      </w:pPr>
      <w:r w:rsidRPr="0095258C">
        <w:t>Perkins, G. (2026). Resilient assessment in the age of AI: authentic design and the case for verbal examinations in business education. </w:t>
      </w:r>
      <w:r w:rsidRPr="0095258C">
        <w:rPr>
          <w:i/>
          <w:iCs/>
        </w:rPr>
        <w:t>Assessment &amp; Evaluation in Higher Education</w:t>
      </w:r>
      <w:r w:rsidRPr="0095258C">
        <w:t>, 1-16.</w:t>
      </w:r>
    </w:p>
    <w:p w:rsidR="00AD45EA" w:rsidRDefault="00AD45EA" w:rsidP="00FE3D97">
      <w:pPr>
        <w:ind w:left="720" w:hanging="720"/>
      </w:pPr>
      <w:r w:rsidRPr="00AC5C8E">
        <w:t>Pikhart, M., &amp; Al-Obaydi, L. H. (2025). Reporting the potential risk of using AI in higher Education: Subjective perspectives of educators. </w:t>
      </w:r>
      <w:r w:rsidRPr="00AC5C8E">
        <w:rPr>
          <w:i/>
          <w:iCs/>
        </w:rPr>
        <w:t>Computers in Human Behavior Reports</w:t>
      </w:r>
      <w:r w:rsidRPr="00AC5C8E">
        <w:t>, </w:t>
      </w:r>
      <w:r w:rsidRPr="00AC5C8E">
        <w:rPr>
          <w:i/>
          <w:iCs/>
        </w:rPr>
        <w:t>18</w:t>
      </w:r>
      <w:r w:rsidRPr="00AC5C8E">
        <w:t>, 100693.</w:t>
      </w:r>
    </w:p>
    <w:p w:rsidR="00AD45EA" w:rsidRDefault="00AD45EA" w:rsidP="00FE3D97">
      <w:pPr>
        <w:ind w:left="720" w:hanging="720"/>
      </w:pPr>
      <w:r w:rsidRPr="00992615">
        <w:t xml:space="preserve">Quiminales, J., Meridor, C., Daban, A. N., Gallamos, C. M., Nacionales, J., &amp; Claridad, N. (2023). Using turnitin for detecting plagiarism: insights from BS accountancy students in </w:t>
      </w:r>
      <w:r w:rsidRPr="00992615">
        <w:lastRenderedPageBreak/>
        <w:t xml:space="preserve">a Philippine university. </w:t>
      </w:r>
      <w:r w:rsidRPr="00992615">
        <w:rPr>
          <w:i/>
        </w:rPr>
        <w:t>Journal of Language, Literature, Social and Cultural Studies, 1</w:t>
      </w:r>
      <w:r w:rsidRPr="00992615">
        <w:t>(2), 104-115.</w:t>
      </w:r>
    </w:p>
    <w:p w:rsidR="00AD45EA" w:rsidRDefault="00AD45EA" w:rsidP="00FE3D97">
      <w:pPr>
        <w:ind w:left="720" w:hanging="720"/>
      </w:pPr>
      <w:r w:rsidRPr="00F62A07">
        <w:t>Thomson, S. R., Pickard-Jones, B. A., Baines, S., &amp; Otermans, P. C. (2024). The impact of AI on education and careers: What do students think?. </w:t>
      </w:r>
      <w:r w:rsidRPr="00F62A07">
        <w:rPr>
          <w:i/>
          <w:iCs/>
        </w:rPr>
        <w:t>Frontiers in artificial intelligence</w:t>
      </w:r>
      <w:r w:rsidRPr="00F62A07">
        <w:t>, </w:t>
      </w:r>
      <w:r w:rsidRPr="00F62A07">
        <w:rPr>
          <w:i/>
          <w:iCs/>
        </w:rPr>
        <w:t>7</w:t>
      </w:r>
      <w:r w:rsidRPr="00F62A07">
        <w:t>, 1457299.</w:t>
      </w:r>
    </w:p>
    <w:p w:rsidR="00AD45EA" w:rsidRDefault="00AD45EA" w:rsidP="00FE3D97">
      <w:pPr>
        <w:ind w:left="720" w:hanging="720"/>
      </w:pPr>
      <w:r w:rsidRPr="0022163E">
        <w:t>Veine, S., Anderson, M. K., Andersen, N. H., Espenes, T. C., Søyland, T. B., Wallin, P., &amp; Reams, J. (2020). Reflection as a core student learning activity in higher education-Insights from nearly two decades of academic development. </w:t>
      </w:r>
      <w:r w:rsidRPr="0022163E">
        <w:rPr>
          <w:i/>
          <w:iCs/>
        </w:rPr>
        <w:t>International Journal for Academic Development</w:t>
      </w:r>
      <w:r w:rsidRPr="0022163E">
        <w:t>, </w:t>
      </w:r>
      <w:r w:rsidRPr="0022163E">
        <w:rPr>
          <w:i/>
          <w:iCs/>
        </w:rPr>
        <w:t>25</w:t>
      </w:r>
      <w:r w:rsidRPr="0022163E">
        <w:t>(2), 147-161.</w:t>
      </w:r>
    </w:p>
    <w:p w:rsidR="00AD45EA" w:rsidRDefault="00AD45EA" w:rsidP="00FE3D97">
      <w:pPr>
        <w:ind w:left="720" w:hanging="720"/>
      </w:pPr>
      <w:r w:rsidRPr="00C6342C">
        <w:t>Vieriu, A. M., &amp; Petrea, G. (2025). The impact of artificial intelligence (AI) on students’ academic development. </w:t>
      </w:r>
      <w:r w:rsidRPr="00C6342C">
        <w:rPr>
          <w:i/>
          <w:iCs/>
        </w:rPr>
        <w:t>Education Sciences</w:t>
      </w:r>
      <w:r w:rsidRPr="00C6342C">
        <w:t>, </w:t>
      </w:r>
      <w:r w:rsidRPr="00C6342C">
        <w:rPr>
          <w:i/>
          <w:iCs/>
        </w:rPr>
        <w:t>15</w:t>
      </w:r>
      <w:r w:rsidRPr="00C6342C">
        <w:t>(3), 343.</w:t>
      </w:r>
    </w:p>
    <w:p w:rsidR="00AD45EA" w:rsidRDefault="00AD45EA" w:rsidP="00FE3D97">
      <w:pPr>
        <w:ind w:left="720" w:hanging="720"/>
      </w:pPr>
      <w:r w:rsidRPr="003D0A69">
        <w:t xml:space="preserve">Vlasenko, O. M., Kucherenko, I., Turchyn, M. Y., Nechushkina, O., Kobrzhytskyi, V., &amp; Hrytsenko, O. A. (2024). Values of academic integrity in higher medical education. </w:t>
      </w:r>
      <w:r w:rsidRPr="003D0A69">
        <w:rPr>
          <w:i/>
        </w:rPr>
        <w:t>Wiadomości Lekarskie, 77</w:t>
      </w:r>
      <w:r w:rsidRPr="003D0A69">
        <w:t>(4), 784-789.</w:t>
      </w:r>
    </w:p>
    <w:p w:rsidR="00AD45EA" w:rsidRDefault="00AD45EA" w:rsidP="00FE3D97">
      <w:pPr>
        <w:ind w:left="720" w:hanging="720"/>
      </w:pPr>
      <w:r w:rsidRPr="0095258C">
        <w:t>Yuksel, N. (2025). Reviewing the Extended Mind Theory: Theoretical Insights and the Role of Experimental Philosophy in Understanding Cognitive Boundaries. </w:t>
      </w:r>
      <w:r w:rsidRPr="0095258C">
        <w:rPr>
          <w:i/>
          <w:iCs/>
        </w:rPr>
        <w:t>MetaZihin: Yapay Zeka ve Zihin Felsefesi Dergisi</w:t>
      </w:r>
      <w:r w:rsidRPr="0095258C">
        <w:t>, </w:t>
      </w:r>
      <w:r w:rsidRPr="0095258C">
        <w:rPr>
          <w:i/>
          <w:iCs/>
        </w:rPr>
        <w:t>8</w:t>
      </w:r>
      <w:r w:rsidRPr="0095258C">
        <w:t>(1), 1-24.</w:t>
      </w:r>
    </w:p>
    <w:sectPr w:rsidR="00AD45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9A"/>
    <w:rsid w:val="00007DD0"/>
    <w:rsid w:val="00013276"/>
    <w:rsid w:val="0001421F"/>
    <w:rsid w:val="00016FB8"/>
    <w:rsid w:val="00022CE8"/>
    <w:rsid w:val="000376B4"/>
    <w:rsid w:val="00060F19"/>
    <w:rsid w:val="000811C4"/>
    <w:rsid w:val="0008298D"/>
    <w:rsid w:val="0009220D"/>
    <w:rsid w:val="00096D41"/>
    <w:rsid w:val="000A3F02"/>
    <w:rsid w:val="000A43C5"/>
    <w:rsid w:val="000A74C0"/>
    <w:rsid w:val="000B198A"/>
    <w:rsid w:val="000C2420"/>
    <w:rsid w:val="000C589C"/>
    <w:rsid w:val="000D6925"/>
    <w:rsid w:val="000F0841"/>
    <w:rsid w:val="000F5D82"/>
    <w:rsid w:val="001049CD"/>
    <w:rsid w:val="0012070F"/>
    <w:rsid w:val="001345F4"/>
    <w:rsid w:val="00155A3A"/>
    <w:rsid w:val="0015628A"/>
    <w:rsid w:val="0016223C"/>
    <w:rsid w:val="001740FA"/>
    <w:rsid w:val="00194924"/>
    <w:rsid w:val="00197938"/>
    <w:rsid w:val="001A7F9C"/>
    <w:rsid w:val="001B6CA5"/>
    <w:rsid w:val="001C1B08"/>
    <w:rsid w:val="001D0CAB"/>
    <w:rsid w:val="001D4406"/>
    <w:rsid w:val="001E516A"/>
    <w:rsid w:val="002059B7"/>
    <w:rsid w:val="0021216A"/>
    <w:rsid w:val="00220716"/>
    <w:rsid w:val="0022163E"/>
    <w:rsid w:val="002260CC"/>
    <w:rsid w:val="00234572"/>
    <w:rsid w:val="00251C64"/>
    <w:rsid w:val="00252369"/>
    <w:rsid w:val="0025587D"/>
    <w:rsid w:val="00256BF0"/>
    <w:rsid w:val="00257B5B"/>
    <w:rsid w:val="00261017"/>
    <w:rsid w:val="0026115C"/>
    <w:rsid w:val="002C1804"/>
    <w:rsid w:val="002D69C6"/>
    <w:rsid w:val="002E1A66"/>
    <w:rsid w:val="002E28E8"/>
    <w:rsid w:val="002E2B5D"/>
    <w:rsid w:val="002E31A5"/>
    <w:rsid w:val="002E519A"/>
    <w:rsid w:val="002F29E9"/>
    <w:rsid w:val="002F468B"/>
    <w:rsid w:val="00306C62"/>
    <w:rsid w:val="003602F4"/>
    <w:rsid w:val="0037088F"/>
    <w:rsid w:val="003730C9"/>
    <w:rsid w:val="00377F1F"/>
    <w:rsid w:val="0038213A"/>
    <w:rsid w:val="003845E7"/>
    <w:rsid w:val="003A5418"/>
    <w:rsid w:val="003A7BCC"/>
    <w:rsid w:val="003C7509"/>
    <w:rsid w:val="003D0A69"/>
    <w:rsid w:val="003D0F0E"/>
    <w:rsid w:val="003D63AC"/>
    <w:rsid w:val="003E4611"/>
    <w:rsid w:val="003F1C0D"/>
    <w:rsid w:val="003F7F90"/>
    <w:rsid w:val="00400833"/>
    <w:rsid w:val="0041227E"/>
    <w:rsid w:val="00450F89"/>
    <w:rsid w:val="00466112"/>
    <w:rsid w:val="00476A6C"/>
    <w:rsid w:val="004850EF"/>
    <w:rsid w:val="004B5456"/>
    <w:rsid w:val="004D08CB"/>
    <w:rsid w:val="004D7A32"/>
    <w:rsid w:val="004E5679"/>
    <w:rsid w:val="004F4EB3"/>
    <w:rsid w:val="00501AA1"/>
    <w:rsid w:val="005134E0"/>
    <w:rsid w:val="0056782D"/>
    <w:rsid w:val="005B7AA7"/>
    <w:rsid w:val="005D3EE5"/>
    <w:rsid w:val="005F51C0"/>
    <w:rsid w:val="00603235"/>
    <w:rsid w:val="006345D2"/>
    <w:rsid w:val="00645627"/>
    <w:rsid w:val="00651177"/>
    <w:rsid w:val="00677C76"/>
    <w:rsid w:val="00684F9A"/>
    <w:rsid w:val="00691D60"/>
    <w:rsid w:val="0069492F"/>
    <w:rsid w:val="0069787C"/>
    <w:rsid w:val="006A47A7"/>
    <w:rsid w:val="006A4927"/>
    <w:rsid w:val="006C72BF"/>
    <w:rsid w:val="006D4D16"/>
    <w:rsid w:val="007037EB"/>
    <w:rsid w:val="00703D5C"/>
    <w:rsid w:val="00706F89"/>
    <w:rsid w:val="0071685F"/>
    <w:rsid w:val="00751D6D"/>
    <w:rsid w:val="00776B4C"/>
    <w:rsid w:val="00794AEC"/>
    <w:rsid w:val="007E376B"/>
    <w:rsid w:val="00801948"/>
    <w:rsid w:val="00821D0C"/>
    <w:rsid w:val="0082605B"/>
    <w:rsid w:val="0084131E"/>
    <w:rsid w:val="0084477D"/>
    <w:rsid w:val="00853824"/>
    <w:rsid w:val="0086200E"/>
    <w:rsid w:val="0087220F"/>
    <w:rsid w:val="008A3979"/>
    <w:rsid w:val="008A5878"/>
    <w:rsid w:val="008B1360"/>
    <w:rsid w:val="008B38A6"/>
    <w:rsid w:val="008C42BE"/>
    <w:rsid w:val="008C52F1"/>
    <w:rsid w:val="008F4DC3"/>
    <w:rsid w:val="008F7891"/>
    <w:rsid w:val="0092233D"/>
    <w:rsid w:val="0092259A"/>
    <w:rsid w:val="009328A9"/>
    <w:rsid w:val="0094553A"/>
    <w:rsid w:val="0095024F"/>
    <w:rsid w:val="0095258C"/>
    <w:rsid w:val="009568D6"/>
    <w:rsid w:val="00965CAE"/>
    <w:rsid w:val="00982741"/>
    <w:rsid w:val="00983ACF"/>
    <w:rsid w:val="00984094"/>
    <w:rsid w:val="00992615"/>
    <w:rsid w:val="00995604"/>
    <w:rsid w:val="009978B5"/>
    <w:rsid w:val="009A7734"/>
    <w:rsid w:val="009B2BD1"/>
    <w:rsid w:val="009D5CDD"/>
    <w:rsid w:val="009F46F9"/>
    <w:rsid w:val="00A006AC"/>
    <w:rsid w:val="00A21530"/>
    <w:rsid w:val="00A611ED"/>
    <w:rsid w:val="00A64AF8"/>
    <w:rsid w:val="00A77C97"/>
    <w:rsid w:val="00A8362D"/>
    <w:rsid w:val="00A94FBE"/>
    <w:rsid w:val="00AB34B7"/>
    <w:rsid w:val="00AC3605"/>
    <w:rsid w:val="00AC5C8E"/>
    <w:rsid w:val="00AD45EA"/>
    <w:rsid w:val="00AD46C5"/>
    <w:rsid w:val="00AF45AD"/>
    <w:rsid w:val="00B11B59"/>
    <w:rsid w:val="00B12D35"/>
    <w:rsid w:val="00B23F77"/>
    <w:rsid w:val="00B57A35"/>
    <w:rsid w:val="00B65162"/>
    <w:rsid w:val="00B938F9"/>
    <w:rsid w:val="00BC7731"/>
    <w:rsid w:val="00BE7890"/>
    <w:rsid w:val="00BF47F7"/>
    <w:rsid w:val="00BF57EB"/>
    <w:rsid w:val="00C418D4"/>
    <w:rsid w:val="00C478BB"/>
    <w:rsid w:val="00C53BD2"/>
    <w:rsid w:val="00C54D12"/>
    <w:rsid w:val="00C56F94"/>
    <w:rsid w:val="00C6342C"/>
    <w:rsid w:val="00C81BE6"/>
    <w:rsid w:val="00C87692"/>
    <w:rsid w:val="00C934A8"/>
    <w:rsid w:val="00C9589F"/>
    <w:rsid w:val="00CA5275"/>
    <w:rsid w:val="00CA70F6"/>
    <w:rsid w:val="00D100FC"/>
    <w:rsid w:val="00D15A02"/>
    <w:rsid w:val="00D239D6"/>
    <w:rsid w:val="00D24BE2"/>
    <w:rsid w:val="00D25476"/>
    <w:rsid w:val="00D30077"/>
    <w:rsid w:val="00D41DCC"/>
    <w:rsid w:val="00D47A99"/>
    <w:rsid w:val="00D7338E"/>
    <w:rsid w:val="00D80C79"/>
    <w:rsid w:val="00D866E5"/>
    <w:rsid w:val="00D909E8"/>
    <w:rsid w:val="00DA21A7"/>
    <w:rsid w:val="00DA3BF9"/>
    <w:rsid w:val="00DC0126"/>
    <w:rsid w:val="00DC39FC"/>
    <w:rsid w:val="00DE28DB"/>
    <w:rsid w:val="00DE2CFB"/>
    <w:rsid w:val="00DE6018"/>
    <w:rsid w:val="00DF4AE3"/>
    <w:rsid w:val="00E14B7D"/>
    <w:rsid w:val="00E20E72"/>
    <w:rsid w:val="00E21221"/>
    <w:rsid w:val="00E477AA"/>
    <w:rsid w:val="00E71105"/>
    <w:rsid w:val="00E86169"/>
    <w:rsid w:val="00E90CF9"/>
    <w:rsid w:val="00EA31B9"/>
    <w:rsid w:val="00EA3DAA"/>
    <w:rsid w:val="00EC29F1"/>
    <w:rsid w:val="00ED44DE"/>
    <w:rsid w:val="00F0189B"/>
    <w:rsid w:val="00F21CBC"/>
    <w:rsid w:val="00F23159"/>
    <w:rsid w:val="00F31EAB"/>
    <w:rsid w:val="00F4791C"/>
    <w:rsid w:val="00F51BF8"/>
    <w:rsid w:val="00F61681"/>
    <w:rsid w:val="00F61EF7"/>
    <w:rsid w:val="00F62A07"/>
    <w:rsid w:val="00F62AC0"/>
    <w:rsid w:val="00F64505"/>
    <w:rsid w:val="00F80A8C"/>
    <w:rsid w:val="00F82B78"/>
    <w:rsid w:val="00F9181B"/>
    <w:rsid w:val="00FC0450"/>
    <w:rsid w:val="00FC52CC"/>
    <w:rsid w:val="00FC60B2"/>
    <w:rsid w:val="00FE2875"/>
    <w:rsid w:val="00FE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827">
      <w:bodyDiv w:val="1"/>
      <w:marLeft w:val="0"/>
      <w:marRight w:val="0"/>
      <w:marTop w:val="0"/>
      <w:marBottom w:val="0"/>
      <w:divBdr>
        <w:top w:val="none" w:sz="0" w:space="0" w:color="auto"/>
        <w:left w:val="none" w:sz="0" w:space="0" w:color="auto"/>
        <w:bottom w:val="none" w:sz="0" w:space="0" w:color="auto"/>
        <w:right w:val="none" w:sz="0" w:space="0" w:color="auto"/>
      </w:divBdr>
    </w:div>
    <w:div w:id="83690227">
      <w:bodyDiv w:val="1"/>
      <w:marLeft w:val="0"/>
      <w:marRight w:val="0"/>
      <w:marTop w:val="0"/>
      <w:marBottom w:val="0"/>
      <w:divBdr>
        <w:top w:val="none" w:sz="0" w:space="0" w:color="auto"/>
        <w:left w:val="none" w:sz="0" w:space="0" w:color="auto"/>
        <w:bottom w:val="none" w:sz="0" w:space="0" w:color="auto"/>
        <w:right w:val="none" w:sz="0" w:space="0" w:color="auto"/>
      </w:divBdr>
    </w:div>
    <w:div w:id="175655864">
      <w:bodyDiv w:val="1"/>
      <w:marLeft w:val="0"/>
      <w:marRight w:val="0"/>
      <w:marTop w:val="0"/>
      <w:marBottom w:val="0"/>
      <w:divBdr>
        <w:top w:val="none" w:sz="0" w:space="0" w:color="auto"/>
        <w:left w:val="none" w:sz="0" w:space="0" w:color="auto"/>
        <w:bottom w:val="none" w:sz="0" w:space="0" w:color="auto"/>
        <w:right w:val="none" w:sz="0" w:space="0" w:color="auto"/>
      </w:divBdr>
    </w:div>
    <w:div w:id="392774099">
      <w:bodyDiv w:val="1"/>
      <w:marLeft w:val="0"/>
      <w:marRight w:val="0"/>
      <w:marTop w:val="0"/>
      <w:marBottom w:val="0"/>
      <w:divBdr>
        <w:top w:val="none" w:sz="0" w:space="0" w:color="auto"/>
        <w:left w:val="none" w:sz="0" w:space="0" w:color="auto"/>
        <w:bottom w:val="none" w:sz="0" w:space="0" w:color="auto"/>
        <w:right w:val="none" w:sz="0" w:space="0" w:color="auto"/>
      </w:divBdr>
    </w:div>
    <w:div w:id="424767475">
      <w:bodyDiv w:val="1"/>
      <w:marLeft w:val="0"/>
      <w:marRight w:val="0"/>
      <w:marTop w:val="0"/>
      <w:marBottom w:val="0"/>
      <w:divBdr>
        <w:top w:val="none" w:sz="0" w:space="0" w:color="auto"/>
        <w:left w:val="none" w:sz="0" w:space="0" w:color="auto"/>
        <w:bottom w:val="none" w:sz="0" w:space="0" w:color="auto"/>
        <w:right w:val="none" w:sz="0" w:space="0" w:color="auto"/>
      </w:divBdr>
      <w:divsChild>
        <w:div w:id="1278215726">
          <w:marLeft w:val="0"/>
          <w:marRight w:val="0"/>
          <w:marTop w:val="0"/>
          <w:marBottom w:val="0"/>
          <w:divBdr>
            <w:top w:val="none" w:sz="0" w:space="0" w:color="auto"/>
            <w:left w:val="none" w:sz="0" w:space="0" w:color="auto"/>
            <w:bottom w:val="none" w:sz="0" w:space="0" w:color="auto"/>
            <w:right w:val="none" w:sz="0" w:space="0" w:color="auto"/>
          </w:divBdr>
          <w:divsChild>
            <w:div w:id="699628314">
              <w:marLeft w:val="0"/>
              <w:marRight w:val="0"/>
              <w:marTop w:val="0"/>
              <w:marBottom w:val="0"/>
              <w:divBdr>
                <w:top w:val="none" w:sz="0" w:space="0" w:color="auto"/>
                <w:left w:val="none" w:sz="0" w:space="0" w:color="auto"/>
                <w:bottom w:val="none" w:sz="0" w:space="0" w:color="auto"/>
                <w:right w:val="none" w:sz="0" w:space="0" w:color="auto"/>
              </w:divBdr>
              <w:divsChild>
                <w:div w:id="1600261095">
                  <w:marLeft w:val="0"/>
                  <w:marRight w:val="0"/>
                  <w:marTop w:val="0"/>
                  <w:marBottom w:val="0"/>
                  <w:divBdr>
                    <w:top w:val="none" w:sz="0" w:space="0" w:color="auto"/>
                    <w:left w:val="none" w:sz="0" w:space="0" w:color="auto"/>
                    <w:bottom w:val="none" w:sz="0" w:space="0" w:color="auto"/>
                    <w:right w:val="none" w:sz="0" w:space="0" w:color="auto"/>
                  </w:divBdr>
                  <w:divsChild>
                    <w:div w:id="1661543189">
                      <w:marLeft w:val="0"/>
                      <w:marRight w:val="0"/>
                      <w:marTop w:val="0"/>
                      <w:marBottom w:val="0"/>
                      <w:divBdr>
                        <w:top w:val="none" w:sz="0" w:space="0" w:color="auto"/>
                        <w:left w:val="none" w:sz="0" w:space="0" w:color="auto"/>
                        <w:bottom w:val="none" w:sz="0" w:space="0" w:color="auto"/>
                        <w:right w:val="none" w:sz="0" w:space="0" w:color="auto"/>
                      </w:divBdr>
                      <w:divsChild>
                        <w:div w:id="1980528597">
                          <w:marLeft w:val="0"/>
                          <w:marRight w:val="0"/>
                          <w:marTop w:val="0"/>
                          <w:marBottom w:val="0"/>
                          <w:divBdr>
                            <w:top w:val="none" w:sz="0" w:space="0" w:color="auto"/>
                            <w:left w:val="none" w:sz="0" w:space="0" w:color="auto"/>
                            <w:bottom w:val="none" w:sz="0" w:space="0" w:color="auto"/>
                            <w:right w:val="none" w:sz="0" w:space="0" w:color="auto"/>
                          </w:divBdr>
                          <w:divsChild>
                            <w:div w:id="1322274234">
                              <w:marLeft w:val="0"/>
                              <w:marRight w:val="0"/>
                              <w:marTop w:val="0"/>
                              <w:marBottom w:val="0"/>
                              <w:divBdr>
                                <w:top w:val="none" w:sz="0" w:space="0" w:color="auto"/>
                                <w:left w:val="none" w:sz="0" w:space="0" w:color="auto"/>
                                <w:bottom w:val="none" w:sz="0" w:space="0" w:color="auto"/>
                                <w:right w:val="none" w:sz="0" w:space="0" w:color="auto"/>
                              </w:divBdr>
                              <w:divsChild>
                                <w:div w:id="633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443971">
      <w:bodyDiv w:val="1"/>
      <w:marLeft w:val="0"/>
      <w:marRight w:val="0"/>
      <w:marTop w:val="0"/>
      <w:marBottom w:val="0"/>
      <w:divBdr>
        <w:top w:val="none" w:sz="0" w:space="0" w:color="auto"/>
        <w:left w:val="none" w:sz="0" w:space="0" w:color="auto"/>
        <w:bottom w:val="none" w:sz="0" w:space="0" w:color="auto"/>
        <w:right w:val="none" w:sz="0" w:space="0" w:color="auto"/>
      </w:divBdr>
    </w:div>
    <w:div w:id="592512489">
      <w:bodyDiv w:val="1"/>
      <w:marLeft w:val="0"/>
      <w:marRight w:val="0"/>
      <w:marTop w:val="0"/>
      <w:marBottom w:val="0"/>
      <w:divBdr>
        <w:top w:val="none" w:sz="0" w:space="0" w:color="auto"/>
        <w:left w:val="none" w:sz="0" w:space="0" w:color="auto"/>
        <w:bottom w:val="none" w:sz="0" w:space="0" w:color="auto"/>
        <w:right w:val="none" w:sz="0" w:space="0" w:color="auto"/>
      </w:divBdr>
      <w:divsChild>
        <w:div w:id="1763409503">
          <w:marLeft w:val="0"/>
          <w:marRight w:val="0"/>
          <w:marTop w:val="0"/>
          <w:marBottom w:val="0"/>
          <w:divBdr>
            <w:top w:val="none" w:sz="0" w:space="0" w:color="auto"/>
            <w:left w:val="none" w:sz="0" w:space="0" w:color="auto"/>
            <w:bottom w:val="none" w:sz="0" w:space="0" w:color="auto"/>
            <w:right w:val="none" w:sz="0" w:space="0" w:color="auto"/>
          </w:divBdr>
          <w:divsChild>
            <w:div w:id="1940914409">
              <w:marLeft w:val="0"/>
              <w:marRight w:val="0"/>
              <w:marTop w:val="0"/>
              <w:marBottom w:val="0"/>
              <w:divBdr>
                <w:top w:val="none" w:sz="0" w:space="0" w:color="auto"/>
                <w:left w:val="none" w:sz="0" w:space="0" w:color="auto"/>
                <w:bottom w:val="none" w:sz="0" w:space="0" w:color="auto"/>
                <w:right w:val="none" w:sz="0" w:space="0" w:color="auto"/>
              </w:divBdr>
              <w:divsChild>
                <w:div w:id="1103384548">
                  <w:marLeft w:val="0"/>
                  <w:marRight w:val="0"/>
                  <w:marTop w:val="0"/>
                  <w:marBottom w:val="0"/>
                  <w:divBdr>
                    <w:top w:val="none" w:sz="0" w:space="0" w:color="auto"/>
                    <w:left w:val="none" w:sz="0" w:space="0" w:color="auto"/>
                    <w:bottom w:val="none" w:sz="0" w:space="0" w:color="auto"/>
                    <w:right w:val="none" w:sz="0" w:space="0" w:color="auto"/>
                  </w:divBdr>
                  <w:divsChild>
                    <w:div w:id="547689945">
                      <w:marLeft w:val="0"/>
                      <w:marRight w:val="0"/>
                      <w:marTop w:val="0"/>
                      <w:marBottom w:val="0"/>
                      <w:divBdr>
                        <w:top w:val="none" w:sz="0" w:space="0" w:color="auto"/>
                        <w:left w:val="none" w:sz="0" w:space="0" w:color="auto"/>
                        <w:bottom w:val="none" w:sz="0" w:space="0" w:color="auto"/>
                        <w:right w:val="none" w:sz="0" w:space="0" w:color="auto"/>
                      </w:divBdr>
                      <w:divsChild>
                        <w:div w:id="428501394">
                          <w:marLeft w:val="0"/>
                          <w:marRight w:val="0"/>
                          <w:marTop w:val="0"/>
                          <w:marBottom w:val="0"/>
                          <w:divBdr>
                            <w:top w:val="none" w:sz="0" w:space="0" w:color="auto"/>
                            <w:left w:val="none" w:sz="0" w:space="0" w:color="auto"/>
                            <w:bottom w:val="none" w:sz="0" w:space="0" w:color="auto"/>
                            <w:right w:val="none" w:sz="0" w:space="0" w:color="auto"/>
                          </w:divBdr>
                          <w:divsChild>
                            <w:div w:id="130025320">
                              <w:marLeft w:val="0"/>
                              <w:marRight w:val="0"/>
                              <w:marTop w:val="0"/>
                              <w:marBottom w:val="0"/>
                              <w:divBdr>
                                <w:top w:val="none" w:sz="0" w:space="0" w:color="auto"/>
                                <w:left w:val="none" w:sz="0" w:space="0" w:color="auto"/>
                                <w:bottom w:val="none" w:sz="0" w:space="0" w:color="auto"/>
                                <w:right w:val="none" w:sz="0" w:space="0" w:color="auto"/>
                              </w:divBdr>
                              <w:divsChild>
                                <w:div w:id="10243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85918">
      <w:bodyDiv w:val="1"/>
      <w:marLeft w:val="0"/>
      <w:marRight w:val="0"/>
      <w:marTop w:val="0"/>
      <w:marBottom w:val="0"/>
      <w:divBdr>
        <w:top w:val="none" w:sz="0" w:space="0" w:color="auto"/>
        <w:left w:val="none" w:sz="0" w:space="0" w:color="auto"/>
        <w:bottom w:val="none" w:sz="0" w:space="0" w:color="auto"/>
        <w:right w:val="none" w:sz="0" w:space="0" w:color="auto"/>
      </w:divBdr>
      <w:divsChild>
        <w:div w:id="2027100920">
          <w:marLeft w:val="0"/>
          <w:marRight w:val="0"/>
          <w:marTop w:val="0"/>
          <w:marBottom w:val="0"/>
          <w:divBdr>
            <w:top w:val="none" w:sz="0" w:space="0" w:color="auto"/>
            <w:left w:val="none" w:sz="0" w:space="0" w:color="auto"/>
            <w:bottom w:val="none" w:sz="0" w:space="0" w:color="auto"/>
            <w:right w:val="none" w:sz="0" w:space="0" w:color="auto"/>
          </w:divBdr>
          <w:divsChild>
            <w:div w:id="1333489591">
              <w:marLeft w:val="0"/>
              <w:marRight w:val="0"/>
              <w:marTop w:val="0"/>
              <w:marBottom w:val="0"/>
              <w:divBdr>
                <w:top w:val="none" w:sz="0" w:space="0" w:color="auto"/>
                <w:left w:val="none" w:sz="0" w:space="0" w:color="auto"/>
                <w:bottom w:val="none" w:sz="0" w:space="0" w:color="auto"/>
                <w:right w:val="none" w:sz="0" w:space="0" w:color="auto"/>
              </w:divBdr>
              <w:divsChild>
                <w:div w:id="1222908154">
                  <w:marLeft w:val="0"/>
                  <w:marRight w:val="0"/>
                  <w:marTop w:val="0"/>
                  <w:marBottom w:val="0"/>
                  <w:divBdr>
                    <w:top w:val="none" w:sz="0" w:space="0" w:color="auto"/>
                    <w:left w:val="none" w:sz="0" w:space="0" w:color="auto"/>
                    <w:bottom w:val="none" w:sz="0" w:space="0" w:color="auto"/>
                    <w:right w:val="none" w:sz="0" w:space="0" w:color="auto"/>
                  </w:divBdr>
                  <w:divsChild>
                    <w:div w:id="143284405">
                      <w:marLeft w:val="0"/>
                      <w:marRight w:val="0"/>
                      <w:marTop w:val="0"/>
                      <w:marBottom w:val="0"/>
                      <w:divBdr>
                        <w:top w:val="none" w:sz="0" w:space="0" w:color="auto"/>
                        <w:left w:val="none" w:sz="0" w:space="0" w:color="auto"/>
                        <w:bottom w:val="none" w:sz="0" w:space="0" w:color="auto"/>
                        <w:right w:val="none" w:sz="0" w:space="0" w:color="auto"/>
                      </w:divBdr>
                      <w:divsChild>
                        <w:div w:id="1486241596">
                          <w:marLeft w:val="0"/>
                          <w:marRight w:val="0"/>
                          <w:marTop w:val="0"/>
                          <w:marBottom w:val="0"/>
                          <w:divBdr>
                            <w:top w:val="none" w:sz="0" w:space="0" w:color="auto"/>
                            <w:left w:val="none" w:sz="0" w:space="0" w:color="auto"/>
                            <w:bottom w:val="none" w:sz="0" w:space="0" w:color="auto"/>
                            <w:right w:val="none" w:sz="0" w:space="0" w:color="auto"/>
                          </w:divBdr>
                          <w:divsChild>
                            <w:div w:id="1448037957">
                              <w:marLeft w:val="0"/>
                              <w:marRight w:val="0"/>
                              <w:marTop w:val="0"/>
                              <w:marBottom w:val="0"/>
                              <w:divBdr>
                                <w:top w:val="none" w:sz="0" w:space="0" w:color="auto"/>
                                <w:left w:val="none" w:sz="0" w:space="0" w:color="auto"/>
                                <w:bottom w:val="none" w:sz="0" w:space="0" w:color="auto"/>
                                <w:right w:val="none" w:sz="0" w:space="0" w:color="auto"/>
                              </w:divBdr>
                              <w:divsChild>
                                <w:div w:id="620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662852">
      <w:bodyDiv w:val="1"/>
      <w:marLeft w:val="0"/>
      <w:marRight w:val="0"/>
      <w:marTop w:val="0"/>
      <w:marBottom w:val="0"/>
      <w:divBdr>
        <w:top w:val="none" w:sz="0" w:space="0" w:color="auto"/>
        <w:left w:val="none" w:sz="0" w:space="0" w:color="auto"/>
        <w:bottom w:val="none" w:sz="0" w:space="0" w:color="auto"/>
        <w:right w:val="none" w:sz="0" w:space="0" w:color="auto"/>
      </w:divBdr>
    </w:div>
    <w:div w:id="980503388">
      <w:bodyDiv w:val="1"/>
      <w:marLeft w:val="0"/>
      <w:marRight w:val="0"/>
      <w:marTop w:val="0"/>
      <w:marBottom w:val="0"/>
      <w:divBdr>
        <w:top w:val="none" w:sz="0" w:space="0" w:color="auto"/>
        <w:left w:val="none" w:sz="0" w:space="0" w:color="auto"/>
        <w:bottom w:val="none" w:sz="0" w:space="0" w:color="auto"/>
        <w:right w:val="none" w:sz="0" w:space="0" w:color="auto"/>
      </w:divBdr>
    </w:div>
    <w:div w:id="995962200">
      <w:bodyDiv w:val="1"/>
      <w:marLeft w:val="0"/>
      <w:marRight w:val="0"/>
      <w:marTop w:val="0"/>
      <w:marBottom w:val="0"/>
      <w:divBdr>
        <w:top w:val="none" w:sz="0" w:space="0" w:color="auto"/>
        <w:left w:val="none" w:sz="0" w:space="0" w:color="auto"/>
        <w:bottom w:val="none" w:sz="0" w:space="0" w:color="auto"/>
        <w:right w:val="none" w:sz="0" w:space="0" w:color="auto"/>
      </w:divBdr>
    </w:div>
    <w:div w:id="1051490899">
      <w:bodyDiv w:val="1"/>
      <w:marLeft w:val="0"/>
      <w:marRight w:val="0"/>
      <w:marTop w:val="0"/>
      <w:marBottom w:val="0"/>
      <w:divBdr>
        <w:top w:val="none" w:sz="0" w:space="0" w:color="auto"/>
        <w:left w:val="none" w:sz="0" w:space="0" w:color="auto"/>
        <w:bottom w:val="none" w:sz="0" w:space="0" w:color="auto"/>
        <w:right w:val="none" w:sz="0" w:space="0" w:color="auto"/>
      </w:divBdr>
    </w:div>
    <w:div w:id="1121876047">
      <w:bodyDiv w:val="1"/>
      <w:marLeft w:val="0"/>
      <w:marRight w:val="0"/>
      <w:marTop w:val="0"/>
      <w:marBottom w:val="0"/>
      <w:divBdr>
        <w:top w:val="none" w:sz="0" w:space="0" w:color="auto"/>
        <w:left w:val="none" w:sz="0" w:space="0" w:color="auto"/>
        <w:bottom w:val="none" w:sz="0" w:space="0" w:color="auto"/>
        <w:right w:val="none" w:sz="0" w:space="0" w:color="auto"/>
      </w:divBdr>
      <w:divsChild>
        <w:div w:id="1084304299">
          <w:marLeft w:val="0"/>
          <w:marRight w:val="0"/>
          <w:marTop w:val="0"/>
          <w:marBottom w:val="0"/>
          <w:divBdr>
            <w:top w:val="none" w:sz="0" w:space="0" w:color="auto"/>
            <w:left w:val="none" w:sz="0" w:space="0" w:color="auto"/>
            <w:bottom w:val="none" w:sz="0" w:space="0" w:color="auto"/>
            <w:right w:val="none" w:sz="0" w:space="0" w:color="auto"/>
          </w:divBdr>
          <w:divsChild>
            <w:div w:id="1932465245">
              <w:marLeft w:val="0"/>
              <w:marRight w:val="0"/>
              <w:marTop w:val="0"/>
              <w:marBottom w:val="0"/>
              <w:divBdr>
                <w:top w:val="none" w:sz="0" w:space="0" w:color="auto"/>
                <w:left w:val="none" w:sz="0" w:space="0" w:color="auto"/>
                <w:bottom w:val="none" w:sz="0" w:space="0" w:color="auto"/>
                <w:right w:val="none" w:sz="0" w:space="0" w:color="auto"/>
              </w:divBdr>
              <w:divsChild>
                <w:div w:id="890266834">
                  <w:marLeft w:val="0"/>
                  <w:marRight w:val="0"/>
                  <w:marTop w:val="0"/>
                  <w:marBottom w:val="0"/>
                  <w:divBdr>
                    <w:top w:val="none" w:sz="0" w:space="0" w:color="auto"/>
                    <w:left w:val="none" w:sz="0" w:space="0" w:color="auto"/>
                    <w:bottom w:val="none" w:sz="0" w:space="0" w:color="auto"/>
                    <w:right w:val="none" w:sz="0" w:space="0" w:color="auto"/>
                  </w:divBdr>
                  <w:divsChild>
                    <w:div w:id="1594701225">
                      <w:marLeft w:val="0"/>
                      <w:marRight w:val="0"/>
                      <w:marTop w:val="0"/>
                      <w:marBottom w:val="0"/>
                      <w:divBdr>
                        <w:top w:val="none" w:sz="0" w:space="0" w:color="auto"/>
                        <w:left w:val="none" w:sz="0" w:space="0" w:color="auto"/>
                        <w:bottom w:val="none" w:sz="0" w:space="0" w:color="auto"/>
                        <w:right w:val="none" w:sz="0" w:space="0" w:color="auto"/>
                      </w:divBdr>
                      <w:divsChild>
                        <w:div w:id="1195852210">
                          <w:marLeft w:val="0"/>
                          <w:marRight w:val="0"/>
                          <w:marTop w:val="0"/>
                          <w:marBottom w:val="0"/>
                          <w:divBdr>
                            <w:top w:val="none" w:sz="0" w:space="0" w:color="auto"/>
                            <w:left w:val="none" w:sz="0" w:space="0" w:color="auto"/>
                            <w:bottom w:val="none" w:sz="0" w:space="0" w:color="auto"/>
                            <w:right w:val="none" w:sz="0" w:space="0" w:color="auto"/>
                          </w:divBdr>
                          <w:divsChild>
                            <w:div w:id="919559533">
                              <w:marLeft w:val="0"/>
                              <w:marRight w:val="0"/>
                              <w:marTop w:val="0"/>
                              <w:marBottom w:val="0"/>
                              <w:divBdr>
                                <w:top w:val="none" w:sz="0" w:space="0" w:color="auto"/>
                                <w:left w:val="none" w:sz="0" w:space="0" w:color="auto"/>
                                <w:bottom w:val="none" w:sz="0" w:space="0" w:color="auto"/>
                                <w:right w:val="none" w:sz="0" w:space="0" w:color="auto"/>
                              </w:divBdr>
                              <w:divsChild>
                                <w:div w:id="173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853955">
      <w:bodyDiv w:val="1"/>
      <w:marLeft w:val="0"/>
      <w:marRight w:val="0"/>
      <w:marTop w:val="0"/>
      <w:marBottom w:val="0"/>
      <w:divBdr>
        <w:top w:val="none" w:sz="0" w:space="0" w:color="auto"/>
        <w:left w:val="none" w:sz="0" w:space="0" w:color="auto"/>
        <w:bottom w:val="none" w:sz="0" w:space="0" w:color="auto"/>
        <w:right w:val="none" w:sz="0" w:space="0" w:color="auto"/>
      </w:divBdr>
      <w:divsChild>
        <w:div w:id="1329216321">
          <w:marLeft w:val="0"/>
          <w:marRight w:val="0"/>
          <w:marTop w:val="0"/>
          <w:marBottom w:val="0"/>
          <w:divBdr>
            <w:top w:val="none" w:sz="0" w:space="0" w:color="auto"/>
            <w:left w:val="none" w:sz="0" w:space="0" w:color="auto"/>
            <w:bottom w:val="none" w:sz="0" w:space="0" w:color="auto"/>
            <w:right w:val="none" w:sz="0" w:space="0" w:color="auto"/>
          </w:divBdr>
          <w:divsChild>
            <w:div w:id="1313100574">
              <w:marLeft w:val="0"/>
              <w:marRight w:val="0"/>
              <w:marTop w:val="0"/>
              <w:marBottom w:val="0"/>
              <w:divBdr>
                <w:top w:val="none" w:sz="0" w:space="0" w:color="auto"/>
                <w:left w:val="none" w:sz="0" w:space="0" w:color="auto"/>
                <w:bottom w:val="none" w:sz="0" w:space="0" w:color="auto"/>
                <w:right w:val="none" w:sz="0" w:space="0" w:color="auto"/>
              </w:divBdr>
              <w:divsChild>
                <w:div w:id="653222123">
                  <w:marLeft w:val="0"/>
                  <w:marRight w:val="0"/>
                  <w:marTop w:val="0"/>
                  <w:marBottom w:val="0"/>
                  <w:divBdr>
                    <w:top w:val="none" w:sz="0" w:space="0" w:color="auto"/>
                    <w:left w:val="none" w:sz="0" w:space="0" w:color="auto"/>
                    <w:bottom w:val="none" w:sz="0" w:space="0" w:color="auto"/>
                    <w:right w:val="none" w:sz="0" w:space="0" w:color="auto"/>
                  </w:divBdr>
                  <w:divsChild>
                    <w:div w:id="591402650">
                      <w:marLeft w:val="0"/>
                      <w:marRight w:val="0"/>
                      <w:marTop w:val="0"/>
                      <w:marBottom w:val="0"/>
                      <w:divBdr>
                        <w:top w:val="none" w:sz="0" w:space="0" w:color="auto"/>
                        <w:left w:val="none" w:sz="0" w:space="0" w:color="auto"/>
                        <w:bottom w:val="none" w:sz="0" w:space="0" w:color="auto"/>
                        <w:right w:val="none" w:sz="0" w:space="0" w:color="auto"/>
                      </w:divBdr>
                      <w:divsChild>
                        <w:div w:id="1364749714">
                          <w:marLeft w:val="0"/>
                          <w:marRight w:val="0"/>
                          <w:marTop w:val="0"/>
                          <w:marBottom w:val="0"/>
                          <w:divBdr>
                            <w:top w:val="none" w:sz="0" w:space="0" w:color="auto"/>
                            <w:left w:val="none" w:sz="0" w:space="0" w:color="auto"/>
                            <w:bottom w:val="none" w:sz="0" w:space="0" w:color="auto"/>
                            <w:right w:val="none" w:sz="0" w:space="0" w:color="auto"/>
                          </w:divBdr>
                          <w:divsChild>
                            <w:div w:id="193008870">
                              <w:marLeft w:val="0"/>
                              <w:marRight w:val="0"/>
                              <w:marTop w:val="0"/>
                              <w:marBottom w:val="0"/>
                              <w:divBdr>
                                <w:top w:val="none" w:sz="0" w:space="0" w:color="auto"/>
                                <w:left w:val="none" w:sz="0" w:space="0" w:color="auto"/>
                                <w:bottom w:val="none" w:sz="0" w:space="0" w:color="auto"/>
                                <w:right w:val="none" w:sz="0" w:space="0" w:color="auto"/>
                              </w:divBdr>
                              <w:divsChild>
                                <w:div w:id="16904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7808">
      <w:bodyDiv w:val="1"/>
      <w:marLeft w:val="0"/>
      <w:marRight w:val="0"/>
      <w:marTop w:val="0"/>
      <w:marBottom w:val="0"/>
      <w:divBdr>
        <w:top w:val="none" w:sz="0" w:space="0" w:color="auto"/>
        <w:left w:val="none" w:sz="0" w:space="0" w:color="auto"/>
        <w:bottom w:val="none" w:sz="0" w:space="0" w:color="auto"/>
        <w:right w:val="none" w:sz="0" w:space="0" w:color="auto"/>
      </w:divBdr>
    </w:div>
    <w:div w:id="1282540329">
      <w:bodyDiv w:val="1"/>
      <w:marLeft w:val="0"/>
      <w:marRight w:val="0"/>
      <w:marTop w:val="0"/>
      <w:marBottom w:val="0"/>
      <w:divBdr>
        <w:top w:val="none" w:sz="0" w:space="0" w:color="auto"/>
        <w:left w:val="none" w:sz="0" w:space="0" w:color="auto"/>
        <w:bottom w:val="none" w:sz="0" w:space="0" w:color="auto"/>
        <w:right w:val="none" w:sz="0" w:space="0" w:color="auto"/>
      </w:divBdr>
    </w:div>
    <w:div w:id="1304119914">
      <w:bodyDiv w:val="1"/>
      <w:marLeft w:val="0"/>
      <w:marRight w:val="0"/>
      <w:marTop w:val="0"/>
      <w:marBottom w:val="0"/>
      <w:divBdr>
        <w:top w:val="none" w:sz="0" w:space="0" w:color="auto"/>
        <w:left w:val="none" w:sz="0" w:space="0" w:color="auto"/>
        <w:bottom w:val="none" w:sz="0" w:space="0" w:color="auto"/>
        <w:right w:val="none" w:sz="0" w:space="0" w:color="auto"/>
      </w:divBdr>
      <w:divsChild>
        <w:div w:id="298189532">
          <w:marLeft w:val="0"/>
          <w:marRight w:val="0"/>
          <w:marTop w:val="0"/>
          <w:marBottom w:val="0"/>
          <w:divBdr>
            <w:top w:val="none" w:sz="0" w:space="0" w:color="auto"/>
            <w:left w:val="none" w:sz="0" w:space="0" w:color="auto"/>
            <w:bottom w:val="none" w:sz="0" w:space="0" w:color="auto"/>
            <w:right w:val="none" w:sz="0" w:space="0" w:color="auto"/>
          </w:divBdr>
          <w:divsChild>
            <w:div w:id="275985248">
              <w:marLeft w:val="0"/>
              <w:marRight w:val="0"/>
              <w:marTop w:val="0"/>
              <w:marBottom w:val="0"/>
              <w:divBdr>
                <w:top w:val="none" w:sz="0" w:space="0" w:color="auto"/>
                <w:left w:val="none" w:sz="0" w:space="0" w:color="auto"/>
                <w:bottom w:val="none" w:sz="0" w:space="0" w:color="auto"/>
                <w:right w:val="none" w:sz="0" w:space="0" w:color="auto"/>
              </w:divBdr>
              <w:divsChild>
                <w:div w:id="834805562">
                  <w:marLeft w:val="0"/>
                  <w:marRight w:val="0"/>
                  <w:marTop w:val="0"/>
                  <w:marBottom w:val="0"/>
                  <w:divBdr>
                    <w:top w:val="none" w:sz="0" w:space="0" w:color="auto"/>
                    <w:left w:val="none" w:sz="0" w:space="0" w:color="auto"/>
                    <w:bottom w:val="none" w:sz="0" w:space="0" w:color="auto"/>
                    <w:right w:val="none" w:sz="0" w:space="0" w:color="auto"/>
                  </w:divBdr>
                  <w:divsChild>
                    <w:div w:id="1321959411">
                      <w:marLeft w:val="0"/>
                      <w:marRight w:val="0"/>
                      <w:marTop w:val="0"/>
                      <w:marBottom w:val="0"/>
                      <w:divBdr>
                        <w:top w:val="none" w:sz="0" w:space="0" w:color="auto"/>
                        <w:left w:val="none" w:sz="0" w:space="0" w:color="auto"/>
                        <w:bottom w:val="none" w:sz="0" w:space="0" w:color="auto"/>
                        <w:right w:val="none" w:sz="0" w:space="0" w:color="auto"/>
                      </w:divBdr>
                      <w:divsChild>
                        <w:div w:id="267809689">
                          <w:marLeft w:val="0"/>
                          <w:marRight w:val="0"/>
                          <w:marTop w:val="0"/>
                          <w:marBottom w:val="0"/>
                          <w:divBdr>
                            <w:top w:val="none" w:sz="0" w:space="0" w:color="auto"/>
                            <w:left w:val="none" w:sz="0" w:space="0" w:color="auto"/>
                            <w:bottom w:val="none" w:sz="0" w:space="0" w:color="auto"/>
                            <w:right w:val="none" w:sz="0" w:space="0" w:color="auto"/>
                          </w:divBdr>
                          <w:divsChild>
                            <w:div w:id="1193154515">
                              <w:marLeft w:val="0"/>
                              <w:marRight w:val="0"/>
                              <w:marTop w:val="0"/>
                              <w:marBottom w:val="0"/>
                              <w:divBdr>
                                <w:top w:val="none" w:sz="0" w:space="0" w:color="auto"/>
                                <w:left w:val="none" w:sz="0" w:space="0" w:color="auto"/>
                                <w:bottom w:val="none" w:sz="0" w:space="0" w:color="auto"/>
                                <w:right w:val="none" w:sz="0" w:space="0" w:color="auto"/>
                              </w:divBdr>
                              <w:divsChild>
                                <w:div w:id="1645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7115">
      <w:bodyDiv w:val="1"/>
      <w:marLeft w:val="0"/>
      <w:marRight w:val="0"/>
      <w:marTop w:val="0"/>
      <w:marBottom w:val="0"/>
      <w:divBdr>
        <w:top w:val="none" w:sz="0" w:space="0" w:color="auto"/>
        <w:left w:val="none" w:sz="0" w:space="0" w:color="auto"/>
        <w:bottom w:val="none" w:sz="0" w:space="0" w:color="auto"/>
        <w:right w:val="none" w:sz="0" w:space="0" w:color="auto"/>
      </w:divBdr>
    </w:div>
    <w:div w:id="1482847043">
      <w:bodyDiv w:val="1"/>
      <w:marLeft w:val="0"/>
      <w:marRight w:val="0"/>
      <w:marTop w:val="0"/>
      <w:marBottom w:val="0"/>
      <w:divBdr>
        <w:top w:val="none" w:sz="0" w:space="0" w:color="auto"/>
        <w:left w:val="none" w:sz="0" w:space="0" w:color="auto"/>
        <w:bottom w:val="none" w:sz="0" w:space="0" w:color="auto"/>
        <w:right w:val="none" w:sz="0" w:space="0" w:color="auto"/>
      </w:divBdr>
    </w:div>
    <w:div w:id="1838224718">
      <w:bodyDiv w:val="1"/>
      <w:marLeft w:val="0"/>
      <w:marRight w:val="0"/>
      <w:marTop w:val="0"/>
      <w:marBottom w:val="0"/>
      <w:divBdr>
        <w:top w:val="none" w:sz="0" w:space="0" w:color="auto"/>
        <w:left w:val="none" w:sz="0" w:space="0" w:color="auto"/>
        <w:bottom w:val="none" w:sz="0" w:space="0" w:color="auto"/>
        <w:right w:val="none" w:sz="0" w:space="0" w:color="auto"/>
      </w:divBdr>
    </w:div>
    <w:div w:id="1839425374">
      <w:bodyDiv w:val="1"/>
      <w:marLeft w:val="0"/>
      <w:marRight w:val="0"/>
      <w:marTop w:val="0"/>
      <w:marBottom w:val="0"/>
      <w:divBdr>
        <w:top w:val="none" w:sz="0" w:space="0" w:color="auto"/>
        <w:left w:val="none" w:sz="0" w:space="0" w:color="auto"/>
        <w:bottom w:val="none" w:sz="0" w:space="0" w:color="auto"/>
        <w:right w:val="none" w:sz="0" w:space="0" w:color="auto"/>
      </w:divBdr>
    </w:div>
    <w:div w:id="1849558463">
      <w:bodyDiv w:val="1"/>
      <w:marLeft w:val="0"/>
      <w:marRight w:val="0"/>
      <w:marTop w:val="0"/>
      <w:marBottom w:val="0"/>
      <w:divBdr>
        <w:top w:val="none" w:sz="0" w:space="0" w:color="auto"/>
        <w:left w:val="none" w:sz="0" w:space="0" w:color="auto"/>
        <w:bottom w:val="none" w:sz="0" w:space="0" w:color="auto"/>
        <w:right w:val="none" w:sz="0" w:space="0" w:color="auto"/>
      </w:divBdr>
    </w:div>
    <w:div w:id="2041540869">
      <w:bodyDiv w:val="1"/>
      <w:marLeft w:val="0"/>
      <w:marRight w:val="0"/>
      <w:marTop w:val="0"/>
      <w:marBottom w:val="0"/>
      <w:divBdr>
        <w:top w:val="none" w:sz="0" w:space="0" w:color="auto"/>
        <w:left w:val="none" w:sz="0" w:space="0" w:color="auto"/>
        <w:bottom w:val="none" w:sz="0" w:space="0" w:color="auto"/>
        <w:right w:val="none" w:sz="0" w:space="0" w:color="auto"/>
      </w:divBdr>
    </w:div>
    <w:div w:id="20942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4673</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dcterms:created xsi:type="dcterms:W3CDTF">2026-04-21T17:52:00Z</dcterms:created>
  <dcterms:modified xsi:type="dcterms:W3CDTF">2026-05-01T11:08:00Z</dcterms:modified>
</cp:coreProperties>
</file>