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2CC21" w14:textId="0919719C" w:rsidR="0092261D" w:rsidRDefault="0092261D" w:rsidP="008356CB">
      <w:pPr>
        <w:pStyle w:val="ListParagraph"/>
        <w:spacing w:line="259" w:lineRule="auto"/>
        <w:jc w:val="center"/>
        <w:rPr>
          <w:b/>
          <w:bCs/>
          <w:sz w:val="36"/>
          <w:szCs w:val="36"/>
        </w:rPr>
      </w:pPr>
    </w:p>
    <w:p w14:paraId="520F7D8C" w14:textId="77777777" w:rsidR="0092261D" w:rsidRDefault="0092261D" w:rsidP="008356CB">
      <w:pPr>
        <w:pStyle w:val="ListParagraph"/>
        <w:spacing w:line="259" w:lineRule="auto"/>
        <w:jc w:val="center"/>
        <w:rPr>
          <w:b/>
          <w:bCs/>
          <w:sz w:val="36"/>
          <w:szCs w:val="36"/>
        </w:rPr>
      </w:pPr>
    </w:p>
    <w:p w14:paraId="1F86693B" w14:textId="77777777" w:rsidR="0092261D" w:rsidRDefault="0092261D" w:rsidP="008356CB">
      <w:pPr>
        <w:pStyle w:val="ListParagraph"/>
        <w:spacing w:line="259" w:lineRule="auto"/>
        <w:jc w:val="center"/>
        <w:rPr>
          <w:b/>
          <w:bCs/>
          <w:sz w:val="36"/>
          <w:szCs w:val="36"/>
        </w:rPr>
      </w:pPr>
    </w:p>
    <w:p w14:paraId="7B8BA146" w14:textId="77777777" w:rsidR="0092261D" w:rsidRDefault="0092261D" w:rsidP="008356CB">
      <w:pPr>
        <w:pStyle w:val="ListParagraph"/>
        <w:spacing w:line="259" w:lineRule="auto"/>
        <w:jc w:val="center"/>
        <w:rPr>
          <w:b/>
          <w:bCs/>
          <w:sz w:val="36"/>
          <w:szCs w:val="36"/>
        </w:rPr>
      </w:pPr>
    </w:p>
    <w:p w14:paraId="3E00EB15" w14:textId="613FDF40" w:rsidR="008356CB" w:rsidRPr="008356CB" w:rsidRDefault="00C15241" w:rsidP="008356CB">
      <w:pPr>
        <w:pStyle w:val="ListParagraph"/>
        <w:spacing w:line="259" w:lineRule="auto"/>
        <w:jc w:val="center"/>
        <w:rPr>
          <w:rFonts w:cs="Times New Roman"/>
          <w:b/>
          <w:bCs/>
        </w:rPr>
      </w:pPr>
      <w:r w:rsidRPr="008356CB">
        <w:rPr>
          <w:b/>
          <w:bCs/>
          <w:sz w:val="36"/>
          <w:szCs w:val="36"/>
        </w:rPr>
        <w:t xml:space="preserve">Position Paper: </w:t>
      </w:r>
    </w:p>
    <w:p w14:paraId="1F31F487" w14:textId="77777777" w:rsidR="008356CB" w:rsidRDefault="008356CB" w:rsidP="00562180">
      <w:pPr>
        <w:jc w:val="center"/>
        <w:rPr>
          <w:b/>
          <w:bCs/>
          <w:sz w:val="36"/>
          <w:szCs w:val="36"/>
        </w:rPr>
      </w:pPr>
    </w:p>
    <w:p w14:paraId="23445257" w14:textId="7B32829D" w:rsidR="0092261D" w:rsidRDefault="00E01975" w:rsidP="00562180">
      <w:pPr>
        <w:jc w:val="center"/>
        <w:rPr>
          <w:b/>
          <w:bCs/>
        </w:rPr>
      </w:pPr>
      <w:r>
        <w:rPr>
          <w:b/>
          <w:bCs/>
          <w:sz w:val="36"/>
          <w:szCs w:val="36"/>
        </w:rPr>
        <w:t>Gaps in</w:t>
      </w:r>
      <w:r w:rsidR="00C15241" w:rsidRPr="008356CB">
        <w:rPr>
          <w:b/>
          <w:bCs/>
          <w:sz w:val="36"/>
          <w:szCs w:val="36"/>
        </w:rPr>
        <w:t xml:space="preserve"> Global Governance for AI-Assisted Cross-Border Cloud Forensics and the Imperative for the </w:t>
      </w:r>
      <w:r w:rsidR="00E5565A" w:rsidRPr="00E5565A">
        <w:rPr>
          <w:rFonts w:cs="Times New Roman"/>
          <w:b/>
          <w:bCs/>
          <w:sz w:val="36"/>
          <w:szCs w:val="36"/>
        </w:rPr>
        <w:t>Multi-jurisdictional Investigative Protocols for AI-Informed Digital Evidence (MIP-AIDE)</w:t>
      </w:r>
      <w:r w:rsidR="00E5565A" w:rsidRPr="00A63257">
        <w:rPr>
          <w:rFonts w:cs="Times New Roman"/>
          <w:b/>
          <w:bCs/>
          <w:sz w:val="28"/>
          <w:szCs w:val="28"/>
        </w:rPr>
        <w:t xml:space="preserve"> </w:t>
      </w:r>
      <w:r w:rsidR="00C15241" w:rsidRPr="008356CB">
        <w:rPr>
          <w:b/>
          <w:bCs/>
          <w:sz w:val="36"/>
          <w:szCs w:val="36"/>
        </w:rPr>
        <w:t>Framework</w:t>
      </w:r>
      <w:r w:rsidR="00C15241" w:rsidRPr="008356CB">
        <w:rPr>
          <w:b/>
          <w:bCs/>
          <w:sz w:val="36"/>
          <w:szCs w:val="36"/>
        </w:rPr>
        <w:br/>
      </w:r>
    </w:p>
    <w:p w14:paraId="3A9C68A5" w14:textId="77777777" w:rsidR="0092261D" w:rsidRDefault="0092261D" w:rsidP="00562180">
      <w:pPr>
        <w:jc w:val="center"/>
        <w:rPr>
          <w:b/>
          <w:bCs/>
        </w:rPr>
      </w:pPr>
      <w:bookmarkStart w:id="0" w:name="_GoBack"/>
      <w:bookmarkEnd w:id="0"/>
    </w:p>
    <w:p w14:paraId="4FC82C34" w14:textId="1D67431F" w:rsidR="001509B4" w:rsidRDefault="001509B4" w:rsidP="00562180">
      <w:pPr>
        <w:jc w:val="center"/>
        <w:rPr>
          <w:b/>
          <w:bCs/>
        </w:rPr>
      </w:pPr>
      <w:r w:rsidRPr="001509B4">
        <w:rPr>
          <w:b/>
          <w:bCs/>
        </w:rPr>
        <w:t>Abstract</w:t>
      </w:r>
    </w:p>
    <w:p w14:paraId="5A16AEB0" w14:textId="5A39496C" w:rsidR="00F53C18" w:rsidRDefault="00F53C18" w:rsidP="008356CB">
      <w:pPr>
        <w:jc w:val="both"/>
      </w:pPr>
      <w:r>
        <w:t xml:space="preserve">The rapid </w:t>
      </w:r>
      <w:r w:rsidR="00246796">
        <w:t>globalization</w:t>
      </w:r>
      <w:r>
        <w:t xml:space="preserve"> of digital services has made international cloud data transfers essential, yet these processes frequently collide with divergent regional privacy regimes, such as the conflict between the U.S.</w:t>
      </w:r>
      <w:r w:rsidR="00A30E4D">
        <w:t xml:space="preserve"> </w:t>
      </w:r>
      <w:r>
        <w:t>CLOUD Act</w:t>
      </w:r>
      <w:r w:rsidR="00A30E4D">
        <w:t xml:space="preserve"> </w:t>
      </w:r>
      <w:r w:rsidR="00A30E4D" w:rsidRPr="00A30E4D">
        <w:t>(Clarifying Lawful Overseas Use of Data Act)</w:t>
      </w:r>
      <w:r>
        <w:t xml:space="preserve"> and the </w:t>
      </w:r>
      <w:r w:rsidR="00A30E4D" w:rsidRPr="00A30E4D">
        <w:t>European Union's</w:t>
      </w:r>
      <w:r w:rsidR="00A30E4D">
        <w:t xml:space="preserve"> </w:t>
      </w:r>
      <w:r w:rsidR="00A30E4D" w:rsidRPr="00A30E4D">
        <w:t>General Data Protection Regulation (GDPR)</w:t>
      </w:r>
      <w:r>
        <w:t>. Current cross-border evidence acquisition relies on slow Mutual Legal Assistance Treaties (MLATs) or fragmented extraterritorial laws that often bypass data sovereignty. Furthermore, the integration of artificial intelligence (AI) in forensics introduces "black box" opacity, which threatens the admissibility of digital evidence and undermines due process. This research addresses these structural failures by proposing the MIP-AIDE framework to unify jurisdictional and AI accountability standards.</w:t>
      </w:r>
    </w:p>
    <w:p w14:paraId="00C0CDF6" w14:textId="77777777" w:rsidR="00F53C18" w:rsidRPr="00F53C18" w:rsidRDefault="00F53C18" w:rsidP="008356CB">
      <w:pPr>
        <w:jc w:val="both"/>
        <w:rPr>
          <w:b/>
          <w:bCs/>
        </w:rPr>
      </w:pPr>
      <w:r w:rsidRPr="00F53C18">
        <w:rPr>
          <w:b/>
          <w:bCs/>
        </w:rPr>
        <w:t xml:space="preserve">Objectives </w:t>
      </w:r>
    </w:p>
    <w:p w14:paraId="5EB35A60" w14:textId="4E788630" w:rsidR="00F53C18" w:rsidRDefault="00F53C18" w:rsidP="008356CB">
      <w:pPr>
        <w:jc w:val="both"/>
      </w:pPr>
      <w:r>
        <w:t>The primary objectives are to design a tiered procedural protocol that computationally embeds international compliance rules to resolve extraterritorial conflicts; define technical standards that translate forensic AI outputs into judicial admissibility criteria, such as error rates and bias audits; and innovate a governance paradigm that integrates Cloud Service Providers (CSPs) as auditable partners in the legal process.</w:t>
      </w:r>
    </w:p>
    <w:p w14:paraId="38D29A72" w14:textId="77777777" w:rsidR="00F53C18" w:rsidRPr="00F53C18" w:rsidRDefault="00F53C18" w:rsidP="008356CB">
      <w:pPr>
        <w:jc w:val="both"/>
        <w:rPr>
          <w:b/>
          <w:bCs/>
        </w:rPr>
      </w:pPr>
      <w:r w:rsidRPr="00F53C18">
        <w:rPr>
          <w:b/>
          <w:bCs/>
        </w:rPr>
        <w:t xml:space="preserve">Methods </w:t>
      </w:r>
    </w:p>
    <w:p w14:paraId="001CBCE3" w14:textId="5DF67362" w:rsidR="00F53C18" w:rsidRDefault="00F53C18" w:rsidP="008356CB">
      <w:pPr>
        <w:jc w:val="both"/>
      </w:pPr>
      <w:r>
        <w:t xml:space="preserve">This project employs a mixed-method approach consisting of three phases: (I) doctrinal legal analysis and benchmarking of international standards like the Daubert and Mohan criteria; (II) a technical review of Explainable AI (XAI) techniques like SHAP and LIME; and (III) Design Science Research (DSR) to </w:t>
      </w:r>
      <w:r w:rsidR="00246796">
        <w:t>synthesize</w:t>
      </w:r>
      <w:r>
        <w:t xml:space="preserve"> these findings into the MIP-AIDE framework.</w:t>
      </w:r>
    </w:p>
    <w:p w14:paraId="63BCE075" w14:textId="77777777" w:rsidR="00F53C18" w:rsidRPr="00F53C18" w:rsidRDefault="00F53C18" w:rsidP="008356CB">
      <w:pPr>
        <w:jc w:val="both"/>
        <w:rPr>
          <w:b/>
          <w:bCs/>
        </w:rPr>
      </w:pPr>
      <w:r w:rsidRPr="00F53C18">
        <w:rPr>
          <w:b/>
          <w:bCs/>
        </w:rPr>
        <w:t xml:space="preserve">Results </w:t>
      </w:r>
    </w:p>
    <w:p w14:paraId="1BC6AA3E" w14:textId="1109CEA8" w:rsidR="00F53C18" w:rsidRDefault="00F53C18" w:rsidP="008356CB">
      <w:pPr>
        <w:jc w:val="both"/>
      </w:pPr>
      <w:r>
        <w:lastRenderedPageBreak/>
        <w:t xml:space="preserve">The framework delivers three core components: a Legal Gateway Decision Matrix for automated compliance checking; Minimum Technical Explanatory Requirements (MTERs) to package AI outputs into court-admissible artefacts; and a Collaborative Stewardship Model using Service Level Agreements (SLAs) to </w:t>
      </w:r>
      <w:r w:rsidR="00246796">
        <w:t>formalize</w:t>
      </w:r>
      <w:r>
        <w:t xml:space="preserve"> the role of CSPs.</w:t>
      </w:r>
    </w:p>
    <w:p w14:paraId="5EC57135" w14:textId="77777777" w:rsidR="00F53C18" w:rsidRPr="00F53C18" w:rsidRDefault="00F53C18" w:rsidP="008356CB">
      <w:pPr>
        <w:jc w:val="both"/>
        <w:rPr>
          <w:b/>
          <w:bCs/>
        </w:rPr>
      </w:pPr>
      <w:r w:rsidRPr="00F53C18">
        <w:rPr>
          <w:b/>
          <w:bCs/>
        </w:rPr>
        <w:t>Conclusions</w:t>
      </w:r>
    </w:p>
    <w:p w14:paraId="46E75FD6" w14:textId="6878190D" w:rsidR="00F53C18" w:rsidRPr="00F53C18" w:rsidRDefault="00F53C18" w:rsidP="008356CB">
      <w:pPr>
        <w:jc w:val="both"/>
      </w:pPr>
      <w:r>
        <w:t xml:space="preserve">MIP-AIDE closes the </w:t>
      </w:r>
      <w:r w:rsidR="00246796">
        <w:t>protocolization</w:t>
      </w:r>
      <w:r>
        <w:t>, AI-admissibility, and non-state actor governance gaps. By providing a concrete, computable solution, the framework ensures that AI-assisted forensics achieve the speed, transparency, and legitimacy required for 21st-century digital justice.</w:t>
      </w:r>
    </w:p>
    <w:p w14:paraId="2182E69F" w14:textId="1F88C1FC" w:rsidR="0006148B" w:rsidRDefault="00E026E0" w:rsidP="00E026E0">
      <w:pPr>
        <w:jc w:val="both"/>
      </w:pPr>
      <w:r w:rsidRPr="00EE1D2E">
        <w:rPr>
          <w:b/>
          <w:bCs/>
        </w:rPr>
        <w:t>Keywords:</w:t>
      </w:r>
      <w:r w:rsidR="00EE1D2E">
        <w:t xml:space="preserve"> </w:t>
      </w:r>
      <w:r w:rsidR="00037D6A" w:rsidRPr="00037D6A">
        <w:t>MIP-AIDE Framework, Cloud Forensics, Cross-Border, Explainable AI (XAI), Collaborative Stewardship</w:t>
      </w:r>
    </w:p>
    <w:p w14:paraId="41C81004" w14:textId="77777777" w:rsidR="00391968" w:rsidRDefault="00391968" w:rsidP="00E026E0">
      <w:pPr>
        <w:jc w:val="both"/>
      </w:pPr>
    </w:p>
    <w:p w14:paraId="77E7420F" w14:textId="77777777" w:rsidR="0092261D" w:rsidRDefault="0092261D" w:rsidP="00E026E0">
      <w:pPr>
        <w:jc w:val="both"/>
      </w:pPr>
    </w:p>
    <w:p w14:paraId="506DB7F7" w14:textId="77777777" w:rsidR="0092261D" w:rsidRDefault="0092261D" w:rsidP="00E026E0">
      <w:pPr>
        <w:jc w:val="both"/>
      </w:pPr>
    </w:p>
    <w:p w14:paraId="3A688631" w14:textId="547A147E" w:rsidR="009965B5" w:rsidRPr="003B10F3" w:rsidRDefault="00A46EFB" w:rsidP="00BE37EC">
      <w:pPr>
        <w:spacing w:line="240" w:lineRule="auto"/>
        <w:rPr>
          <w:b/>
          <w:bCs/>
        </w:rPr>
      </w:pPr>
      <w:r>
        <w:rPr>
          <w:b/>
          <w:bCs/>
        </w:rPr>
        <w:t>1.</w:t>
      </w:r>
      <w:r w:rsidR="00502FF4">
        <w:rPr>
          <w:b/>
          <w:bCs/>
        </w:rPr>
        <w:t xml:space="preserve"> </w:t>
      </w:r>
      <w:r w:rsidR="009965B5" w:rsidRPr="003B10F3">
        <w:rPr>
          <w:b/>
          <w:bCs/>
        </w:rPr>
        <w:t>Introduction</w:t>
      </w:r>
    </w:p>
    <w:p w14:paraId="56F0C976" w14:textId="77777777" w:rsidR="009965B5" w:rsidRDefault="009965B5" w:rsidP="00BE37EC">
      <w:pPr>
        <w:spacing w:line="240" w:lineRule="auto"/>
        <w:jc w:val="both"/>
      </w:pPr>
      <w:r>
        <w:t>The swift progression of digital globalization has rendered international cloud data transfers indispensable for multinational organizations. However, these transfers increasingly conflict with divergent privacy and data protection regimes, most notably between the United States and regions like the European Union (Patterson, 2025). This tension underscores the need to ensure that digital evidence from the cloud is obtained swiftly, legally, and in a forensically sound manner, particularly when AI is involved.</w:t>
      </w:r>
    </w:p>
    <w:p w14:paraId="7C01C900" w14:textId="55F89E72" w:rsidR="009965B5" w:rsidRDefault="009965B5" w:rsidP="00BE37EC">
      <w:pPr>
        <w:spacing w:line="240" w:lineRule="auto"/>
        <w:jc w:val="both"/>
      </w:pPr>
      <w:r>
        <w:t xml:space="preserve">The borderless nature of cloud data paralyzes cross-border evidence access, often relying on the U.S. CLOUD Act or slower mechanisms like Mutual Legal Assistance Treaties (MLATs) (Perault &amp; Salgado, 2024). Concurrently, the "black box" opacity of AI tools in data analysis undermines due process, rendering critical digital evidence inadmissible in courts (Dou &amp; Dou, 2025). This article proposes the </w:t>
      </w:r>
      <w:r w:rsidR="00E5565A" w:rsidRPr="00E5565A">
        <w:t xml:space="preserve">Multi-jurisdictional Investigative Protocols for AI-Informed Digital Evidence (MIP-AIDE) framework </w:t>
      </w:r>
      <w:r>
        <w:t>as a unified governance solution to these jurisdictional and AI accountability challenges.</w:t>
      </w:r>
    </w:p>
    <w:p w14:paraId="0FCA7630" w14:textId="45F79723" w:rsidR="00A94F8F" w:rsidRPr="00BE37EC" w:rsidRDefault="009965B5" w:rsidP="00BE37EC">
      <w:pPr>
        <w:spacing w:line="240" w:lineRule="auto"/>
        <w:jc w:val="both"/>
      </w:pPr>
      <w:r>
        <w:t xml:space="preserve">The MIP-AIDE Protocol replaces fragmented legal and technical standards with a comprehensive model, delivering key outcomes: a Legal Gateway Decision Matrix to navigate conflicts (e.g., CLOUD Act vs. GDPR), </w:t>
      </w:r>
      <w:r w:rsidR="00357250" w:rsidRPr="00357250">
        <w:t xml:space="preserve">Minimum Technical Explanatory Requirements </w:t>
      </w:r>
      <w:r w:rsidR="00357250">
        <w:t>(</w:t>
      </w:r>
      <w:r>
        <w:t>MTERs</w:t>
      </w:r>
      <w:r w:rsidR="00357250">
        <w:t>)</w:t>
      </w:r>
      <w:r>
        <w:t xml:space="preserve"> for standardizing AI evidence admissibility, and a Collaborative Stewardship Model incorporating C</w:t>
      </w:r>
      <w:r w:rsidR="00346075">
        <w:t xml:space="preserve">loud </w:t>
      </w:r>
      <w:r>
        <w:t>S</w:t>
      </w:r>
      <w:r w:rsidR="00346075">
        <w:t xml:space="preserve">ervice </w:t>
      </w:r>
      <w:r>
        <w:t>P</w:t>
      </w:r>
      <w:r w:rsidR="00346075">
        <w:t>rovider</w:t>
      </w:r>
      <w:r>
        <w:t>s</w:t>
      </w:r>
      <w:r w:rsidR="00346075">
        <w:t xml:space="preserve"> (CSPs)</w:t>
      </w:r>
      <w:r>
        <w:t xml:space="preserve"> for accelerated evidence disclosure. This framework advances interdisciplinary knowledge in law, forensics, and XAI.</w:t>
      </w:r>
    </w:p>
    <w:p w14:paraId="572EB8AE" w14:textId="55D4BA8C" w:rsidR="005A0AD6" w:rsidRPr="00A94F8F" w:rsidRDefault="005D6831" w:rsidP="00BE37EC">
      <w:pPr>
        <w:spacing w:line="240" w:lineRule="auto"/>
        <w:jc w:val="both"/>
        <w:rPr>
          <w:b/>
          <w:bCs/>
        </w:rPr>
      </w:pPr>
      <w:r>
        <w:rPr>
          <w:b/>
          <w:bCs/>
        </w:rPr>
        <w:t xml:space="preserve">1.1 </w:t>
      </w:r>
      <w:r w:rsidR="00A94F8F" w:rsidRPr="00A94F8F">
        <w:rPr>
          <w:b/>
          <w:bCs/>
        </w:rPr>
        <w:t>Objectives</w:t>
      </w:r>
    </w:p>
    <w:p w14:paraId="70A7D1D8" w14:textId="77777777" w:rsidR="00A84763" w:rsidRPr="005D6831" w:rsidRDefault="00A84763"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To design a tiered, procedural protocol that computationally embeds international compliance rules, resolving conflicting extraterritorial access demands (e.g., CLOUD Act vs. GDPR) and ensuring rapid, legally sound acquisition.</w:t>
      </w:r>
    </w:p>
    <w:p w14:paraId="6569E35C" w14:textId="6F7737F7" w:rsidR="008468EE" w:rsidRPr="005D6831" w:rsidRDefault="008468EE"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 xml:space="preserve">To define a technical standard that translates the outputs of forensic AI (error rates, feature importance, bias audit reports) into the specific criteria required for judicial admissibility (e.g., the </w:t>
      </w:r>
      <w:r w:rsidRPr="005D6831">
        <w:rPr>
          <w:rFonts w:eastAsiaTheme="majorEastAsia" w:cs="Times New Roman"/>
          <w:i/>
          <w:iCs/>
          <w:kern w:val="0"/>
          <w14:ligatures w14:val="none"/>
        </w:rPr>
        <w:t>Daubert</w:t>
      </w:r>
      <w:r w:rsidRPr="005D6831">
        <w:rPr>
          <w:rFonts w:eastAsiaTheme="majorEastAsia" w:cs="Times New Roman"/>
          <w:kern w:val="0"/>
          <w14:ligatures w14:val="none"/>
        </w:rPr>
        <w:t xml:space="preserve"> standard).</w:t>
      </w:r>
    </w:p>
    <w:p w14:paraId="7499D04D" w14:textId="505BCA61" w:rsidR="00A94F8F" w:rsidRPr="00BE37EC" w:rsidRDefault="008E2E48"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lastRenderedPageBreak/>
        <w:t>To innovate a governance paradigm that formally integrates Cloud Service Providers (CSPs) as auditable, responsible partners in the legal process.</w:t>
      </w:r>
    </w:p>
    <w:p w14:paraId="160747A2" w14:textId="1A6D128F" w:rsidR="00C92BB9" w:rsidRDefault="005A0AD6" w:rsidP="00BE37EC">
      <w:pPr>
        <w:spacing w:line="240" w:lineRule="auto"/>
        <w:jc w:val="both"/>
        <w:rPr>
          <w:b/>
          <w:bCs/>
        </w:rPr>
      </w:pPr>
      <w:r w:rsidRPr="005A0AD6">
        <w:rPr>
          <w:b/>
          <w:bCs/>
        </w:rPr>
        <w:t>2. Current Challenges in Cross-Border Forensics</w:t>
      </w:r>
    </w:p>
    <w:p w14:paraId="7044D6DB" w14:textId="6C6FC9F2" w:rsidR="005A0AD6" w:rsidRPr="005A0AD6" w:rsidRDefault="005A0AD6" w:rsidP="00BE37EC">
      <w:pPr>
        <w:spacing w:line="240" w:lineRule="auto"/>
        <w:rPr>
          <w:b/>
          <w:bCs/>
        </w:rPr>
      </w:pPr>
      <w:r w:rsidRPr="009D761F">
        <w:t>Cloud forensics faces a complex set of challenges, stemming from both technical and institutional sources. These challenges affect data acquisition, preservation, analysis, privacy, and legal compliance (</w:t>
      </w:r>
      <w:proofErr w:type="spellStart"/>
      <w:r w:rsidRPr="009D761F">
        <w:t>Alenezi</w:t>
      </w:r>
      <w:proofErr w:type="spellEnd"/>
      <w:r w:rsidRPr="009D761F">
        <w:t>, 2023).</w:t>
      </w:r>
      <w:r>
        <w:t xml:space="preserve"> </w:t>
      </w:r>
      <w:r w:rsidRPr="009D761F">
        <w:t>Multi-layered frameworks, encompassing technical, legal, and institutional dimensions, have been suggested to support forensic readiness and intellectual property protection, concurrently fostering cross-sector collaboration (De &amp; Chakraborty, 2025). Nevertheless, these models are largely theoretical and do not provide operational protocols that can reconcile conflicting legal requirements with the demands of real-time cloud forensics.</w:t>
      </w:r>
    </w:p>
    <w:p w14:paraId="000C35A1" w14:textId="656DC6B2" w:rsidR="00D2448B" w:rsidRDefault="00E068CF" w:rsidP="00BE37EC">
      <w:pPr>
        <w:spacing w:line="240" w:lineRule="auto"/>
        <w:rPr>
          <w:b/>
          <w:bCs/>
        </w:rPr>
      </w:pPr>
      <w:r>
        <w:rPr>
          <w:b/>
          <w:bCs/>
        </w:rPr>
        <w:t>2.</w:t>
      </w:r>
      <w:r w:rsidR="005A0AD6">
        <w:rPr>
          <w:b/>
          <w:bCs/>
        </w:rPr>
        <w:t>1</w:t>
      </w:r>
      <w:r>
        <w:rPr>
          <w:b/>
          <w:bCs/>
        </w:rPr>
        <w:t xml:space="preserve"> </w:t>
      </w:r>
      <w:r w:rsidR="00AD30B4" w:rsidRPr="00AD30B4">
        <w:rPr>
          <w:b/>
          <w:bCs/>
        </w:rPr>
        <w:t>Jurisdictional Conflict: Law vs. Location</w:t>
      </w:r>
    </w:p>
    <w:p w14:paraId="50E7EF3F" w14:textId="17A33989" w:rsidR="000D5EA7" w:rsidRDefault="00AD30B4" w:rsidP="00BE37EC">
      <w:pPr>
        <w:spacing w:line="240" w:lineRule="auto"/>
        <w:rPr>
          <w:b/>
          <w:bCs/>
        </w:rPr>
      </w:pPr>
      <w:r w:rsidRPr="009D761F">
        <w:t>The tension between territorial sovereignty and extraterritorial data access lies at the heart of contemporary scholarship. The landmark United States v. Microsoft Corp. (2013–2018) case illustrated the limits of traditional jurisdiction when U.S. authorities' requests for data held in Ireland instigated a significant change (Lather</w:t>
      </w:r>
      <w:r w:rsidR="00DA31A6">
        <w:t xml:space="preserve"> </w:t>
      </w:r>
      <w:r w:rsidRPr="009D761F">
        <w:t>et al., 2025). The ensuing CLOUD Act of 2018 redefined jurisdictional boundaries, prioritizing provider control over data location</w:t>
      </w:r>
      <w:r w:rsidR="003E20BE">
        <w:t xml:space="preserve"> (Patterson, 2025)</w:t>
      </w:r>
      <w:r w:rsidRPr="009D761F">
        <w:t>.</w:t>
      </w:r>
      <w:r w:rsidR="004111E3">
        <w:t xml:space="preserve"> </w:t>
      </w:r>
      <w:r w:rsidRPr="009D761F">
        <w:t xml:space="preserve"> This approach allowed for the creation of bilateral agreements, which avoided the lengthy processes often associated with Mutual Legal Assistance Treaties (MLATs). These treaties can be time-consuming, sometimes taking more than ten months to complete (Perault &amp; Salgado, 2024).</w:t>
      </w:r>
      <w:r w:rsidR="00815E89">
        <w:t xml:space="preserve"> </w:t>
      </w:r>
      <w:r w:rsidRPr="009D761F">
        <w:t>Although these mechanisms facilitate expedited access, they simultaneously generate direct conflicts with data-localization policies implemented in other regions, most notably within the European Union.</w:t>
      </w:r>
    </w:p>
    <w:p w14:paraId="1ED48FF2" w14:textId="77777777" w:rsidR="00B92D7C" w:rsidRDefault="00AD30B4" w:rsidP="00B92D7C">
      <w:pPr>
        <w:spacing w:line="240" w:lineRule="auto"/>
        <w:jc w:val="both"/>
      </w:pPr>
      <w:r w:rsidRPr="009D761F">
        <w:t xml:space="preserve">European academic discourse highlights the GDPR's emphasis on accountability, while simultaneously acknowledging its limitations in fully safeguarding users from data misuse by platforms like Android and </w:t>
      </w:r>
      <w:proofErr w:type="spellStart"/>
      <w:r w:rsidRPr="009D761F">
        <w:t>iOS</w:t>
      </w:r>
      <w:proofErr w:type="spellEnd"/>
      <w:r w:rsidRPr="009D761F">
        <w:t xml:space="preserve"> (</w:t>
      </w:r>
      <w:proofErr w:type="spellStart"/>
      <w:r w:rsidRPr="009D761F">
        <w:t>Ucar</w:t>
      </w:r>
      <w:proofErr w:type="spellEnd"/>
      <w:r w:rsidRPr="009D761F">
        <w:t xml:space="preserve"> &amp; </w:t>
      </w:r>
      <w:proofErr w:type="spellStart"/>
      <w:r w:rsidRPr="009D761F">
        <w:t>Yalcintas</w:t>
      </w:r>
      <w:proofErr w:type="spellEnd"/>
      <w:r w:rsidRPr="009D761F">
        <w:t xml:space="preserve">, 2023). Article 48 explicitly forbids data transfers predicated solely on third-country directives, such as those stemming from the CLOUD Act, unless they are supported by international accords (Voigt &amp; von </w:t>
      </w:r>
      <w:proofErr w:type="spellStart"/>
      <w:r w:rsidRPr="009D761F">
        <w:t>dem</w:t>
      </w:r>
      <w:proofErr w:type="spellEnd"/>
      <w:r w:rsidRPr="009D761F">
        <w:t xml:space="preserve"> </w:t>
      </w:r>
      <w:proofErr w:type="spellStart"/>
      <w:r w:rsidRPr="009D761F">
        <w:t>Bussche</w:t>
      </w:r>
      <w:proofErr w:type="spellEnd"/>
      <w:r w:rsidRPr="009D761F">
        <w:t>, 2024). This creates a persistent "compliance dilemma," wherein the extraterritorial scope of U.S. Legal frameworks can conflict with EU data sovereignty (Amoo et al., 2024). Moreover, comparative studies show that these different regulatory systems hinder the efficient gathering of evidence in international investigations.</w:t>
      </w:r>
    </w:p>
    <w:p w14:paraId="6D94763F" w14:textId="2174F480" w:rsidR="005A79FB" w:rsidRPr="00B92D7C" w:rsidRDefault="00AD30B4" w:rsidP="00B92D7C">
      <w:pPr>
        <w:spacing w:line="240" w:lineRule="auto"/>
      </w:pPr>
      <w:r w:rsidRPr="00AD30B4">
        <w:rPr>
          <w:b/>
          <w:bCs/>
        </w:rPr>
        <w:br/>
      </w:r>
      <w:r w:rsidR="005A0AD6">
        <w:rPr>
          <w:b/>
          <w:bCs/>
        </w:rPr>
        <w:t>2.2</w:t>
      </w:r>
      <w:r w:rsidR="00B93CB8">
        <w:rPr>
          <w:b/>
          <w:bCs/>
        </w:rPr>
        <w:t xml:space="preserve"> </w:t>
      </w:r>
      <w:r w:rsidRPr="00AD30B4">
        <w:rPr>
          <w:b/>
          <w:bCs/>
        </w:rPr>
        <w:t>The AI-Admissibility Challenge: Opacity vs. Integrity</w:t>
      </w:r>
      <w:r w:rsidRPr="00AD30B4">
        <w:rPr>
          <w:b/>
          <w:bCs/>
        </w:rPr>
        <w:br/>
      </w:r>
      <w:r w:rsidRPr="009D761F">
        <w:t>A growing body of work warns that AI-informed evidence must satisfy thresholds of integrity, authenticity, reliability, and methodological transparency to be judicially admissible (</w:t>
      </w:r>
      <w:proofErr w:type="spellStart"/>
      <w:r w:rsidRPr="009D761F">
        <w:t>Okunrobo</w:t>
      </w:r>
      <w:proofErr w:type="spellEnd"/>
      <w:r w:rsidR="004E6B5A">
        <w:t xml:space="preserve"> Perez</w:t>
      </w:r>
      <w:r w:rsidRPr="009D761F">
        <w:t>, 2025).</w:t>
      </w:r>
      <w:r w:rsidR="00A61F64">
        <w:t xml:space="preserve"> Concerns include authenticity, tampering prevention, chain of custody, and methodological transparency, potentially extending trials (Gentry, 2024). </w:t>
      </w:r>
      <w:r w:rsidR="00A61F64" w:rsidRPr="0050327A">
        <w:t>Traditional chain of custody practices, which are system-focused and infrastructure-driven, need to be improved to better serve digital forensics (Nath et al., 2024)</w:t>
      </w:r>
      <w:r w:rsidR="00A61F64">
        <w:t>.</w:t>
      </w:r>
      <w:r w:rsidRPr="009D761F">
        <w:t xml:space="preserve"> In Nigeria, for instance, the admissibility of AI-generated evidence is complicated by the stipulations of the Evidence Act (Orji, 2024). </w:t>
      </w:r>
      <w:r w:rsidR="00A42AFF">
        <w:t xml:space="preserve">AI may yield errors from biases or opacity, threatening fair trials (ALF, 2025). </w:t>
      </w:r>
      <w:r w:rsidRPr="009D761F">
        <w:t>Furthermore, global legal cases, including those involving self-driving vehicles, illustrate how the absence of established standards can impede judicial processes (UNESCO, 2023). Consequently, conventional chain-of-custody protocols, which were developed for physical evidence, are insufficient for managing AI-generated digital outputs.</w:t>
      </w:r>
      <w:r w:rsidRPr="009D761F">
        <w:br/>
      </w:r>
      <w:r w:rsidRPr="009D761F">
        <w:br/>
      </w:r>
      <w:r w:rsidR="005A0AD6">
        <w:rPr>
          <w:b/>
          <w:bCs/>
        </w:rPr>
        <w:t>2</w:t>
      </w:r>
      <w:r w:rsidR="00B93CB8">
        <w:rPr>
          <w:b/>
          <w:bCs/>
        </w:rPr>
        <w:t>.</w:t>
      </w:r>
      <w:r w:rsidR="005A0AD6">
        <w:rPr>
          <w:b/>
          <w:bCs/>
        </w:rPr>
        <w:t>3</w:t>
      </w:r>
      <w:r w:rsidR="00B93CB8">
        <w:rPr>
          <w:b/>
          <w:bCs/>
        </w:rPr>
        <w:t xml:space="preserve"> </w:t>
      </w:r>
      <w:r w:rsidR="00B31CEB" w:rsidRPr="00B31CEB">
        <w:rPr>
          <w:b/>
          <w:bCs/>
        </w:rPr>
        <w:t xml:space="preserve">Governance and </w:t>
      </w:r>
      <w:r w:rsidR="00611662">
        <w:rPr>
          <w:b/>
          <w:bCs/>
        </w:rPr>
        <w:t>Non-State Actor Exclusion</w:t>
      </w:r>
      <w:r w:rsidRPr="009D761F">
        <w:br/>
        <w:t xml:space="preserve">Algorithmic accountability research highlights the potential for "black box" systems to undermine defendants' rights and due process (Dou &amp; Dou, 2025). </w:t>
      </w:r>
      <w:r w:rsidR="00045236">
        <w:t xml:space="preserve">Algorithmic transparency detects </w:t>
      </w:r>
      <w:r w:rsidR="00045236">
        <w:lastRenderedPageBreak/>
        <w:t>discrimination and complies with data security, aligning obligations with standards (</w:t>
      </w:r>
      <w:proofErr w:type="spellStart"/>
      <w:r w:rsidR="00045236">
        <w:t>Zharova</w:t>
      </w:r>
      <w:proofErr w:type="spellEnd"/>
      <w:r w:rsidR="00045236">
        <w:t>, 2023). A cloud governance framework integrates AI automation, security, and compliance for risk management (Folorunso et al., 2024). Inadequate international collaboration, varying frameworks, and judicial misunderstandings hinder progress (</w:t>
      </w:r>
      <w:proofErr w:type="spellStart"/>
      <w:r w:rsidR="00045236">
        <w:t>Olber</w:t>
      </w:r>
      <w:proofErr w:type="spellEnd"/>
      <w:r w:rsidR="00045236">
        <w:t>, 2021).</w:t>
      </w:r>
      <w:r w:rsidR="005A79FB" w:rsidRPr="005A79FB">
        <w:rPr>
          <w:rFonts w:eastAsia="Times New Roman" w:cs="Times New Roman"/>
          <w:kern w:val="0"/>
          <w14:ligatures w14:val="none"/>
        </w:rPr>
        <w:t xml:space="preserve"> </w:t>
      </w:r>
      <w:r w:rsidR="00591700" w:rsidRPr="00591700">
        <w:t xml:space="preserve">Further study, </w:t>
      </w:r>
      <w:r w:rsidR="005A79FB" w:rsidRPr="00591700">
        <w:t xml:space="preserve">examines the ethical and regulatory aspects of Explainable Artificial Intelligence (XAI), proposing </w:t>
      </w:r>
      <w:proofErr w:type="spellStart"/>
      <w:r w:rsidR="005A79FB" w:rsidRPr="00591700">
        <w:t>standardised</w:t>
      </w:r>
      <w:proofErr w:type="spellEnd"/>
      <w:r w:rsidR="005A79FB" w:rsidRPr="00591700">
        <w:t xml:space="preserve"> methods to guarantee fairness, accountability, and compliance with rules in AI implementation (</w:t>
      </w:r>
      <w:proofErr w:type="spellStart"/>
      <w:r w:rsidR="005A79FB" w:rsidRPr="00591700">
        <w:t>Chinnaraju</w:t>
      </w:r>
      <w:proofErr w:type="spellEnd"/>
      <w:r w:rsidR="005A79FB" w:rsidRPr="00591700">
        <w:t>, 2025).</w:t>
      </w:r>
    </w:p>
    <w:p w14:paraId="67CC10D1" w14:textId="73894040" w:rsidR="001E57CF" w:rsidRDefault="00AD30B4" w:rsidP="00BE37EC">
      <w:pPr>
        <w:spacing w:line="240" w:lineRule="auto"/>
      </w:pPr>
      <w:r w:rsidRPr="009D761F">
        <w:t xml:space="preserve">Moreover, </w:t>
      </w:r>
      <w:r w:rsidR="001E57CF" w:rsidRPr="00EE3098">
        <w:rPr>
          <w:rFonts w:cs="Times New Roman"/>
        </w:rPr>
        <w:t>Current cross-border legal solutions primarily emphasize state-to-state mechanisms like MLATs and CLOUD Act agreements</w:t>
      </w:r>
      <w:r w:rsidR="001E57CF">
        <w:t xml:space="preserve"> (Perault &amp; Salgado, 2024). </w:t>
      </w:r>
      <w:r w:rsidR="001E57CF" w:rsidRPr="00D77474">
        <w:t>But both agreement</w:t>
      </w:r>
      <w:r w:rsidR="001E57CF">
        <w:t>s</w:t>
      </w:r>
      <w:r w:rsidR="001E57CF" w:rsidRPr="00D77474">
        <w:t xml:space="preserve"> overlook the pivotal role of Cloud Service Providers (CSPs) as key gatekeepers of evidence </w:t>
      </w:r>
      <w:r w:rsidR="001E57CF">
        <w:t>(</w:t>
      </w:r>
      <w:proofErr w:type="spellStart"/>
      <w:r w:rsidR="001E57CF">
        <w:t>Chivers</w:t>
      </w:r>
      <w:proofErr w:type="spellEnd"/>
      <w:r w:rsidR="001E57CF">
        <w:t xml:space="preserve">, 2019). However, MIP-AIDE will develop service-level agreements (SLAs) and governance integrating CSPs, resolving compliance dilemmas. </w:t>
      </w:r>
    </w:p>
    <w:p w14:paraId="1BEB0921" w14:textId="73B1E52A" w:rsidR="001C3EB5" w:rsidRDefault="001C3EB5" w:rsidP="00BE37EC">
      <w:pPr>
        <w:spacing w:line="240" w:lineRule="auto"/>
      </w:pPr>
      <w:r>
        <w:t>However, t</w:t>
      </w:r>
      <w:r w:rsidRPr="009D761F">
        <w:t xml:space="preserve">he existing body of research reveals three significant shortcomings: </w:t>
      </w:r>
    </w:p>
    <w:p w14:paraId="22C9FF99" w14:textId="77777777" w:rsidR="001C3EB5" w:rsidRDefault="001C3EB5" w:rsidP="00BE37EC">
      <w:pPr>
        <w:pStyle w:val="ListParagraph"/>
        <w:numPr>
          <w:ilvl w:val="0"/>
          <w:numId w:val="5"/>
        </w:numPr>
        <w:spacing w:line="240" w:lineRule="auto"/>
      </w:pPr>
      <w:r>
        <w:t>A</w:t>
      </w:r>
      <w:r w:rsidRPr="009D761F">
        <w:t xml:space="preserve"> lack of operational guidelines for balancing extraterritorial obligations with the safeguarding of national sovereignty, referred to as the protocolization gap; </w:t>
      </w:r>
    </w:p>
    <w:p w14:paraId="3A5F446F" w14:textId="28F4EEF9" w:rsidR="001C3EB5" w:rsidRDefault="001C3EB5" w:rsidP="00BE37EC">
      <w:pPr>
        <w:pStyle w:val="ListParagraph"/>
        <w:numPr>
          <w:ilvl w:val="0"/>
          <w:numId w:val="5"/>
        </w:numPr>
        <w:spacing w:line="240" w:lineRule="auto"/>
      </w:pPr>
      <w:r>
        <w:t>T</w:t>
      </w:r>
      <w:r w:rsidRPr="009D761F">
        <w:t xml:space="preserve">he absence of uniform technical standards for the judicial validation of AI-generated evidence, </w:t>
      </w:r>
      <w:r w:rsidR="00094A1C" w:rsidRPr="009D761F">
        <w:t xml:space="preserve">referred to </w:t>
      </w:r>
      <w:r w:rsidRPr="009D761F">
        <w:t xml:space="preserve">as the AI-admissibility gap; </w:t>
      </w:r>
    </w:p>
    <w:p w14:paraId="73D12479" w14:textId="374C1499" w:rsidR="001C3EB5" w:rsidRDefault="001C3EB5" w:rsidP="00BE37EC">
      <w:pPr>
        <w:pStyle w:val="ListParagraph"/>
        <w:numPr>
          <w:ilvl w:val="0"/>
          <w:numId w:val="5"/>
        </w:numPr>
        <w:spacing w:line="240" w:lineRule="auto"/>
      </w:pPr>
      <w:r>
        <w:t>T</w:t>
      </w:r>
      <w:r w:rsidRPr="009D761F">
        <w:t xml:space="preserve">he exclusion of CSPs from governance frameworks, despite their crucial function as data custodians, which constitutes the non-state actor governance gap. </w:t>
      </w:r>
    </w:p>
    <w:p w14:paraId="12AD42DE" w14:textId="5BA2E84A" w:rsidR="001C3EB5" w:rsidRDefault="001C3EB5" w:rsidP="00BE37EC">
      <w:pPr>
        <w:spacing w:line="240" w:lineRule="auto"/>
      </w:pPr>
      <w:r w:rsidRPr="009D761F">
        <w:t>The identified weaknesses directly relate to the challenges mentioned in th</w:t>
      </w:r>
      <w:r>
        <w:t>is paper</w:t>
      </w:r>
      <w:r w:rsidRPr="009D761F">
        <w:t>, thus confirming the limitations of fragmented national or bilateral approaches.</w:t>
      </w:r>
    </w:p>
    <w:p w14:paraId="1EF6E19D" w14:textId="6295C991" w:rsidR="00CF3646" w:rsidRPr="00CF3646" w:rsidRDefault="00271E20" w:rsidP="00BE37EC">
      <w:pPr>
        <w:spacing w:line="240" w:lineRule="auto"/>
        <w:rPr>
          <w:b/>
          <w:bCs/>
        </w:rPr>
      </w:pPr>
      <w:r>
        <w:rPr>
          <w:b/>
          <w:bCs/>
        </w:rPr>
        <w:t>3</w:t>
      </w:r>
      <w:r w:rsidR="00CF3646" w:rsidRPr="00CF3646">
        <w:rPr>
          <w:b/>
          <w:bCs/>
        </w:rPr>
        <w:t>.0 Research Methodology</w:t>
      </w:r>
    </w:p>
    <w:p w14:paraId="4D8DEF18" w14:textId="77777777" w:rsidR="00CF3646" w:rsidRDefault="00CF3646" w:rsidP="00BE37EC">
      <w:pPr>
        <w:spacing w:line="240" w:lineRule="auto"/>
      </w:pPr>
      <w:r w:rsidRPr="00CF3646">
        <w:t xml:space="preserve">The research project will use a mixed-method approach incorporating doctrinal legal analysis, analytical benchmarking, and design science research (DSR).  </w:t>
      </w:r>
    </w:p>
    <w:p w14:paraId="4ED444B0" w14:textId="0D60265A" w:rsidR="00CF3646" w:rsidRDefault="00271E20" w:rsidP="00BE37EC">
      <w:pPr>
        <w:spacing w:line="240" w:lineRule="auto"/>
      </w:pPr>
      <w:r>
        <w:rPr>
          <w:b/>
          <w:bCs/>
        </w:rPr>
        <w:t>3</w:t>
      </w:r>
      <w:r w:rsidR="00CF3646" w:rsidRPr="00CF3646">
        <w:rPr>
          <w:b/>
          <w:bCs/>
        </w:rPr>
        <w:t xml:space="preserve">.1 Phase I: </w:t>
      </w:r>
      <w:r w:rsidR="00CF3646" w:rsidRPr="00B56B54">
        <w:rPr>
          <w:b/>
          <w:bCs/>
        </w:rPr>
        <w:t>Legal and Regulatory Mapping</w:t>
      </w:r>
    </w:p>
    <w:p w14:paraId="607DF869" w14:textId="134B67A8" w:rsidR="00CF3646" w:rsidRPr="00CF3646" w:rsidRDefault="00CF3646" w:rsidP="00BE37EC">
      <w:pPr>
        <w:spacing w:line="240" w:lineRule="auto"/>
        <w:rPr>
          <w:b/>
          <w:bCs/>
        </w:rPr>
      </w:pPr>
      <w:r w:rsidRPr="00CF3646">
        <w:t xml:space="preserve">The analysis will compare the U.S. Daubert Standard with common law approaches like Canada's Mohan criteria (Macturk et al., 2025).  </w:t>
      </w:r>
    </w:p>
    <w:p w14:paraId="6355C2B0" w14:textId="2DE96828" w:rsidR="00CF3646" w:rsidRDefault="00271E20" w:rsidP="00BE37EC">
      <w:pPr>
        <w:spacing w:line="240" w:lineRule="auto"/>
      </w:pPr>
      <w:r>
        <w:rPr>
          <w:b/>
          <w:bCs/>
        </w:rPr>
        <w:t>3</w:t>
      </w:r>
      <w:r w:rsidR="00CF3646" w:rsidRPr="00CF3646">
        <w:rPr>
          <w:b/>
          <w:bCs/>
        </w:rPr>
        <w:t xml:space="preserve">.2 Phase II: </w:t>
      </w:r>
      <w:r w:rsidR="00CF3646" w:rsidRPr="00B56B54">
        <w:rPr>
          <w:b/>
          <w:bCs/>
        </w:rPr>
        <w:t>Technical requirements for AI systems</w:t>
      </w:r>
    </w:p>
    <w:p w14:paraId="1C814CF6" w14:textId="23392BE5" w:rsidR="00A023B0" w:rsidRDefault="00CF3646" w:rsidP="00BE37EC">
      <w:pPr>
        <w:spacing w:line="240" w:lineRule="auto"/>
      </w:pPr>
      <w:r w:rsidRPr="00CF3646">
        <w:t>The project will review state-of-the-art Explainable AI (XAI) techniques like SHAP and LIME to determine their effectiveness in producing human-readable explanations (</w:t>
      </w:r>
      <w:proofErr w:type="spellStart"/>
      <w:r w:rsidRPr="00CF3646">
        <w:t>Chinnaraju</w:t>
      </w:r>
      <w:proofErr w:type="spellEnd"/>
      <w:r w:rsidRPr="00CF3646">
        <w:t xml:space="preserve">, 2025).  </w:t>
      </w:r>
    </w:p>
    <w:p w14:paraId="530542BF" w14:textId="31A9BE39" w:rsidR="00B56B54" w:rsidRPr="00CF3646" w:rsidRDefault="00271E20" w:rsidP="00BE37EC">
      <w:pPr>
        <w:spacing w:line="240" w:lineRule="auto"/>
        <w:rPr>
          <w:b/>
          <w:bCs/>
        </w:rPr>
      </w:pPr>
      <w:r>
        <w:rPr>
          <w:b/>
          <w:bCs/>
        </w:rPr>
        <w:t>3</w:t>
      </w:r>
      <w:r w:rsidR="00B56B54">
        <w:rPr>
          <w:b/>
          <w:bCs/>
        </w:rPr>
        <w:t xml:space="preserve">.3 </w:t>
      </w:r>
      <w:r w:rsidR="00B56B54" w:rsidRPr="00B56B54">
        <w:rPr>
          <w:b/>
          <w:bCs/>
        </w:rPr>
        <w:t>Phase III: Synthesis and Protocol Development</w:t>
      </w:r>
    </w:p>
    <w:p w14:paraId="63DE58BD" w14:textId="13B653A0" w:rsidR="00A023B0" w:rsidRDefault="00375FF5" w:rsidP="00BE37EC">
      <w:pPr>
        <w:spacing w:line="240" w:lineRule="auto"/>
      </w:pPr>
      <w:r w:rsidRPr="00375FF5">
        <w:t xml:space="preserve">The final phase </w:t>
      </w:r>
      <w:r>
        <w:t xml:space="preserve">will </w:t>
      </w:r>
      <w:r w:rsidRPr="00375FF5">
        <w:t xml:space="preserve">employ Design Science Research (DSR) to create and validate a core research artefact. </w:t>
      </w:r>
      <w:r>
        <w:t>It will</w:t>
      </w:r>
      <w:r w:rsidRPr="00375FF5">
        <w:t xml:space="preserve"> involve integrating legal and regulatory mappings, as well as technical requirements for AI systems, into the MIP-AIDE framework. A model </w:t>
      </w:r>
      <w:r>
        <w:t>will be</w:t>
      </w:r>
      <w:r w:rsidRPr="00375FF5">
        <w:t xml:space="preserve"> established for collaborative stewardship to define roles and standard Service Level Agreements (SLAs) for law enforcement and Cloud Service Providers. The </w:t>
      </w:r>
      <w:r>
        <w:t>framework will be</w:t>
      </w:r>
      <w:r w:rsidRPr="00375FF5">
        <w:t xml:space="preserve"> validated through simulated case studies focused on multi-jurisdictional cloud crime scenarios, assessing legal compliance and operational feasibility.</w:t>
      </w:r>
    </w:p>
    <w:p w14:paraId="7270F037" w14:textId="2C577C0E" w:rsidR="00B31CEB" w:rsidRPr="00543B92" w:rsidRDefault="00271E20" w:rsidP="00BE37EC">
      <w:pPr>
        <w:spacing w:line="240" w:lineRule="auto"/>
        <w:rPr>
          <w:b/>
          <w:bCs/>
        </w:rPr>
      </w:pPr>
      <w:r>
        <w:rPr>
          <w:b/>
          <w:bCs/>
        </w:rPr>
        <w:t>4</w:t>
      </w:r>
      <w:r w:rsidR="00B93CB8" w:rsidRPr="00543B92">
        <w:rPr>
          <w:b/>
          <w:bCs/>
        </w:rPr>
        <w:t>. Proposed Position: The MIP-AIDE</w:t>
      </w:r>
      <w:r w:rsidR="00543B92" w:rsidRPr="00543B92">
        <w:rPr>
          <w:b/>
          <w:bCs/>
        </w:rPr>
        <w:t xml:space="preserve"> Framework</w:t>
      </w:r>
      <w:r w:rsidR="009E04A9">
        <w:rPr>
          <w:b/>
          <w:bCs/>
        </w:rPr>
        <w:t xml:space="preserve"> </w:t>
      </w:r>
    </w:p>
    <w:p w14:paraId="50B695DF" w14:textId="54B2D473" w:rsidR="00C92BB9" w:rsidRDefault="00AD30B4" w:rsidP="00BE37EC">
      <w:pPr>
        <w:spacing w:line="240" w:lineRule="auto"/>
      </w:pPr>
      <w:r w:rsidRPr="009D761F">
        <w:t xml:space="preserve">The MIP-AIDE framework offers a solution to these limitations by synthesizing current research within a unified, interdisciplinary governance model. </w:t>
      </w:r>
      <w:r w:rsidR="009E04A9" w:rsidRPr="009E04A9">
        <w:t>This framework moves beyond theoretical models to provide operational protocols that reconcile conflicting legal requirements with real-time forensic demands</w:t>
      </w:r>
      <w:r w:rsidR="009E04A9">
        <w:t xml:space="preserve">. </w:t>
      </w:r>
      <w:r w:rsidRPr="009D761F">
        <w:t xml:space="preserve">Jurisdictional harmonization </w:t>
      </w:r>
      <w:r w:rsidR="00A84028">
        <w:t xml:space="preserve">will be </w:t>
      </w:r>
      <w:r w:rsidRPr="009D761F">
        <w:t xml:space="preserve">supported </w:t>
      </w:r>
      <w:r w:rsidR="00A84028">
        <w:t>as follows</w:t>
      </w:r>
      <w:r w:rsidR="000D3A0E">
        <w:t>;</w:t>
      </w:r>
    </w:p>
    <w:p w14:paraId="5A3EDD63" w14:textId="49E4D95B" w:rsidR="00AE716F" w:rsidRDefault="00AD30B4" w:rsidP="00BE37EC">
      <w:pPr>
        <w:pStyle w:val="ListParagraph"/>
        <w:numPr>
          <w:ilvl w:val="1"/>
          <w:numId w:val="13"/>
        </w:numPr>
        <w:spacing w:line="240" w:lineRule="auto"/>
      </w:pPr>
      <w:r w:rsidRPr="00271E20">
        <w:rPr>
          <w:b/>
          <w:bCs/>
        </w:rPr>
        <w:lastRenderedPageBreak/>
        <w:t>Legal Gateway Decision Matrix</w:t>
      </w:r>
      <w:r w:rsidR="00F17DE3">
        <w:t xml:space="preserve"> </w:t>
      </w:r>
    </w:p>
    <w:p w14:paraId="5A2AF3B9" w14:textId="07A071D8" w:rsidR="00AE716F" w:rsidRPr="00C92BB9" w:rsidRDefault="00AE716F" w:rsidP="00BE37EC">
      <w:pPr>
        <w:spacing w:line="240" w:lineRule="auto"/>
        <w:rPr>
          <w:rFonts w:eastAsiaTheme="majorEastAsia" w:cs="Times New Roman"/>
          <w:kern w:val="0"/>
          <w14:ligatures w14:val="none"/>
        </w:rPr>
      </w:pPr>
      <w:r>
        <w:t xml:space="preserve">It </w:t>
      </w:r>
      <w:r w:rsidR="00F17DE3">
        <w:t xml:space="preserve">will provide </w:t>
      </w:r>
      <w:r w:rsidR="00F17DE3" w:rsidRPr="00AE716F">
        <w:rPr>
          <w:rFonts w:eastAsiaTheme="majorEastAsia" w:cs="Times New Roman"/>
          <w:kern w:val="0"/>
          <w14:ligatures w14:val="none"/>
        </w:rPr>
        <w:t>procedural protocol that computationally embeds international compliance rules, resolving conflicting extraterritorial access demands (e.g., CLOUD Act vs. GDPR) and ensuring rapid, legally sound acquisition.</w:t>
      </w:r>
    </w:p>
    <w:p w14:paraId="699EA58B" w14:textId="0C1965AC" w:rsidR="00C92BB9" w:rsidRPr="00867B70" w:rsidRDefault="00867B70" w:rsidP="00BE37EC">
      <w:pPr>
        <w:spacing w:line="240" w:lineRule="auto"/>
      </w:pPr>
      <w:r w:rsidRPr="00867B70">
        <w:t xml:space="preserve">A rule engine or basic decision-support system that uses computers to add specific limits based on the laws of different areas, such as CLOUD Act qualifiers, GDPR Article 48 exceptions, and data localization laws. Input parameters include requesting jurisdiction, data residency, offense classification, and urgency tier. Output is a binary-compliant path plus required safeguards (e.g., “CLOUD Act route permitted only with bilateral agreement </w:t>
      </w:r>
      <w:r w:rsidR="00020F37">
        <w:t>and</w:t>
      </w:r>
      <w:r w:rsidRPr="00867B70">
        <w:t xml:space="preserve"> GDPR</w:t>
      </w:r>
      <w:r w:rsidR="00020F37">
        <w:t xml:space="preserve"> </w:t>
      </w:r>
      <w:r w:rsidRPr="00867B70">
        <w:t>equivalent safeguards”). The matrix can be expressed as a deterministic finite automaton or encoded in a policy language (e.g., XACML or Rego), enabling automated pre-request compliance checking by CSPs.</w:t>
      </w:r>
    </w:p>
    <w:p w14:paraId="1E0CEEA7" w14:textId="461FB0A6" w:rsidR="00867B70" w:rsidRPr="00867B70" w:rsidRDefault="000D3A0E" w:rsidP="00BE37EC">
      <w:pPr>
        <w:pStyle w:val="ListParagraph"/>
        <w:numPr>
          <w:ilvl w:val="1"/>
          <w:numId w:val="13"/>
        </w:numPr>
        <w:spacing w:line="240" w:lineRule="auto"/>
      </w:pPr>
      <w:r w:rsidRPr="00271E20">
        <w:rPr>
          <w:rFonts w:eastAsiaTheme="majorEastAsia" w:cs="Times New Roman"/>
          <w:b/>
          <w:bCs/>
          <w:kern w:val="0"/>
          <w14:ligatures w14:val="none"/>
        </w:rPr>
        <w:t>Minimum Technical Explanatory Requirements</w:t>
      </w:r>
      <w:r w:rsidRPr="00271E20">
        <w:rPr>
          <w:rFonts w:eastAsiaTheme="majorEastAsia" w:cs="Times New Roman"/>
          <w:kern w:val="0"/>
          <w14:ligatures w14:val="none"/>
        </w:rPr>
        <w:t xml:space="preserve"> (MTERs)</w:t>
      </w:r>
    </w:p>
    <w:p w14:paraId="75B23037" w14:textId="5576084F" w:rsidR="0022202D" w:rsidRDefault="00867B70" w:rsidP="00BE37EC">
      <w:pPr>
        <w:spacing w:line="240" w:lineRule="auto"/>
        <w:rPr>
          <w:rFonts w:eastAsiaTheme="majorEastAsia" w:cs="Times New Roman"/>
          <w:kern w:val="0"/>
          <w14:ligatures w14:val="none"/>
        </w:rPr>
      </w:pPr>
      <w:r>
        <w:t>It</w:t>
      </w:r>
      <w:r w:rsidR="00AD30B4" w:rsidRPr="009D761F">
        <w:t xml:space="preserve"> </w:t>
      </w:r>
      <w:r w:rsidR="000D3A0E">
        <w:t xml:space="preserve">will </w:t>
      </w:r>
      <w:r w:rsidR="00F17DE3">
        <w:t xml:space="preserve">define and </w:t>
      </w:r>
      <w:r w:rsidR="00AD30B4" w:rsidRPr="009D761F">
        <w:t xml:space="preserve">provide verifiable XAI </w:t>
      </w:r>
      <w:r w:rsidR="00F17DE3" w:rsidRPr="00867B70">
        <w:rPr>
          <w:rFonts w:eastAsiaTheme="majorEastAsia" w:cs="Times New Roman"/>
          <w:kern w:val="0"/>
          <w14:ligatures w14:val="none"/>
        </w:rPr>
        <w:t>technical standard that translates the outputs of forensic AI (error rates, feature importance, bias audit reports) into the specific criteria required for judicial admissibility</w:t>
      </w:r>
      <w:r w:rsidR="0022202D">
        <w:rPr>
          <w:rFonts w:eastAsiaTheme="majorEastAsia" w:cs="Times New Roman"/>
          <w:kern w:val="0"/>
          <w14:ligatures w14:val="none"/>
        </w:rPr>
        <w:t xml:space="preserve">, and </w:t>
      </w:r>
      <w:r w:rsidR="0022202D" w:rsidRPr="0022202D">
        <w:rPr>
          <w:rFonts w:eastAsiaTheme="majorEastAsia"/>
          <w:kern w:val="0"/>
          <w14:ligatures w14:val="none"/>
        </w:rPr>
        <w:t>mandates every forensic AI output to include:</w:t>
      </w:r>
      <w:r w:rsidR="0022202D">
        <w:rPr>
          <w:rFonts w:eastAsiaTheme="majorEastAsia"/>
          <w:kern w:val="0"/>
          <w14:ligatures w14:val="none"/>
        </w:rPr>
        <w:t xml:space="preserve"> </w:t>
      </w:r>
      <w:r w:rsidR="0022202D" w:rsidRPr="0022202D">
        <w:rPr>
          <w:rFonts w:eastAsiaTheme="majorEastAsia" w:cs="Times New Roman"/>
          <w:kern w:val="0"/>
          <w14:ligatures w14:val="none"/>
        </w:rPr>
        <w:t>Error-rate bounds and confidence intervals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Feature-importance heatmaps with audit trails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Bias-detection reports against protected attributes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Chain-of-custody metadata linking model version, training data provenance, and inference timestamp</w:t>
      </w:r>
      <w:r w:rsidR="0022202D">
        <w:rPr>
          <w:rFonts w:eastAsiaTheme="majorEastAsia" w:cs="Times New Roman"/>
          <w:kern w:val="0"/>
          <w14:ligatures w14:val="none"/>
        </w:rPr>
        <w:t>.</w:t>
      </w:r>
    </w:p>
    <w:p w14:paraId="44B0A7BD" w14:textId="218C5802" w:rsidR="00C92BB9" w:rsidRDefault="00A84028" w:rsidP="00BE37EC">
      <w:pPr>
        <w:spacing w:line="240" w:lineRule="auto"/>
        <w:rPr>
          <w:rFonts w:eastAsiaTheme="majorEastAsia"/>
          <w:kern w:val="0"/>
          <w14:ligatures w14:val="none"/>
        </w:rPr>
      </w:pPr>
      <w:r w:rsidRPr="00A84028">
        <w:rPr>
          <w:rFonts w:eastAsiaTheme="majorEastAsia"/>
          <w:kern w:val="0"/>
          <w14:ligatures w14:val="none"/>
        </w:rPr>
        <w:t>These artifacts will be packaged in a standardized JSON-LD or forensic container format</w:t>
      </w:r>
      <w:r w:rsidR="001A4458" w:rsidRPr="001A4458">
        <w:t xml:space="preserve"> </w:t>
      </w:r>
      <w:r w:rsidR="001A4458">
        <w:t>(</w:t>
      </w:r>
      <w:r w:rsidR="001A4458" w:rsidRPr="004B4F39">
        <w:t>Patel,</w:t>
      </w:r>
      <w:r w:rsidR="001A4458">
        <w:t xml:space="preserve"> </w:t>
      </w:r>
      <w:r w:rsidR="001A4458" w:rsidRPr="004B4F39">
        <w:t>2025)</w:t>
      </w:r>
      <w:r w:rsidRPr="00A84028">
        <w:rPr>
          <w:rFonts w:eastAsiaTheme="majorEastAsia"/>
          <w:kern w:val="0"/>
          <w14:ligatures w14:val="none"/>
        </w:rPr>
        <w:t>. It will give Judges room to assess reliability without requiring AI expertise. MTERs convert the “black box” into a court-admissible artifact.</w:t>
      </w:r>
    </w:p>
    <w:p w14:paraId="3B27B16B" w14:textId="7CCE2644" w:rsidR="00A84028" w:rsidRPr="00A84028" w:rsidRDefault="00F17DE3" w:rsidP="00BE37EC">
      <w:pPr>
        <w:pStyle w:val="ListParagraph"/>
        <w:numPr>
          <w:ilvl w:val="1"/>
          <w:numId w:val="13"/>
        </w:numPr>
        <w:spacing w:line="240" w:lineRule="auto"/>
        <w:rPr>
          <w:b/>
          <w:bCs/>
        </w:rPr>
      </w:pPr>
      <w:r w:rsidRPr="00A84028">
        <w:rPr>
          <w:b/>
          <w:bCs/>
        </w:rPr>
        <w:t>T</w:t>
      </w:r>
      <w:r w:rsidR="00AD30B4" w:rsidRPr="00A84028">
        <w:rPr>
          <w:b/>
          <w:bCs/>
        </w:rPr>
        <w:t>he Collaborative Stewardship Model</w:t>
      </w:r>
    </w:p>
    <w:p w14:paraId="0CC8EAEA" w14:textId="4F93CB71" w:rsidR="00FA148F" w:rsidRPr="00FA148F" w:rsidRDefault="00A84028" w:rsidP="00BE37EC">
      <w:pPr>
        <w:spacing w:line="240" w:lineRule="auto"/>
        <w:rPr>
          <w:rFonts w:eastAsiaTheme="majorEastAsia"/>
          <w:kern w:val="0"/>
          <w14:ligatures w14:val="none"/>
        </w:rPr>
      </w:pPr>
      <w:r>
        <w:t>It</w:t>
      </w:r>
      <w:r w:rsidR="00AD30B4" w:rsidRPr="009D761F">
        <w:t xml:space="preserve"> leverages CSP expertise via </w:t>
      </w:r>
      <w:r w:rsidR="00FA148F">
        <w:rPr>
          <w:rFonts w:eastAsiaTheme="majorEastAsia"/>
          <w:kern w:val="0"/>
          <w14:ligatures w14:val="none"/>
        </w:rPr>
        <w:t>f</w:t>
      </w:r>
      <w:r w:rsidR="00FA148F" w:rsidRPr="00FA148F">
        <w:rPr>
          <w:rFonts w:eastAsiaTheme="majorEastAsia"/>
          <w:kern w:val="0"/>
          <w14:ligatures w14:val="none"/>
        </w:rPr>
        <w:t xml:space="preserve">ormal service-level agreements (SLAs) </w:t>
      </w:r>
      <w:r w:rsidR="00710FAA">
        <w:t>to provide</w:t>
      </w:r>
      <w:r w:rsidR="00710FAA" w:rsidRPr="00A84028">
        <w:rPr>
          <w:rFonts w:eastAsiaTheme="majorEastAsia" w:cs="Times New Roman"/>
          <w:kern w:val="0"/>
          <w14:ligatures w14:val="none"/>
        </w:rPr>
        <w:t xml:space="preserve"> a governance paradigm that formally integrates Cloud Service Providers (CSPs) as auditable, responsible partners in the legal process.</w:t>
      </w:r>
      <w:r w:rsidR="00FA148F">
        <w:rPr>
          <w:rFonts w:eastAsiaTheme="majorEastAsia" w:cs="Times New Roman"/>
          <w:kern w:val="0"/>
          <w14:ligatures w14:val="none"/>
        </w:rPr>
        <w:t xml:space="preserve"> </w:t>
      </w:r>
      <w:r w:rsidR="00FA148F">
        <w:rPr>
          <w:rFonts w:eastAsiaTheme="majorEastAsia"/>
          <w:kern w:val="0"/>
          <w14:ligatures w14:val="none"/>
        </w:rPr>
        <w:t>The</w:t>
      </w:r>
      <w:r w:rsidR="00FA148F" w:rsidRPr="00FA148F">
        <w:rPr>
          <w:rFonts w:eastAsiaTheme="majorEastAsia"/>
          <w:kern w:val="0"/>
          <w14:ligatures w14:val="none"/>
        </w:rPr>
        <w:t xml:space="preserve"> SLAs between law enforcement agencies and CSPs </w:t>
      </w:r>
      <w:r w:rsidR="00FA148F">
        <w:rPr>
          <w:rFonts w:eastAsiaTheme="majorEastAsia"/>
          <w:kern w:val="0"/>
          <w14:ligatures w14:val="none"/>
        </w:rPr>
        <w:t>will</w:t>
      </w:r>
      <w:r w:rsidR="00FA148F" w:rsidRPr="00FA148F">
        <w:rPr>
          <w:rFonts w:eastAsiaTheme="majorEastAsia"/>
          <w:kern w:val="0"/>
          <w14:ligatures w14:val="none"/>
        </w:rPr>
        <w:t xml:space="preserve"> designate CSPs as “auditable stewards.” Obligations include real-time MTER generation, preservation of raw logs, and participation in joint transparency audits. CSPs gain legal safe harbor when they comply with MIP-AIDE protocols; investigators gain predictable, forensically sound access.</w:t>
      </w:r>
    </w:p>
    <w:p w14:paraId="45A10206" w14:textId="20191248" w:rsidR="008B2B07" w:rsidRDefault="0047376F" w:rsidP="00BE37EC">
      <w:pPr>
        <w:spacing w:line="240" w:lineRule="auto"/>
        <w:rPr>
          <w:b/>
          <w:bCs/>
        </w:rPr>
      </w:pPr>
      <w:r>
        <w:t>The</w:t>
      </w:r>
      <w:r w:rsidR="00F17DE3">
        <w:t xml:space="preserve"> </w:t>
      </w:r>
      <w:r w:rsidR="00AD30B4" w:rsidRPr="009D761F">
        <w:t>MIP-AIDE's approach, therefore, not only resolves the existing conflicts between the CLOUD Act and GDPR, but also redefines how we understand international digital justice. The use of faster methods for gathering evidence across borders makes the process more efficient, compliant, and transparent.</w:t>
      </w:r>
    </w:p>
    <w:p w14:paraId="062F924C" w14:textId="6BD38BB2" w:rsidR="008B2B07" w:rsidRPr="008B2B07" w:rsidRDefault="00271E20" w:rsidP="00BE37EC">
      <w:pPr>
        <w:spacing w:line="240" w:lineRule="auto"/>
        <w:rPr>
          <w:b/>
          <w:bCs/>
        </w:rPr>
      </w:pPr>
      <w:r>
        <w:rPr>
          <w:b/>
          <w:bCs/>
        </w:rPr>
        <w:t>5</w:t>
      </w:r>
      <w:r w:rsidR="00C92BB9">
        <w:rPr>
          <w:b/>
          <w:bCs/>
        </w:rPr>
        <w:t xml:space="preserve">. </w:t>
      </w:r>
      <w:r w:rsidR="008B2B07" w:rsidRPr="008B2B07">
        <w:rPr>
          <w:b/>
          <w:bCs/>
        </w:rPr>
        <w:t>Addressing the Governance Gaps:</w:t>
      </w:r>
    </w:p>
    <w:p w14:paraId="6A0C3444" w14:textId="77777777" w:rsidR="008B2B07" w:rsidRPr="008B2B07" w:rsidRDefault="008B2B07" w:rsidP="00BE37EC">
      <w:pPr>
        <w:spacing w:line="240" w:lineRule="auto"/>
      </w:pPr>
      <w:r w:rsidRPr="008B2B07">
        <w:t>The MIP-AIDE framework is designed to close three critical deficiencies identified in current literature:</w:t>
      </w:r>
    </w:p>
    <w:p w14:paraId="713DF98E" w14:textId="77777777" w:rsidR="008B2B07" w:rsidRPr="008B2B07" w:rsidRDefault="008B2B07" w:rsidP="00BE37EC">
      <w:pPr>
        <w:pStyle w:val="ListParagraph"/>
        <w:numPr>
          <w:ilvl w:val="0"/>
          <w:numId w:val="8"/>
        </w:numPr>
        <w:spacing w:line="240" w:lineRule="auto"/>
      </w:pPr>
      <w:r w:rsidRPr="008B2B07">
        <w:t>The Protocolization Gap: It provides the missing operational guidelines for balancing extraterritorial data access with national sovereignty.</w:t>
      </w:r>
    </w:p>
    <w:p w14:paraId="719BA928" w14:textId="77777777" w:rsidR="008B2B07" w:rsidRPr="008B2B07" w:rsidRDefault="008B2B07" w:rsidP="00BE37EC">
      <w:pPr>
        <w:pStyle w:val="ListParagraph"/>
        <w:numPr>
          <w:ilvl w:val="0"/>
          <w:numId w:val="8"/>
        </w:numPr>
        <w:spacing w:line="240" w:lineRule="auto"/>
      </w:pPr>
      <w:r w:rsidRPr="008B2B07">
        <w:t>The AI-Admissibility Gap: It establishes uniform technical standards for validating AI-generated evidence in court.</w:t>
      </w:r>
    </w:p>
    <w:p w14:paraId="090E1601" w14:textId="0FB5BF14" w:rsidR="00C92BB9" w:rsidRPr="00B92D7C" w:rsidRDefault="008B2B07" w:rsidP="00BE37EC">
      <w:pPr>
        <w:pStyle w:val="ListParagraph"/>
        <w:numPr>
          <w:ilvl w:val="0"/>
          <w:numId w:val="8"/>
        </w:numPr>
        <w:spacing w:line="240" w:lineRule="auto"/>
      </w:pPr>
      <w:r w:rsidRPr="008B2B07">
        <w:t xml:space="preserve">The Non-State Actor Governance Gap: It includes CSPs, who are the real data custodians in the governance framework. This makes sure that their roles and responsibilities are clear when it comes to data protection and following the law. </w:t>
      </w:r>
    </w:p>
    <w:p w14:paraId="14D58C2D" w14:textId="4A700EEC" w:rsidR="001C2489" w:rsidRPr="00B92D7C" w:rsidRDefault="00271E20" w:rsidP="00BE37EC">
      <w:pPr>
        <w:spacing w:line="240" w:lineRule="auto"/>
      </w:pPr>
      <w:r>
        <w:rPr>
          <w:b/>
          <w:bCs/>
        </w:rPr>
        <w:lastRenderedPageBreak/>
        <w:t>6</w:t>
      </w:r>
      <w:r w:rsidR="00C92BB9">
        <w:rPr>
          <w:b/>
          <w:bCs/>
        </w:rPr>
        <w:t xml:space="preserve">. </w:t>
      </w:r>
      <w:r w:rsidR="00AD30B4" w:rsidRPr="00F17DE3">
        <w:rPr>
          <w:b/>
          <w:bCs/>
        </w:rPr>
        <w:t>Conclusion</w:t>
      </w:r>
      <w:r w:rsidR="00AD30B4" w:rsidRPr="00F17DE3">
        <w:rPr>
          <w:b/>
          <w:bCs/>
        </w:rPr>
        <w:br/>
      </w:r>
      <w:r w:rsidR="00AD30B4" w:rsidRPr="00F17DE3">
        <w:rPr>
          <w:b/>
          <w:bCs/>
        </w:rPr>
        <w:br/>
      </w:r>
      <w:r w:rsidR="001C2489" w:rsidRPr="001C2489">
        <w:t>The protocolization gap, AI-admissibility gap, and non-state actor governance gap are no longer tolerable side effects of technological progress; they are structural failures that undermine the rule of law in the cloud era. The MIP-AIDE framework offers a concrete, computable, and interdisciplinary solution that can be prototyped, evaluated, and incrementally standardized. We therefore call upon the computer science community, researchers, standards bodies, and industry to prioritize the development, open-source release, and empirical validation of MIP-AIDE components. Only through such deliberate engineering can AI-assisted cross-border cloud forensics deliver the speed, transparency, and legitimacy that 21st-century digital justice demands.</w:t>
      </w:r>
    </w:p>
    <w:p w14:paraId="1103081E" w14:textId="21996572" w:rsidR="006445E9" w:rsidRPr="006445E9" w:rsidRDefault="006445E9" w:rsidP="00BE37EC">
      <w:pPr>
        <w:spacing w:line="240" w:lineRule="auto"/>
        <w:rPr>
          <w:b/>
          <w:bCs/>
        </w:rPr>
      </w:pPr>
      <w:r w:rsidRPr="006445E9">
        <w:rPr>
          <w:b/>
          <w:bCs/>
        </w:rPr>
        <w:t>References</w:t>
      </w:r>
    </w:p>
    <w:p w14:paraId="0332FF7C" w14:textId="77777777" w:rsidR="000D7AF6" w:rsidRDefault="000D7AF6" w:rsidP="00BE37EC">
      <w:pPr>
        <w:spacing w:line="240" w:lineRule="auto"/>
      </w:pPr>
      <w:proofErr w:type="spellStart"/>
      <w:r w:rsidRPr="000D7AF6">
        <w:t>Alenezi</w:t>
      </w:r>
      <w:proofErr w:type="spellEnd"/>
      <w:r w:rsidRPr="000D7AF6">
        <w:t>, A. M. (2023). Digital and cloud forensic challenges. </w:t>
      </w:r>
      <w:proofErr w:type="spellStart"/>
      <w:r w:rsidRPr="000D7AF6">
        <w:rPr>
          <w:i/>
          <w:iCs/>
        </w:rPr>
        <w:t>arXiv</w:t>
      </w:r>
      <w:proofErr w:type="spellEnd"/>
      <w:r w:rsidRPr="000D7AF6">
        <w:rPr>
          <w:i/>
          <w:iCs/>
        </w:rPr>
        <w:t xml:space="preserve"> preprint arXiv:2305.03059</w:t>
      </w:r>
      <w:r w:rsidRPr="000D7AF6">
        <w:t>.</w:t>
      </w:r>
    </w:p>
    <w:p w14:paraId="533A6295" w14:textId="73EA6BB5" w:rsidR="000C4B5E" w:rsidRDefault="000C4B5E" w:rsidP="00BE37EC">
      <w:pPr>
        <w:spacing w:line="240" w:lineRule="auto"/>
      </w:pPr>
      <w:r>
        <w:t xml:space="preserve">ALF. (2025). Underlying Risks of Using AI-Generated Evidence in Nigeria’s Justice System. Alliance Law Firm. https://alliancelawfirm.ng/underlying-risks-of-using-ai-generated-evidence-in-nigerias-justice-system/  </w:t>
      </w:r>
    </w:p>
    <w:p w14:paraId="162BF159" w14:textId="77777777" w:rsidR="00BF0D42" w:rsidRDefault="00BF0D42" w:rsidP="00BE37EC">
      <w:pPr>
        <w:spacing w:line="240" w:lineRule="auto"/>
      </w:pPr>
      <w:r w:rsidRPr="00BF0D42">
        <w:t xml:space="preserve">Amoo, O. O., </w:t>
      </w:r>
      <w:proofErr w:type="spellStart"/>
      <w:r w:rsidRPr="00BF0D42">
        <w:t>Atadoga</w:t>
      </w:r>
      <w:proofErr w:type="spellEnd"/>
      <w:r w:rsidRPr="00BF0D42">
        <w:t xml:space="preserve">, A., </w:t>
      </w:r>
      <w:proofErr w:type="spellStart"/>
      <w:r w:rsidRPr="00BF0D42">
        <w:t>Osasona</w:t>
      </w:r>
      <w:proofErr w:type="spellEnd"/>
      <w:r w:rsidRPr="00BF0D42">
        <w:t xml:space="preserve">, F., Abrahams, T. O., Ayinla, B. S., &amp; </w:t>
      </w:r>
      <w:proofErr w:type="spellStart"/>
      <w:r w:rsidRPr="00BF0D42">
        <w:t>Farayola</w:t>
      </w:r>
      <w:proofErr w:type="spellEnd"/>
      <w:r w:rsidRPr="00BF0D42">
        <w:t>, O. A. (2024). GDPR's impact on cybersecurity: A review focusing on USA and European practices. </w:t>
      </w:r>
      <w:r w:rsidRPr="00BF0D42">
        <w:rPr>
          <w:i/>
          <w:iCs/>
        </w:rPr>
        <w:t>International Journal of Science and Research Archive</w:t>
      </w:r>
      <w:r w:rsidRPr="00BF0D42">
        <w:t>, </w:t>
      </w:r>
      <w:r w:rsidRPr="00BF0D42">
        <w:rPr>
          <w:i/>
          <w:iCs/>
        </w:rPr>
        <w:t>11</w:t>
      </w:r>
      <w:r w:rsidRPr="00BF0D42">
        <w:t>(1), 1338-1347.</w:t>
      </w:r>
    </w:p>
    <w:p w14:paraId="422F74EE" w14:textId="75B1ACB1" w:rsidR="006445E9" w:rsidRDefault="00BF0D42" w:rsidP="00BE37EC">
      <w:pPr>
        <w:spacing w:line="240" w:lineRule="auto"/>
      </w:pPr>
      <w:proofErr w:type="spellStart"/>
      <w:r w:rsidRPr="00BF0D42">
        <w:t>Chinnaraju</w:t>
      </w:r>
      <w:proofErr w:type="spellEnd"/>
      <w:r w:rsidRPr="00BF0D42">
        <w:t>, A. (2025). Explainable AI (XAI) for trustworthy and transparent decision-making: A theoretical framework for AI interpretability. </w:t>
      </w:r>
      <w:r w:rsidRPr="00BF0D42">
        <w:rPr>
          <w:i/>
          <w:iCs/>
        </w:rPr>
        <w:t>World Journal of Advanced Engineering Technology and Sciences</w:t>
      </w:r>
      <w:r w:rsidRPr="00BF0D42">
        <w:t>, </w:t>
      </w:r>
      <w:r w:rsidRPr="00BF0D42">
        <w:rPr>
          <w:i/>
          <w:iCs/>
        </w:rPr>
        <w:t>14</w:t>
      </w:r>
      <w:r w:rsidRPr="00BF0D42">
        <w:t>(3), 170-207.</w:t>
      </w:r>
      <w:r w:rsidR="006445E9">
        <w:t xml:space="preserve">  </w:t>
      </w:r>
    </w:p>
    <w:p w14:paraId="31A5B7E3" w14:textId="312115A9" w:rsidR="006445E9" w:rsidRDefault="00BF0D42" w:rsidP="00BE37EC">
      <w:pPr>
        <w:spacing w:line="240" w:lineRule="auto"/>
      </w:pPr>
      <w:proofErr w:type="spellStart"/>
      <w:r w:rsidRPr="00BF0D42">
        <w:t>Chivers</w:t>
      </w:r>
      <w:proofErr w:type="spellEnd"/>
      <w:r w:rsidRPr="00BF0D42">
        <w:t>, W. (2019). Resisting digital surveillance reform: The arguments and tactics of communications service providers. </w:t>
      </w:r>
      <w:r w:rsidRPr="00BF0D42">
        <w:rPr>
          <w:i/>
          <w:iCs/>
        </w:rPr>
        <w:t>Surveillance and Society</w:t>
      </w:r>
      <w:r w:rsidRPr="00BF0D42">
        <w:t>, </w:t>
      </w:r>
      <w:r w:rsidRPr="00BF0D42">
        <w:rPr>
          <w:i/>
          <w:iCs/>
        </w:rPr>
        <w:t>17</w:t>
      </w:r>
      <w:r w:rsidRPr="00BF0D42">
        <w:t>(3/4), 517-532.</w:t>
      </w:r>
      <w:r w:rsidR="006445E9">
        <w:t xml:space="preserve">  </w:t>
      </w:r>
    </w:p>
    <w:p w14:paraId="3D8C48BF" w14:textId="5BAA5CA2" w:rsidR="006445E9" w:rsidRDefault="00F00D56" w:rsidP="00BE37EC">
      <w:pPr>
        <w:spacing w:line="240" w:lineRule="auto"/>
      </w:pPr>
      <w:r w:rsidRPr="00F00D56">
        <w:t>D</w:t>
      </w:r>
      <w:r w:rsidR="00451EF3">
        <w:t>e</w:t>
      </w:r>
      <w:r w:rsidRPr="00F00D56">
        <w:t>, M., &amp; C</w:t>
      </w:r>
      <w:r w:rsidR="00451EF3" w:rsidRPr="00F00D56">
        <w:t>hakraborty</w:t>
      </w:r>
      <w:r w:rsidRPr="00F00D56">
        <w:t>, D. K. (2024). I</w:t>
      </w:r>
      <w:r w:rsidR="00451EF3" w:rsidRPr="00F00D56">
        <w:t>ntegrating</w:t>
      </w:r>
      <w:r w:rsidRPr="00F00D56">
        <w:t xml:space="preserve"> D</w:t>
      </w:r>
      <w:r w:rsidR="00451EF3" w:rsidRPr="00F00D56">
        <w:t>igital</w:t>
      </w:r>
      <w:r w:rsidRPr="00F00D56">
        <w:t xml:space="preserve"> F</w:t>
      </w:r>
      <w:r w:rsidR="00451EF3" w:rsidRPr="00F00D56">
        <w:t>orensics</w:t>
      </w:r>
      <w:r w:rsidRPr="00F00D56">
        <w:t xml:space="preserve"> </w:t>
      </w:r>
      <w:r w:rsidR="00451EF3">
        <w:t>i</w:t>
      </w:r>
      <w:r w:rsidR="00451EF3" w:rsidRPr="00F00D56">
        <w:t>nto</w:t>
      </w:r>
      <w:r w:rsidRPr="00F00D56">
        <w:t xml:space="preserve"> I</w:t>
      </w:r>
      <w:r w:rsidR="00451EF3" w:rsidRPr="00F00D56">
        <w:t>ntellectual</w:t>
      </w:r>
      <w:r w:rsidRPr="00F00D56">
        <w:t xml:space="preserve"> P</w:t>
      </w:r>
      <w:r w:rsidR="00451EF3" w:rsidRPr="00F00D56">
        <w:t>roperty</w:t>
      </w:r>
      <w:r w:rsidRPr="00F00D56">
        <w:t xml:space="preserve"> R</w:t>
      </w:r>
      <w:r w:rsidR="00451EF3" w:rsidRPr="00F00D56">
        <w:t>ights</w:t>
      </w:r>
      <w:r w:rsidRPr="00F00D56">
        <w:t xml:space="preserve"> E</w:t>
      </w:r>
      <w:r w:rsidR="00451EF3" w:rsidRPr="00F00D56">
        <w:t>nforcement</w:t>
      </w:r>
      <w:r w:rsidRPr="00F00D56">
        <w:t xml:space="preserve">: A </w:t>
      </w:r>
      <w:r w:rsidR="00451EF3">
        <w:t>F</w:t>
      </w:r>
      <w:r w:rsidR="00451EF3" w:rsidRPr="00F00D56">
        <w:t xml:space="preserve">ramework for </w:t>
      </w:r>
      <w:r w:rsidR="00451EF3">
        <w:t>C</w:t>
      </w:r>
      <w:r w:rsidR="00451EF3" w:rsidRPr="00F00D56">
        <w:t xml:space="preserve">ybercrime </w:t>
      </w:r>
      <w:r w:rsidR="00451EF3">
        <w:t>I</w:t>
      </w:r>
      <w:r w:rsidR="00451EF3" w:rsidRPr="00F00D56">
        <w:t>nvestigation</w:t>
      </w:r>
      <w:r w:rsidRPr="00F00D56">
        <w:t>. </w:t>
      </w:r>
      <w:r w:rsidRPr="00F00D56">
        <w:rPr>
          <w:i/>
          <w:iCs/>
        </w:rPr>
        <w:t>Journal of Intellectual Property Rights</w:t>
      </w:r>
      <w:r w:rsidRPr="00F00D56">
        <w:t>, </w:t>
      </w:r>
      <w:r w:rsidRPr="00F00D56">
        <w:rPr>
          <w:i/>
          <w:iCs/>
        </w:rPr>
        <w:t>29</w:t>
      </w:r>
      <w:r w:rsidRPr="00F00D56">
        <w:t>(6), 500-506.</w:t>
      </w:r>
      <w:r w:rsidR="006445E9">
        <w:t xml:space="preserve">  </w:t>
      </w:r>
    </w:p>
    <w:p w14:paraId="49CF9397" w14:textId="6672B8CF" w:rsidR="006445E9" w:rsidRPr="00054198" w:rsidRDefault="002C4566" w:rsidP="00BE37EC">
      <w:pPr>
        <w:spacing w:line="240" w:lineRule="auto"/>
      </w:pPr>
      <w:r w:rsidRPr="002C4566">
        <w:t>Dou, L., &amp; Dou, X. (2025). Towards just AI: Challenges and solution framework for algorithmic discrimination in judicial system. </w:t>
      </w:r>
      <w:r w:rsidRPr="002C4566">
        <w:rPr>
          <w:i/>
          <w:iCs/>
        </w:rPr>
        <w:t>International Journal of Digital Law and Governance</w:t>
      </w:r>
      <w:r w:rsidRPr="002C4566">
        <w:t>, </w:t>
      </w:r>
      <w:r w:rsidRPr="002C4566">
        <w:rPr>
          <w:i/>
          <w:iCs/>
        </w:rPr>
        <w:t>2</w:t>
      </w:r>
      <w:r w:rsidRPr="002C4566">
        <w:t>(1), 39-81.</w:t>
      </w:r>
      <w:r w:rsidR="006445E9" w:rsidRPr="00054198">
        <w:t xml:space="preserve">  </w:t>
      </w:r>
    </w:p>
    <w:p w14:paraId="3B5DD748" w14:textId="582D964A" w:rsidR="006445E9" w:rsidRDefault="0038611F" w:rsidP="00BE37EC">
      <w:pPr>
        <w:spacing w:line="240" w:lineRule="auto"/>
      </w:pPr>
      <w:r w:rsidRPr="0038611F">
        <w:t xml:space="preserve">Folorunso, A., </w:t>
      </w:r>
      <w:proofErr w:type="spellStart"/>
      <w:r w:rsidRPr="0038611F">
        <w:t>Adewa</w:t>
      </w:r>
      <w:proofErr w:type="spellEnd"/>
      <w:r w:rsidRPr="0038611F">
        <w:t xml:space="preserve">, A., Babalola, O., &amp; </w:t>
      </w:r>
      <w:proofErr w:type="spellStart"/>
      <w:r w:rsidRPr="0038611F">
        <w:t>Nwatu</w:t>
      </w:r>
      <w:proofErr w:type="spellEnd"/>
      <w:r w:rsidRPr="0038611F">
        <w:t>, C. E. (2024). A governance framework model for cloud computing: Role of AI, security, compliance, and management. </w:t>
      </w:r>
      <w:r w:rsidRPr="0038611F">
        <w:rPr>
          <w:i/>
          <w:iCs/>
        </w:rPr>
        <w:t>World Journal of Advanced Research and Reviews</w:t>
      </w:r>
      <w:r w:rsidRPr="0038611F">
        <w:t>, </w:t>
      </w:r>
      <w:r w:rsidRPr="0038611F">
        <w:rPr>
          <w:i/>
          <w:iCs/>
        </w:rPr>
        <w:t>24</w:t>
      </w:r>
      <w:r w:rsidRPr="0038611F">
        <w:t>(2), 1969-1982.</w:t>
      </w:r>
      <w:r w:rsidR="006445E9">
        <w:t xml:space="preserve">  </w:t>
      </w:r>
    </w:p>
    <w:p w14:paraId="1A18AD51" w14:textId="5D7E170B" w:rsidR="006445E9" w:rsidRDefault="0038611F" w:rsidP="00BE37EC">
      <w:pPr>
        <w:spacing w:line="240" w:lineRule="auto"/>
      </w:pPr>
      <w:r w:rsidRPr="008A7D9B">
        <w:rPr>
          <w:rFonts w:cs="Times New Roman"/>
        </w:rPr>
        <w:t>Gentry</w:t>
      </w:r>
      <w:r>
        <w:rPr>
          <w:rFonts w:cs="Times New Roman"/>
        </w:rPr>
        <w:t>,</w:t>
      </w:r>
      <w:r w:rsidRPr="008A7D9B">
        <w:rPr>
          <w:rFonts w:cs="Times New Roman"/>
        </w:rPr>
        <w:t xml:space="preserve"> E</w:t>
      </w:r>
      <w:r>
        <w:rPr>
          <w:rFonts w:cs="Times New Roman"/>
        </w:rPr>
        <w:t>. (</w:t>
      </w:r>
      <w:r w:rsidR="001117B0">
        <w:rPr>
          <w:rFonts w:cs="Times New Roman"/>
        </w:rPr>
        <w:t>2024).</w:t>
      </w:r>
      <w:r w:rsidRPr="008A7D9B">
        <w:rPr>
          <w:rFonts w:cs="Times New Roman"/>
        </w:rPr>
        <w:t xml:space="preserve"> ‘The Challenges of Integrating </w:t>
      </w:r>
      <w:proofErr w:type="gramStart"/>
      <w:r w:rsidRPr="008A7D9B">
        <w:rPr>
          <w:rFonts w:cs="Times New Roman"/>
        </w:rPr>
        <w:t>AI-Generated Evidence Into</w:t>
      </w:r>
      <w:proofErr w:type="gramEnd"/>
      <w:r w:rsidRPr="008A7D9B">
        <w:rPr>
          <w:rFonts w:cs="Times New Roman"/>
        </w:rPr>
        <w:t xml:space="preserve"> the Legal System’ (</w:t>
      </w:r>
      <w:r w:rsidRPr="008A7D9B">
        <w:rPr>
          <w:rFonts w:cs="Times New Roman"/>
          <w:i/>
          <w:iCs/>
        </w:rPr>
        <w:t>Akerman LLP</w:t>
      </w:r>
      <w:r w:rsidRPr="008A7D9B">
        <w:rPr>
          <w:rFonts w:cs="Times New Roman"/>
        </w:rPr>
        <w:t>, 12 June 2024</w:t>
      </w:r>
      <w:r w:rsidRPr="00DC662C">
        <w:rPr>
          <w:rFonts w:cs="Times New Roman"/>
        </w:rPr>
        <w:t xml:space="preserve">) </w:t>
      </w:r>
      <w:hyperlink r:id="rId6" w:history="1">
        <w:r w:rsidR="00DC662C" w:rsidRPr="00DC662C">
          <w:rPr>
            <w:rStyle w:val="Hyperlink"/>
            <w:rFonts w:cs="Times New Roman"/>
            <w:color w:val="auto"/>
            <w:u w:val="none"/>
          </w:rPr>
          <w:t>https://www.akerman.com/en/perspectives/the-challenges-of-integrating-ai-generated-evidence-into-the-legal-system.html</w:t>
        </w:r>
      </w:hyperlink>
      <w:r w:rsidR="006445E9">
        <w:t xml:space="preserve">.  </w:t>
      </w:r>
    </w:p>
    <w:p w14:paraId="568DAA0D" w14:textId="77777777" w:rsidR="00303E33" w:rsidRDefault="00E920F6" w:rsidP="00BE37EC">
      <w:pPr>
        <w:spacing w:line="240" w:lineRule="auto"/>
      </w:pPr>
      <w:r w:rsidRPr="00E920F6">
        <w:t>LATHER, R., SINGH, D. R., NEHRA, V., &amp; JAIN, S.</w:t>
      </w:r>
      <w:r w:rsidR="00017BD0">
        <w:t xml:space="preserve"> (2025).</w:t>
      </w:r>
      <w:r w:rsidRPr="00E920F6">
        <w:t> </w:t>
      </w:r>
      <w:r w:rsidRPr="00E920F6">
        <w:rPr>
          <w:i/>
          <w:iCs/>
        </w:rPr>
        <w:t>Cyber Shield &amp; Scales: Legal Strategy for Digital Defense 2025</w:t>
      </w:r>
      <w:r w:rsidRPr="00E920F6">
        <w:t>. Y</w:t>
      </w:r>
      <w:r w:rsidR="00DC662C" w:rsidRPr="00E920F6">
        <w:t xml:space="preserve">ashita </w:t>
      </w:r>
      <w:r w:rsidRPr="00E920F6">
        <w:t>P</w:t>
      </w:r>
      <w:r w:rsidR="00DC662C" w:rsidRPr="00E920F6">
        <w:t>rakashan</w:t>
      </w:r>
      <w:r w:rsidRPr="00E920F6">
        <w:t xml:space="preserve"> P</w:t>
      </w:r>
      <w:r w:rsidR="00DC662C" w:rsidRPr="00E920F6">
        <w:t>rivate</w:t>
      </w:r>
      <w:r w:rsidRPr="00E920F6">
        <w:t xml:space="preserve"> L</w:t>
      </w:r>
      <w:r w:rsidR="00DC662C" w:rsidRPr="00E920F6">
        <w:t>imited</w:t>
      </w:r>
      <w:r w:rsidRPr="00E920F6">
        <w:t>.</w:t>
      </w:r>
      <w:r w:rsidR="006445E9">
        <w:t xml:space="preserve"> </w:t>
      </w:r>
    </w:p>
    <w:p w14:paraId="3FBDACD4" w14:textId="197DC0C1" w:rsidR="006445E9" w:rsidRDefault="00303E33" w:rsidP="00BE37EC">
      <w:pPr>
        <w:spacing w:line="240" w:lineRule="auto"/>
      </w:pPr>
      <w:r w:rsidRPr="00303E33">
        <w:t>Macturk, E. L., Hayes, K., O'Sullivan, G., &amp; Perrault Uptmor, K. A. (2025). Are We Ready for It? A Review of Forensic Applications and Readiness for Comprehensive Two‐Dimensional Gas Chromatography in Routine Forensic Analysis. </w:t>
      </w:r>
      <w:r w:rsidRPr="00303E33">
        <w:rPr>
          <w:i/>
          <w:iCs/>
        </w:rPr>
        <w:t>Journal of Separation Science</w:t>
      </w:r>
      <w:r w:rsidRPr="00303E33">
        <w:t>, </w:t>
      </w:r>
      <w:r w:rsidRPr="00303E33">
        <w:rPr>
          <w:i/>
          <w:iCs/>
        </w:rPr>
        <w:t>48</w:t>
      </w:r>
      <w:r w:rsidRPr="00303E33">
        <w:t>(4), e70138.</w:t>
      </w:r>
      <w:r w:rsidR="006445E9">
        <w:t xml:space="preserve"> </w:t>
      </w:r>
    </w:p>
    <w:p w14:paraId="416F007D" w14:textId="77777777" w:rsidR="00044D0B" w:rsidRDefault="00044D0B" w:rsidP="00BE37EC">
      <w:pPr>
        <w:spacing w:line="240" w:lineRule="auto"/>
      </w:pPr>
      <w:r w:rsidRPr="00044D0B">
        <w:t>Nath, S., Summers, K., Baek, J., &amp; Ahn, G. J. (2024, October). Digital evidence chain of custody: Navigating new realities of digital forensics. In </w:t>
      </w:r>
      <w:r w:rsidRPr="00044D0B">
        <w:rPr>
          <w:i/>
          <w:iCs/>
        </w:rPr>
        <w:t>2024 IEEE 6th International Conference on Trust, Privacy and Security in Intelligent Systems, and Applications (TPS-ISA)</w:t>
      </w:r>
      <w:r w:rsidRPr="00044D0B">
        <w:t> (pp. 11-20). IEEE.</w:t>
      </w:r>
    </w:p>
    <w:p w14:paraId="0E7A4ACD" w14:textId="3051D53E" w:rsidR="006445E9" w:rsidRDefault="009A0C09" w:rsidP="00BE37EC">
      <w:pPr>
        <w:spacing w:line="240" w:lineRule="auto"/>
      </w:pPr>
      <w:proofErr w:type="spellStart"/>
      <w:r w:rsidRPr="009A0C09">
        <w:lastRenderedPageBreak/>
        <w:t>Olber</w:t>
      </w:r>
      <w:proofErr w:type="spellEnd"/>
      <w:r w:rsidRPr="009A0C09">
        <w:t xml:space="preserve"> </w:t>
      </w:r>
      <w:proofErr w:type="spellStart"/>
      <w:r w:rsidRPr="009A0C09">
        <w:t>Dr</w:t>
      </w:r>
      <w:proofErr w:type="spellEnd"/>
      <w:r w:rsidRPr="009A0C09">
        <w:t>, P. (2021). The survey on cross-border collection of digital evidence by representatives from Polish prosecutors’ offices and judicial authorities. </w:t>
      </w:r>
      <w:r w:rsidRPr="009A0C09">
        <w:rPr>
          <w:i/>
          <w:iCs/>
        </w:rPr>
        <w:t>Journal of Digital Forensics, Security and Law</w:t>
      </w:r>
      <w:r w:rsidRPr="009A0C09">
        <w:t>, </w:t>
      </w:r>
      <w:r w:rsidRPr="009A0C09">
        <w:rPr>
          <w:i/>
          <w:iCs/>
        </w:rPr>
        <w:t>16</w:t>
      </w:r>
      <w:r w:rsidRPr="009A0C09">
        <w:t>(2), 3.</w:t>
      </w:r>
      <w:r w:rsidR="006445E9">
        <w:t xml:space="preserve">  </w:t>
      </w:r>
    </w:p>
    <w:p w14:paraId="04945D2A" w14:textId="58D7E546" w:rsidR="006445E9" w:rsidRDefault="009A0C09" w:rsidP="00BE37EC">
      <w:pPr>
        <w:spacing w:line="240" w:lineRule="auto"/>
      </w:pPr>
      <w:r w:rsidRPr="009A0C09">
        <w:t>Orji, N. A. (2024). Admissibility of AI-generated Evidence under the Nigerian Evidence Act, 2023. </w:t>
      </w:r>
      <w:r w:rsidRPr="009A0C09">
        <w:rPr>
          <w:i/>
          <w:iCs/>
        </w:rPr>
        <w:t>Available at SSRN 5035075</w:t>
      </w:r>
      <w:r w:rsidRPr="009A0C09">
        <w:t>.</w:t>
      </w:r>
      <w:r w:rsidR="006445E9">
        <w:t xml:space="preserve">  </w:t>
      </w:r>
    </w:p>
    <w:p w14:paraId="3E14ED0D" w14:textId="6E9CEBA2" w:rsidR="004B4F39" w:rsidRDefault="004B4F39" w:rsidP="00BE37EC">
      <w:pPr>
        <w:spacing w:line="240" w:lineRule="auto"/>
      </w:pPr>
      <w:r w:rsidRPr="004B4F39">
        <w:t>Patel, D. G. (2025). Securing Cloud Infrastructure Through Ancestry Tracking in Machine Images. </w:t>
      </w:r>
      <w:r w:rsidRPr="004B4F39">
        <w:rPr>
          <w:i/>
          <w:iCs/>
        </w:rPr>
        <w:t>IJSAT-International Journal on Science and Technology</w:t>
      </w:r>
      <w:r w:rsidRPr="004B4F39">
        <w:t>, </w:t>
      </w:r>
      <w:r w:rsidRPr="004B4F39">
        <w:rPr>
          <w:i/>
          <w:iCs/>
        </w:rPr>
        <w:t>16</w:t>
      </w:r>
      <w:r w:rsidRPr="004B4F39">
        <w:t>(3).</w:t>
      </w:r>
    </w:p>
    <w:p w14:paraId="27BE8642" w14:textId="77777777" w:rsidR="00A56F11" w:rsidRDefault="00A56F11" w:rsidP="00BE37EC">
      <w:pPr>
        <w:spacing w:line="240" w:lineRule="auto"/>
      </w:pPr>
      <w:r w:rsidRPr="00A56F11">
        <w:t>Perault, M., &amp; Salgado, R. (2024). </w:t>
      </w:r>
      <w:r w:rsidRPr="00A56F11">
        <w:rPr>
          <w:i/>
          <w:iCs/>
        </w:rPr>
        <w:t>Untapping the Full Potential of CLOUD Act Agreements</w:t>
      </w:r>
      <w:r w:rsidRPr="00A56F11">
        <w:t>. Center for Strategic and International Studies (CSIS).</w:t>
      </w:r>
      <w:r>
        <w:t xml:space="preserve"> </w:t>
      </w:r>
    </w:p>
    <w:p w14:paraId="35A615B1" w14:textId="77777777" w:rsidR="001A6EE4" w:rsidRDefault="001A6EE4" w:rsidP="00BE37EC">
      <w:pPr>
        <w:spacing w:line="240" w:lineRule="auto"/>
      </w:pPr>
      <w:r w:rsidRPr="001A6EE4">
        <w:t>Patterson, T. (2025). Cross-Border Cloud Data Transfers: Case Studies on Balancing US Government Privacy Regulations with Global Business Needs. </w:t>
      </w:r>
      <w:r w:rsidRPr="001A6EE4">
        <w:rPr>
          <w:i/>
          <w:iCs/>
        </w:rPr>
        <w:t>Available at SSRN 5383863</w:t>
      </w:r>
      <w:r w:rsidRPr="001A6EE4">
        <w:t>.</w:t>
      </w:r>
    </w:p>
    <w:p w14:paraId="0AC53283" w14:textId="4CE9863F" w:rsidR="006445E9" w:rsidRPr="009A0C09" w:rsidRDefault="009A0C09" w:rsidP="00BE37EC">
      <w:pPr>
        <w:spacing w:line="240" w:lineRule="auto"/>
      </w:pPr>
      <w:proofErr w:type="spellStart"/>
      <w:r w:rsidRPr="009A0C09">
        <w:t>Okunrobo</w:t>
      </w:r>
      <w:proofErr w:type="spellEnd"/>
      <w:r w:rsidRPr="009A0C09">
        <w:t xml:space="preserve"> Perez, S. (2025). Proliferation of e-Evidence: Reliability Standards and the Right to a Fair Trial. </w:t>
      </w:r>
      <w:r w:rsidRPr="009A0C09">
        <w:rPr>
          <w:i/>
          <w:iCs/>
        </w:rPr>
        <w:t>European Journal of Crime, Criminal Law and Criminal Justice</w:t>
      </w:r>
      <w:r w:rsidRPr="009A0C09">
        <w:t>, </w:t>
      </w:r>
      <w:r w:rsidRPr="009A0C09">
        <w:rPr>
          <w:i/>
          <w:iCs/>
        </w:rPr>
        <w:t>33</w:t>
      </w:r>
      <w:r w:rsidRPr="009A0C09">
        <w:t>(1-2), 187-211. </w:t>
      </w:r>
      <w:hyperlink r:id="rId7" w:tgtFrame="_blank" w:history="1">
        <w:r w:rsidRPr="004E6B5A">
          <w:rPr>
            <w:rStyle w:val="Hyperlink"/>
            <w:color w:val="auto"/>
            <w:u w:val="none"/>
          </w:rPr>
          <w:t>https://doi.org/10.1163/15718174-bja10070</w:t>
        </w:r>
      </w:hyperlink>
      <w:r w:rsidR="006445E9" w:rsidRPr="009A0C09">
        <w:t xml:space="preserve">.  </w:t>
      </w:r>
    </w:p>
    <w:p w14:paraId="2881F84A" w14:textId="57235B0D" w:rsidR="004E6B5A" w:rsidRPr="004E6B5A" w:rsidRDefault="004E6B5A" w:rsidP="00BE37EC">
      <w:pPr>
        <w:spacing w:line="240" w:lineRule="auto"/>
      </w:pPr>
      <w:proofErr w:type="spellStart"/>
      <w:r w:rsidRPr="004E6B5A">
        <w:t>Ucar</w:t>
      </w:r>
      <w:proofErr w:type="spellEnd"/>
      <w:r w:rsidRPr="004E6B5A">
        <w:t xml:space="preserve">, M., &amp; </w:t>
      </w:r>
      <w:proofErr w:type="spellStart"/>
      <w:r w:rsidRPr="004E6B5A">
        <w:t>Yalcintas</w:t>
      </w:r>
      <w:proofErr w:type="spellEnd"/>
      <w:r w:rsidRPr="004E6B5A">
        <w:t>, A. (2023). GDPR and Digital Protectionism in the EU: The Cases of Android and iOS. </w:t>
      </w:r>
      <w:r w:rsidRPr="004E6B5A">
        <w:rPr>
          <w:i/>
          <w:iCs/>
        </w:rPr>
        <w:t>Journal of Economic Issues</w:t>
      </w:r>
      <w:r w:rsidRPr="004E6B5A">
        <w:t>, </w:t>
      </w:r>
      <w:r w:rsidRPr="004E6B5A">
        <w:rPr>
          <w:i/>
          <w:iCs/>
        </w:rPr>
        <w:t>57</w:t>
      </w:r>
      <w:r w:rsidRPr="004E6B5A">
        <w:t xml:space="preserve">(4), 1079–1094. </w:t>
      </w:r>
      <w:hyperlink r:id="rId8" w:history="1">
        <w:r w:rsidRPr="004E6B5A">
          <w:rPr>
            <w:rStyle w:val="Hyperlink"/>
            <w:color w:val="auto"/>
            <w:u w:val="none"/>
          </w:rPr>
          <w:t>https://doi.org/10.1080/00213624.2023.2273120</w:t>
        </w:r>
      </w:hyperlink>
      <w:r>
        <w:t>.</w:t>
      </w:r>
    </w:p>
    <w:p w14:paraId="3D004279" w14:textId="39A13284" w:rsidR="00305CCB" w:rsidRPr="00F275A3" w:rsidRDefault="00305CCB" w:rsidP="00BE37EC">
      <w:pPr>
        <w:spacing w:line="240" w:lineRule="auto"/>
      </w:pPr>
      <w:r w:rsidRPr="00305CCB">
        <w:t xml:space="preserve">Voigt, P., &amp; Von </w:t>
      </w:r>
      <w:proofErr w:type="spellStart"/>
      <w:r w:rsidRPr="00305CCB">
        <w:t>dem</w:t>
      </w:r>
      <w:proofErr w:type="spellEnd"/>
      <w:r w:rsidRPr="00305CCB">
        <w:t xml:space="preserve"> </w:t>
      </w:r>
      <w:proofErr w:type="spellStart"/>
      <w:r w:rsidRPr="00305CCB">
        <w:t>Bussche</w:t>
      </w:r>
      <w:proofErr w:type="spellEnd"/>
      <w:r w:rsidRPr="00305CCB">
        <w:t>, A. (20</w:t>
      </w:r>
      <w:r w:rsidR="00F275A3">
        <w:t>24</w:t>
      </w:r>
      <w:r w:rsidRPr="00305CCB">
        <w:t xml:space="preserve">). </w:t>
      </w:r>
      <w:r w:rsidRPr="00F275A3">
        <w:rPr>
          <w:rFonts w:cs="Times New Roman"/>
        </w:rPr>
        <w:t>The EU General Data Protection Regulation (GDPR):</w:t>
      </w:r>
      <w:r w:rsidRPr="008A7D9B">
        <w:rPr>
          <w:rFonts w:cs="Times New Roman"/>
          <w:i/>
          <w:iCs/>
        </w:rPr>
        <w:t xml:space="preserve"> A Practical Guide</w:t>
      </w:r>
      <w:r w:rsidRPr="008A7D9B">
        <w:rPr>
          <w:rFonts w:cs="Times New Roman"/>
        </w:rPr>
        <w:t xml:space="preserve"> (Springer Nature Switzerland 2024) </w:t>
      </w:r>
      <w:hyperlink r:id="rId9" w:history="1">
        <w:r w:rsidR="00F275A3" w:rsidRPr="00F275A3">
          <w:rPr>
            <w:rStyle w:val="Hyperlink"/>
            <w:rFonts w:cs="Times New Roman"/>
            <w:color w:val="auto"/>
            <w:u w:val="none"/>
          </w:rPr>
          <w:t>https://link.springer.com/10.1007/978-3-031-62328-8</w:t>
        </w:r>
      </w:hyperlink>
      <w:r w:rsidR="00F275A3">
        <w:rPr>
          <w:rFonts w:cs="Times New Roman"/>
        </w:rPr>
        <w:t>.</w:t>
      </w:r>
    </w:p>
    <w:p w14:paraId="05FB6FB4" w14:textId="437A1E87" w:rsidR="00AC44B6" w:rsidRPr="006445E9" w:rsidRDefault="00F275A3" w:rsidP="00BE37EC">
      <w:pPr>
        <w:spacing w:line="240" w:lineRule="auto"/>
      </w:pPr>
      <w:r w:rsidRPr="00F275A3">
        <w:t>Zharova, A. K. (2023). Achieving algorithmic transparency and managing risks of data security when making decisions without human interference: legal approaches. </w:t>
      </w:r>
      <w:r w:rsidRPr="00F275A3">
        <w:rPr>
          <w:i/>
          <w:iCs/>
        </w:rPr>
        <w:t>Journal of Digital Technologies and Law</w:t>
      </w:r>
      <w:r w:rsidRPr="00F275A3">
        <w:t>, </w:t>
      </w:r>
      <w:r w:rsidRPr="00F275A3">
        <w:rPr>
          <w:i/>
          <w:iCs/>
        </w:rPr>
        <w:t>1</w:t>
      </w:r>
      <w:r w:rsidRPr="00F275A3">
        <w:t>(4), 973-993.</w:t>
      </w:r>
    </w:p>
    <w:sectPr w:rsidR="00AC44B6" w:rsidRPr="006445E9" w:rsidSect="00246796">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CEC"/>
    <w:multiLevelType w:val="hybridMultilevel"/>
    <w:tmpl w:val="EFDA15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5B3947"/>
    <w:multiLevelType w:val="hybridMultilevel"/>
    <w:tmpl w:val="5388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0304C"/>
    <w:multiLevelType w:val="multilevel"/>
    <w:tmpl w:val="400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395E72"/>
    <w:multiLevelType w:val="multilevel"/>
    <w:tmpl w:val="E7CC382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85863D2"/>
    <w:multiLevelType w:val="multilevel"/>
    <w:tmpl w:val="56F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65D17"/>
    <w:multiLevelType w:val="hybridMultilevel"/>
    <w:tmpl w:val="8C6CB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3EFE"/>
    <w:multiLevelType w:val="multilevel"/>
    <w:tmpl w:val="ADF669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C797B9E"/>
    <w:multiLevelType w:val="multilevel"/>
    <w:tmpl w:val="81645C1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F982017"/>
    <w:multiLevelType w:val="hybridMultilevel"/>
    <w:tmpl w:val="CEE60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CA6965"/>
    <w:multiLevelType w:val="multilevel"/>
    <w:tmpl w:val="128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C1672"/>
    <w:multiLevelType w:val="hybridMultilevel"/>
    <w:tmpl w:val="BB1EDDC8"/>
    <w:lvl w:ilvl="0" w:tplc="BEF08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D177A8"/>
    <w:multiLevelType w:val="multilevel"/>
    <w:tmpl w:val="696CEE7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F8B3A83"/>
    <w:multiLevelType w:val="multilevel"/>
    <w:tmpl w:val="EC9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9"/>
  </w:num>
  <w:num w:numId="4">
    <w:abstractNumId w:val="2"/>
  </w:num>
  <w:num w:numId="5">
    <w:abstractNumId w:val="1"/>
  </w:num>
  <w:num w:numId="6">
    <w:abstractNumId w:val="10"/>
  </w:num>
  <w:num w:numId="7">
    <w:abstractNumId w:val="0"/>
  </w:num>
  <w:num w:numId="8">
    <w:abstractNumId w:val="5"/>
  </w:num>
  <w:num w:numId="9">
    <w:abstractNumId w:val="3"/>
  </w:num>
  <w:num w:numId="10">
    <w:abstractNumId w:val="1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F3"/>
    <w:rsid w:val="00017BD0"/>
    <w:rsid w:val="00020F37"/>
    <w:rsid w:val="00037D6A"/>
    <w:rsid w:val="00044D0B"/>
    <w:rsid w:val="00045236"/>
    <w:rsid w:val="00054198"/>
    <w:rsid w:val="0006148B"/>
    <w:rsid w:val="00070397"/>
    <w:rsid w:val="00094A1C"/>
    <w:rsid w:val="000B6BE0"/>
    <w:rsid w:val="000C4B5E"/>
    <w:rsid w:val="000D3A0E"/>
    <w:rsid w:val="000D5EA7"/>
    <w:rsid w:val="000D7AF6"/>
    <w:rsid w:val="001117B0"/>
    <w:rsid w:val="001509B4"/>
    <w:rsid w:val="00191A5C"/>
    <w:rsid w:val="001A3A5E"/>
    <w:rsid w:val="001A4458"/>
    <w:rsid w:val="001A6EE4"/>
    <w:rsid w:val="001C2489"/>
    <w:rsid w:val="001C3EB5"/>
    <w:rsid w:val="001D7A48"/>
    <w:rsid w:val="001E57CF"/>
    <w:rsid w:val="00216C3E"/>
    <w:rsid w:val="0022202D"/>
    <w:rsid w:val="00246796"/>
    <w:rsid w:val="002655B2"/>
    <w:rsid w:val="00271E20"/>
    <w:rsid w:val="002734BB"/>
    <w:rsid w:val="00274654"/>
    <w:rsid w:val="002914AE"/>
    <w:rsid w:val="00295281"/>
    <w:rsid w:val="002C4566"/>
    <w:rsid w:val="002C51AF"/>
    <w:rsid w:val="002D013C"/>
    <w:rsid w:val="002D1F6C"/>
    <w:rsid w:val="002D4A66"/>
    <w:rsid w:val="00303E33"/>
    <w:rsid w:val="00305CCB"/>
    <w:rsid w:val="003366B7"/>
    <w:rsid w:val="00346075"/>
    <w:rsid w:val="00357250"/>
    <w:rsid w:val="00375FF5"/>
    <w:rsid w:val="0038611F"/>
    <w:rsid w:val="00391968"/>
    <w:rsid w:val="00394E7F"/>
    <w:rsid w:val="003C34AD"/>
    <w:rsid w:val="003E20BE"/>
    <w:rsid w:val="003F7240"/>
    <w:rsid w:val="004111E3"/>
    <w:rsid w:val="00423C5F"/>
    <w:rsid w:val="00451EF3"/>
    <w:rsid w:val="0047376F"/>
    <w:rsid w:val="00491ABE"/>
    <w:rsid w:val="004B4F39"/>
    <w:rsid w:val="004E6479"/>
    <w:rsid w:val="004E6B5A"/>
    <w:rsid w:val="00502FF4"/>
    <w:rsid w:val="00507F45"/>
    <w:rsid w:val="00543B92"/>
    <w:rsid w:val="00562180"/>
    <w:rsid w:val="005645EE"/>
    <w:rsid w:val="00590E17"/>
    <w:rsid w:val="00591700"/>
    <w:rsid w:val="005A0AD6"/>
    <w:rsid w:val="005A79FB"/>
    <w:rsid w:val="005D6831"/>
    <w:rsid w:val="005F2E27"/>
    <w:rsid w:val="00611662"/>
    <w:rsid w:val="006445E9"/>
    <w:rsid w:val="00671DF5"/>
    <w:rsid w:val="00685FEA"/>
    <w:rsid w:val="007040B1"/>
    <w:rsid w:val="00710FAA"/>
    <w:rsid w:val="00764579"/>
    <w:rsid w:val="00776D12"/>
    <w:rsid w:val="007E7D47"/>
    <w:rsid w:val="00801620"/>
    <w:rsid w:val="00815E89"/>
    <w:rsid w:val="008160A0"/>
    <w:rsid w:val="00827573"/>
    <w:rsid w:val="008356CB"/>
    <w:rsid w:val="008468EE"/>
    <w:rsid w:val="00867B70"/>
    <w:rsid w:val="008B2B07"/>
    <w:rsid w:val="008C3005"/>
    <w:rsid w:val="008C3061"/>
    <w:rsid w:val="008E2E48"/>
    <w:rsid w:val="0092261D"/>
    <w:rsid w:val="009253CB"/>
    <w:rsid w:val="00954A45"/>
    <w:rsid w:val="009965B5"/>
    <w:rsid w:val="009A0C09"/>
    <w:rsid w:val="009A3E5E"/>
    <w:rsid w:val="009C1294"/>
    <w:rsid w:val="009C4AFC"/>
    <w:rsid w:val="009D761F"/>
    <w:rsid w:val="009D7807"/>
    <w:rsid w:val="009E04A9"/>
    <w:rsid w:val="00A023B0"/>
    <w:rsid w:val="00A30E4D"/>
    <w:rsid w:val="00A32D29"/>
    <w:rsid w:val="00A42AFF"/>
    <w:rsid w:val="00A46EFB"/>
    <w:rsid w:val="00A56F11"/>
    <w:rsid w:val="00A61F64"/>
    <w:rsid w:val="00A776CC"/>
    <w:rsid w:val="00A82FB2"/>
    <w:rsid w:val="00A84028"/>
    <w:rsid w:val="00A84763"/>
    <w:rsid w:val="00A94F8F"/>
    <w:rsid w:val="00AC44B6"/>
    <w:rsid w:val="00AD30B4"/>
    <w:rsid w:val="00AE716F"/>
    <w:rsid w:val="00B31CEB"/>
    <w:rsid w:val="00B56B54"/>
    <w:rsid w:val="00B61F96"/>
    <w:rsid w:val="00B634B1"/>
    <w:rsid w:val="00B92D7C"/>
    <w:rsid w:val="00B93CB8"/>
    <w:rsid w:val="00BE37EC"/>
    <w:rsid w:val="00BF0D42"/>
    <w:rsid w:val="00C15241"/>
    <w:rsid w:val="00C8701C"/>
    <w:rsid w:val="00C92BB9"/>
    <w:rsid w:val="00CD73D9"/>
    <w:rsid w:val="00CF3646"/>
    <w:rsid w:val="00D20C4F"/>
    <w:rsid w:val="00D2448B"/>
    <w:rsid w:val="00D42B94"/>
    <w:rsid w:val="00D609B3"/>
    <w:rsid w:val="00D65E64"/>
    <w:rsid w:val="00DA31A6"/>
    <w:rsid w:val="00DB217D"/>
    <w:rsid w:val="00DC662C"/>
    <w:rsid w:val="00E01975"/>
    <w:rsid w:val="00E026E0"/>
    <w:rsid w:val="00E068CF"/>
    <w:rsid w:val="00E5565A"/>
    <w:rsid w:val="00E77E64"/>
    <w:rsid w:val="00E920F6"/>
    <w:rsid w:val="00ED65F3"/>
    <w:rsid w:val="00EE1D2E"/>
    <w:rsid w:val="00EE6CC8"/>
    <w:rsid w:val="00EF472C"/>
    <w:rsid w:val="00F00D56"/>
    <w:rsid w:val="00F17DE3"/>
    <w:rsid w:val="00F275A3"/>
    <w:rsid w:val="00F53C18"/>
    <w:rsid w:val="00FA148F"/>
    <w:rsid w:val="00FB0E50"/>
    <w:rsid w:val="00FE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BB"/>
    <w:rPr>
      <w:rFonts w:ascii="Times New Roman" w:hAnsi="Times New Roman"/>
    </w:rPr>
  </w:style>
  <w:style w:type="paragraph" w:styleId="Heading1">
    <w:name w:val="heading 1"/>
    <w:basedOn w:val="Normal"/>
    <w:next w:val="Normal"/>
    <w:link w:val="Heading1Char"/>
    <w:uiPriority w:val="9"/>
    <w:qFormat/>
    <w:rsid w:val="00ED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5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5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65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65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5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5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5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5F3"/>
    <w:rPr>
      <w:rFonts w:eastAsiaTheme="majorEastAsia" w:cstheme="majorBidi"/>
      <w:color w:val="272727" w:themeColor="text1" w:themeTint="D8"/>
    </w:rPr>
  </w:style>
  <w:style w:type="paragraph" w:styleId="Title">
    <w:name w:val="Title"/>
    <w:basedOn w:val="Normal"/>
    <w:next w:val="Normal"/>
    <w:link w:val="TitleChar"/>
    <w:uiPriority w:val="10"/>
    <w:qFormat/>
    <w:rsid w:val="00ED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F3"/>
    <w:pPr>
      <w:spacing w:before="160"/>
      <w:jc w:val="center"/>
    </w:pPr>
    <w:rPr>
      <w:i/>
      <w:iCs/>
      <w:color w:val="404040" w:themeColor="text1" w:themeTint="BF"/>
    </w:rPr>
  </w:style>
  <w:style w:type="character" w:customStyle="1" w:styleId="QuoteChar">
    <w:name w:val="Quote Char"/>
    <w:basedOn w:val="DefaultParagraphFont"/>
    <w:link w:val="Quote"/>
    <w:uiPriority w:val="29"/>
    <w:rsid w:val="00ED65F3"/>
    <w:rPr>
      <w:rFonts w:ascii="Times New Roman" w:hAnsi="Times New Roman"/>
      <w:i/>
      <w:iCs/>
      <w:color w:val="404040" w:themeColor="text1" w:themeTint="BF"/>
    </w:rPr>
  </w:style>
  <w:style w:type="paragraph" w:styleId="ListParagraph">
    <w:name w:val="List Paragraph"/>
    <w:basedOn w:val="Normal"/>
    <w:uiPriority w:val="34"/>
    <w:qFormat/>
    <w:rsid w:val="00ED65F3"/>
    <w:pPr>
      <w:ind w:left="720"/>
      <w:contextualSpacing/>
    </w:pPr>
  </w:style>
  <w:style w:type="character" w:styleId="IntenseEmphasis">
    <w:name w:val="Intense Emphasis"/>
    <w:basedOn w:val="DefaultParagraphFont"/>
    <w:uiPriority w:val="21"/>
    <w:qFormat/>
    <w:rsid w:val="00ED65F3"/>
    <w:rPr>
      <w:i/>
      <w:iCs/>
      <w:color w:val="2F5496" w:themeColor="accent1" w:themeShade="BF"/>
    </w:rPr>
  </w:style>
  <w:style w:type="paragraph" w:styleId="IntenseQuote">
    <w:name w:val="Intense Quote"/>
    <w:basedOn w:val="Normal"/>
    <w:next w:val="Normal"/>
    <w:link w:val="IntenseQuoteChar"/>
    <w:uiPriority w:val="30"/>
    <w:qFormat/>
    <w:rsid w:val="00ED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5F3"/>
    <w:rPr>
      <w:rFonts w:ascii="Times New Roman" w:hAnsi="Times New Roman"/>
      <w:i/>
      <w:iCs/>
      <w:color w:val="2F5496" w:themeColor="accent1" w:themeShade="BF"/>
    </w:rPr>
  </w:style>
  <w:style w:type="character" w:styleId="IntenseReference">
    <w:name w:val="Intense Reference"/>
    <w:basedOn w:val="DefaultParagraphFont"/>
    <w:uiPriority w:val="32"/>
    <w:qFormat/>
    <w:rsid w:val="00ED65F3"/>
    <w:rPr>
      <w:b/>
      <w:bCs/>
      <w:smallCaps/>
      <w:color w:val="2F5496" w:themeColor="accent1" w:themeShade="BF"/>
      <w:spacing w:val="5"/>
    </w:rPr>
  </w:style>
  <w:style w:type="paragraph" w:styleId="NormalWeb">
    <w:name w:val="Normal (Web)"/>
    <w:basedOn w:val="Normal"/>
    <w:uiPriority w:val="99"/>
    <w:semiHidden/>
    <w:unhideWhenUsed/>
    <w:rsid w:val="00685FEA"/>
    <w:rPr>
      <w:rFonts w:cs="Times New Roman"/>
    </w:rPr>
  </w:style>
  <w:style w:type="character" w:styleId="Hyperlink">
    <w:name w:val="Hyperlink"/>
    <w:basedOn w:val="DefaultParagraphFont"/>
    <w:uiPriority w:val="99"/>
    <w:unhideWhenUsed/>
    <w:rsid w:val="0038611F"/>
    <w:rPr>
      <w:color w:val="0563C1" w:themeColor="hyperlink"/>
      <w:u w:val="single"/>
    </w:rPr>
  </w:style>
  <w:style w:type="character" w:styleId="FollowedHyperlink">
    <w:name w:val="FollowedHyperlink"/>
    <w:basedOn w:val="DefaultParagraphFont"/>
    <w:uiPriority w:val="99"/>
    <w:semiHidden/>
    <w:unhideWhenUsed/>
    <w:rsid w:val="0038611F"/>
    <w:rPr>
      <w:color w:val="954F72" w:themeColor="followedHyperlink"/>
      <w:u w:val="single"/>
    </w:rPr>
  </w:style>
  <w:style w:type="character" w:customStyle="1" w:styleId="UnresolvedMention">
    <w:name w:val="Unresolved Mention"/>
    <w:basedOn w:val="DefaultParagraphFont"/>
    <w:uiPriority w:val="99"/>
    <w:semiHidden/>
    <w:unhideWhenUsed/>
    <w:rsid w:val="009A0C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BB"/>
    <w:rPr>
      <w:rFonts w:ascii="Times New Roman" w:hAnsi="Times New Roman"/>
    </w:rPr>
  </w:style>
  <w:style w:type="paragraph" w:styleId="Heading1">
    <w:name w:val="heading 1"/>
    <w:basedOn w:val="Normal"/>
    <w:next w:val="Normal"/>
    <w:link w:val="Heading1Char"/>
    <w:uiPriority w:val="9"/>
    <w:qFormat/>
    <w:rsid w:val="00ED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5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5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65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65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5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5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5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5F3"/>
    <w:rPr>
      <w:rFonts w:eastAsiaTheme="majorEastAsia" w:cstheme="majorBidi"/>
      <w:color w:val="272727" w:themeColor="text1" w:themeTint="D8"/>
    </w:rPr>
  </w:style>
  <w:style w:type="paragraph" w:styleId="Title">
    <w:name w:val="Title"/>
    <w:basedOn w:val="Normal"/>
    <w:next w:val="Normal"/>
    <w:link w:val="TitleChar"/>
    <w:uiPriority w:val="10"/>
    <w:qFormat/>
    <w:rsid w:val="00ED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F3"/>
    <w:pPr>
      <w:spacing w:before="160"/>
      <w:jc w:val="center"/>
    </w:pPr>
    <w:rPr>
      <w:i/>
      <w:iCs/>
      <w:color w:val="404040" w:themeColor="text1" w:themeTint="BF"/>
    </w:rPr>
  </w:style>
  <w:style w:type="character" w:customStyle="1" w:styleId="QuoteChar">
    <w:name w:val="Quote Char"/>
    <w:basedOn w:val="DefaultParagraphFont"/>
    <w:link w:val="Quote"/>
    <w:uiPriority w:val="29"/>
    <w:rsid w:val="00ED65F3"/>
    <w:rPr>
      <w:rFonts w:ascii="Times New Roman" w:hAnsi="Times New Roman"/>
      <w:i/>
      <w:iCs/>
      <w:color w:val="404040" w:themeColor="text1" w:themeTint="BF"/>
    </w:rPr>
  </w:style>
  <w:style w:type="paragraph" w:styleId="ListParagraph">
    <w:name w:val="List Paragraph"/>
    <w:basedOn w:val="Normal"/>
    <w:uiPriority w:val="34"/>
    <w:qFormat/>
    <w:rsid w:val="00ED65F3"/>
    <w:pPr>
      <w:ind w:left="720"/>
      <w:contextualSpacing/>
    </w:pPr>
  </w:style>
  <w:style w:type="character" w:styleId="IntenseEmphasis">
    <w:name w:val="Intense Emphasis"/>
    <w:basedOn w:val="DefaultParagraphFont"/>
    <w:uiPriority w:val="21"/>
    <w:qFormat/>
    <w:rsid w:val="00ED65F3"/>
    <w:rPr>
      <w:i/>
      <w:iCs/>
      <w:color w:val="2F5496" w:themeColor="accent1" w:themeShade="BF"/>
    </w:rPr>
  </w:style>
  <w:style w:type="paragraph" w:styleId="IntenseQuote">
    <w:name w:val="Intense Quote"/>
    <w:basedOn w:val="Normal"/>
    <w:next w:val="Normal"/>
    <w:link w:val="IntenseQuoteChar"/>
    <w:uiPriority w:val="30"/>
    <w:qFormat/>
    <w:rsid w:val="00ED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5F3"/>
    <w:rPr>
      <w:rFonts w:ascii="Times New Roman" w:hAnsi="Times New Roman"/>
      <w:i/>
      <w:iCs/>
      <w:color w:val="2F5496" w:themeColor="accent1" w:themeShade="BF"/>
    </w:rPr>
  </w:style>
  <w:style w:type="character" w:styleId="IntenseReference">
    <w:name w:val="Intense Reference"/>
    <w:basedOn w:val="DefaultParagraphFont"/>
    <w:uiPriority w:val="32"/>
    <w:qFormat/>
    <w:rsid w:val="00ED65F3"/>
    <w:rPr>
      <w:b/>
      <w:bCs/>
      <w:smallCaps/>
      <w:color w:val="2F5496" w:themeColor="accent1" w:themeShade="BF"/>
      <w:spacing w:val="5"/>
    </w:rPr>
  </w:style>
  <w:style w:type="paragraph" w:styleId="NormalWeb">
    <w:name w:val="Normal (Web)"/>
    <w:basedOn w:val="Normal"/>
    <w:uiPriority w:val="99"/>
    <w:semiHidden/>
    <w:unhideWhenUsed/>
    <w:rsid w:val="00685FEA"/>
    <w:rPr>
      <w:rFonts w:cs="Times New Roman"/>
    </w:rPr>
  </w:style>
  <w:style w:type="character" w:styleId="Hyperlink">
    <w:name w:val="Hyperlink"/>
    <w:basedOn w:val="DefaultParagraphFont"/>
    <w:uiPriority w:val="99"/>
    <w:unhideWhenUsed/>
    <w:rsid w:val="0038611F"/>
    <w:rPr>
      <w:color w:val="0563C1" w:themeColor="hyperlink"/>
      <w:u w:val="single"/>
    </w:rPr>
  </w:style>
  <w:style w:type="character" w:styleId="FollowedHyperlink">
    <w:name w:val="FollowedHyperlink"/>
    <w:basedOn w:val="DefaultParagraphFont"/>
    <w:uiPriority w:val="99"/>
    <w:semiHidden/>
    <w:unhideWhenUsed/>
    <w:rsid w:val="0038611F"/>
    <w:rPr>
      <w:color w:val="954F72" w:themeColor="followedHyperlink"/>
      <w:u w:val="single"/>
    </w:rPr>
  </w:style>
  <w:style w:type="character" w:customStyle="1" w:styleId="UnresolvedMention">
    <w:name w:val="Unresolved Mention"/>
    <w:basedOn w:val="DefaultParagraphFont"/>
    <w:uiPriority w:val="99"/>
    <w:semiHidden/>
    <w:unhideWhenUsed/>
    <w:rsid w:val="009A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13624.2023.2273120" TargetMode="External"/><Relationship Id="rId3" Type="http://schemas.microsoft.com/office/2007/relationships/stylesWithEffects" Target="stylesWithEffects.xml"/><Relationship Id="rId7" Type="http://schemas.openxmlformats.org/officeDocument/2006/relationships/hyperlink" Target="https://doi.org/10.1163/15718174-bja10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erman.com/en/perspectives/the-challenges-of-integrating-ai-generated-evidence-into-the-legal-system.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10.1007/978-3-031-62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2622</TotalTime>
  <Pages>7</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Ekwempu, Francis Chidiebele</dc:creator>
  <cp:keywords/>
  <dc:description/>
  <cp:lastModifiedBy>qwert</cp:lastModifiedBy>
  <cp:revision>23</cp:revision>
  <cp:lastPrinted>2026-04-30T12:55:00Z</cp:lastPrinted>
  <dcterms:created xsi:type="dcterms:W3CDTF">2026-02-22T16:12:00Z</dcterms:created>
  <dcterms:modified xsi:type="dcterms:W3CDTF">2026-05-01T12:33:00Z</dcterms:modified>
</cp:coreProperties>
</file>