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1A2" w:rsidRDefault="0002678C">
      <w:pPr>
        <w:spacing w:before="720" w:after="20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Educational Brand Positioning in Online and Offline Coaching Centers: A Study of Student Perception and Learning Experience</w:t>
      </w:r>
    </w:p>
    <w:p w:rsidR="00A301A2" w:rsidRDefault="00A301A2">
      <w:pPr>
        <w:spacing w:before="100" w:after="100"/>
        <w:rPr>
          <w:rFonts w:ascii="Times New Roman" w:eastAsia="Times New Roman" w:hAnsi="Times New Roman" w:cs="Times New Roman"/>
          <w:sz w:val="40"/>
          <w:szCs w:val="40"/>
        </w:rPr>
      </w:pPr>
    </w:p>
    <w:p w:rsidR="00A301A2" w:rsidRDefault="0002678C">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 xml:space="preserve"> </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0" w:name="_uwx5py9gz46a" w:colFirst="0" w:colLast="0"/>
      <w:bookmarkStart w:id="1" w:name="_GoBack"/>
      <w:bookmarkEnd w:id="0"/>
      <w:bookmarkEnd w:id="1"/>
      <w:r>
        <w:rPr>
          <w:rFonts w:ascii="Times New Roman" w:eastAsia="Times New Roman" w:hAnsi="Times New Roman" w:cs="Times New Roman"/>
          <w:b/>
          <w:bCs/>
          <w:sz w:val="20"/>
          <w:szCs w:val="20"/>
        </w:rPr>
        <w:t>ABSTRACT</w:t>
      </w:r>
    </w:p>
    <w:p w:rsidR="00A301A2" w:rsidRDefault="0002678C">
      <w:pPr>
        <w:spacing w:after="16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Purpose </w:t>
      </w:r>
      <w:r>
        <w:rPr>
          <w:rFonts w:ascii="Times New Roman" w:eastAsia="Times New Roman" w:hAnsi="Times New Roman" w:cs="Times New Roman"/>
          <w:sz w:val="18"/>
          <w:szCs w:val="18"/>
        </w:rPr>
        <w:t>This study ex</w:t>
      </w:r>
      <w:r>
        <w:rPr>
          <w:rFonts w:ascii="Times New Roman" w:eastAsia="Times New Roman" w:hAnsi="Times New Roman" w:cs="Times New Roman"/>
          <w:sz w:val="18"/>
          <w:szCs w:val="18"/>
        </w:rPr>
        <w:t>amines the expectation–experience gap in online and offline coaching centers in India through the lens of perceived brand positioning and student satisfaction, and tests whether gap scores and mode differences are statistically significant rather than mere</w:t>
      </w:r>
      <w:r>
        <w:rPr>
          <w:rFonts w:ascii="Times New Roman" w:eastAsia="Times New Roman" w:hAnsi="Times New Roman" w:cs="Times New Roman"/>
          <w:sz w:val="18"/>
          <w:szCs w:val="18"/>
        </w:rPr>
        <w:t>ly descriptive.</w:t>
      </w:r>
    </w:p>
    <w:p w:rsidR="00A301A2" w:rsidRDefault="0002678C">
      <w:pPr>
        <w:spacing w:after="16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Design/methodology/approach </w:t>
      </w:r>
      <w:r>
        <w:rPr>
          <w:rFonts w:ascii="Times New Roman" w:eastAsia="Times New Roman" w:hAnsi="Times New Roman" w:cs="Times New Roman"/>
          <w:sz w:val="18"/>
          <w:szCs w:val="18"/>
        </w:rPr>
        <w:t>A quantitative cross-sectional survey was administered via Google Forms (April 6–10, 2026), yielding N = 96 valid responses from coaching center students in India. Data were collected on four constructs using a 7-point Likert scale. Analyses included Cronb</w:t>
      </w:r>
      <w:r>
        <w:rPr>
          <w:rFonts w:ascii="Times New Roman" w:eastAsia="Times New Roman" w:hAnsi="Times New Roman" w:cs="Times New Roman"/>
          <w:sz w:val="18"/>
          <w:szCs w:val="18"/>
        </w:rPr>
        <w:t>ach’s alpha, Shapiro–Wilk normality tests, one-sample t-tests on gap scores, and one-way ANOVA with Bonferroni-corrected post-hoc comparisons across online, offline, and hybrid coaching modes.</w:t>
      </w:r>
    </w:p>
    <w:p w:rsidR="00A301A2" w:rsidRDefault="0002678C">
      <w:pPr>
        <w:spacing w:after="16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Findings </w:t>
      </w:r>
      <w:r>
        <w:rPr>
          <w:rFonts w:ascii="Cardo" w:eastAsia="Cardo" w:hAnsi="Cardo" w:cs="Cardo"/>
          <w:sz w:val="18"/>
          <w:szCs w:val="18"/>
        </w:rPr>
        <w:t>All four constructs demonstrated excellent internal co</w:t>
      </w:r>
      <w:r>
        <w:rPr>
          <w:rFonts w:ascii="Cardo" w:eastAsia="Cardo" w:hAnsi="Cardo" w:cs="Cardo"/>
          <w:sz w:val="18"/>
          <w:szCs w:val="18"/>
        </w:rPr>
        <w:t>nsistency (α = .890–.948). One-sample t-tests confirmed that all three expectation–experience gap scores were significantly negative (Brand Promise: M = −0.667, p &lt; .001; Teaching Quality: M = −0.604, p &lt; .001; Doubt-Solving: M = −0.635, p = .001). ANOVA r</w:t>
      </w:r>
      <w:r>
        <w:rPr>
          <w:rFonts w:ascii="Cardo" w:eastAsia="Cardo" w:hAnsi="Cardo" w:cs="Cardo"/>
          <w:sz w:val="18"/>
          <w:szCs w:val="18"/>
        </w:rPr>
        <w:t>evealed significant mode differences on all constructs (all p &lt; .01, η² = 0.103–0.121), with hybrid students scoring significantly higher than both online and offline students.</w:t>
      </w:r>
    </w:p>
    <w:p w:rsidR="00A301A2" w:rsidRDefault="0002678C">
      <w:pPr>
        <w:spacing w:after="16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Research limitations/implications </w:t>
      </w:r>
      <w:r>
        <w:rPr>
          <w:rFonts w:ascii="Times New Roman" w:eastAsia="Times New Roman" w:hAnsi="Times New Roman" w:cs="Times New Roman"/>
          <w:sz w:val="18"/>
          <w:szCs w:val="18"/>
        </w:rPr>
        <w:t>Convenience sampling and a relatively small s</w:t>
      </w:r>
      <w:r>
        <w:rPr>
          <w:rFonts w:ascii="Times New Roman" w:eastAsia="Times New Roman" w:hAnsi="Times New Roman" w:cs="Times New Roman"/>
          <w:sz w:val="18"/>
          <w:szCs w:val="18"/>
        </w:rPr>
        <w:t>ample limit generalisability. Two-item constructs, while reliable, restrict construct validity claims. Future studies should employ larger, nationally representative samples, multi-item scales, and non-parametric tests given confirmed non-normality.</w:t>
      </w:r>
    </w:p>
    <w:p w:rsidR="00A301A2" w:rsidRDefault="0002678C">
      <w:pPr>
        <w:spacing w:after="16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Practi</w:t>
      </w:r>
      <w:r>
        <w:rPr>
          <w:rFonts w:ascii="Times New Roman" w:eastAsia="Times New Roman" w:hAnsi="Times New Roman" w:cs="Times New Roman"/>
          <w:b/>
          <w:bCs/>
          <w:sz w:val="18"/>
          <w:szCs w:val="18"/>
        </w:rPr>
        <w:t xml:space="preserve">cal implications </w:t>
      </w:r>
      <w:r>
        <w:rPr>
          <w:rFonts w:ascii="Times New Roman" w:eastAsia="Times New Roman" w:hAnsi="Times New Roman" w:cs="Times New Roman"/>
          <w:sz w:val="18"/>
          <w:szCs w:val="18"/>
        </w:rPr>
        <w:t>Coaching centers should audit and recalibrate marketing claims, particularly regarding teaching quality and mentorship. Investment in hybrid delivery infrastructure is recommended given its statistically confirmed superiority across all me</w:t>
      </w:r>
      <w:r>
        <w:rPr>
          <w:rFonts w:ascii="Times New Roman" w:eastAsia="Times New Roman" w:hAnsi="Times New Roman" w:cs="Times New Roman"/>
          <w:sz w:val="18"/>
          <w:szCs w:val="18"/>
        </w:rPr>
        <w:t>asured outcomes.</w:t>
      </w:r>
    </w:p>
    <w:p w:rsidR="00A301A2" w:rsidRDefault="0002678C">
      <w:pPr>
        <w:spacing w:after="16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Originality/value </w:t>
      </w:r>
      <w:r>
        <w:rPr>
          <w:rFonts w:ascii="Times New Roman" w:eastAsia="Times New Roman" w:hAnsi="Times New Roman" w:cs="Times New Roman"/>
          <w:sz w:val="18"/>
          <w:szCs w:val="18"/>
        </w:rPr>
        <w:t>This study provides the first inferentially validated application of SERVQUAL gap analysis to the Indian coaching center sector, integrating brand authenticity theory, Expectancy Disconfirmation Theory, and blended learni</w:t>
      </w:r>
      <w:r>
        <w:rPr>
          <w:rFonts w:ascii="Times New Roman" w:eastAsia="Times New Roman" w:hAnsi="Times New Roman" w:cs="Times New Roman"/>
          <w:sz w:val="18"/>
          <w:szCs w:val="18"/>
        </w:rPr>
        <w:t>ng research within a unified measurement framework. The inferential confirmation of gap scores advances beyond prior descriptive applications.</w:t>
      </w:r>
    </w:p>
    <w:p w:rsidR="00A301A2" w:rsidRDefault="0002678C">
      <w:pPr>
        <w:spacing w:before="100" w:after="10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 xml:space="preserve">Keywords: </w:t>
      </w:r>
      <w:r>
        <w:rPr>
          <w:rFonts w:ascii="Times New Roman" w:eastAsia="Times New Roman" w:hAnsi="Times New Roman" w:cs="Times New Roman"/>
          <w:sz w:val="18"/>
          <w:szCs w:val="18"/>
        </w:rPr>
        <w:t xml:space="preserve">brand positioning; student perception; coaching centers; SERVQUAL; expectation–experience gap; ANOVA; </w:t>
      </w:r>
      <w:r>
        <w:rPr>
          <w:rFonts w:ascii="Times New Roman" w:eastAsia="Times New Roman" w:hAnsi="Times New Roman" w:cs="Times New Roman"/>
          <w:sz w:val="18"/>
          <w:szCs w:val="18"/>
        </w:rPr>
        <w:t>Shapiro–Wilk; Bonferroni correction; hybrid learning</w:t>
      </w:r>
    </w:p>
    <w:p w:rsidR="00A301A2" w:rsidRDefault="00A301A2">
      <w:pPr>
        <w:spacing w:before="100" w:after="100"/>
        <w:rPr>
          <w:rFonts w:ascii="Times New Roman" w:eastAsia="Times New Roman" w:hAnsi="Times New Roman" w:cs="Times New Roman"/>
          <w:sz w:val="18"/>
          <w:szCs w:val="18"/>
        </w:rPr>
      </w:pPr>
    </w:p>
    <w:p w:rsidR="00A301A2" w:rsidRDefault="00A301A2">
      <w:pPr>
        <w:spacing w:before="100" w:after="100"/>
        <w:rPr>
          <w:rFonts w:ascii="Times New Roman" w:eastAsia="Times New Roman" w:hAnsi="Times New Roman" w:cs="Times New Roman"/>
          <w:sz w:val="18"/>
          <w:szCs w:val="18"/>
        </w:rPr>
      </w:pPr>
    </w:p>
    <w:p w:rsidR="00A301A2" w:rsidRDefault="00A301A2">
      <w:pPr>
        <w:spacing w:before="100" w:after="100"/>
        <w:rPr>
          <w:rFonts w:ascii="Times New Roman" w:eastAsia="Times New Roman" w:hAnsi="Times New Roman" w:cs="Times New Roman"/>
          <w:sz w:val="18"/>
          <w:szCs w:val="18"/>
        </w:rPr>
      </w:pPr>
    </w:p>
    <w:p w:rsidR="00A301A2" w:rsidRDefault="00A301A2">
      <w:pPr>
        <w:spacing w:before="100" w:after="100"/>
        <w:rPr>
          <w:rFonts w:ascii="Times New Roman" w:eastAsia="Times New Roman" w:hAnsi="Times New Roman" w:cs="Times New Roman"/>
          <w:sz w:val="18"/>
          <w:szCs w:val="18"/>
        </w:rPr>
      </w:pPr>
    </w:p>
    <w:p w:rsidR="00A301A2" w:rsidRDefault="00A301A2">
      <w:pPr>
        <w:spacing w:before="100" w:after="100"/>
        <w:rPr>
          <w:rFonts w:ascii="Times New Roman" w:eastAsia="Times New Roman" w:hAnsi="Times New Roman" w:cs="Times New Roman"/>
          <w:sz w:val="18"/>
          <w:szCs w:val="18"/>
        </w:rPr>
      </w:pPr>
    </w:p>
    <w:p w:rsidR="00A301A2" w:rsidRDefault="0002678C">
      <w:pPr>
        <w:spacing w:before="100" w:after="1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AUTHOR CONTRIBUTIONS (CREDIT)</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Author contributions are reported in accordance with the Contributor Roles Taxonomy (CRediT)</w:t>
      </w: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 xml:space="preserve">Gargi Sansanwal: </w:t>
      </w:r>
      <w:r>
        <w:rPr>
          <w:rFonts w:ascii="Times New Roman" w:eastAsia="Times New Roman" w:hAnsi="Times New Roman" w:cs="Times New Roman"/>
          <w:sz w:val="20"/>
          <w:szCs w:val="20"/>
        </w:rPr>
        <w:t>Conceptualization, Data curation, Investigation, Writing -</w:t>
      </w:r>
      <w:r>
        <w:rPr>
          <w:rFonts w:ascii="Times New Roman" w:eastAsia="Times New Roman" w:hAnsi="Times New Roman" w:cs="Times New Roman"/>
          <w:sz w:val="20"/>
          <w:szCs w:val="20"/>
        </w:rPr>
        <w:t xml:space="preserve"> original draft preparation, Writing - review &amp; editing. </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Carolene Nongrum: </w:t>
      </w:r>
      <w:r>
        <w:rPr>
          <w:rFonts w:ascii="Times New Roman" w:eastAsia="Times New Roman" w:hAnsi="Times New Roman" w:cs="Times New Roman"/>
          <w:sz w:val="20"/>
          <w:szCs w:val="20"/>
        </w:rPr>
        <w:t>Data curation, Formal analysis, Visualization, Writing - original draft preparation, Writing - review &amp; editing.</w:t>
      </w:r>
    </w:p>
    <w:p w:rsidR="00A301A2" w:rsidRDefault="0002678C">
      <w:pPr>
        <w:spacing w:after="16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Prashanth Cherian Kochuveetil: </w:t>
      </w:r>
      <w:r>
        <w:rPr>
          <w:rFonts w:ascii="Times New Roman" w:eastAsia="Times New Roman" w:hAnsi="Times New Roman" w:cs="Times New Roman"/>
          <w:sz w:val="20"/>
          <w:szCs w:val="20"/>
        </w:rPr>
        <w:t xml:space="preserve">Supervision, Methodology guidance, Academic guidance. </w:t>
      </w:r>
    </w:p>
    <w:p w:rsidR="00A301A2" w:rsidRDefault="0002678C">
      <w:pPr>
        <w:spacing w:after="16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INTRODUCTION</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private coaching industry in India has grown substantially over the past two decades, driven by intensified competition for professional examinations, university admissions, and ski</w:t>
      </w:r>
      <w:r>
        <w:rPr>
          <w:rFonts w:ascii="Times New Roman" w:eastAsia="Times New Roman" w:hAnsi="Times New Roman" w:cs="Times New Roman"/>
          <w:sz w:val="20"/>
          <w:szCs w:val="20"/>
        </w:rPr>
        <w:t>ll certification. Coaching centers whether operating in physical classrooms or through digital platforms invest heavily in brand communication, positioning themselves as providers of innovative pedagogy, personalised mentorship, and verified academic outco</w:t>
      </w:r>
      <w:r>
        <w:rPr>
          <w:rFonts w:ascii="Times New Roman" w:eastAsia="Times New Roman" w:hAnsi="Times New Roman" w:cs="Times New Roman"/>
          <w:sz w:val="20"/>
          <w:szCs w:val="20"/>
        </w:rPr>
        <w:t>mes. Brand positioning, as understood in this paper, refers to the perceived image occupying a student’s mental space regarding a coaching institution, shaped by its marketing claims, reputation, and observable service attributes (Kotler &amp; Fox, 1995). This</w:t>
      </w:r>
      <w:r>
        <w:rPr>
          <w:rFonts w:ascii="Times New Roman" w:eastAsia="Times New Roman" w:hAnsi="Times New Roman" w:cs="Times New Roman"/>
          <w:sz w:val="20"/>
          <w:szCs w:val="20"/>
        </w:rPr>
        <w:t xml:space="preserve"> paper explicitly interprets brand positioning from the student’s perspective, rather than as an analysis of specific institutions or named brands.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Despite the proliferation of coaching options across online and offline formats, a persistent concern in the</w:t>
      </w:r>
      <w:r>
        <w:rPr>
          <w:rFonts w:ascii="Times New Roman" w:eastAsia="Times New Roman" w:hAnsi="Times New Roman" w:cs="Times New Roman"/>
          <w:sz w:val="20"/>
          <w:szCs w:val="20"/>
        </w:rPr>
        <w:t xml:space="preserve"> educational services literature is the gap between institutional promises and the experiences students actually receive. Service quality research has long established that perceived quality is a function of the discrepancy between expectations and actual </w:t>
      </w:r>
      <w:r>
        <w:rPr>
          <w:rFonts w:ascii="Times New Roman" w:eastAsia="Times New Roman" w:hAnsi="Times New Roman" w:cs="Times New Roman"/>
          <w:sz w:val="20"/>
          <w:szCs w:val="20"/>
        </w:rPr>
        <w:t>performance (Parasuraman et al., 1988). When this discrepancy is negative, that is, when actual performance falls below expectations, dissatisfaction, reduced loyalty, and negative word-of-mouth typically follow (Oliver, 1980).</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further dimension concerns</w:t>
      </w:r>
      <w:r>
        <w:rPr>
          <w:rFonts w:ascii="Times New Roman" w:eastAsia="Times New Roman" w:hAnsi="Times New Roman" w:cs="Times New Roman"/>
          <w:sz w:val="20"/>
          <w:szCs w:val="20"/>
        </w:rPr>
        <w:t xml:space="preserve"> coaching delivery mode. The rapid expansion of online coaching platforms since 2020, accelerated by the COVID-19 pandemic, has created a landscape in which students choose between fully offline, fully online, or hybrid modes. Empirical research comparing </w:t>
      </w:r>
      <w:r>
        <w:rPr>
          <w:rFonts w:ascii="Times New Roman" w:eastAsia="Times New Roman" w:hAnsi="Times New Roman" w:cs="Times New Roman"/>
          <w:sz w:val="20"/>
          <w:szCs w:val="20"/>
        </w:rPr>
        <w:t>learning modalities suggests that blended approaches tend to produce the most favourable outcomes (Means et al., 2009); however, limited research has examined this within the specific context of Indian competitive examination coaching.</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present study ad</w:t>
      </w:r>
      <w:r>
        <w:rPr>
          <w:rFonts w:ascii="Times New Roman" w:eastAsia="Times New Roman" w:hAnsi="Times New Roman" w:cs="Times New Roman"/>
          <w:sz w:val="20"/>
          <w:szCs w:val="20"/>
        </w:rPr>
        <w:t>dresses this gap by examining how perceived brand positioning influences student satisfaction and learning experience across coaching modes, using both descriptive and inferential statistical analyses to confirm the significance of observed patterns.</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2" w:name="_1z3zrlb7xh6h" w:colFirst="0" w:colLast="0"/>
      <w:bookmarkEnd w:id="2"/>
      <w:r>
        <w:rPr>
          <w:rFonts w:ascii="Times New Roman" w:eastAsia="Times New Roman" w:hAnsi="Times New Roman" w:cs="Times New Roman"/>
          <w:b/>
          <w:bCs/>
          <w:sz w:val="20"/>
          <w:szCs w:val="20"/>
        </w:rPr>
        <w:t>2. LI</w:t>
      </w:r>
      <w:r>
        <w:rPr>
          <w:rFonts w:ascii="Times New Roman" w:eastAsia="Times New Roman" w:hAnsi="Times New Roman" w:cs="Times New Roman"/>
          <w:b/>
          <w:bCs/>
          <w:sz w:val="20"/>
          <w:szCs w:val="20"/>
        </w:rPr>
        <w:t>TERATURE REVIEW</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 w:name="_r7ahta576kbb" w:colFirst="0" w:colLast="0"/>
      <w:bookmarkEnd w:id="3"/>
      <w:r>
        <w:rPr>
          <w:rFonts w:ascii="Times New Roman" w:eastAsia="Times New Roman" w:hAnsi="Times New Roman" w:cs="Times New Roman"/>
          <w:b/>
          <w:bCs/>
          <w:sz w:val="20"/>
          <w:szCs w:val="20"/>
        </w:rPr>
        <w:t>2.1 Student Perceptions of Educational Quality</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Student perception plays a central role in evaluating educational quality. Yang and Cornelius (2005) found that students valued flexibility, affordability, and digital resource access, while di</w:t>
      </w:r>
      <w:r>
        <w:rPr>
          <w:rFonts w:ascii="Times New Roman" w:eastAsia="Times New Roman" w:hAnsi="Times New Roman" w:cs="Times New Roman"/>
          <w:sz w:val="20"/>
          <w:szCs w:val="20"/>
        </w:rPr>
        <w:t>ssatisfaction arose from delayed feedback, lack of interaction, and poor course design. Aguirre et al. (2022) identified learning quality, technology access, and learning challenges as key predictors of student satisfaction, reporting high reliability (α =</w:t>
      </w:r>
      <w:r>
        <w:rPr>
          <w:rFonts w:ascii="Times New Roman" w:eastAsia="Times New Roman" w:hAnsi="Times New Roman" w:cs="Times New Roman"/>
          <w:sz w:val="20"/>
          <w:szCs w:val="20"/>
        </w:rPr>
        <w:t xml:space="preserve"> .954; α = .948). These findings confirm that educational quality is multidimensional and perception-driven, shaped by both institutional and systemic factors. When these factors are not effectively delivered, a gap emerges between institutional promises a</w:t>
      </w:r>
      <w:r>
        <w:rPr>
          <w:rFonts w:ascii="Times New Roman" w:eastAsia="Times New Roman" w:hAnsi="Times New Roman" w:cs="Times New Roman"/>
          <w:sz w:val="20"/>
          <w:szCs w:val="20"/>
        </w:rPr>
        <w:t>nd student experiences.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 w:name="_lj6euvpwps4s" w:colFirst="0" w:colLast="0"/>
      <w:bookmarkEnd w:id="4"/>
      <w:r>
        <w:rPr>
          <w:rFonts w:ascii="Times New Roman" w:eastAsia="Times New Roman" w:hAnsi="Times New Roman" w:cs="Times New Roman"/>
          <w:b/>
          <w:bCs/>
          <w:sz w:val="20"/>
          <w:szCs w:val="20"/>
        </w:rPr>
        <w:t>2.2 Service Quality Gaps: The SERVQUAL Framework</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lastRenderedPageBreak/>
        <w:t>The SERVQUAL model (Parasuraman et al., 1985) conceptualises service quality as SQ = P − E (Perception minus Expectation). Abili et al. (2012) found significant negative gaps across all five SERVQUAL dimensions in higher education (p &lt; .05), particularly i</w:t>
      </w:r>
      <w:r>
        <w:rPr>
          <w:rFonts w:ascii="Gungsuh" w:eastAsia="Gungsuh" w:hAnsi="Gungsuh" w:cs="Gungsuh"/>
          <w:sz w:val="20"/>
          <w:szCs w:val="20"/>
        </w:rPr>
        <w:t>n responsiveness. Mishra et al. (2023) integrated institutional and LMS service quality, demonstrating their joint influence on student satisfaction and brand equity an insight particularly relevant to hybrid coaching contexts.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5" w:name="_5iouaeqvus0a" w:colFirst="0" w:colLast="0"/>
      <w:bookmarkEnd w:id="5"/>
      <w:r>
        <w:rPr>
          <w:rFonts w:ascii="Times New Roman" w:eastAsia="Times New Roman" w:hAnsi="Times New Roman" w:cs="Times New Roman"/>
          <w:b/>
          <w:bCs/>
          <w:sz w:val="20"/>
          <w:szCs w:val="20"/>
        </w:rPr>
        <w:t>2.3 Brand Equity, Reputation</w:t>
      </w:r>
      <w:r>
        <w:rPr>
          <w:rFonts w:ascii="Times New Roman" w:eastAsia="Times New Roman" w:hAnsi="Times New Roman" w:cs="Times New Roman"/>
          <w:b/>
          <w:bCs/>
          <w:sz w:val="20"/>
          <w:szCs w:val="20"/>
        </w:rPr>
        <w:t>, and Loyalty</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Kaushal and Ali (2020) found that institutional reputation strongly affects student satisfaction (γ = 0.669, p &lt; .001) and loyalty, with satisfaction acting as a partial mediator. Morhart et al. (2015) conceptualised brand credibility through</w:t>
      </w:r>
      <w:r>
        <w:rPr>
          <w:rFonts w:ascii="Times New Roman" w:eastAsia="Times New Roman" w:hAnsi="Times New Roman" w:cs="Times New Roman"/>
          <w:sz w:val="20"/>
          <w:szCs w:val="20"/>
        </w:rPr>
        <w:t xml:space="preserve"> consistency, integrity, and promise fulfilment. Long-term student loyalty depends on perceived authenticity and the consistent delivery of institutional promises.</w:t>
      </w:r>
    </w:p>
    <w:p w:rsidR="00A301A2" w:rsidRDefault="0002678C">
      <w:pPr>
        <w:spacing w:after="16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 Online Learning Satisfaction and Interaction</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Alqurashi (2019) found that learner–content</w:t>
      </w:r>
      <w:r>
        <w:rPr>
          <w:rFonts w:ascii="Times New Roman" w:eastAsia="Times New Roman" w:hAnsi="Times New Roman" w:cs="Times New Roman"/>
          <w:sz w:val="20"/>
          <w:szCs w:val="20"/>
        </w:rPr>
        <w:t xml:space="preserve"> interaction was the strongest predictor of student satisfaction (t = 7.340, p &lt; .001) in online environments, while self-efficacy was the strongest predictor of perceived learning (t = 4.422, p &lt; .001). Coaching centers promising interactive learning must</w:t>
      </w:r>
      <w:r>
        <w:rPr>
          <w:rFonts w:ascii="Times New Roman" w:eastAsia="Times New Roman" w:hAnsi="Times New Roman" w:cs="Times New Roman"/>
          <w:sz w:val="20"/>
          <w:szCs w:val="20"/>
        </w:rPr>
        <w:t xml:space="preserve"> ensure strong instructor engagement, as failure to deliver results in perception gaps and reduced satisfaction. Self-efficacy, grounded in Bandura’s (1977) social learning theory, also shapes perceived career readiness.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6" w:name="_te0ay25svq7" w:colFirst="0" w:colLast="0"/>
      <w:bookmarkEnd w:id="6"/>
      <w:r>
        <w:rPr>
          <w:rFonts w:ascii="Times New Roman" w:eastAsia="Times New Roman" w:hAnsi="Times New Roman" w:cs="Times New Roman"/>
          <w:b/>
          <w:bCs/>
          <w:sz w:val="20"/>
          <w:szCs w:val="20"/>
        </w:rPr>
        <w:t>2.5 E-Learning Effectiveness and Sy</w:t>
      </w:r>
      <w:r>
        <w:rPr>
          <w:rFonts w:ascii="Times New Roman" w:eastAsia="Times New Roman" w:hAnsi="Times New Roman" w:cs="Times New Roman"/>
          <w:b/>
          <w:bCs/>
          <w:sz w:val="20"/>
          <w:szCs w:val="20"/>
        </w:rPr>
        <w:t>stem Quality</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Liaw (2008) identified self-efficacy, multimedia quality, and system quality as determinants of e-learning satisfaction (R² = 0.651) and effectiveness (R² = 0.681; α = 0.97). Self-efficacy contributed 50.5% of explained variance in satisfactio</w:t>
      </w:r>
      <w:r>
        <w:rPr>
          <w:rFonts w:ascii="Times New Roman" w:eastAsia="Times New Roman" w:hAnsi="Times New Roman" w:cs="Times New Roman"/>
          <w:sz w:val="20"/>
          <w:szCs w:val="20"/>
        </w:rPr>
        <w:t>n. Despite moderately positive attitudes, student concerns regarding interactivity and system quality were persistent, reinforcing the importance of measuring expectation–experience gaps rather than satisfaction alone.</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7" w:name="_lrlmamn7348z" w:colFirst="0" w:colLast="0"/>
      <w:bookmarkEnd w:id="7"/>
      <w:r>
        <w:rPr>
          <w:rFonts w:ascii="Times New Roman" w:eastAsia="Times New Roman" w:hAnsi="Times New Roman" w:cs="Times New Roman"/>
          <w:b/>
          <w:bCs/>
          <w:sz w:val="20"/>
          <w:szCs w:val="20"/>
        </w:rPr>
        <w:t>2.6 Synthesis: Multi-Level Measuremen</w:t>
      </w:r>
      <w:r>
        <w:rPr>
          <w:rFonts w:ascii="Times New Roman" w:eastAsia="Times New Roman" w:hAnsi="Times New Roman" w:cs="Times New Roman"/>
          <w:b/>
          <w:bCs/>
          <w:sz w:val="20"/>
          <w:szCs w:val="20"/>
        </w:rPr>
        <w:t>t Framework</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reviewed literature supports a multi-level measurement framework integrating Likert scales (ordinal), gap scores (interval), and objective performance metrics (ratio). Ramsden (1991) validated ordinal Likert instruments for teaching quality</w:t>
      </w:r>
      <w:r>
        <w:rPr>
          <w:rFonts w:ascii="Times New Roman" w:eastAsia="Times New Roman" w:hAnsi="Times New Roman" w:cs="Times New Roman"/>
          <w:sz w:val="20"/>
          <w:szCs w:val="20"/>
        </w:rPr>
        <w:t xml:space="preserve"> assessment. The present study adopts this approach while adding inferential statistical tests ANOVA, t-tests, and Shapiro Wilk that prior descriptive-only studies lack, directly responding to calls in the literature for inferential validation of education</w:t>
      </w:r>
      <w:r>
        <w:rPr>
          <w:rFonts w:ascii="Times New Roman" w:eastAsia="Times New Roman" w:hAnsi="Times New Roman" w:cs="Times New Roman"/>
          <w:sz w:val="20"/>
          <w:szCs w:val="20"/>
        </w:rPr>
        <w:t>al perception research.</w:t>
      </w:r>
    </w:p>
    <w:p w:rsidR="00A301A2" w:rsidRDefault="00A301A2">
      <w:pPr>
        <w:pStyle w:val="Heading1"/>
        <w:keepNext w:val="0"/>
        <w:keepLines w:val="0"/>
        <w:spacing w:before="480"/>
        <w:rPr>
          <w:rFonts w:ascii="Times New Roman" w:eastAsia="Times New Roman" w:hAnsi="Times New Roman" w:cs="Times New Roman"/>
          <w:b/>
          <w:bCs/>
          <w:sz w:val="20"/>
          <w:szCs w:val="20"/>
        </w:rPr>
      </w:pPr>
      <w:bookmarkStart w:id="8" w:name="_no2zybeei1un" w:colFirst="0" w:colLast="0"/>
      <w:bookmarkEnd w:id="8"/>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9" w:name="_598cedv4pdd2" w:colFirst="0" w:colLast="0"/>
      <w:bookmarkEnd w:id="9"/>
      <w:r>
        <w:rPr>
          <w:rFonts w:ascii="Times New Roman" w:eastAsia="Times New Roman" w:hAnsi="Times New Roman" w:cs="Times New Roman"/>
          <w:b/>
          <w:bCs/>
          <w:sz w:val="20"/>
          <w:szCs w:val="20"/>
        </w:rPr>
        <w:t>3. THEORETICAL FRAMEWORK</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10" w:name="_ax0r0brhm6np" w:colFirst="0" w:colLast="0"/>
      <w:bookmarkEnd w:id="10"/>
      <w:r>
        <w:rPr>
          <w:rFonts w:ascii="Times New Roman" w:eastAsia="Times New Roman" w:hAnsi="Times New Roman" w:cs="Times New Roman"/>
          <w:b/>
          <w:bCs/>
          <w:sz w:val="20"/>
          <w:szCs w:val="20"/>
        </w:rPr>
        <w:t>3.1 Underpinning Theories</w:t>
      </w:r>
    </w:p>
    <w:p w:rsidR="00A301A2" w:rsidRDefault="0002678C">
      <w:pPr>
        <w:pStyle w:val="Heading3"/>
        <w:keepNext w:val="0"/>
        <w:keepLines w:val="0"/>
        <w:spacing w:before="280"/>
        <w:rPr>
          <w:rFonts w:ascii="Times New Roman" w:eastAsia="Times New Roman" w:hAnsi="Times New Roman" w:cs="Times New Roman"/>
          <w:b/>
          <w:bCs/>
          <w:color w:val="000000"/>
          <w:sz w:val="20"/>
          <w:szCs w:val="20"/>
        </w:rPr>
      </w:pPr>
      <w:bookmarkStart w:id="11" w:name="_fhzwivbqs80s" w:colFirst="0" w:colLast="0"/>
      <w:bookmarkEnd w:id="11"/>
      <w:r>
        <w:rPr>
          <w:rFonts w:ascii="Times New Roman" w:eastAsia="Times New Roman" w:hAnsi="Times New Roman" w:cs="Times New Roman"/>
          <w:b/>
          <w:bCs/>
          <w:color w:val="000000"/>
          <w:sz w:val="20"/>
          <w:szCs w:val="20"/>
        </w:rPr>
        <w:t>SERVQUAL and the Gap Model (Parasuraman et al., 1985)</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t>The Service Quality Gap Model conceptualises quality as the computed difference between customer expectations (E) and percepti</w:t>
      </w:r>
      <w:r>
        <w:rPr>
          <w:rFonts w:ascii="Gungsuh" w:eastAsia="Gungsuh" w:hAnsi="Gungsuh" w:cs="Gungsuh"/>
          <w:sz w:val="20"/>
          <w:szCs w:val="20"/>
        </w:rPr>
        <w:t>ons of actual performance (P), expressed as SQ = P − E. Negative gap scores indicate service underdelivery. This study advances beyond prior descriptive applications of SERVQUAL by submitting gap scores to one-sample t-tests to determine whether observed g</w:t>
      </w:r>
      <w:r>
        <w:rPr>
          <w:rFonts w:ascii="Gungsuh" w:eastAsia="Gungsuh" w:hAnsi="Gungsuh" w:cs="Gungsuh"/>
          <w:sz w:val="20"/>
          <w:szCs w:val="20"/>
        </w:rPr>
        <w:t>aps are statistically significantly different from zero.</w:t>
      </w:r>
    </w:p>
    <w:p w:rsidR="00A301A2" w:rsidRDefault="0002678C">
      <w:pPr>
        <w:pStyle w:val="Heading3"/>
        <w:keepNext w:val="0"/>
        <w:keepLines w:val="0"/>
        <w:spacing w:before="280"/>
        <w:rPr>
          <w:rFonts w:ascii="Times New Roman" w:eastAsia="Times New Roman" w:hAnsi="Times New Roman" w:cs="Times New Roman"/>
          <w:b/>
          <w:bCs/>
          <w:color w:val="000000"/>
          <w:sz w:val="20"/>
          <w:szCs w:val="20"/>
        </w:rPr>
      </w:pPr>
      <w:bookmarkStart w:id="12" w:name="_3komiajc54r0" w:colFirst="0" w:colLast="0"/>
      <w:bookmarkEnd w:id="12"/>
      <w:r>
        <w:rPr>
          <w:rFonts w:ascii="Times New Roman" w:eastAsia="Times New Roman" w:hAnsi="Times New Roman" w:cs="Times New Roman"/>
          <w:b/>
          <w:bCs/>
          <w:color w:val="000000"/>
          <w:sz w:val="20"/>
          <w:szCs w:val="20"/>
        </w:rPr>
        <w:t xml:space="preserve">Brand Authenticity Theory (Morhart et al., 2015) </w:t>
      </w:r>
    </w:p>
    <w:p w:rsidR="00A301A2" w:rsidRDefault="0002678C">
      <w:pPr>
        <w:pStyle w:val="Heading3"/>
        <w:keepNext w:val="0"/>
        <w:keepLines w:val="0"/>
        <w:spacing w:before="280"/>
        <w:rPr>
          <w:rFonts w:ascii="Times New Roman" w:eastAsia="Times New Roman" w:hAnsi="Times New Roman" w:cs="Times New Roman"/>
          <w:color w:val="000000"/>
          <w:sz w:val="20"/>
          <w:szCs w:val="20"/>
        </w:rPr>
      </w:pPr>
      <w:bookmarkStart w:id="13" w:name="_dptn5284kyuc" w:colFirst="0" w:colLast="0"/>
      <w:bookmarkEnd w:id="13"/>
      <w:r>
        <w:rPr>
          <w:rFonts w:ascii="Times New Roman" w:eastAsia="Times New Roman" w:hAnsi="Times New Roman" w:cs="Times New Roman"/>
          <w:color w:val="000000"/>
          <w:sz w:val="20"/>
          <w:szCs w:val="20"/>
        </w:rPr>
        <w:t xml:space="preserve">The Brand Authenticity Scale conceptualises credibility as comprising consistency, integrity, and promise fulfilment. Items Q5 and Q9 operationalise </w:t>
      </w:r>
      <w:r>
        <w:rPr>
          <w:rFonts w:ascii="Times New Roman" w:eastAsia="Times New Roman" w:hAnsi="Times New Roman" w:cs="Times New Roman"/>
          <w:color w:val="000000"/>
          <w:sz w:val="20"/>
          <w:szCs w:val="20"/>
        </w:rPr>
        <w:t>these dimensions, with high reliability confirmed (α = .919).</w:t>
      </w:r>
    </w:p>
    <w:p w:rsidR="00A301A2" w:rsidRDefault="0002678C">
      <w:pPr>
        <w:pStyle w:val="Heading3"/>
        <w:keepNext w:val="0"/>
        <w:keepLines w:val="0"/>
        <w:spacing w:before="280"/>
        <w:rPr>
          <w:rFonts w:ascii="Times New Roman" w:eastAsia="Times New Roman" w:hAnsi="Times New Roman" w:cs="Times New Roman"/>
          <w:b/>
          <w:bCs/>
          <w:color w:val="000000"/>
          <w:sz w:val="20"/>
          <w:szCs w:val="20"/>
        </w:rPr>
      </w:pPr>
      <w:bookmarkStart w:id="14" w:name="_dm3xy7ra8vlw" w:colFirst="0" w:colLast="0"/>
      <w:bookmarkEnd w:id="14"/>
      <w:r>
        <w:rPr>
          <w:rFonts w:ascii="Times New Roman" w:eastAsia="Times New Roman" w:hAnsi="Times New Roman" w:cs="Times New Roman"/>
          <w:b/>
          <w:bCs/>
          <w:color w:val="000000"/>
          <w:sz w:val="20"/>
          <w:szCs w:val="20"/>
        </w:rPr>
        <w:t>Expectancy Disconfirmation Theory (Oliver, 1980)</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Oliver’s (1980) theory posits that satisfaction is determined by the confirmation or disconfirmation of prior expectations. Negative disconfirmation produces dissatisfaction, explaining the moderate satisfaction scores (M = 4.05/7) and subdued recommendati</w:t>
      </w:r>
      <w:r>
        <w:rPr>
          <w:rFonts w:ascii="Times New Roman" w:eastAsia="Times New Roman" w:hAnsi="Times New Roman" w:cs="Times New Roman"/>
          <w:sz w:val="20"/>
          <w:szCs w:val="20"/>
        </w:rPr>
        <w:t>on intent (Q8, M = 3.93/7) observed when coaching center services systematically fell below promises.</w:t>
      </w:r>
    </w:p>
    <w:p w:rsidR="00A301A2" w:rsidRDefault="0002678C">
      <w:pPr>
        <w:pStyle w:val="Heading3"/>
        <w:keepNext w:val="0"/>
        <w:keepLines w:val="0"/>
        <w:spacing w:before="280"/>
        <w:rPr>
          <w:rFonts w:ascii="Times New Roman" w:eastAsia="Times New Roman" w:hAnsi="Times New Roman" w:cs="Times New Roman"/>
          <w:b/>
          <w:bCs/>
          <w:color w:val="000000"/>
          <w:sz w:val="20"/>
          <w:szCs w:val="20"/>
        </w:rPr>
      </w:pPr>
      <w:bookmarkStart w:id="15" w:name="_qawicsu159ua" w:colFirst="0" w:colLast="0"/>
      <w:bookmarkEnd w:id="15"/>
      <w:r>
        <w:rPr>
          <w:rFonts w:ascii="Times New Roman" w:eastAsia="Times New Roman" w:hAnsi="Times New Roman" w:cs="Times New Roman"/>
          <w:b/>
          <w:bCs/>
          <w:color w:val="000000"/>
          <w:sz w:val="20"/>
          <w:szCs w:val="20"/>
        </w:rPr>
        <w:t>Self-Efficacy Theory (Bandura, 1977)</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Bandura’s (1977) Self-Efficacy Theory provides the basis for the Career Readiness construct. ANOVA revealed significant coaching-mode differences in Career Readiness (F(2,93) = 6.331, p = .003), with hybrid students significantly outperforming online and o</w:t>
      </w:r>
      <w:r>
        <w:rPr>
          <w:rFonts w:ascii="Times New Roman" w:eastAsia="Times New Roman" w:hAnsi="Times New Roman" w:cs="Times New Roman"/>
          <w:sz w:val="20"/>
          <w:szCs w:val="20"/>
        </w:rPr>
        <w:t>ffline students.</w:t>
      </w:r>
    </w:p>
    <w:p w:rsidR="00A301A2" w:rsidRDefault="0002678C">
      <w:pPr>
        <w:pStyle w:val="Heading2"/>
        <w:keepNext w:val="0"/>
        <w:keepLines w:val="0"/>
        <w:spacing w:after="80"/>
        <w:rPr>
          <w:rFonts w:ascii="Times New Roman" w:eastAsia="Times New Roman" w:hAnsi="Times New Roman" w:cs="Times New Roman"/>
          <w:b/>
          <w:bCs/>
          <w:sz w:val="20"/>
          <w:szCs w:val="20"/>
          <w:highlight w:val="white"/>
        </w:rPr>
      </w:pPr>
      <w:bookmarkStart w:id="16" w:name="_7oln2slhhfu1" w:colFirst="0" w:colLast="0"/>
      <w:bookmarkEnd w:id="16"/>
      <w:r>
        <w:rPr>
          <w:rFonts w:ascii="Times New Roman" w:eastAsia="Times New Roman" w:hAnsi="Times New Roman" w:cs="Times New Roman"/>
          <w:b/>
          <w:bCs/>
          <w:sz w:val="20"/>
          <w:szCs w:val="20"/>
          <w:highlight w:val="white"/>
        </w:rPr>
        <w:t>3.2 Research Hypotheses</w:t>
      </w:r>
    </w:p>
    <w:p w:rsidR="00A301A2" w:rsidRDefault="0002678C">
      <w:pPr>
        <w:spacing w:after="16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Based on the theoretical framework and literature review, the following hypotheses were formulated:</w:t>
      </w:r>
    </w:p>
    <w:p w:rsidR="00A301A2" w:rsidRDefault="0002678C">
      <w:pPr>
        <w:spacing w:after="16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H1: The expectation–experience gap across all three service dimensions will be significantly negative, indicating s</w:t>
      </w:r>
      <w:r>
        <w:rPr>
          <w:rFonts w:ascii="Times New Roman" w:eastAsia="Times New Roman" w:hAnsi="Times New Roman" w:cs="Times New Roman"/>
          <w:sz w:val="20"/>
          <w:szCs w:val="20"/>
          <w:highlight w:val="white"/>
        </w:rPr>
        <w:t>ystematic service underdelivery.</w:t>
      </w:r>
    </w:p>
    <w:p w:rsidR="00A301A2" w:rsidRDefault="0002678C">
      <w:pPr>
        <w:spacing w:after="16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H2: There will be significant differences in Brand Credibility, Teaching Quality, Student Satisfaction, and Career Readiness across online, offline, and hybrid coaching modes.</w:t>
      </w:r>
    </w:p>
    <w:p w:rsidR="00A301A2" w:rsidRDefault="0002678C">
      <w:pPr>
        <w:spacing w:after="16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H3: Hybrid-mode students will report significan</w:t>
      </w:r>
      <w:r>
        <w:rPr>
          <w:rFonts w:ascii="Times New Roman" w:eastAsia="Times New Roman" w:hAnsi="Times New Roman" w:cs="Times New Roman"/>
          <w:sz w:val="20"/>
          <w:szCs w:val="20"/>
          <w:highlight w:val="white"/>
        </w:rPr>
        <w:t>tly higher construct means than both online and offline students on all four constructs.</w:t>
      </w:r>
    </w:p>
    <w:p w:rsidR="00A301A2" w:rsidRDefault="0002678C">
      <w:pPr>
        <w:spacing w:after="16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H4: The constructs and gap distributions will show significant departures from normality.</w:t>
      </w:r>
    </w:p>
    <w:p w:rsidR="00A301A2" w:rsidRDefault="00A301A2">
      <w:pPr>
        <w:pStyle w:val="Heading2"/>
        <w:keepNext w:val="0"/>
        <w:keepLines w:val="0"/>
        <w:spacing w:after="80"/>
        <w:rPr>
          <w:rFonts w:ascii="Times New Roman" w:eastAsia="Times New Roman" w:hAnsi="Times New Roman" w:cs="Times New Roman"/>
          <w:b/>
          <w:bCs/>
          <w:sz w:val="20"/>
          <w:szCs w:val="20"/>
        </w:rPr>
      </w:pPr>
      <w:bookmarkStart w:id="17" w:name="_23y0m4zi8m0p" w:colFirst="0" w:colLast="0"/>
      <w:bookmarkEnd w:id="17"/>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18" w:name="_hslsnvzejfy9" w:colFirst="0" w:colLast="0"/>
      <w:bookmarkEnd w:id="18"/>
      <w:r>
        <w:rPr>
          <w:rFonts w:ascii="Times New Roman" w:eastAsia="Times New Roman" w:hAnsi="Times New Roman" w:cs="Times New Roman"/>
          <w:b/>
          <w:bCs/>
          <w:sz w:val="20"/>
          <w:szCs w:val="20"/>
        </w:rPr>
        <w:t>3.3 Conceptual Framework</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Brand positioning (as communicated through institut</w:t>
      </w:r>
      <w:r>
        <w:rPr>
          <w:rFonts w:ascii="Times New Roman" w:eastAsia="Times New Roman" w:hAnsi="Times New Roman" w:cs="Times New Roman"/>
          <w:sz w:val="20"/>
          <w:szCs w:val="20"/>
        </w:rPr>
        <w:t>ional marketing) is the independent variable. Student perceptions of brand credibility, teaching quality, satisfaction, and career readiness serve as dependent variables. The expectation–experience gap functions both as a dependent variable (gap scores) an</w:t>
      </w:r>
      <w:r>
        <w:rPr>
          <w:rFonts w:ascii="Times New Roman" w:eastAsia="Times New Roman" w:hAnsi="Times New Roman" w:cs="Times New Roman"/>
          <w:sz w:val="20"/>
          <w:szCs w:val="20"/>
        </w:rPr>
        <w:t>d as the mediating mechanism between brand communication and satisfaction outcomes. Coaching modality (online, offline, hybrid) is treated as a moderating variable.</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19" w:name="_1f9mcbuy243x" w:colFirst="0" w:colLast="0"/>
      <w:bookmarkEnd w:id="19"/>
      <w:r>
        <w:rPr>
          <w:rFonts w:ascii="Times New Roman" w:eastAsia="Times New Roman" w:hAnsi="Times New Roman" w:cs="Times New Roman"/>
          <w:b/>
          <w:bCs/>
          <w:sz w:val="20"/>
          <w:szCs w:val="20"/>
        </w:rPr>
        <w:t>4. METHODOLOGY</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0" w:name="_lzypmvnh0hud" w:colFirst="0" w:colLast="0"/>
      <w:bookmarkEnd w:id="20"/>
      <w:r>
        <w:rPr>
          <w:rFonts w:ascii="Times New Roman" w:eastAsia="Times New Roman" w:hAnsi="Times New Roman" w:cs="Times New Roman"/>
          <w:b/>
          <w:bCs/>
          <w:sz w:val="20"/>
          <w:szCs w:val="20"/>
        </w:rPr>
        <w:t>4.1 Research Design</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employed a quantitative, cross-sectional surv</w:t>
      </w:r>
      <w:r>
        <w:rPr>
          <w:rFonts w:ascii="Times New Roman" w:eastAsia="Times New Roman" w:hAnsi="Times New Roman" w:cs="Times New Roman"/>
          <w:sz w:val="20"/>
          <w:szCs w:val="20"/>
        </w:rPr>
        <w:t>ey design. Data were collected using a structured self-administered questionnaire distributed via Google Forms between April 6 and April 10, 2026. The study employs both descriptive statistics and inferential analyses Shapiro Wilk normality tests, one-samp</w:t>
      </w:r>
      <w:r>
        <w:rPr>
          <w:rFonts w:ascii="Times New Roman" w:eastAsia="Times New Roman" w:hAnsi="Times New Roman" w:cs="Times New Roman"/>
          <w:sz w:val="20"/>
          <w:szCs w:val="20"/>
        </w:rPr>
        <w:t>le t-tests, one-way ANOVA with Bonferroni-corrected post-hoc comparisons, and chi-square tests to provide statistically rigorous evaluation of the research hypotheses.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1" w:name="_n9qwjer2owh9" w:colFirst="0" w:colLast="0"/>
      <w:bookmarkEnd w:id="21"/>
      <w:r>
        <w:rPr>
          <w:rFonts w:ascii="Times New Roman" w:eastAsia="Times New Roman" w:hAnsi="Times New Roman" w:cs="Times New Roman"/>
          <w:b/>
          <w:bCs/>
          <w:sz w:val="20"/>
          <w:szCs w:val="20"/>
        </w:rPr>
        <w:t>4.2 Constructs and Survey Instrument</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survey comprised fourteen items rated on a 7-point Likert scale (1 = Strongly Disagree to 7 = Strongly Agree for perception items; 1 = Very Low to 7 = Very High for expectation and experience items), capturing four latent constructs and three paired ex</w:t>
      </w:r>
      <w:r>
        <w:rPr>
          <w:rFonts w:ascii="Times New Roman" w:eastAsia="Times New Roman" w:hAnsi="Times New Roman" w:cs="Times New Roman"/>
          <w:sz w:val="20"/>
          <w:szCs w:val="20"/>
        </w:rPr>
        <w:t>pectation–experience gap dimensions. The instrument is presented in Table1.</w:t>
      </w: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1</w:t>
      </w:r>
      <w:r>
        <w:rPr>
          <w:rFonts w:ascii="Times New Roman" w:eastAsia="Times New Roman" w:hAnsi="Times New Roman" w:cs="Times New Roman"/>
          <w:sz w:val="20"/>
          <w:szCs w:val="20"/>
        </w:rPr>
        <w:t xml:space="preserve"> Survey Instrument Fourteen-Item Likert Scale (Seven-Point)</w:t>
      </w:r>
    </w:p>
    <w:tbl>
      <w:tblPr>
        <w:tblStyle w:val="a"/>
        <w:tblW w:w="901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155"/>
        <w:gridCol w:w="2895"/>
        <w:gridCol w:w="2520"/>
        <w:gridCol w:w="2445"/>
      </w:tblGrid>
      <w:tr w:rsidR="00A301A2">
        <w:trPr>
          <w:tblHeader/>
        </w:trPr>
        <w:tc>
          <w:tcPr>
            <w:tcW w:w="1155"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Item</w:t>
            </w:r>
          </w:p>
        </w:tc>
        <w:tc>
          <w:tcPr>
            <w:tcW w:w="289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Survey Statement</w:t>
            </w:r>
          </w:p>
        </w:tc>
        <w:tc>
          <w:tcPr>
            <w:tcW w:w="252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Construct</w:t>
            </w:r>
          </w:p>
        </w:tc>
        <w:tc>
          <w:tcPr>
            <w:tcW w:w="244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Role</w:t>
            </w:r>
          </w:p>
        </w:tc>
      </w:tr>
      <w:tr w:rsidR="00A301A2">
        <w:trPr>
          <w:trHeight w:val="793"/>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coaching center I attended delivers what it promised.</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67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coaching center is true to what it stands for.</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94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teaching helped improve my understanding.</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94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Q17</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coaching center improved my understanding and skills.</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67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Q7</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Overall, I am satisfied with the coaching center.</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390"/>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Q8</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 would recommend this coaching center to others.</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55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Q16</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 feel confident about my performance in my target examination.</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73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Q18</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skills I gained are relevant to my career goals.</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Perception</w:t>
            </w:r>
          </w:p>
        </w:tc>
      </w:tr>
      <w:tr w:rsidR="00A301A2">
        <w:trPr>
          <w:trHeight w:val="570"/>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Q10/Q11</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Brand Promise: Expectation (Q10) vs. Experience (Q11).</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Brand Promise</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Gap Pair</w:t>
            </w:r>
          </w:p>
        </w:tc>
      </w:tr>
      <w:tr w:rsidR="00A301A2">
        <w:trPr>
          <w:trHeight w:val="353"/>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Q12/Q13</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 Expectation (Q12) vs. Experience (Q13).</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Gap Pair</w:t>
            </w:r>
          </w:p>
        </w:tc>
      </w:tr>
      <w:tr w:rsidR="00A301A2">
        <w:trPr>
          <w:trHeight w:val="338"/>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Q14/Q15</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Doubt-Solving &amp; Mentorship: Expectation (Q14) vs. Experience (Q15).</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Mentorship</w:t>
            </w:r>
          </w:p>
        </w:tc>
        <w:tc>
          <w:tcPr>
            <w:tcW w:w="244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Gap Pair</w:t>
            </w:r>
          </w:p>
        </w:tc>
      </w:tr>
    </w:tbl>
    <w:p w:rsidR="00A301A2" w:rsidRDefault="0002678C">
      <w:pPr>
        <w:spacing w:before="60" w:after="180"/>
        <w:rPr>
          <w:rFonts w:ascii="Times New Roman" w:eastAsia="Times New Roman" w:hAnsi="Times New Roman" w:cs="Times New Roman"/>
          <w:sz w:val="20"/>
          <w:szCs w:val="20"/>
        </w:rPr>
      </w:pPr>
      <w:r>
        <w:rPr>
          <w:rFonts w:ascii="Gungsuh" w:eastAsia="Gungsuh" w:hAnsi="Gungsuh" w:cs="Gungsuh"/>
          <w:sz w:val="20"/>
          <w:szCs w:val="20"/>
        </w:rPr>
        <w:t>Note. Items Q10–Q15 were paired expectation–experience items. Gap Score = Experience M − Expectation M.</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2" w:name="_e07qbi95ry7o" w:colFirst="0" w:colLast="0"/>
      <w:bookmarkEnd w:id="22"/>
      <w:r>
        <w:rPr>
          <w:rFonts w:ascii="Times New Roman" w:eastAsia="Times New Roman" w:hAnsi="Times New Roman" w:cs="Times New Roman"/>
          <w:b/>
          <w:bCs/>
          <w:sz w:val="20"/>
          <w:szCs w:val="20"/>
        </w:rPr>
        <w:t>4.3 Sample and Participants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total of 123 individuals responded to the Google Forms survey. Using the screening criterion (Q1), 27 respondents (22.0%) </w:t>
      </w:r>
      <w:r>
        <w:rPr>
          <w:rFonts w:ascii="Times New Roman" w:eastAsia="Times New Roman" w:hAnsi="Times New Roman" w:cs="Times New Roman"/>
          <w:sz w:val="20"/>
          <w:szCs w:val="20"/>
        </w:rPr>
        <w:t>who reported never attending a coaching center were excluded, yielding a final analytical sample of N = 96. The respondents represented three coaching modalities: offline (n = 66, 68.8%), online (n = 15, 15.6%), and hybrid (n = 15, 15.6%). Of these, 67 res</w:t>
      </w:r>
      <w:r>
        <w:rPr>
          <w:rFonts w:ascii="Times New Roman" w:eastAsia="Times New Roman" w:hAnsi="Times New Roman" w:cs="Times New Roman"/>
          <w:sz w:val="20"/>
          <w:szCs w:val="20"/>
        </w:rPr>
        <w:t>pondents (69.8%) had previously completed coaching, while 29 (30.2%) were currently enrolled. Additional background variables, including mode of coaching and mock test performance before and after joining (Q2–Q4), (Table2)were used to describe the sample a</w:t>
      </w:r>
      <w:r>
        <w:rPr>
          <w:rFonts w:ascii="Times New Roman" w:eastAsia="Times New Roman" w:hAnsi="Times New Roman" w:cs="Times New Roman"/>
          <w:sz w:val="20"/>
          <w:szCs w:val="20"/>
        </w:rPr>
        <w:t xml:space="preserve">nd support subgroup analysis.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2</w:t>
      </w:r>
      <w:r>
        <w:rPr>
          <w:rFonts w:ascii="Times New Roman" w:eastAsia="Times New Roman" w:hAnsi="Times New Roman" w:cs="Times New Roman"/>
          <w:sz w:val="20"/>
          <w:szCs w:val="20"/>
        </w:rPr>
        <w:t xml:space="preserve"> Screening and Background Variables </w:t>
      </w:r>
      <w:r>
        <w:rPr>
          <w:rFonts w:ascii="Times New Roman" w:eastAsia="Times New Roman" w:hAnsi="Times New Roman" w:cs="Times New Roman"/>
          <w:i/>
          <w:iCs/>
          <w:sz w:val="20"/>
          <w:szCs w:val="20"/>
        </w:rPr>
        <w:t>(Q1–Q4)</w:t>
      </w:r>
      <w:r>
        <w:rPr>
          <w:rFonts w:ascii="Times New Roman" w:eastAsia="Times New Roman" w:hAnsi="Times New Roman" w:cs="Times New Roman"/>
          <w:sz w:val="20"/>
          <w:szCs w:val="20"/>
        </w:rPr>
        <w:t xml:space="preserve"> </w:t>
      </w:r>
    </w:p>
    <w:tbl>
      <w:tblPr>
        <w:tblStyle w:val="a0"/>
        <w:tblW w:w="657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155"/>
        <w:gridCol w:w="2895"/>
        <w:gridCol w:w="2520"/>
      </w:tblGrid>
      <w:tr w:rsidR="00A301A2">
        <w:tc>
          <w:tcPr>
            <w:tcW w:w="1155"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Item</w:t>
            </w:r>
          </w:p>
        </w:tc>
        <w:tc>
          <w:tcPr>
            <w:tcW w:w="289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spacing w:after="1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c>
          <w:tcPr>
            <w:tcW w:w="252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spacing w:after="1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Type</w:t>
            </w:r>
          </w:p>
        </w:tc>
      </w:tr>
      <w:tr w:rsidR="00A301A2">
        <w:trPr>
          <w:trHeight w:val="70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Coaching experience</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w:t>
            </w:r>
          </w:p>
        </w:tc>
      </w:tr>
      <w:tr w:rsidR="00A301A2">
        <w:trPr>
          <w:trHeight w:val="675"/>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Q2</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 of coaching</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Categorical</w:t>
            </w:r>
          </w:p>
        </w:tc>
      </w:tr>
      <w:tr w:rsidR="00A301A2">
        <w:trPr>
          <w:trHeight w:val="528"/>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Q3</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Current performance</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Ordinal</w:t>
            </w:r>
          </w:p>
        </w:tc>
      </w:tr>
      <w:tr w:rsidR="00A301A2">
        <w:trPr>
          <w:trHeight w:val="690"/>
        </w:trPr>
        <w:tc>
          <w:tcPr>
            <w:tcW w:w="1155"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w:t>
            </w:r>
          </w:p>
        </w:tc>
        <w:tc>
          <w:tcPr>
            <w:tcW w:w="28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before joining</w:t>
            </w:r>
          </w:p>
        </w:tc>
        <w:tc>
          <w:tcPr>
            <w:tcW w:w="25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spacing w:after="1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Ordinal</w:t>
            </w:r>
          </w:p>
        </w:tc>
      </w:tr>
    </w:tbl>
    <w:p w:rsidR="00A301A2" w:rsidRDefault="0002678C">
      <w:pPr>
        <w:spacing w:before="60" w:after="18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Note. These questions were used to understand the background of the respondents. Q1 helped in excluding those who had never attended a coaching center. Q2–Q4 were used to describe the sample and compare different groups. </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3" w:name="_rcgqdzbqlc3s" w:colFirst="0" w:colLast="0"/>
      <w:bookmarkEnd w:id="23"/>
      <w:r>
        <w:rPr>
          <w:rFonts w:ascii="Times New Roman" w:eastAsia="Times New Roman" w:hAnsi="Times New Roman" w:cs="Times New Roman"/>
          <w:b/>
          <w:bCs/>
          <w:sz w:val="20"/>
          <w:szCs w:val="20"/>
        </w:rPr>
        <w:t>4.4 Measures</w:t>
      </w:r>
    </w:p>
    <w:p w:rsidR="00A301A2" w:rsidRDefault="0002678C">
      <w:pPr>
        <w:spacing w:after="160"/>
        <w:jc w:val="both"/>
        <w:rPr>
          <w:rFonts w:ascii="Times New Roman" w:eastAsia="Times New Roman" w:hAnsi="Times New Roman" w:cs="Times New Roman"/>
          <w:sz w:val="20"/>
          <w:szCs w:val="20"/>
        </w:rPr>
      </w:pPr>
      <w:r>
        <w:rPr>
          <w:rFonts w:ascii="Cardo" w:eastAsia="Cardo" w:hAnsi="Cardo" w:cs="Cardo"/>
          <w:sz w:val="20"/>
          <w:szCs w:val="20"/>
        </w:rPr>
        <w:t xml:space="preserve">Brand Credibility (α </w:t>
      </w:r>
      <w:r>
        <w:rPr>
          <w:rFonts w:ascii="Cardo" w:eastAsia="Cardo" w:hAnsi="Cardo" w:cs="Cardo"/>
          <w:sz w:val="20"/>
          <w:szCs w:val="20"/>
        </w:rPr>
        <w:t xml:space="preserve">= .919): Q5 and Q9. Teaching Quality (α = .934): Q6 and Q17. Student Satisfaction (α = .948): Q7 and Q8. Career Readiness (α = .890): Q16 and Q18. Gap dimensions: Brand Promise (Q10/Q11), Teaching Quality (Q12/Q13), Doubt-Solving and Mentorship (Q14/Q15). </w:t>
      </w:r>
      <w:r>
        <w:rPr>
          <w:rFonts w:ascii="Cardo" w:eastAsia="Cardo" w:hAnsi="Cardo" w:cs="Cardo"/>
          <w:sz w:val="20"/>
          <w:szCs w:val="20"/>
        </w:rPr>
        <w:t>All gap scores were computed as Experience Mean − Expectation Mean.</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4" w:name="_k5zditx07z7n" w:colFirst="0" w:colLast="0"/>
      <w:bookmarkEnd w:id="24"/>
      <w:r>
        <w:rPr>
          <w:rFonts w:ascii="Times New Roman" w:eastAsia="Times New Roman" w:hAnsi="Times New Roman" w:cs="Times New Roman"/>
          <w:b/>
          <w:bCs/>
          <w:sz w:val="20"/>
          <w:szCs w:val="20"/>
        </w:rPr>
        <w:t>4.5 Statistical Analysis Plan</w:t>
      </w:r>
    </w:p>
    <w:p w:rsidR="00A301A2" w:rsidRDefault="0002678C">
      <w:pPr>
        <w:spacing w:after="160"/>
        <w:jc w:val="both"/>
        <w:rPr>
          <w:rFonts w:ascii="Times New Roman" w:eastAsia="Times New Roman" w:hAnsi="Times New Roman" w:cs="Times New Roman"/>
          <w:sz w:val="20"/>
          <w:szCs w:val="20"/>
        </w:rPr>
      </w:pPr>
      <w:r>
        <w:rPr>
          <w:rFonts w:ascii="Cardo" w:eastAsia="Cardo" w:hAnsi="Cardo" w:cs="Cardo"/>
          <w:sz w:val="20"/>
          <w:szCs w:val="20"/>
        </w:rPr>
        <w:t>Five analytical steps were employed in sequence. Step 1: Cronbach’s alpha for internal consistency (Nunnally, 1978, threshold α ≥ .70). Step 2: Descriptive st</w:t>
      </w:r>
      <w:r>
        <w:rPr>
          <w:rFonts w:ascii="Cardo" w:eastAsia="Cardo" w:hAnsi="Cardo" w:cs="Cardo"/>
          <w:sz w:val="20"/>
          <w:szCs w:val="20"/>
        </w:rPr>
        <w:t>atistics (means, standard deviations, minima, maxima). Step 3: Shapiro Wilk normality tests on all distributions (α = .05). Step 4: One-sample t-tests on each gap score against H₀: gap = 0; two-tailed, α = .05. Step 5: One-way ANOVA with Bonferroni-correct</w:t>
      </w:r>
      <w:r>
        <w:rPr>
          <w:rFonts w:ascii="Cardo" w:eastAsia="Cardo" w:hAnsi="Cardo" w:cs="Cardo"/>
          <w:sz w:val="20"/>
          <w:szCs w:val="20"/>
        </w:rPr>
        <w:t>ed post-hoc comparisons (omnibus α = .05; pairwise α = .017). Step 6: Chi-square test of independence for mode vs. enrollment status.</w:t>
      </w:r>
    </w:p>
    <w:p w:rsidR="00A301A2" w:rsidRDefault="00A301A2">
      <w:pPr>
        <w:spacing w:after="160"/>
        <w:jc w:val="both"/>
        <w:rPr>
          <w:rFonts w:ascii="Times New Roman" w:eastAsia="Times New Roman" w:hAnsi="Times New Roman" w:cs="Times New Roman"/>
          <w:sz w:val="20"/>
          <w:szCs w:val="20"/>
        </w:rPr>
      </w:pP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25" w:name="_gzlqump4ms57" w:colFirst="0" w:colLast="0"/>
      <w:bookmarkEnd w:id="25"/>
      <w:r>
        <w:rPr>
          <w:rFonts w:ascii="Times New Roman" w:eastAsia="Times New Roman" w:hAnsi="Times New Roman" w:cs="Times New Roman"/>
          <w:b/>
          <w:bCs/>
          <w:sz w:val="20"/>
          <w:szCs w:val="20"/>
        </w:rPr>
        <w:t>5. RESULTS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6" w:name="_wr6bqzwx8xh3" w:colFirst="0" w:colLast="0"/>
      <w:bookmarkEnd w:id="26"/>
      <w:r>
        <w:rPr>
          <w:rFonts w:ascii="Times New Roman" w:eastAsia="Times New Roman" w:hAnsi="Times New Roman" w:cs="Times New Roman"/>
          <w:b/>
          <w:bCs/>
          <w:sz w:val="20"/>
          <w:szCs w:val="20"/>
        </w:rPr>
        <w:t>5.1 Descriptive Statistics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3 presents descriptive statistics for all four constructs and three gap distr</w:t>
      </w:r>
      <w:r>
        <w:rPr>
          <w:rFonts w:ascii="Times New Roman" w:eastAsia="Times New Roman" w:hAnsi="Times New Roman" w:cs="Times New Roman"/>
          <w:sz w:val="20"/>
          <w:szCs w:val="20"/>
        </w:rPr>
        <w:t xml:space="preserve">ibutions. Construct means ranged from 4.05 to 4.40 on the 7-point scale above neutral but below high-performance benchmarks. Standard deviations (SD = 1.71–1.96) indicate substantial inter-individual variation. All gap distributions showed negative means, </w:t>
      </w:r>
      <w:r>
        <w:rPr>
          <w:rFonts w:ascii="Times New Roman" w:eastAsia="Times New Roman" w:hAnsi="Times New Roman" w:cs="Times New Roman"/>
          <w:sz w:val="20"/>
          <w:szCs w:val="20"/>
        </w:rPr>
        <w:t>confirming systematic negative disconfirmation.</w:t>
      </w: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3</w:t>
      </w:r>
      <w:r>
        <w:rPr>
          <w:rFonts w:ascii="Times New Roman" w:eastAsia="Times New Roman" w:hAnsi="Times New Roman" w:cs="Times New Roman"/>
          <w:sz w:val="20"/>
          <w:szCs w:val="20"/>
        </w:rPr>
        <w:t xml:space="preserve"> Descriptive Statistics for Constructs and Gap Scores (N = 96)</w:t>
      </w:r>
    </w:p>
    <w:tbl>
      <w:tblPr>
        <w:tblStyle w:val="a1"/>
        <w:tblW w:w="901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2610"/>
        <w:gridCol w:w="1125"/>
        <w:gridCol w:w="1095"/>
        <w:gridCol w:w="1080"/>
        <w:gridCol w:w="1080"/>
        <w:gridCol w:w="2025"/>
      </w:tblGrid>
      <w:tr w:rsidR="00A301A2">
        <w:trPr>
          <w:trHeight w:val="450"/>
        </w:trPr>
        <w:tc>
          <w:tcPr>
            <w:tcW w:w="261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Variable</w:t>
            </w:r>
          </w:p>
        </w:tc>
        <w:tc>
          <w:tcPr>
            <w:tcW w:w="112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w:t>
            </w:r>
          </w:p>
        </w:tc>
        <w:tc>
          <w:tcPr>
            <w:tcW w:w="109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108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Min</w:t>
            </w:r>
          </w:p>
        </w:tc>
        <w:tc>
          <w:tcPr>
            <w:tcW w:w="108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Max</w:t>
            </w:r>
          </w:p>
        </w:tc>
        <w:tc>
          <w:tcPr>
            <w:tcW w:w="202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Skew Direction</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positive</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positive</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positive</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4.36</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 positive</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Promise Gap</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0.667</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1.845</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6.0</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 negative</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 Gap</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0.604</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1.593</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6.0</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 negative</w:t>
            </w:r>
          </w:p>
        </w:tc>
      </w:tr>
      <w:tr w:rsidR="00A301A2">
        <w:trPr>
          <w:trHeight w:val="405"/>
        </w:trPr>
        <w:tc>
          <w:tcPr>
            <w:tcW w:w="26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Doubt-Solving Gap</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0.635</w:t>
            </w:r>
          </w:p>
        </w:tc>
        <w:tc>
          <w:tcPr>
            <w:tcW w:w="109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1.864</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6.0</w:t>
            </w:r>
          </w:p>
        </w:tc>
        <w:tc>
          <w:tcPr>
            <w:tcW w:w="108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0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 negative</w:t>
            </w:r>
          </w:p>
        </w:tc>
      </w:tr>
    </w:tbl>
    <w:p w:rsidR="00A301A2" w:rsidRDefault="0002678C">
      <w:pPr>
        <w:spacing w:before="60" w:after="180"/>
        <w:rPr>
          <w:rFonts w:ascii="Times New Roman" w:eastAsia="Times New Roman" w:hAnsi="Times New Roman" w:cs="Times New Roman"/>
          <w:sz w:val="20"/>
          <w:szCs w:val="20"/>
        </w:rPr>
      </w:pPr>
      <w:r>
        <w:rPr>
          <w:rFonts w:ascii="Gungsuh" w:eastAsia="Gungsuh" w:hAnsi="Gungsuh" w:cs="Gungsuh"/>
          <w:sz w:val="20"/>
          <w:szCs w:val="20"/>
        </w:rPr>
        <w:t>Note. Gap Score = Experience M − Expectation M. Negative gap scores indicate experience below expectation. Scale range: 1–7 for constructs; computed difference scores for gaps.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7" w:name="_vh59bff10zyx" w:colFirst="0" w:colLast="0"/>
      <w:bookmarkEnd w:id="27"/>
      <w:r>
        <w:rPr>
          <w:rFonts w:ascii="Times New Roman" w:eastAsia="Times New Roman" w:hAnsi="Times New Roman" w:cs="Times New Roman"/>
          <w:b/>
          <w:bCs/>
          <w:sz w:val="20"/>
          <w:szCs w:val="20"/>
        </w:rPr>
        <w:t>5.2 Reliability Analysis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4 presents Cronbach’s alpha values for all four constructs. All values exceeded .88, substantially surpassing the conventional threshold of .70 (Nunnally, 1978).</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4</w:t>
      </w:r>
      <w:r>
        <w:rPr>
          <w:rFonts w:ascii="Times New Roman" w:eastAsia="Times New Roman" w:hAnsi="Times New Roman" w:cs="Times New Roman"/>
          <w:sz w:val="20"/>
          <w:szCs w:val="20"/>
        </w:rPr>
        <w:t xml:space="preserve"> Reliability Statistics, Item Means, and Construct Means (N = 96)</w:t>
      </w:r>
    </w:p>
    <w:tbl>
      <w:tblPr>
        <w:tblStyle w:val="a2"/>
        <w:tblW w:w="900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920"/>
        <w:gridCol w:w="1005"/>
        <w:gridCol w:w="1020"/>
        <w:gridCol w:w="1020"/>
        <w:gridCol w:w="1485"/>
        <w:gridCol w:w="885"/>
        <w:gridCol w:w="1665"/>
      </w:tblGrid>
      <w:tr w:rsidR="00A301A2">
        <w:trPr>
          <w:trHeight w:val="720"/>
        </w:trPr>
        <w:tc>
          <w:tcPr>
            <w:tcW w:w="192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Construct</w:t>
            </w:r>
          </w:p>
        </w:tc>
        <w:tc>
          <w:tcPr>
            <w:tcW w:w="100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Items</w:t>
            </w:r>
          </w:p>
        </w:tc>
        <w:tc>
          <w:tcPr>
            <w:tcW w:w="102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Item 1 M</w:t>
            </w:r>
          </w:p>
        </w:tc>
        <w:tc>
          <w:tcPr>
            <w:tcW w:w="102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Item 2 M</w:t>
            </w:r>
          </w:p>
        </w:tc>
        <w:tc>
          <w:tcPr>
            <w:tcW w:w="148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Construct M</w:t>
            </w:r>
          </w:p>
        </w:tc>
        <w:tc>
          <w:tcPr>
            <w:tcW w:w="88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α</w:t>
            </w:r>
          </w:p>
        </w:tc>
        <w:tc>
          <w:tcPr>
            <w:tcW w:w="166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Status</w:t>
            </w:r>
          </w:p>
        </w:tc>
      </w:tr>
      <w:tr w:rsidR="00A301A2">
        <w:trPr>
          <w:trHeight w:val="675"/>
        </w:trPr>
        <w:tc>
          <w:tcPr>
            <w:tcW w:w="192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10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 Q9</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8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.919</w:t>
            </w:r>
          </w:p>
        </w:tc>
        <w:tc>
          <w:tcPr>
            <w:tcW w:w="16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w:t>
            </w:r>
          </w:p>
        </w:tc>
      </w:tr>
      <w:tr w:rsidR="00A301A2">
        <w:trPr>
          <w:trHeight w:val="675"/>
        </w:trPr>
        <w:tc>
          <w:tcPr>
            <w:tcW w:w="192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10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 Q17</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4.43</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4.36</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4.40</w:t>
            </w:r>
          </w:p>
        </w:tc>
        <w:tc>
          <w:tcPr>
            <w:tcW w:w="8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.934</w:t>
            </w:r>
          </w:p>
        </w:tc>
        <w:tc>
          <w:tcPr>
            <w:tcW w:w="16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w:t>
            </w:r>
          </w:p>
        </w:tc>
      </w:tr>
      <w:tr w:rsidR="00A301A2">
        <w:trPr>
          <w:trHeight w:val="675"/>
        </w:trPr>
        <w:tc>
          <w:tcPr>
            <w:tcW w:w="192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10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Q7, Q8</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4.18</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8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.948</w:t>
            </w:r>
          </w:p>
        </w:tc>
        <w:tc>
          <w:tcPr>
            <w:tcW w:w="16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w:t>
            </w:r>
          </w:p>
        </w:tc>
      </w:tr>
      <w:tr w:rsidR="00A301A2">
        <w:trPr>
          <w:trHeight w:val="675"/>
        </w:trPr>
        <w:tc>
          <w:tcPr>
            <w:tcW w:w="192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10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Q16, Q18</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4.36</w:t>
            </w:r>
          </w:p>
        </w:tc>
        <w:tc>
          <w:tcPr>
            <w:tcW w:w="8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w:t>
            </w:r>
          </w:p>
        </w:tc>
        <w:tc>
          <w:tcPr>
            <w:tcW w:w="16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w:t>
            </w:r>
          </w:p>
        </w:tc>
      </w:tr>
    </w:tbl>
    <w:p w:rsidR="00A301A2" w:rsidRDefault="0002678C">
      <w:pPr>
        <w:spacing w:before="60" w:after="180"/>
        <w:rPr>
          <w:rFonts w:ascii="Times New Roman" w:eastAsia="Times New Roman" w:hAnsi="Times New Roman" w:cs="Times New Roman"/>
          <w:sz w:val="20"/>
          <w:szCs w:val="20"/>
        </w:rPr>
      </w:pPr>
      <w:r>
        <w:rPr>
          <w:rFonts w:ascii="Cardo" w:eastAsia="Cardo" w:hAnsi="Cardo" w:cs="Cardo"/>
          <w:sz w:val="20"/>
          <w:szCs w:val="20"/>
        </w:rPr>
        <w:t>Note. α = Cronbach’s alpha. Status: Acceptable ≥ .70; Good ≥ .80; Excellent ≥ .90 (Nunnally, 1978).</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8" w:name="_v0pofnszs77n" w:colFirst="0" w:colLast="0"/>
      <w:bookmarkEnd w:id="28"/>
      <w:r>
        <w:rPr>
          <w:rFonts w:ascii="Times New Roman" w:eastAsia="Times New Roman" w:hAnsi="Times New Roman" w:cs="Times New Roman"/>
          <w:b/>
          <w:bCs/>
          <w:sz w:val="20"/>
          <w:szCs w:val="20"/>
        </w:rPr>
        <w:t>5.3 Normality Testing  Shapiro–Wilk Tests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Shapiro Wilk tests were conducted on all constructs and gap distributions. All seven distributions showed statistically significant departures from normality (all W &lt; 0.95, all p &lt; .001), confirming H4. Table 5 presents the results. The non-normality of Li</w:t>
      </w:r>
      <w:r>
        <w:rPr>
          <w:rFonts w:ascii="Times New Roman" w:eastAsia="Times New Roman" w:hAnsi="Times New Roman" w:cs="Times New Roman"/>
          <w:sz w:val="20"/>
          <w:szCs w:val="20"/>
        </w:rPr>
        <w:t>kert-based construct means at N = 96 is consistent with the literature on educational perception data (Norman, 2010). Given that parametric tests are relatively robust to moderate non-normality with near-balanced groups (Field, 2018), and that the sample s</w:t>
      </w:r>
      <w:r>
        <w:rPr>
          <w:rFonts w:ascii="Times New Roman" w:eastAsia="Times New Roman" w:hAnsi="Times New Roman" w:cs="Times New Roman"/>
          <w:sz w:val="20"/>
          <w:szCs w:val="20"/>
        </w:rPr>
        <w:t>ize exceeds n = 30 per group, the study proceeds with parametric analyses while noting this limitation.</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5</w:t>
      </w:r>
      <w:r>
        <w:rPr>
          <w:rFonts w:ascii="Times New Roman" w:eastAsia="Times New Roman" w:hAnsi="Times New Roman" w:cs="Times New Roman"/>
          <w:sz w:val="20"/>
          <w:szCs w:val="20"/>
        </w:rPr>
        <w:t xml:space="preserve"> Shapiro–Wilk Normality Tests for Constructs and Gap Scores (N = 96)</w:t>
      </w:r>
    </w:p>
    <w:tbl>
      <w:tblPr>
        <w:tblStyle w:val="a3"/>
        <w:tblW w:w="900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2280"/>
        <w:gridCol w:w="1485"/>
        <w:gridCol w:w="1125"/>
        <w:gridCol w:w="1155"/>
        <w:gridCol w:w="2955"/>
      </w:tblGrid>
      <w:tr w:rsidR="00A301A2">
        <w:trPr>
          <w:trHeight w:val="450"/>
        </w:trPr>
        <w:tc>
          <w:tcPr>
            <w:tcW w:w="228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Variable</w:t>
            </w:r>
          </w:p>
        </w:tc>
        <w:tc>
          <w:tcPr>
            <w:tcW w:w="148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 Statistic</w:t>
            </w:r>
          </w:p>
        </w:tc>
        <w:tc>
          <w:tcPr>
            <w:tcW w:w="112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p-value</w:t>
            </w:r>
          </w:p>
        </w:tc>
        <w:tc>
          <w:tcPr>
            <w:tcW w:w="115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Result</w:t>
            </w:r>
          </w:p>
        </w:tc>
        <w:tc>
          <w:tcPr>
            <w:tcW w:w="295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0.9209</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0.9265</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0.9124</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0.9382</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Promise Gap</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0.9453</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 Gap</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0.9257</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r w:rsidR="00A301A2">
        <w:trPr>
          <w:trHeight w:val="675"/>
        </w:trPr>
        <w:tc>
          <w:tcPr>
            <w:tcW w:w="228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Doubt-Solving Gap</w:t>
            </w:r>
          </w:p>
        </w:tc>
        <w:tc>
          <w:tcPr>
            <w:tcW w:w="14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0.9169</w:t>
            </w:r>
          </w:p>
        </w:tc>
        <w:tc>
          <w:tcPr>
            <w:tcW w:w="112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1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Non-normal</w:t>
            </w:r>
          </w:p>
        </w:tc>
        <w:tc>
          <w:tcPr>
            <w:tcW w:w="29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Parametric tests used with caution</w:t>
            </w:r>
          </w:p>
        </w:tc>
      </w:tr>
    </w:tbl>
    <w:p w:rsidR="00A301A2" w:rsidRDefault="0002678C">
      <w:pPr>
        <w:spacing w:before="60" w:after="180"/>
        <w:rPr>
          <w:rFonts w:ascii="Times New Roman" w:eastAsia="Times New Roman" w:hAnsi="Times New Roman" w:cs="Times New Roman"/>
          <w:sz w:val="20"/>
          <w:szCs w:val="20"/>
        </w:rPr>
      </w:pPr>
      <w:r>
        <w:rPr>
          <w:rFonts w:ascii="Times New Roman" w:eastAsia="Times New Roman" w:hAnsi="Times New Roman" w:cs="Times New Roman"/>
          <w:sz w:val="20"/>
          <w:szCs w:val="20"/>
        </w:rPr>
        <w:t>Note. H₀: Data are normally distributed. Rejection at p &lt; .05 indicates significant departure from normality.</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29" w:name="_o6zzw3cf3own" w:colFirst="0" w:colLast="0"/>
      <w:bookmarkEnd w:id="29"/>
      <w:r>
        <w:rPr>
          <w:rFonts w:ascii="Times New Roman" w:eastAsia="Times New Roman" w:hAnsi="Times New Roman" w:cs="Times New Roman"/>
          <w:b/>
          <w:bCs/>
          <w:sz w:val="20"/>
          <w:szCs w:val="20"/>
        </w:rPr>
        <w:t>5.4 Inferential Analysis I  One-Sample t-Tests on Gap Scores (H1)</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t xml:space="preserve">One-sample t-tests were conducted for each gap dimension against a test value of zero. Table 6 presents the results. All three gap scores were significantly different from zero (all p ≤ .001), confirming H1. The 95% confidence intervals for all three gaps </w:t>
      </w:r>
      <w:r>
        <w:rPr>
          <w:rFonts w:ascii="Gungsuh" w:eastAsia="Gungsuh" w:hAnsi="Gungsuh" w:cs="Gungsuh"/>
          <w:sz w:val="20"/>
          <w:szCs w:val="20"/>
        </w:rPr>
        <w:t>exclude zero, providing strong statistical evidence that systematic underdelivery is a population-level characteristic.</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Table 6</w:t>
      </w:r>
      <w:r>
        <w:rPr>
          <w:rFonts w:ascii="Times New Roman" w:eastAsia="Times New Roman" w:hAnsi="Times New Roman" w:cs="Times New Roman"/>
          <w:sz w:val="20"/>
          <w:szCs w:val="20"/>
        </w:rPr>
        <w:t xml:space="preserve"> One-Sample t-Tests: Gap Scores vs. Zero (H₀: Gap = 0, N = 96)</w:t>
      </w:r>
    </w:p>
    <w:tbl>
      <w:tblPr>
        <w:tblStyle w:val="a4"/>
        <w:tblW w:w="901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710"/>
        <w:gridCol w:w="990"/>
        <w:gridCol w:w="915"/>
        <w:gridCol w:w="990"/>
        <w:gridCol w:w="705"/>
        <w:gridCol w:w="840"/>
        <w:gridCol w:w="1500"/>
        <w:gridCol w:w="1365"/>
      </w:tblGrid>
      <w:tr w:rsidR="00A301A2">
        <w:trPr>
          <w:trHeight w:val="720"/>
        </w:trPr>
        <w:tc>
          <w:tcPr>
            <w:tcW w:w="171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Gap Dimension</w:t>
            </w:r>
          </w:p>
        </w:tc>
        <w:tc>
          <w:tcPr>
            <w:tcW w:w="99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w:t>
            </w:r>
          </w:p>
        </w:tc>
        <w:tc>
          <w:tcPr>
            <w:tcW w:w="91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99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p>
        </w:tc>
        <w:tc>
          <w:tcPr>
            <w:tcW w:w="70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df</w:t>
            </w:r>
          </w:p>
        </w:tc>
        <w:tc>
          <w:tcPr>
            <w:tcW w:w="84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w:t>
            </w:r>
          </w:p>
        </w:tc>
        <w:tc>
          <w:tcPr>
            <w:tcW w:w="150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c>
          <w:tcPr>
            <w:tcW w:w="136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Decision</w:t>
            </w:r>
          </w:p>
        </w:tc>
      </w:tr>
      <w:tr w:rsidR="00A301A2">
        <w:trPr>
          <w:trHeight w:val="675"/>
        </w:trPr>
        <w:tc>
          <w:tcPr>
            <w:tcW w:w="17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Promise Gap</w:t>
            </w:r>
          </w:p>
        </w:tc>
        <w:tc>
          <w:tcPr>
            <w:tcW w:w="99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0.667</w:t>
            </w:r>
          </w:p>
        </w:tc>
        <w:tc>
          <w:tcPr>
            <w:tcW w:w="91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1.845</w:t>
            </w:r>
          </w:p>
        </w:tc>
        <w:tc>
          <w:tcPr>
            <w:tcW w:w="99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3.541</w:t>
            </w:r>
          </w:p>
        </w:tc>
        <w:tc>
          <w:tcPr>
            <w:tcW w:w="7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4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50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[−1.041, −0.293]</w:t>
            </w:r>
          </w:p>
        </w:tc>
        <w:tc>
          <w:tcPr>
            <w:tcW w:w="13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Reject H₀ </w:t>
            </w:r>
            <w:r>
              <w:rPr>
                <w:rFonts w:ascii="Times New Roman" w:eastAsia="Times New Roman" w:hAnsi="Times New Roman" w:cs="Times New Roman"/>
                <w:b/>
                <w:bCs/>
                <w:color w:val="B00020"/>
                <w:sz w:val="20"/>
                <w:szCs w:val="20"/>
              </w:rPr>
              <w:t>***</w:t>
            </w:r>
          </w:p>
        </w:tc>
      </w:tr>
      <w:tr w:rsidR="00A301A2">
        <w:trPr>
          <w:trHeight w:val="675"/>
        </w:trPr>
        <w:tc>
          <w:tcPr>
            <w:tcW w:w="17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 Gap</w:t>
            </w:r>
          </w:p>
        </w:tc>
        <w:tc>
          <w:tcPr>
            <w:tcW w:w="99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0.604</w:t>
            </w:r>
          </w:p>
        </w:tc>
        <w:tc>
          <w:tcPr>
            <w:tcW w:w="91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1.593</w:t>
            </w:r>
          </w:p>
        </w:tc>
        <w:tc>
          <w:tcPr>
            <w:tcW w:w="99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3.717</w:t>
            </w:r>
          </w:p>
        </w:tc>
        <w:tc>
          <w:tcPr>
            <w:tcW w:w="7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4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50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[−0.927, −0.282]</w:t>
            </w:r>
          </w:p>
        </w:tc>
        <w:tc>
          <w:tcPr>
            <w:tcW w:w="13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Reject H₀ </w:t>
            </w:r>
            <w:r>
              <w:rPr>
                <w:rFonts w:ascii="Times New Roman" w:eastAsia="Times New Roman" w:hAnsi="Times New Roman" w:cs="Times New Roman"/>
                <w:b/>
                <w:bCs/>
                <w:color w:val="B00020"/>
                <w:sz w:val="20"/>
                <w:szCs w:val="20"/>
              </w:rPr>
              <w:t>***</w:t>
            </w:r>
          </w:p>
        </w:tc>
      </w:tr>
      <w:tr w:rsidR="00A301A2">
        <w:trPr>
          <w:trHeight w:val="675"/>
        </w:trPr>
        <w:tc>
          <w:tcPr>
            <w:tcW w:w="171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Doubt-Solving Gap</w:t>
            </w:r>
          </w:p>
        </w:tc>
        <w:tc>
          <w:tcPr>
            <w:tcW w:w="99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0.635</w:t>
            </w:r>
          </w:p>
        </w:tc>
        <w:tc>
          <w:tcPr>
            <w:tcW w:w="91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1.864</w:t>
            </w:r>
          </w:p>
        </w:tc>
        <w:tc>
          <w:tcPr>
            <w:tcW w:w="99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3.339</w:t>
            </w:r>
          </w:p>
        </w:tc>
        <w:tc>
          <w:tcPr>
            <w:tcW w:w="7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4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50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[−1.013, −0.258]</w:t>
            </w:r>
          </w:p>
        </w:tc>
        <w:tc>
          <w:tcPr>
            <w:tcW w:w="136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Reject H₀ </w:t>
            </w:r>
            <w:r>
              <w:rPr>
                <w:rFonts w:ascii="Times New Roman" w:eastAsia="Times New Roman" w:hAnsi="Times New Roman" w:cs="Times New Roman"/>
                <w:b/>
                <w:bCs/>
                <w:color w:val="B00020"/>
                <w:sz w:val="20"/>
                <w:szCs w:val="20"/>
              </w:rPr>
              <w:t>**</w:t>
            </w:r>
          </w:p>
        </w:tc>
      </w:tr>
    </w:tbl>
    <w:p w:rsidR="00A301A2" w:rsidRDefault="0002678C">
      <w:pPr>
        <w:spacing w:before="60" w:after="180"/>
        <w:rPr>
          <w:rFonts w:ascii="Times New Roman" w:eastAsia="Times New Roman" w:hAnsi="Times New Roman" w:cs="Times New Roman"/>
          <w:sz w:val="20"/>
          <w:szCs w:val="20"/>
        </w:rPr>
      </w:pPr>
      <w:r>
        <w:rPr>
          <w:rFonts w:ascii="Caudex" w:eastAsia="Caudex" w:hAnsi="Caudex" w:cs="Caudex"/>
          <w:sz w:val="20"/>
          <w:szCs w:val="20"/>
        </w:rPr>
        <w:t>Note. ** p &lt;</w:t>
      </w:r>
      <w:r>
        <w:rPr>
          <w:rFonts w:ascii="Caudex" w:eastAsia="Caudex" w:hAnsi="Caudex" w:cs="Caudex"/>
          <w:sz w:val="20"/>
          <w:szCs w:val="20"/>
        </w:rPr>
        <w:t xml:space="preserve"> .01. *** p &lt; .001. Two-tailed. H₀: Gap = 0; Hₐ: Gap ≠ 0. Negative M indicates experience fell below expectation.</w:t>
      </w: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731200" cy="318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3187700"/>
                    </a:xfrm>
                    <a:prstGeom prst="rect">
                      <a:avLst/>
                    </a:prstGeom>
                    <a:ln/>
                  </pic:spPr>
                </pic:pic>
              </a:graphicData>
            </a:graphic>
          </wp:inline>
        </w:drawing>
      </w:r>
      <w:r>
        <w:rPr>
          <w:rFonts w:ascii="Times New Roman" w:eastAsia="Times New Roman" w:hAnsi="Times New Roman" w:cs="Times New Roman"/>
          <w:b/>
          <w:bCs/>
          <w:sz w:val="20"/>
          <w:szCs w:val="20"/>
        </w:rPr>
        <w:t xml:space="preserve">Figure 1. </w:t>
      </w:r>
      <w:r>
        <w:rPr>
          <w:rFonts w:ascii="Gungsuh" w:eastAsia="Gungsuh" w:hAnsi="Gungsuh" w:cs="Gungsuh"/>
          <w:sz w:val="20"/>
          <w:szCs w:val="20"/>
        </w:rPr>
        <w:t>Expectation–Experience Gap Analysis by Service Dimension (N = 96). All gap scores statistically significant (p ≤ .001).</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0" w:name="_u8f9hzj4pdh7" w:colFirst="0" w:colLast="0"/>
      <w:bookmarkEnd w:id="30"/>
      <w:r>
        <w:rPr>
          <w:rFonts w:ascii="Times New Roman" w:eastAsia="Times New Roman" w:hAnsi="Times New Roman" w:cs="Times New Roman"/>
          <w:b/>
          <w:bCs/>
          <w:sz w:val="20"/>
          <w:szCs w:val="20"/>
        </w:rPr>
        <w:t>5.5 Inferen</w:t>
      </w:r>
      <w:r>
        <w:rPr>
          <w:rFonts w:ascii="Times New Roman" w:eastAsia="Times New Roman" w:hAnsi="Times New Roman" w:cs="Times New Roman"/>
          <w:b/>
          <w:bCs/>
          <w:sz w:val="20"/>
          <w:szCs w:val="20"/>
        </w:rPr>
        <w:t>tial Analysis II - One-Way ANOVA by Coaching Mode (H2, H3)</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One-way ANOVAs were conducted to test H2 and H3. Tables 7 and 8 present omnibus F-test results and Bonferroni-corrected pairwise comparisons, respectively. All four ANOVA omnibus tests were signifi</w:t>
      </w:r>
      <w:r>
        <w:rPr>
          <w:rFonts w:ascii="Times New Roman" w:eastAsia="Times New Roman" w:hAnsi="Times New Roman" w:cs="Times New Roman"/>
          <w:sz w:val="20"/>
          <w:szCs w:val="20"/>
        </w:rPr>
        <w:t>cant (all p &lt; .01), with medium-to-large effect sizes (η² = 0.103–0.121). Post-hoc tests confirmed that hybrid students scored significantly higher than both online and offline students on all four constructs (all pairwise p &lt; .008), while online and offli</w:t>
      </w:r>
      <w:r>
        <w:rPr>
          <w:rFonts w:ascii="Times New Roman" w:eastAsia="Times New Roman" w:hAnsi="Times New Roman" w:cs="Times New Roman"/>
          <w:sz w:val="20"/>
          <w:szCs w:val="20"/>
        </w:rPr>
        <w:t xml:space="preserve">ne students did not differ significantly from each other (all p &gt; .15).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Table 7 </w:t>
      </w:r>
      <w:r>
        <w:rPr>
          <w:rFonts w:ascii="Times New Roman" w:eastAsia="Times New Roman" w:hAnsi="Times New Roman" w:cs="Times New Roman"/>
          <w:sz w:val="20"/>
          <w:szCs w:val="20"/>
        </w:rPr>
        <w:t>One-Way ANOVA: Construct Means by Coaching Mode (N = 96)</w:t>
      </w:r>
    </w:p>
    <w:tbl>
      <w:tblPr>
        <w:tblStyle w:val="a5"/>
        <w:tblW w:w="901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950"/>
        <w:gridCol w:w="1170"/>
        <w:gridCol w:w="1185"/>
        <w:gridCol w:w="1185"/>
        <w:gridCol w:w="1335"/>
        <w:gridCol w:w="960"/>
        <w:gridCol w:w="1230"/>
      </w:tblGrid>
      <w:tr w:rsidR="00A301A2">
        <w:trPr>
          <w:trHeight w:val="990"/>
        </w:trPr>
        <w:tc>
          <w:tcPr>
            <w:tcW w:w="195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Construct</w:t>
            </w:r>
          </w:p>
        </w:tc>
        <w:tc>
          <w:tcPr>
            <w:tcW w:w="117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Online M (n=15)</w:t>
            </w:r>
          </w:p>
        </w:tc>
        <w:tc>
          <w:tcPr>
            <w:tcW w:w="118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Offline M (n=66)</w:t>
            </w:r>
          </w:p>
        </w:tc>
        <w:tc>
          <w:tcPr>
            <w:tcW w:w="118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Hybrid M (n=15)</w:t>
            </w:r>
          </w:p>
        </w:tc>
        <w:tc>
          <w:tcPr>
            <w:tcW w:w="133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F(2,93)</w:t>
            </w:r>
          </w:p>
        </w:tc>
        <w:tc>
          <w:tcPr>
            <w:tcW w:w="96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w:t>
            </w:r>
          </w:p>
        </w:tc>
        <w:tc>
          <w:tcPr>
            <w:tcW w:w="123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η² (est.)</w:t>
            </w:r>
          </w:p>
        </w:tc>
      </w:tr>
      <w:tr w:rsidR="00A301A2">
        <w:trPr>
          <w:trHeight w:val="675"/>
        </w:trPr>
        <w:tc>
          <w:tcPr>
            <w:tcW w:w="195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11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3.367</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3.902</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5.400</w:t>
            </w:r>
          </w:p>
        </w:tc>
        <w:tc>
          <w:tcPr>
            <w:tcW w:w="133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5.327</w:t>
            </w:r>
          </w:p>
        </w:tc>
        <w:tc>
          <w:tcPr>
            <w:tcW w:w="96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.006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r>
      <w:tr w:rsidR="00A301A2">
        <w:trPr>
          <w:trHeight w:val="675"/>
        </w:trPr>
        <w:tc>
          <w:tcPr>
            <w:tcW w:w="195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11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3.600</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4.273</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5.733</w:t>
            </w:r>
          </w:p>
        </w:tc>
        <w:tc>
          <w:tcPr>
            <w:tcW w:w="133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6.380</w:t>
            </w:r>
          </w:p>
        </w:tc>
        <w:tc>
          <w:tcPr>
            <w:tcW w:w="96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.003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0.121</w:t>
            </w:r>
          </w:p>
        </w:tc>
      </w:tr>
      <w:tr w:rsidR="00A301A2">
        <w:trPr>
          <w:trHeight w:val="675"/>
        </w:trPr>
        <w:tc>
          <w:tcPr>
            <w:tcW w:w="195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11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3.167</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3.939</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5.433</w:t>
            </w:r>
          </w:p>
        </w:tc>
        <w:tc>
          <w:tcPr>
            <w:tcW w:w="133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5.952</w:t>
            </w:r>
          </w:p>
        </w:tc>
        <w:tc>
          <w:tcPr>
            <w:tcW w:w="96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.004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0.114</w:t>
            </w:r>
          </w:p>
        </w:tc>
      </w:tr>
      <w:tr w:rsidR="00A301A2">
        <w:trPr>
          <w:trHeight w:val="675"/>
        </w:trPr>
        <w:tc>
          <w:tcPr>
            <w:tcW w:w="195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11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3.500</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4.280</w:t>
            </w:r>
          </w:p>
        </w:tc>
        <w:tc>
          <w:tcPr>
            <w:tcW w:w="118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5.567</w:t>
            </w:r>
          </w:p>
        </w:tc>
        <w:tc>
          <w:tcPr>
            <w:tcW w:w="133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6.331</w:t>
            </w:r>
          </w:p>
        </w:tc>
        <w:tc>
          <w:tcPr>
            <w:tcW w:w="96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.003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0.120</w:t>
            </w:r>
          </w:p>
        </w:tc>
      </w:tr>
    </w:tbl>
    <w:p w:rsidR="00A301A2" w:rsidRDefault="0002678C">
      <w:pPr>
        <w:spacing w:before="60" w:after="180"/>
        <w:rPr>
          <w:rFonts w:ascii="Times New Roman" w:eastAsia="Times New Roman" w:hAnsi="Times New Roman" w:cs="Times New Roman"/>
          <w:sz w:val="20"/>
          <w:szCs w:val="20"/>
        </w:rPr>
      </w:pPr>
      <w:r>
        <w:rPr>
          <w:rFonts w:ascii="Cardo" w:eastAsia="Cardo" w:hAnsi="Cardo" w:cs="Cardo"/>
          <w:sz w:val="20"/>
          <w:szCs w:val="20"/>
        </w:rPr>
        <w:t>Note. ** p &lt;</w:t>
      </w:r>
      <w:r>
        <w:rPr>
          <w:rFonts w:ascii="Cardo" w:eastAsia="Cardo" w:hAnsi="Cardo" w:cs="Cardo"/>
          <w:sz w:val="20"/>
          <w:szCs w:val="20"/>
        </w:rPr>
        <w:t xml:space="preserve"> .01. η² = partial eta-squared. Interpretation: ≥ .01 small; ≥ .06 medium; ≥ .14 large (Cohen, 1988).</w:t>
      </w:r>
    </w:p>
    <w:p w:rsidR="00A301A2" w:rsidRDefault="0002678C">
      <w:pPr>
        <w:spacing w:before="60" w:after="1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301A2" w:rsidRDefault="0002678C">
      <w:pPr>
        <w:spacing w:before="200" w:after="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8</w:t>
      </w:r>
      <w:r>
        <w:rPr>
          <w:rFonts w:ascii="Times New Roman" w:eastAsia="Times New Roman" w:hAnsi="Times New Roman" w:cs="Times New Roman"/>
          <w:sz w:val="20"/>
          <w:szCs w:val="20"/>
        </w:rPr>
        <w:t xml:space="preserve"> Post-Hoc Pairwise Comparisons (Bonferroni Corrected α = .017)</w:t>
      </w:r>
    </w:p>
    <w:tbl>
      <w:tblPr>
        <w:tblStyle w:val="a6"/>
        <w:tblW w:w="901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2100"/>
        <w:gridCol w:w="2355"/>
        <w:gridCol w:w="2355"/>
        <w:gridCol w:w="2205"/>
      </w:tblGrid>
      <w:tr w:rsidR="00A301A2">
        <w:trPr>
          <w:trHeight w:val="450"/>
        </w:trPr>
        <w:tc>
          <w:tcPr>
            <w:tcW w:w="210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Construct</w:t>
            </w:r>
          </w:p>
        </w:tc>
        <w:tc>
          <w:tcPr>
            <w:tcW w:w="235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Online vs Offline</w:t>
            </w:r>
          </w:p>
        </w:tc>
        <w:tc>
          <w:tcPr>
            <w:tcW w:w="235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Online vs Hybrid</w:t>
            </w:r>
          </w:p>
        </w:tc>
        <w:tc>
          <w:tcPr>
            <w:tcW w:w="220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Offline vs Hybrid</w:t>
            </w:r>
          </w:p>
        </w:tc>
      </w:tr>
      <w:tr w:rsidR="00A301A2">
        <w:trPr>
          <w:trHeight w:val="675"/>
        </w:trPr>
        <w:tc>
          <w:tcPr>
            <w:tcW w:w="210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Credibility</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−0.989, p = .334 ns</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−3.042, p = .005 **</w:t>
            </w:r>
          </w:p>
        </w:tc>
        <w:tc>
          <w:tcPr>
            <w:tcW w:w="22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−2.961, p = .007 **</w:t>
            </w:r>
          </w:p>
        </w:tc>
      </w:tr>
      <w:tr w:rsidR="00A301A2">
        <w:trPr>
          <w:trHeight w:val="675"/>
        </w:trPr>
        <w:tc>
          <w:tcPr>
            <w:tcW w:w="210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−1.271, p = .218 ns</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−3.593, p = .001 **</w:t>
            </w:r>
          </w:p>
        </w:tc>
        <w:tc>
          <w:tcPr>
            <w:tcW w:w="22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−3.597, p = .001 **</w:t>
            </w:r>
          </w:p>
        </w:tc>
      </w:tr>
      <w:tr w:rsidR="00A301A2">
        <w:trPr>
          <w:trHeight w:val="675"/>
        </w:trPr>
        <w:tc>
          <w:tcPr>
            <w:tcW w:w="210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Satisfaction</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−1.318, p = .203 ns</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−3.264, p = .003 **</w:t>
            </w:r>
          </w:p>
        </w:tc>
        <w:tc>
          <w:tcPr>
            <w:tcW w:w="22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−3.039, p = .006 **</w:t>
            </w:r>
          </w:p>
        </w:tc>
      </w:tr>
      <w:tr w:rsidR="00A301A2">
        <w:trPr>
          <w:trHeight w:val="675"/>
        </w:trPr>
        <w:tc>
          <w:tcPr>
            <w:tcW w:w="210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Career Readiness</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−1.467, p = .159 ns</w:t>
            </w:r>
          </w:p>
        </w:tc>
        <w:tc>
          <w:tcPr>
            <w:tcW w:w="235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−3.269, p = .003 **</w:t>
            </w:r>
          </w:p>
        </w:tc>
        <w:tc>
          <w:tcPr>
            <w:tcW w:w="22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t = −2.936, p = .008 **</w:t>
            </w:r>
          </w:p>
        </w:tc>
      </w:tr>
    </w:tbl>
    <w:p w:rsidR="00A301A2" w:rsidRDefault="0002678C">
      <w:pPr>
        <w:spacing w:before="60" w:after="180"/>
        <w:rPr>
          <w:rFonts w:ascii="Times New Roman" w:eastAsia="Times New Roman" w:hAnsi="Times New Roman" w:cs="Times New Roman"/>
          <w:sz w:val="20"/>
          <w:szCs w:val="20"/>
        </w:rPr>
      </w:pPr>
      <w:r>
        <w:rPr>
          <w:rFonts w:ascii="Times New Roman" w:eastAsia="Times New Roman" w:hAnsi="Times New Roman" w:cs="Times New Roman"/>
          <w:sz w:val="20"/>
          <w:szCs w:val="20"/>
        </w:rPr>
        <w:t>Note. ** p &lt; .017 (Bonferroni corrected). ns = not significant. Welch’s t-test used for unequal group sizes.</w:t>
      </w: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114300" distB="114300" distL="114300" distR="114300">
            <wp:extent cx="5731200" cy="3175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3175000"/>
                    </a:xfrm>
                    <a:prstGeom prst="rect">
                      <a:avLst/>
                    </a:prstGeom>
                    <a:ln/>
                  </pic:spPr>
                </pic:pic>
              </a:graphicData>
            </a:graphic>
          </wp:inline>
        </w:drawing>
      </w:r>
    </w:p>
    <w:p w:rsidR="00A301A2" w:rsidRDefault="0002678C">
      <w:pPr>
        <w:spacing w:before="80" w:after="20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Figure 2. </w:t>
      </w:r>
      <w:r>
        <w:rPr>
          <w:rFonts w:ascii="Times New Roman" w:eastAsia="Times New Roman" w:hAnsi="Times New Roman" w:cs="Times New Roman"/>
          <w:sz w:val="20"/>
          <w:szCs w:val="20"/>
        </w:rPr>
        <w:t>Construct Means by Coaching Mode ANOVA Results (N = 96). ** Hybrid significantly higher than Online and Offline (Bonferroni-corrected p &lt; .017 on all constructs).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1" w:name="_yt1bay9lsx2b" w:colFirst="0" w:colLast="0"/>
      <w:bookmarkEnd w:id="31"/>
      <w:r>
        <w:rPr>
          <w:rFonts w:ascii="Times New Roman" w:eastAsia="Times New Roman" w:hAnsi="Times New Roman" w:cs="Times New Roman"/>
          <w:b/>
          <w:bCs/>
          <w:sz w:val="20"/>
          <w:szCs w:val="20"/>
        </w:rPr>
        <w:t>5.6 Chi-Square Test  Mode vs. Enrollment Status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chi-square test of independence indicated n</w:t>
      </w:r>
      <w:r>
        <w:rPr>
          <w:rFonts w:ascii="Times New Roman" w:eastAsia="Times New Roman" w:hAnsi="Times New Roman" w:cs="Times New Roman"/>
          <w:sz w:val="20"/>
          <w:szCs w:val="20"/>
        </w:rPr>
        <w:t>o significant association between coaching mode and enrollment status (χ²(2) = 0.835, p = .659), confirming that the three mode groups were compositionally comparable and ruling out enrollment status as a confound in the ANOVA comparisons.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2" w:name="_wo44b43bxiba" w:colFirst="0" w:colLast="0"/>
      <w:bookmarkEnd w:id="32"/>
      <w:r>
        <w:rPr>
          <w:rFonts w:ascii="Times New Roman" w:eastAsia="Times New Roman" w:hAnsi="Times New Roman" w:cs="Times New Roman"/>
          <w:b/>
          <w:bCs/>
          <w:sz w:val="20"/>
          <w:szCs w:val="20"/>
        </w:rPr>
        <w:t>5.7 Expectation–</w:t>
      </w:r>
      <w:r>
        <w:rPr>
          <w:rFonts w:ascii="Times New Roman" w:eastAsia="Times New Roman" w:hAnsi="Times New Roman" w:cs="Times New Roman"/>
          <w:b/>
          <w:bCs/>
          <w:sz w:val="20"/>
          <w:szCs w:val="20"/>
        </w:rPr>
        <w:t>Experience Gap Summary</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8 consolidates the full gap analysis with inferential results for the three paired dimensions. All three gaps were statistically significant and in the negative direction.</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spacing w:before="100" w:after="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Table 8</w:t>
      </w:r>
      <w:r>
        <w:rPr>
          <w:rFonts w:ascii="Times New Roman" w:eastAsia="Times New Roman" w:hAnsi="Times New Roman" w:cs="Times New Roman"/>
          <w:sz w:val="20"/>
          <w:szCs w:val="20"/>
        </w:rPr>
        <w:t xml:space="preserve"> Expectation–Experience Gap Scores by Dimension (N = 96)</w:t>
      </w:r>
    </w:p>
    <w:tbl>
      <w:tblPr>
        <w:tblStyle w:val="a7"/>
        <w:tblW w:w="898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530"/>
        <w:gridCol w:w="1530"/>
        <w:gridCol w:w="1470"/>
        <w:gridCol w:w="1020"/>
        <w:gridCol w:w="1305"/>
        <w:gridCol w:w="900"/>
        <w:gridCol w:w="1230"/>
      </w:tblGrid>
      <w:tr w:rsidR="00A301A2">
        <w:trPr>
          <w:trHeight w:val="720"/>
        </w:trPr>
        <w:tc>
          <w:tcPr>
            <w:tcW w:w="1530" w:type="dxa"/>
            <w:tcBorders>
              <w:top w:val="single" w:sz="6" w:space="0" w:color="000000"/>
              <w:left w:val="single" w:sz="6" w:space="0" w:color="000000"/>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53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Expectation M</w:t>
            </w:r>
          </w:p>
        </w:tc>
        <w:tc>
          <w:tcPr>
            <w:tcW w:w="147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Experience M</w:t>
            </w:r>
          </w:p>
        </w:tc>
        <w:tc>
          <w:tcPr>
            <w:tcW w:w="102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Gap Score</w:t>
            </w:r>
          </w:p>
        </w:tc>
        <w:tc>
          <w:tcPr>
            <w:tcW w:w="1305"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c>
          <w:tcPr>
            <w:tcW w:w="90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p-value</w:t>
            </w:r>
          </w:p>
        </w:tc>
        <w:tc>
          <w:tcPr>
            <w:tcW w:w="1230" w:type="dxa"/>
            <w:tcBorders>
              <w:top w:val="single" w:sz="6" w:space="0" w:color="000000"/>
              <w:left w:val="nil"/>
              <w:bottom w:val="single" w:sz="6" w:space="0" w:color="000000"/>
              <w:right w:val="single" w:sz="6" w:space="0" w:color="000000"/>
            </w:tcBorders>
            <w:shd w:val="clear" w:color="auto" w:fill="D9E1F2"/>
            <w:tcMar>
              <w:top w:w="80" w:type="dxa"/>
              <w:left w:w="120" w:type="dxa"/>
              <w:bottom w:w="80" w:type="dxa"/>
              <w:right w:w="120" w:type="dxa"/>
            </w:tcMar>
          </w:tcPr>
          <w:p w:rsidR="00A301A2" w:rsidRDefault="0002678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Direction</w:t>
            </w:r>
          </w:p>
        </w:tc>
      </w:tr>
      <w:tr w:rsidR="00A301A2">
        <w:trPr>
          <w:trHeight w:val="675"/>
        </w:trPr>
        <w:tc>
          <w:tcPr>
            <w:tcW w:w="153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Brand Promise</w:t>
            </w:r>
          </w:p>
        </w:tc>
        <w:tc>
          <w:tcPr>
            <w:tcW w:w="15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4.83 (Q10)</w:t>
            </w:r>
          </w:p>
        </w:tc>
        <w:tc>
          <w:tcPr>
            <w:tcW w:w="14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 (Q11)</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0.667</w:t>
            </w:r>
          </w:p>
        </w:tc>
        <w:tc>
          <w:tcPr>
            <w:tcW w:w="13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[−1.041, −0.293]</w:t>
            </w:r>
          </w:p>
        </w:tc>
        <w:tc>
          <w:tcPr>
            <w:tcW w:w="90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&lt; .001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Shortfall</w:t>
            </w:r>
          </w:p>
        </w:tc>
      </w:tr>
      <w:tr w:rsidR="00A301A2">
        <w:trPr>
          <w:trHeight w:val="675"/>
        </w:trPr>
        <w:tc>
          <w:tcPr>
            <w:tcW w:w="153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 Quality</w:t>
            </w:r>
          </w:p>
        </w:tc>
        <w:tc>
          <w:tcPr>
            <w:tcW w:w="15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5.09 (Q12)</w:t>
            </w:r>
          </w:p>
        </w:tc>
        <w:tc>
          <w:tcPr>
            <w:tcW w:w="14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4.49 (Q13)</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0.604</w:t>
            </w:r>
          </w:p>
        </w:tc>
        <w:tc>
          <w:tcPr>
            <w:tcW w:w="13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[−0.927, −0.282]</w:t>
            </w:r>
          </w:p>
        </w:tc>
        <w:tc>
          <w:tcPr>
            <w:tcW w:w="90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&lt; .001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Shortfall</w:t>
            </w:r>
          </w:p>
        </w:tc>
      </w:tr>
      <w:tr w:rsidR="00A301A2">
        <w:trPr>
          <w:trHeight w:val="945"/>
        </w:trPr>
        <w:tc>
          <w:tcPr>
            <w:tcW w:w="1530" w:type="dxa"/>
            <w:tcBorders>
              <w:top w:val="nil"/>
              <w:left w:val="single" w:sz="6" w:space="0" w:color="000000"/>
              <w:bottom w:val="single" w:sz="6" w:space="0" w:color="000000"/>
              <w:right w:val="single" w:sz="6" w:space="0" w:color="000000"/>
            </w:tcBorders>
            <w:tcMar>
              <w:top w:w="60" w:type="dxa"/>
              <w:left w:w="120" w:type="dxa"/>
              <w:bottom w:w="60" w:type="dxa"/>
              <w:right w:w="120" w:type="dxa"/>
            </w:tcMar>
          </w:tcPr>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Doubt-Solving &amp; Mentorship</w:t>
            </w:r>
          </w:p>
        </w:tc>
        <w:tc>
          <w:tcPr>
            <w:tcW w:w="15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 (Q14)</w:t>
            </w:r>
          </w:p>
        </w:tc>
        <w:tc>
          <w:tcPr>
            <w:tcW w:w="147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4.33 (Q15)</w:t>
            </w:r>
          </w:p>
        </w:tc>
        <w:tc>
          <w:tcPr>
            <w:tcW w:w="102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w:t>
            </w:r>
            <w:r>
              <w:rPr>
                <w:rFonts w:ascii="Gungsuh" w:eastAsia="Gungsuh" w:hAnsi="Gungsuh" w:cs="Gungsuh"/>
                <w:sz w:val="20"/>
                <w:szCs w:val="20"/>
              </w:rPr>
              <w:t>0.635</w:t>
            </w:r>
          </w:p>
        </w:tc>
        <w:tc>
          <w:tcPr>
            <w:tcW w:w="1305"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Gungsuh" w:eastAsia="Gungsuh" w:hAnsi="Gungsuh" w:cs="Gungsuh"/>
                <w:sz w:val="20"/>
                <w:szCs w:val="20"/>
              </w:rPr>
              <w:t>[−1.013, −0.258]</w:t>
            </w:r>
          </w:p>
        </w:tc>
        <w:tc>
          <w:tcPr>
            <w:tcW w:w="90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b/>
                <w:bCs/>
                <w:color w:val="B00020"/>
                <w:sz w:val="20"/>
                <w:szCs w:val="20"/>
              </w:rPr>
            </w:pPr>
            <w:r>
              <w:rPr>
                <w:rFonts w:ascii="Times New Roman" w:eastAsia="Times New Roman" w:hAnsi="Times New Roman" w:cs="Times New Roman"/>
                <w:sz w:val="20"/>
                <w:szCs w:val="20"/>
              </w:rPr>
              <w:t xml:space="preserve">.001 </w:t>
            </w:r>
            <w:r>
              <w:rPr>
                <w:rFonts w:ascii="Times New Roman" w:eastAsia="Times New Roman" w:hAnsi="Times New Roman" w:cs="Times New Roman"/>
                <w:b/>
                <w:bCs/>
                <w:color w:val="B00020"/>
                <w:sz w:val="20"/>
                <w:szCs w:val="20"/>
              </w:rPr>
              <w:t>**</w:t>
            </w:r>
          </w:p>
        </w:tc>
        <w:tc>
          <w:tcPr>
            <w:tcW w:w="1230" w:type="dxa"/>
            <w:tcBorders>
              <w:top w:val="nil"/>
              <w:left w:val="nil"/>
              <w:bottom w:val="single" w:sz="6" w:space="0" w:color="000000"/>
              <w:right w:val="single" w:sz="6" w:space="0" w:color="000000"/>
            </w:tcBorders>
            <w:tcMar>
              <w:top w:w="60" w:type="dxa"/>
              <w:left w:w="120" w:type="dxa"/>
              <w:bottom w:w="60" w:type="dxa"/>
              <w:right w:w="120" w:type="dxa"/>
            </w:tcMar>
          </w:tcPr>
          <w:p w:rsidR="00A301A2" w:rsidRDefault="000267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Shortfall</w:t>
            </w:r>
          </w:p>
        </w:tc>
      </w:tr>
    </w:tbl>
    <w:p w:rsidR="00A301A2" w:rsidRDefault="0002678C">
      <w:pPr>
        <w:spacing w:before="60" w:after="180"/>
        <w:rPr>
          <w:rFonts w:ascii="Times New Roman" w:eastAsia="Times New Roman" w:hAnsi="Times New Roman" w:cs="Times New Roman"/>
          <w:sz w:val="20"/>
          <w:szCs w:val="20"/>
        </w:rPr>
      </w:pPr>
      <w:r>
        <w:rPr>
          <w:rFonts w:ascii="Gungsuh" w:eastAsia="Gungsuh" w:hAnsi="Gungsuh" w:cs="Gungsuh"/>
          <w:sz w:val="20"/>
          <w:szCs w:val="20"/>
        </w:rPr>
        <w:t>Note. ** p &lt; .01. *** p &lt; .001. Gap Score = Experience M − Expectation M. 95% CI from one-sample t-test.</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33" w:name="_39guhiwkrvzi" w:colFirst="0" w:colLast="0"/>
      <w:bookmarkEnd w:id="33"/>
      <w:r>
        <w:rPr>
          <w:rFonts w:ascii="Times New Roman" w:eastAsia="Times New Roman" w:hAnsi="Times New Roman" w:cs="Times New Roman"/>
          <w:b/>
          <w:bCs/>
          <w:sz w:val="20"/>
          <w:szCs w:val="20"/>
        </w:rPr>
        <w:t>6. INFERENCES AND FINDINGS</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34" w:name="_jf1v1o245t7q" w:colFirst="0" w:colLast="0"/>
      <w:bookmarkEnd w:id="34"/>
      <w:r>
        <w:rPr>
          <w:rFonts w:ascii="Times New Roman" w:eastAsia="Times New Roman" w:hAnsi="Times New Roman" w:cs="Times New Roman"/>
          <w:b/>
          <w:bCs/>
          <w:sz w:val="20"/>
          <w:szCs w:val="20"/>
        </w:rPr>
        <w:t>6.1 H1 Confirmed: All Gaps Significantly Negative</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t>One-sample t-tests confirmed that all three expectation–experience gap scores were statistically significantly different from zero (Brand Promise: t(95) = −3.541, p &lt; .001; Teachi</w:t>
      </w:r>
      <w:r>
        <w:rPr>
          <w:rFonts w:ascii="Gungsuh" w:eastAsia="Gungsuh" w:hAnsi="Gungsuh" w:cs="Gungsuh"/>
          <w:sz w:val="20"/>
          <w:szCs w:val="20"/>
        </w:rPr>
        <w:t>ng Quality: t(95) = −3.717, p &lt; .001; Doubt-Solving: t(95) = −3.339, p = .001). The 95% confidence intervals for all three gaps exclude zero, confirming that systematic underdelivery is a population-level characteristic, not a sampling artefact.</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5" w:name="_qa2t83czxp11" w:colFirst="0" w:colLast="0"/>
      <w:bookmarkEnd w:id="35"/>
      <w:r>
        <w:rPr>
          <w:rFonts w:ascii="Times New Roman" w:eastAsia="Times New Roman" w:hAnsi="Times New Roman" w:cs="Times New Roman"/>
          <w:b/>
          <w:bCs/>
          <w:sz w:val="20"/>
          <w:szCs w:val="20"/>
        </w:rPr>
        <w:t>6.2 H2 and</w:t>
      </w:r>
      <w:r>
        <w:rPr>
          <w:rFonts w:ascii="Times New Roman" w:eastAsia="Times New Roman" w:hAnsi="Times New Roman" w:cs="Times New Roman"/>
          <w:b/>
          <w:bCs/>
          <w:sz w:val="20"/>
          <w:szCs w:val="20"/>
        </w:rPr>
        <w:t xml:space="preserve"> H3 Confirmed: Significant Mode Differences with Hybrid Superiority</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ANOVA confirmed significant differences across coaching modes on all four constructs (all F &gt; 5.3, all p &lt; .01, η² = 0.103–0.121). Post-hoc results revealed that the hybrid advantage is sp</w:t>
      </w:r>
      <w:r>
        <w:rPr>
          <w:rFonts w:ascii="Times New Roman" w:eastAsia="Times New Roman" w:hAnsi="Times New Roman" w:cs="Times New Roman"/>
          <w:sz w:val="20"/>
          <w:szCs w:val="20"/>
        </w:rPr>
        <w:t xml:space="preserve">ecific and robust: hybrid students scored significantly higher than both online and offline students on all four constructs, while online and offline students did not differ significantly from each other. This indicates that the key quality distinction in </w:t>
      </w:r>
      <w:r>
        <w:rPr>
          <w:rFonts w:ascii="Times New Roman" w:eastAsia="Times New Roman" w:hAnsi="Times New Roman" w:cs="Times New Roman"/>
          <w:sz w:val="20"/>
          <w:szCs w:val="20"/>
        </w:rPr>
        <w:t>coaching is not online vs. offline, but hybrid vs. non-hybrid.</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6" w:name="_ob1y3k3k6fht" w:colFirst="0" w:colLast="0"/>
      <w:bookmarkEnd w:id="36"/>
      <w:r>
        <w:rPr>
          <w:rFonts w:ascii="Times New Roman" w:eastAsia="Times New Roman" w:hAnsi="Times New Roman" w:cs="Times New Roman"/>
          <w:b/>
          <w:bCs/>
          <w:sz w:val="20"/>
          <w:szCs w:val="20"/>
        </w:rPr>
        <w:t>6.3 H4 Confirmed: Non-Normal Distributions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Shapiro–Wilk tests confirmed significant departures from normality for all seven distributions (all p &lt; .001). Future research should consider non-p</w:t>
      </w:r>
      <w:r>
        <w:rPr>
          <w:rFonts w:ascii="Times New Roman" w:eastAsia="Times New Roman" w:hAnsi="Times New Roman" w:cs="Times New Roman"/>
          <w:sz w:val="20"/>
          <w:szCs w:val="20"/>
        </w:rPr>
        <w:t>arametric alternatives (Kruskal–Wallis, Wilcoxon signed-rank) to provide distribution-free inference.</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7" w:name="_n5wiake79n1g" w:colFirst="0" w:colLast="0"/>
      <w:bookmarkEnd w:id="37"/>
      <w:r>
        <w:rPr>
          <w:rFonts w:ascii="Times New Roman" w:eastAsia="Times New Roman" w:hAnsi="Times New Roman" w:cs="Times New Roman"/>
          <w:b/>
          <w:bCs/>
          <w:sz w:val="20"/>
          <w:szCs w:val="20"/>
        </w:rPr>
        <w:t>6.4 Moderate Perceptions and Subdued Recommendation Intent</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t>Construct means ranging from 4.05 to 4.40 indicate moderate positive perception above neutral b</w:t>
      </w:r>
      <w:r>
        <w:rPr>
          <w:rFonts w:ascii="Gungsuh" w:eastAsia="Gungsuh" w:hAnsi="Gungsuh" w:cs="Gungsuh"/>
          <w:sz w:val="20"/>
          <w:szCs w:val="20"/>
        </w:rPr>
        <w:t>ut well below the high-performance range (≥ 5.5). The below-midpoint recommendation intent (Q8, M = 3.93) is diagnostic of negative disconfirmation, consistent with Oliver’s (1980) Expectancy Disconfirmation Theory.</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38" w:name="_uy1gvjuq7xcv" w:colFirst="0" w:colLast="0"/>
      <w:bookmarkEnd w:id="38"/>
      <w:r>
        <w:rPr>
          <w:rFonts w:ascii="Times New Roman" w:eastAsia="Times New Roman" w:hAnsi="Times New Roman" w:cs="Times New Roman"/>
          <w:b/>
          <w:bCs/>
          <w:sz w:val="20"/>
          <w:szCs w:val="20"/>
        </w:rPr>
        <w:t>7. DISCUSSION</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39" w:name="_ij7sm0l3pshj" w:colFirst="0" w:colLast="0"/>
      <w:bookmarkEnd w:id="39"/>
      <w:r>
        <w:rPr>
          <w:rFonts w:ascii="Times New Roman" w:eastAsia="Times New Roman" w:hAnsi="Times New Roman" w:cs="Times New Roman"/>
          <w:b/>
          <w:bCs/>
          <w:sz w:val="20"/>
          <w:szCs w:val="20"/>
        </w:rPr>
        <w:t>7.1 The Expectation–Experience Gap: Statistical Confirmation</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t xml:space="preserve">Prior studies applying SERVQUAL in educational contexts have typically reported gap scores descriptively without inferential testing (Abili et al., 2012). A key contribution of this study is the </w:t>
      </w:r>
      <w:r>
        <w:rPr>
          <w:rFonts w:ascii="Gungsuh" w:eastAsia="Gungsuh" w:hAnsi="Gungsuh" w:cs="Gungsuh"/>
          <w:sz w:val="20"/>
          <w:szCs w:val="20"/>
        </w:rPr>
        <w:t>inferential confirmation through one-sample t-tests that all three gap scores are statistically significantly different from zero (all p ≤ .001). This advances beyond the observation that coaching centers scored below expectations on average to the stronge</w:t>
      </w:r>
      <w:r>
        <w:rPr>
          <w:rFonts w:ascii="Gungsuh" w:eastAsia="Gungsuh" w:hAnsi="Gungsuh" w:cs="Gungsuh"/>
          <w:sz w:val="20"/>
          <w:szCs w:val="20"/>
        </w:rPr>
        <w:t>r claim that this underdelivery is a systematic, statistically confirmed pattern unlikely to be explained by sampling variability. The pattern aligns precisely with Oliver’s (1980) Expectancy Disconfirmation Theory.</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0" w:name="_7l56jvnwt92m" w:colFirst="0" w:colLast="0"/>
      <w:bookmarkEnd w:id="40"/>
      <w:r>
        <w:rPr>
          <w:rFonts w:ascii="Times New Roman" w:eastAsia="Times New Roman" w:hAnsi="Times New Roman" w:cs="Times New Roman"/>
          <w:b/>
          <w:bCs/>
          <w:sz w:val="20"/>
          <w:szCs w:val="20"/>
        </w:rPr>
        <w:t>7.2 Coaching Mode Differences: ANOVA Evi</w:t>
      </w:r>
      <w:r>
        <w:rPr>
          <w:rFonts w:ascii="Times New Roman" w:eastAsia="Times New Roman" w:hAnsi="Times New Roman" w:cs="Times New Roman"/>
          <w:b/>
          <w:bCs/>
          <w:sz w:val="20"/>
          <w:szCs w:val="20"/>
        </w:rPr>
        <w:t>dence</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ANOVA findings provide statistically robust evidence that hybrid mode coaching is significantly superior to both online and offline modes across all four constructs, with medium-to-large practical magnitude (η² = 0.103–0.121). The post-hoc patter</w:t>
      </w:r>
      <w:r>
        <w:rPr>
          <w:rFonts w:ascii="Times New Roman" w:eastAsia="Times New Roman" w:hAnsi="Times New Roman" w:cs="Times New Roman"/>
          <w:sz w:val="20"/>
          <w:szCs w:val="20"/>
        </w:rPr>
        <w:t>n hybrid significantly different from both other modes, but online and offline not differing from each other is theoretically interpretable through the blended learning literature (Means et al., 2009): hybrid modality combines the responsiveness of physica</w:t>
      </w:r>
      <w:r>
        <w:rPr>
          <w:rFonts w:ascii="Times New Roman" w:eastAsia="Times New Roman" w:hAnsi="Times New Roman" w:cs="Times New Roman"/>
          <w:sz w:val="20"/>
          <w:szCs w:val="20"/>
        </w:rPr>
        <w:t>l instruction with the flexibility of digital platforms.</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1" w:name="_lffuzvdt527c" w:colFirst="0" w:colLast="0"/>
      <w:bookmarkEnd w:id="41"/>
      <w:r>
        <w:rPr>
          <w:rFonts w:ascii="Times New Roman" w:eastAsia="Times New Roman" w:hAnsi="Times New Roman" w:cs="Times New Roman"/>
          <w:b/>
          <w:bCs/>
          <w:sz w:val="20"/>
          <w:szCs w:val="20"/>
        </w:rPr>
        <w:t>7.3 Normality and Methodological Implications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Shapiro–Wilk results confirm that all distributions departed significantly from normality, a common finding in educational perception research (Nor</w:t>
      </w:r>
      <w:r>
        <w:rPr>
          <w:rFonts w:ascii="Times New Roman" w:eastAsia="Times New Roman" w:hAnsi="Times New Roman" w:cs="Times New Roman"/>
          <w:sz w:val="20"/>
          <w:szCs w:val="20"/>
        </w:rPr>
        <w:t>man, 2010). While the parametric tests employed are relatively robust to moderate non-normality (Field, 2018), this finding warrants explicit acknowledgment and motivates the recommendation of non-parametric alternatives in future research.</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42" w:name="_3wf6dewf7xm8" w:colFirst="0" w:colLast="0"/>
      <w:bookmarkEnd w:id="42"/>
      <w:r>
        <w:rPr>
          <w:rFonts w:ascii="Times New Roman" w:eastAsia="Times New Roman" w:hAnsi="Times New Roman" w:cs="Times New Roman"/>
          <w:b/>
          <w:bCs/>
          <w:sz w:val="20"/>
          <w:szCs w:val="20"/>
        </w:rPr>
        <w:t>8. MANAGERIAL I</w:t>
      </w:r>
      <w:r>
        <w:rPr>
          <w:rFonts w:ascii="Times New Roman" w:eastAsia="Times New Roman" w:hAnsi="Times New Roman" w:cs="Times New Roman"/>
          <w:b/>
          <w:bCs/>
          <w:sz w:val="20"/>
          <w:szCs w:val="20"/>
        </w:rPr>
        <w:t>MPLICATIONS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3" w:name="_8s77zdnrayt4" w:colFirst="0" w:colLast="0"/>
      <w:bookmarkEnd w:id="43"/>
      <w:r>
        <w:rPr>
          <w:rFonts w:ascii="Times New Roman" w:eastAsia="Times New Roman" w:hAnsi="Times New Roman" w:cs="Times New Roman"/>
          <w:b/>
          <w:bCs/>
          <w:sz w:val="20"/>
          <w:szCs w:val="20"/>
        </w:rPr>
        <w:t>8.1 Recalibrate Brand Communication</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statistically confirmed negative gaps across all three service dimensions provide empirical justification for coaching centers to audit and recalibrate their marketing claims. Marketing commitments partic</w:t>
      </w:r>
      <w:r>
        <w:rPr>
          <w:rFonts w:ascii="Times New Roman" w:eastAsia="Times New Roman" w:hAnsi="Times New Roman" w:cs="Times New Roman"/>
          <w:sz w:val="20"/>
          <w:szCs w:val="20"/>
        </w:rPr>
        <w:t>ularly regarding instructional quality (the highest-expectation dimension, M = 5.09) consistently exceed what service delivery achieves. Evidence-based communication standards that commit only to demonstrably deliverable outcomes will reduce negative disco</w:t>
      </w:r>
      <w:r>
        <w:rPr>
          <w:rFonts w:ascii="Times New Roman" w:eastAsia="Times New Roman" w:hAnsi="Times New Roman" w:cs="Times New Roman"/>
          <w:sz w:val="20"/>
          <w:szCs w:val="20"/>
        </w:rPr>
        <w:t>nfirmation and improve post-enrolment satisfaction.</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4" w:name="_hlrdmmyhpyi2" w:colFirst="0" w:colLast="0"/>
      <w:bookmarkEnd w:id="44"/>
      <w:r>
        <w:rPr>
          <w:rFonts w:ascii="Times New Roman" w:eastAsia="Times New Roman" w:hAnsi="Times New Roman" w:cs="Times New Roman"/>
          <w:b/>
          <w:bCs/>
          <w:sz w:val="20"/>
          <w:szCs w:val="20"/>
        </w:rPr>
        <w:t>8.2 Prioritise Doubt-Solving and Mentorship Infrastructure</w:t>
      </w:r>
    </w:p>
    <w:p w:rsidR="00A301A2" w:rsidRDefault="0002678C">
      <w:pPr>
        <w:spacing w:after="160"/>
        <w:jc w:val="both"/>
        <w:rPr>
          <w:rFonts w:ascii="Times New Roman" w:eastAsia="Times New Roman" w:hAnsi="Times New Roman" w:cs="Times New Roman"/>
          <w:sz w:val="20"/>
          <w:szCs w:val="20"/>
        </w:rPr>
      </w:pPr>
      <w:r>
        <w:rPr>
          <w:rFonts w:ascii="Gungsuh" w:eastAsia="Gungsuh" w:hAnsi="Gungsuh" w:cs="Gungsuh"/>
          <w:sz w:val="20"/>
          <w:szCs w:val="20"/>
        </w:rPr>
        <w:t xml:space="preserve">Doubt-Solving and Mentorship recorded the largest absolute gap (M = −0.635) against high pre-enrollment expectations (M = 4.97). Managers should </w:t>
      </w:r>
      <w:r>
        <w:rPr>
          <w:rFonts w:ascii="Gungsuh" w:eastAsia="Gungsuh" w:hAnsi="Gungsuh" w:cs="Gungsuh"/>
          <w:sz w:val="20"/>
          <w:szCs w:val="20"/>
        </w:rPr>
        <w:t>invest in structured mentorship with defined response-time standards, dedicated doubt-solving sessions, and accessible instructor office hours.</w:t>
      </w: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5" w:name="_eo4dkwaidh2j" w:colFirst="0" w:colLast="0"/>
      <w:bookmarkEnd w:id="45"/>
      <w:r>
        <w:rPr>
          <w:rFonts w:ascii="Times New Roman" w:eastAsia="Times New Roman" w:hAnsi="Times New Roman" w:cs="Times New Roman"/>
          <w:b/>
          <w:bCs/>
          <w:sz w:val="20"/>
          <w:szCs w:val="20"/>
        </w:rPr>
        <w:t>8.3 Expand Hybrid Delivery as a Strategic Priority</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ANOVA results (η² = 0.103–0.121, all p &lt; .01) and post-hoc te</w:t>
      </w:r>
      <w:r>
        <w:rPr>
          <w:rFonts w:ascii="Times New Roman" w:eastAsia="Times New Roman" w:hAnsi="Times New Roman" w:cs="Times New Roman"/>
          <w:sz w:val="20"/>
          <w:szCs w:val="20"/>
        </w:rPr>
        <w:t>sts provide statistically robust evidence that hybrid delivery significantly outperforms both pure online and pure offline coaching. Coaching center operators should evaluate hybrid models combining live-streamed sessions with interactive features, recorde</w:t>
      </w:r>
      <w:r>
        <w:rPr>
          <w:rFonts w:ascii="Times New Roman" w:eastAsia="Times New Roman" w:hAnsi="Times New Roman" w:cs="Times New Roman"/>
          <w:sz w:val="20"/>
          <w:szCs w:val="20"/>
        </w:rPr>
        <w:t>d lectures, and structured in-person doubt-solving workshops.</w:t>
      </w:r>
    </w:p>
    <w:p w:rsidR="00A301A2" w:rsidRDefault="00A301A2">
      <w:pPr>
        <w:spacing w:after="160"/>
        <w:jc w:val="both"/>
        <w:rPr>
          <w:rFonts w:ascii="Times New Roman" w:eastAsia="Times New Roman" w:hAnsi="Times New Roman" w:cs="Times New Roman"/>
          <w:sz w:val="20"/>
          <w:szCs w:val="20"/>
        </w:rPr>
      </w:pPr>
    </w:p>
    <w:p w:rsidR="00A301A2" w:rsidRDefault="0002678C">
      <w:pPr>
        <w:pStyle w:val="Heading2"/>
        <w:keepNext w:val="0"/>
        <w:keepLines w:val="0"/>
        <w:spacing w:after="80"/>
        <w:rPr>
          <w:rFonts w:ascii="Times New Roman" w:eastAsia="Times New Roman" w:hAnsi="Times New Roman" w:cs="Times New Roman"/>
          <w:b/>
          <w:bCs/>
          <w:sz w:val="20"/>
          <w:szCs w:val="20"/>
        </w:rPr>
      </w:pPr>
      <w:bookmarkStart w:id="46" w:name="_qh66gdsm0fni" w:colFirst="0" w:colLast="0"/>
      <w:bookmarkEnd w:id="46"/>
      <w:r>
        <w:rPr>
          <w:rFonts w:ascii="Times New Roman" w:eastAsia="Times New Roman" w:hAnsi="Times New Roman" w:cs="Times New Roman"/>
          <w:b/>
          <w:bCs/>
          <w:sz w:val="20"/>
          <w:szCs w:val="20"/>
        </w:rPr>
        <w:t>8.4 Implement Continuous Quality Monitoring</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Institutions should implement systematic quality monitoring through mid-course micro-surveys and structured feedback loops. The Shapiro-Wilk findings also suggest using median-based summary statistics alongside means to capture the skewed nature of satisfa</w:t>
      </w:r>
      <w:r>
        <w:rPr>
          <w:rFonts w:ascii="Times New Roman" w:eastAsia="Times New Roman" w:hAnsi="Times New Roman" w:cs="Times New Roman"/>
          <w:sz w:val="20"/>
          <w:szCs w:val="20"/>
        </w:rPr>
        <w:t>ction distributions more accurately.</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47" w:name="_2f79n3r4f4dh" w:colFirst="0" w:colLast="0"/>
      <w:bookmarkEnd w:id="47"/>
      <w:r>
        <w:rPr>
          <w:rFonts w:ascii="Times New Roman" w:eastAsia="Times New Roman" w:hAnsi="Times New Roman" w:cs="Times New Roman"/>
          <w:b/>
          <w:bCs/>
          <w:sz w:val="20"/>
          <w:szCs w:val="20"/>
        </w:rPr>
        <w:t>9. THEORETICAL IMPLICATIONS</w:t>
      </w:r>
    </w:p>
    <w:p w:rsidR="00A301A2" w:rsidRDefault="0002678C">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extends the SERVQUAL framework thematically (to the Indian coaching center sector, a non-formal educational context largely absent from the service quality literature) and methodol</w:t>
      </w:r>
      <w:r>
        <w:rPr>
          <w:rFonts w:ascii="Times New Roman" w:eastAsia="Times New Roman" w:hAnsi="Times New Roman" w:cs="Times New Roman"/>
          <w:sz w:val="20"/>
          <w:szCs w:val="20"/>
        </w:rPr>
        <w:t>ogically (by adding inferential t-test validation to descriptive gap analysis). The integration of Morhart et al.’s (2015) Brand Authenticity dimensions with SERVQUAL’s gap logic within a single validated measurement framework represents a theoretical synt</w:t>
      </w:r>
      <w:r>
        <w:rPr>
          <w:rFonts w:ascii="Times New Roman" w:eastAsia="Times New Roman" w:hAnsi="Times New Roman" w:cs="Times New Roman"/>
          <w:sz w:val="20"/>
          <w:szCs w:val="20"/>
        </w:rPr>
        <w:t>hesis not previously tested in the coaching center context. The ANOVA evidence provides the first statistically validated confirmation that coaching delivery mode is a significant moderator of educational brand perception in the Indian context.</w:t>
      </w: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48" w:name="_293bbhkgnzo" w:colFirst="0" w:colLast="0"/>
      <w:bookmarkEnd w:id="48"/>
      <w:r>
        <w:rPr>
          <w:rFonts w:ascii="Times New Roman" w:eastAsia="Times New Roman" w:hAnsi="Times New Roman" w:cs="Times New Roman"/>
          <w:b/>
          <w:bCs/>
          <w:sz w:val="20"/>
          <w:szCs w:val="20"/>
        </w:rPr>
        <w:t>10. CONCLUS</w:t>
      </w:r>
      <w:r>
        <w:rPr>
          <w:rFonts w:ascii="Times New Roman" w:eastAsia="Times New Roman" w:hAnsi="Times New Roman" w:cs="Times New Roman"/>
          <w:b/>
          <w:bCs/>
          <w:sz w:val="20"/>
          <w:szCs w:val="20"/>
        </w:rPr>
        <w:t>ION</w:t>
      </w:r>
    </w:p>
    <w:p w:rsidR="00A301A2" w:rsidRDefault="0002678C">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examined the alignment between coaching center brand positioning and student perceptions using a combination of descriptive statistics, normality testing (Shapiro–Wilk), gap analysis (one-sample t-tests), and comparison across coaching modes</w:t>
      </w:r>
      <w:r>
        <w:rPr>
          <w:rFonts w:ascii="Times New Roman" w:eastAsia="Times New Roman" w:hAnsi="Times New Roman" w:cs="Times New Roman"/>
          <w:sz w:val="20"/>
          <w:szCs w:val="20"/>
        </w:rPr>
        <w:t xml:space="preserve"> (one-way ANOVA with Bonferroni correction). All four hypotheses were supported, showing negative gaps, differences across modes, better performance of hybrid coaching, and non-normal data distribution.</w:t>
      </w:r>
    </w:p>
    <w:p w:rsidR="00A301A2" w:rsidRDefault="0002678C">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findings indicate that coaching centers perform a</w:t>
      </w:r>
      <w:r>
        <w:rPr>
          <w:rFonts w:ascii="Times New Roman" w:eastAsia="Times New Roman" w:hAnsi="Times New Roman" w:cs="Times New Roman"/>
          <w:sz w:val="20"/>
          <w:szCs w:val="20"/>
        </w:rPr>
        <w:t>t a moderate level but face credibility issues due to unmet expectations. For long-term success, coaching centers need to focus on consistently delivering what they promise, especially in teaching quality, doubt-solving, and mentorship, where students perc</w:t>
      </w:r>
      <w:r>
        <w:rPr>
          <w:rFonts w:ascii="Times New Roman" w:eastAsia="Times New Roman" w:hAnsi="Times New Roman" w:cs="Times New Roman"/>
          <w:sz w:val="20"/>
          <w:szCs w:val="20"/>
        </w:rPr>
        <w:t>eive the largest gaps.</w:t>
      </w: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A301A2">
      <w:pPr>
        <w:spacing w:after="160"/>
        <w:jc w:val="both"/>
        <w:rPr>
          <w:rFonts w:ascii="Times New Roman" w:eastAsia="Times New Roman" w:hAnsi="Times New Roman" w:cs="Times New Roman"/>
          <w:sz w:val="20"/>
          <w:szCs w:val="20"/>
        </w:rPr>
      </w:pPr>
    </w:p>
    <w:p w:rsidR="00A301A2" w:rsidRDefault="0002678C">
      <w:pPr>
        <w:pStyle w:val="Heading1"/>
        <w:keepNext w:val="0"/>
        <w:keepLines w:val="0"/>
        <w:spacing w:before="480"/>
        <w:rPr>
          <w:rFonts w:ascii="Times New Roman" w:eastAsia="Times New Roman" w:hAnsi="Times New Roman" w:cs="Times New Roman"/>
          <w:b/>
          <w:bCs/>
          <w:sz w:val="20"/>
          <w:szCs w:val="20"/>
        </w:rPr>
      </w:pPr>
      <w:bookmarkStart w:id="49" w:name="_nqb7z4gpr344" w:colFirst="0" w:colLast="0"/>
      <w:bookmarkEnd w:id="49"/>
      <w:r>
        <w:rPr>
          <w:rFonts w:ascii="Times New Roman" w:eastAsia="Times New Roman" w:hAnsi="Times New Roman" w:cs="Times New Roman"/>
          <w:b/>
          <w:bCs/>
          <w:sz w:val="20"/>
          <w:szCs w:val="20"/>
        </w:rPr>
        <w:t>REFERENCES</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Abili, K., Narenji Thani, F., &amp; Afarinandehbin, M. (2012). Measuring university service quality by means of SERVQUAL method. Asian Journal on Quality, 13(3), 204–211. https://doi.org/10.1108/15982681211287766</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Aguirre, R. F., Cerbito, A. F., &amp; Gayod, D. H. (2022). Online learning experiences and satisfaction of students on the transition to remote learning. IOER International Multidisciplinary Research Journal, 4(1), 144–154.</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Alqurashi, E. (2019). Predicting stu</w:t>
      </w:r>
      <w:r>
        <w:rPr>
          <w:rFonts w:ascii="Times New Roman" w:eastAsia="Times New Roman" w:hAnsi="Times New Roman" w:cs="Times New Roman"/>
          <w:sz w:val="20"/>
          <w:szCs w:val="20"/>
        </w:rPr>
        <w:t>dent satisfaction and perceived learning within online learning environments. Distance Education, 40(1), 133–148. https://doi.org/10.1080/01587919.2018.1553562</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Bandura, A. (1977). Self-efficacy: Toward a unifying theory of behavioral change. Psychological </w:t>
      </w:r>
      <w:r>
        <w:rPr>
          <w:rFonts w:ascii="Times New Roman" w:eastAsia="Times New Roman" w:hAnsi="Times New Roman" w:cs="Times New Roman"/>
          <w:sz w:val="20"/>
          <w:szCs w:val="20"/>
        </w:rPr>
        <w:t>Review, 84(2), 191–215. https://doi.org/10.1037/0033-295X.84.2.191</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Betz, N. E., Klein, K. L., &amp; Taylor, K. M. (1996). Evaluation of a short form of the Career Decision-Making Self-Efficacy Scale. Journal of Career Assessment, 4(1), 47–57. https://doi.org/1</w:t>
      </w:r>
      <w:r>
        <w:rPr>
          <w:rFonts w:ascii="Times New Roman" w:eastAsia="Times New Roman" w:hAnsi="Times New Roman" w:cs="Times New Roman"/>
          <w:sz w:val="20"/>
          <w:szCs w:val="20"/>
        </w:rPr>
        <w:t>0.1177/106907279600400103</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Cohen, J. (1988). Statistical power analysis for the behavioral sciences (2nd ed.). Lawrence Erlbaum Associates.</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Field, A. (2018). Discovering statistics using IBM SPSS statistics (5th ed.). SAGE Publications.</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Hartman, D. E., &amp; Sc</w:t>
      </w:r>
      <w:r>
        <w:rPr>
          <w:rFonts w:ascii="Times New Roman" w:eastAsia="Times New Roman" w:hAnsi="Times New Roman" w:cs="Times New Roman"/>
          <w:sz w:val="20"/>
          <w:szCs w:val="20"/>
        </w:rPr>
        <w:t>hmidt, S. L. (1995). Understanding student/alumni satisfaction from a consumer’s perspective: The effects of institutional performance and program outcomes. Research in Higher Education, 36(2), 197–217. https://doi.org/10.1007/BF02207788</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Kaushal, V., &amp; Ali</w:t>
      </w:r>
      <w:r>
        <w:rPr>
          <w:rFonts w:ascii="Times New Roman" w:eastAsia="Times New Roman" w:hAnsi="Times New Roman" w:cs="Times New Roman"/>
          <w:sz w:val="20"/>
          <w:szCs w:val="20"/>
        </w:rPr>
        <w:t>, N. (2020). University reputation, brand attachment and brand personality as antecedents of student loyalty: A study in higher education context. Corporate Reputation Review, 23, 254–266. https://doi.org/10.1057/s41299-019-00084-y</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Kotler, P., &amp; Fox, K. F.</w:t>
      </w:r>
      <w:r>
        <w:rPr>
          <w:rFonts w:ascii="Times New Roman" w:eastAsia="Times New Roman" w:hAnsi="Times New Roman" w:cs="Times New Roman"/>
          <w:sz w:val="20"/>
          <w:szCs w:val="20"/>
        </w:rPr>
        <w:t xml:space="preserve"> A. (1995). Strategic marketing for educational institutions (2nd ed.). Prentice-Hall.</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Liaw, S.-S. (2008). Investigating students’ perceived satisfaction, behavioral intention, and effectiveness of e-learning. Computers &amp; Education, 51(2), 864–873. https:/</w:t>
      </w:r>
      <w:r>
        <w:rPr>
          <w:rFonts w:ascii="Times New Roman" w:eastAsia="Times New Roman" w:hAnsi="Times New Roman" w:cs="Times New Roman"/>
          <w:sz w:val="20"/>
          <w:szCs w:val="20"/>
        </w:rPr>
        <w:t>/doi.org/10.1016/j.compedu.2007.09.005</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Means, B., Toyama, Y., Murphy, R., Bakia, M., &amp; Jones, K. (2009). Evaluation of evidence-based practices in online learning: A meta-analysis and review of online learning studies. U.S. Department of Education. https:/</w:t>
      </w:r>
      <w:r>
        <w:rPr>
          <w:rFonts w:ascii="Times New Roman" w:eastAsia="Times New Roman" w:hAnsi="Times New Roman" w:cs="Times New Roman"/>
          <w:sz w:val="20"/>
          <w:szCs w:val="20"/>
        </w:rPr>
        <w:t>/www2.ed.gov/rschstat/eval/tech/evidence-based-practices/finalreport.pdf</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Mishra, R., Jain, R. K., &amp; Mishra, A. (2023). Effect of institute and LMS service quality on HEI brand equity: A qualitative investigation. Academy of Marketing Studies Journal, 27(2)</w:t>
      </w:r>
      <w:r>
        <w:rPr>
          <w:rFonts w:ascii="Times New Roman" w:eastAsia="Times New Roman" w:hAnsi="Times New Roman" w:cs="Times New Roman"/>
          <w:sz w:val="20"/>
          <w:szCs w:val="20"/>
        </w:rPr>
        <w:t>, 1–17.</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Morhart, F. M., Herzog, W., &amp; Tomczak, T. (2015). Brand authenticity: An integrative framework and measurement scale. Journal of Consumer Psychology, 25(2), 200–218. https://doi.org/10.1016/j.jcps.2014.11.006</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Norman, G. (2010). Likert scales, level</w:t>
      </w:r>
      <w:r>
        <w:rPr>
          <w:rFonts w:ascii="Times New Roman" w:eastAsia="Times New Roman" w:hAnsi="Times New Roman" w:cs="Times New Roman"/>
          <w:sz w:val="20"/>
          <w:szCs w:val="20"/>
        </w:rPr>
        <w:t>s of measurement and the ‘laws’ of statistics. Advances in Health Sciences Education, 15(5), 625–632. https://doi.org/10.1007/s10459-010-9222-y</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Nunnally, J. C. (1978). Psychometric theory (2nd ed.). McGraw-Hill.</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Oliver, R. L. (1980). A cognitive model of t</w:t>
      </w:r>
      <w:r>
        <w:rPr>
          <w:rFonts w:ascii="Times New Roman" w:eastAsia="Times New Roman" w:hAnsi="Times New Roman" w:cs="Times New Roman"/>
          <w:sz w:val="20"/>
          <w:szCs w:val="20"/>
        </w:rPr>
        <w:t>he antecedents and consequences of satisfaction decisions. Journal of Marketing Research, 17(4), 460–469. https://doi.org/10.2307/3150499</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Parasuraman, A., Zeithaml, V. A., &amp; Berry, L. L. (1985). A conceptual model of service quality and its implications fo</w:t>
      </w:r>
      <w:r>
        <w:rPr>
          <w:rFonts w:ascii="Times New Roman" w:eastAsia="Times New Roman" w:hAnsi="Times New Roman" w:cs="Times New Roman"/>
          <w:sz w:val="20"/>
          <w:szCs w:val="20"/>
        </w:rPr>
        <w:t>r future research. Journal of Marketing, 49(4), 41–50. https://doi.org/10.1177/002224298504900403</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Parasuraman, A., Zeithaml, V. A., &amp; Berry, L. L. (1988). SERVQUAL: A multiple-item scale for measuring consumer perceptions of service quality. Journal of Ret</w:t>
      </w:r>
      <w:r>
        <w:rPr>
          <w:rFonts w:ascii="Times New Roman" w:eastAsia="Times New Roman" w:hAnsi="Times New Roman" w:cs="Times New Roman"/>
          <w:sz w:val="20"/>
          <w:szCs w:val="20"/>
        </w:rPr>
        <w:t>ailing, 64(1), 12–40.</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Ramsden, P. (1991). A performance indicator of teaching quality in higher education: The course experience questionnaire. Studies in Higher Education, 16(2), 129–150. https://doi.org/10.1080/03075079112331382944</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Royston, P. (1992). Ap</w:t>
      </w:r>
      <w:r>
        <w:rPr>
          <w:rFonts w:ascii="Times New Roman" w:eastAsia="Times New Roman" w:hAnsi="Times New Roman" w:cs="Times New Roman"/>
          <w:sz w:val="20"/>
          <w:szCs w:val="20"/>
        </w:rPr>
        <w:t>proximating the Shapiro-Wilk W-test for non-normality. Statistics and Computing, 2(3), 117–119. https://doi.org/10.1007/BF01891203</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Sullivan, G. M., &amp; Artino, A. R. (2013). Analyzing and interpreting data from Likert-type scales. Journal of Graduate Medical</w:t>
      </w:r>
      <w:r>
        <w:rPr>
          <w:rFonts w:ascii="Times New Roman" w:eastAsia="Times New Roman" w:hAnsi="Times New Roman" w:cs="Times New Roman"/>
          <w:sz w:val="20"/>
          <w:szCs w:val="20"/>
        </w:rPr>
        <w:t xml:space="preserve"> Education, 5(4), 541–542. https://doi.org/10.4300/JGME-5-4-18</w:t>
      </w:r>
    </w:p>
    <w:p w:rsidR="00A301A2" w:rsidRDefault="0002678C">
      <w:pPr>
        <w:spacing w:after="120"/>
        <w:ind w:left="144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Yang, Y., &amp; Cornelius, L. F. (2005). Students’ perceptions towards the quality of online education: A qualitative approach. Online Journal of Distance Learning Administration, 8(1).</w:t>
      </w:r>
    </w:p>
    <w:p w:rsidR="00A301A2" w:rsidRDefault="0002678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sectPr w:rsidR="00A301A2">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78C" w:rsidRDefault="0002678C">
      <w:pPr>
        <w:spacing w:line="240" w:lineRule="auto"/>
      </w:pPr>
      <w:r>
        <w:separator/>
      </w:r>
    </w:p>
  </w:endnote>
  <w:endnote w:type="continuationSeparator" w:id="0">
    <w:p w:rsidR="0002678C" w:rsidRDefault="000267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950DF3D7-365A-46AD-8936-ECE328679D77}"/>
  </w:font>
  <w:font w:name="Gungsuh">
    <w:altName w:val="Times New Roman"/>
    <w:charset w:val="00"/>
    <w:family w:val="auto"/>
    <w:pitch w:val="default"/>
  </w:font>
  <w:font w:name="Caudex">
    <w:charset w:val="00"/>
    <w:family w:val="auto"/>
    <w:pitch w:val="default"/>
    <w:embedRegular r:id="rId2" w:fontKey="{4DF1FE28-2D30-4101-A9A4-606570803A5B}"/>
  </w:font>
  <w:font w:name="Calibri">
    <w:panose1 w:val="020F0502020204030204"/>
    <w:charset w:val="00"/>
    <w:family w:val="swiss"/>
    <w:pitch w:val="variable"/>
    <w:sig w:usb0="E4002EFF" w:usb1="C000247B" w:usb2="00000009" w:usb3="00000000" w:csb0="000001FF" w:csb1="00000000"/>
    <w:embedRegular r:id="rId3" w:fontKey="{356DFF37-F0C0-44C6-A9B5-B5BC6EDFC53C}"/>
  </w:font>
  <w:font w:name="Cambria">
    <w:panose1 w:val="02040503050406030204"/>
    <w:charset w:val="00"/>
    <w:family w:val="roman"/>
    <w:pitch w:val="variable"/>
    <w:sig w:usb0="E00006FF" w:usb1="420024FF" w:usb2="02000000" w:usb3="00000000" w:csb0="0000019F" w:csb1="00000000"/>
    <w:embedRegular r:id="rId4" w:fontKey="{0B7A7DE4-1A87-4067-83D3-FD44AA240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1A2" w:rsidRDefault="0002678C">
    <w:pPr>
      <w:jc w:val="right"/>
    </w:pPr>
    <w:r>
      <w:fldChar w:fldCharType="begin"/>
    </w:r>
    <w:r>
      <w:instrText>PAGE</w:instrText>
    </w:r>
    <w:r w:rsidR="00D504DF">
      <w:fldChar w:fldCharType="separate"/>
    </w:r>
    <w:r w:rsidR="00D504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78C" w:rsidRDefault="0002678C">
      <w:pPr>
        <w:spacing w:line="240" w:lineRule="auto"/>
      </w:pPr>
      <w:r>
        <w:separator/>
      </w:r>
    </w:p>
  </w:footnote>
  <w:footnote w:type="continuationSeparator" w:id="0">
    <w:p w:rsidR="0002678C" w:rsidRDefault="0002678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301A2"/>
    <w:rsid w:val="0002678C"/>
    <w:rsid w:val="00A301A2"/>
    <w:rsid w:val="00D504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5049</Words>
  <Characters>28782</Characters>
  <Application>Microsoft Office Word</Application>
  <DocSecurity>0</DocSecurity>
  <Lines>239</Lines>
  <Paragraphs>67</Paragraphs>
  <ScaleCrop>false</ScaleCrop>
  <Company/>
  <LinksUpToDate>false</LinksUpToDate>
  <CharactersWithSpaces>33764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2026-05-01T12:47:00Z</dcterms:created>
  <dcterms:modified xsi:type="dcterms:W3CDTF">2026-05-01T12:47:00Z</dcterms:modified>
</cp:coreProperties>
</file>