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CDBA4" w14:textId="79A6E5F4" w:rsidR="00DB091C" w:rsidRPr="00421410" w:rsidRDefault="00DB091C" w:rsidP="00421410">
      <w:pPr>
        <w:spacing w:beforeLines="240" w:before="576" w:afterLines="240" w:after="576" w:line="240" w:lineRule="auto"/>
        <w:jc w:val="center"/>
        <w:rPr>
          <w:rFonts w:ascii="Times New Roman" w:hAnsi="Times New Roman" w:cs="Times New Roman"/>
          <w:b/>
          <w:sz w:val="36"/>
          <w:szCs w:val="36"/>
        </w:rPr>
      </w:pPr>
      <w:r w:rsidRPr="00421410">
        <w:rPr>
          <w:rFonts w:ascii="Times New Roman" w:hAnsi="Times New Roman" w:cs="Times New Roman"/>
          <w:b/>
          <w:sz w:val="36"/>
          <w:szCs w:val="36"/>
        </w:rPr>
        <w:t xml:space="preserve">Protective effects of Resveratrol Against Hydrogen Peroxide Induced Oxidative </w:t>
      </w:r>
      <w:r w:rsidR="000E2887">
        <w:rPr>
          <w:rFonts w:ascii="Times New Roman" w:hAnsi="Times New Roman" w:cs="Times New Roman"/>
          <w:b/>
          <w:sz w:val="36"/>
          <w:szCs w:val="36"/>
        </w:rPr>
        <w:t>Stress</w:t>
      </w:r>
      <w:r w:rsidRPr="00421410">
        <w:rPr>
          <w:rFonts w:ascii="Times New Roman" w:hAnsi="Times New Roman" w:cs="Times New Roman"/>
          <w:b/>
          <w:sz w:val="36"/>
          <w:szCs w:val="36"/>
        </w:rPr>
        <w:t xml:space="preserve"> in Model Organism </w:t>
      </w:r>
      <w:r w:rsidRPr="00421410">
        <w:rPr>
          <w:rFonts w:ascii="Times New Roman" w:hAnsi="Times New Roman" w:cs="Times New Roman"/>
          <w:b/>
          <w:i/>
          <w:sz w:val="36"/>
          <w:szCs w:val="36"/>
        </w:rPr>
        <w:t xml:space="preserve">Tribolium </w:t>
      </w:r>
      <w:r w:rsidR="00682160">
        <w:rPr>
          <w:rFonts w:ascii="Times New Roman" w:hAnsi="Times New Roman" w:cs="Times New Roman"/>
          <w:b/>
          <w:i/>
          <w:sz w:val="36"/>
          <w:szCs w:val="36"/>
        </w:rPr>
        <w:t>c</w:t>
      </w:r>
      <w:r w:rsidRPr="00421410">
        <w:rPr>
          <w:rFonts w:ascii="Times New Roman" w:hAnsi="Times New Roman" w:cs="Times New Roman"/>
          <w:b/>
          <w:i/>
          <w:sz w:val="36"/>
          <w:szCs w:val="36"/>
        </w:rPr>
        <w:t>astaneum</w:t>
      </w:r>
      <w:r w:rsidRPr="00421410">
        <w:rPr>
          <w:rFonts w:ascii="Times New Roman" w:hAnsi="Times New Roman" w:cs="Times New Roman"/>
          <w:b/>
          <w:sz w:val="36"/>
          <w:szCs w:val="36"/>
        </w:rPr>
        <w:t xml:space="preserve"> (Herbst, 1797)</w:t>
      </w:r>
    </w:p>
    <w:p w14:paraId="46ED7FA7" w14:textId="77777777" w:rsidR="00DB091C" w:rsidRPr="009769A9" w:rsidRDefault="00DB091C" w:rsidP="009769A9">
      <w:pPr>
        <w:spacing w:beforeLines="240" w:before="576" w:afterLines="240" w:after="576" w:line="240" w:lineRule="auto"/>
        <w:rPr>
          <w:rFonts w:ascii="Times New Roman" w:hAnsi="Times New Roman" w:cs="Times New Roman"/>
          <w:b/>
          <w:sz w:val="28"/>
          <w:szCs w:val="28"/>
        </w:rPr>
      </w:pPr>
      <w:bookmarkStart w:id="0" w:name="_GoBack"/>
      <w:bookmarkEnd w:id="0"/>
      <w:r w:rsidRPr="009769A9">
        <w:rPr>
          <w:rFonts w:ascii="Times New Roman" w:hAnsi="Times New Roman" w:cs="Times New Roman"/>
          <w:b/>
          <w:sz w:val="28"/>
          <w:szCs w:val="28"/>
        </w:rPr>
        <w:t>ABSTRACT</w:t>
      </w:r>
    </w:p>
    <w:p w14:paraId="12B35C80" w14:textId="77777777" w:rsidR="009769A9" w:rsidRDefault="009769A9" w:rsidP="00DB091C">
      <w:pPr>
        <w:spacing w:beforeLines="240" w:before="576" w:afterLines="240" w:after="576" w:line="240" w:lineRule="auto"/>
        <w:jc w:val="both"/>
        <w:rPr>
          <w:rFonts w:ascii="Times New Roman" w:hAnsi="Times New Roman" w:cs="Times New Roman"/>
          <w:sz w:val="24"/>
          <w:szCs w:val="24"/>
        </w:rPr>
      </w:pPr>
      <w:r w:rsidRPr="009769A9">
        <w:rPr>
          <w:rFonts w:ascii="Times New Roman" w:hAnsi="Times New Roman" w:cs="Times New Roman"/>
          <w:sz w:val="24"/>
          <w:szCs w:val="24"/>
        </w:rPr>
        <w:t xml:space="preserve">Oxidative stress is a biological condition characterized by an imbalance between free radicals and antioxidants in living organisms. It is triggered by various factors, including environmental pollution, toxins, radiation. Prolonged accumulation of reactive oxygen species (ROS) in the body leads to several chronic pathological conditions. Natural plant-derived polyphenolic compounds act as potent antioxidants by enhancing endogenous defense system and scavenging ROS, thereby reducing cellular damage. Resveratrol, a polyphenolic compound found in peanuts and berries, is known for its strong antioxidant properties. In the present study, the red flour beetle, </w:t>
      </w:r>
      <w:r w:rsidRPr="00682160">
        <w:rPr>
          <w:rFonts w:ascii="Times New Roman" w:hAnsi="Times New Roman" w:cs="Times New Roman"/>
          <w:i/>
          <w:iCs/>
          <w:sz w:val="24"/>
          <w:szCs w:val="24"/>
        </w:rPr>
        <w:t>Tribolium castaneum</w:t>
      </w:r>
      <w:r w:rsidRPr="009769A9">
        <w:rPr>
          <w:rFonts w:ascii="Times New Roman" w:hAnsi="Times New Roman" w:cs="Times New Roman"/>
          <w:sz w:val="24"/>
          <w:szCs w:val="24"/>
        </w:rPr>
        <w:t>, was selected as an alternative model organism to evaluate the effects of resveratrol under oxidative stress conditions. Spectrophotometric analysis of DPPH free radical scavenging activity and cell viability was assessed in larvae exposed to hydrogen peroxide-induced acute oxidative stress for 24 h, followed by topical post-treatment with resveratrol (1 mM) at 48 h. The in vitro DPPH assay was conducted at different concentrations of resveratrol (5-80 µg/ml) and compared with ascorbic acid against 0.1 mM DPPH to determine scavenging potential and IC₅₀ values. The IC₅₀ values of resveratrol and ascorbic acid were 16.24 µg/ml and 25.96 µg/ml, respectively, indicating stronger antioxidant activity of resveratrol. Scavenging activity in oxidative stress-induced larvae increased significantly after resveratrol treatment (87.83%) compared to control (83.13%) and H₂O₂ stress induced larvae (81.37%) at 48 h (p &lt; 0.001). The MTT assay revealed that the cell viability was reduced in H</w:t>
      </w:r>
      <w:r w:rsidRPr="009769A9">
        <w:rPr>
          <w:rFonts w:ascii="Times New Roman" w:hAnsi="Times New Roman" w:cs="Times New Roman"/>
          <w:sz w:val="24"/>
          <w:szCs w:val="24"/>
          <w:vertAlign w:val="subscript"/>
        </w:rPr>
        <w:t>2</w:t>
      </w:r>
      <w:r w:rsidRPr="009769A9">
        <w:rPr>
          <w:rFonts w:ascii="Times New Roman" w:hAnsi="Times New Roman" w:cs="Times New Roman"/>
          <w:sz w:val="24"/>
          <w:szCs w:val="24"/>
        </w:rPr>
        <w:t>O</w:t>
      </w:r>
      <w:r w:rsidRPr="009769A9">
        <w:rPr>
          <w:rFonts w:ascii="Times New Roman" w:hAnsi="Times New Roman" w:cs="Times New Roman"/>
          <w:sz w:val="24"/>
          <w:szCs w:val="24"/>
          <w:vertAlign w:val="subscript"/>
        </w:rPr>
        <w:t>2</w:t>
      </w:r>
      <w:r w:rsidRPr="009769A9">
        <w:rPr>
          <w:rFonts w:ascii="Times New Roman" w:hAnsi="Times New Roman" w:cs="Times New Roman"/>
          <w:sz w:val="24"/>
          <w:szCs w:val="24"/>
        </w:rPr>
        <w:t>-exposed larvae compared to the control at both 24 h and 48 h. However, treatment with resveratrol rejuvenate the cell viability in acute oxidative stress induced larvae. Further studies are needed to explore the genetic and molecular mechanism of resveratrol in preclinical model organisms at different concentrations, particularly those that are difficult to screen in higher animals, to ensure safety and minimize potential adverse effects.</w:t>
      </w:r>
    </w:p>
    <w:p w14:paraId="11CC4DBF" w14:textId="05F054B9" w:rsidR="00DB091C" w:rsidRPr="00DB091C" w:rsidRDefault="00DB091C" w:rsidP="00DB091C">
      <w:pPr>
        <w:spacing w:beforeLines="240" w:before="576" w:afterLines="240" w:after="576" w:line="240" w:lineRule="auto"/>
        <w:jc w:val="both"/>
        <w:rPr>
          <w:rFonts w:ascii="Times New Roman" w:hAnsi="Times New Roman" w:cs="Times New Roman"/>
          <w:sz w:val="24"/>
          <w:szCs w:val="24"/>
        </w:rPr>
      </w:pPr>
      <w:r w:rsidRPr="00DB091C">
        <w:rPr>
          <w:rFonts w:ascii="Times New Roman" w:hAnsi="Times New Roman" w:cs="Times New Roman"/>
          <w:b/>
          <w:bCs/>
          <w:sz w:val="24"/>
          <w:szCs w:val="24"/>
        </w:rPr>
        <w:t>Keywords:</w:t>
      </w:r>
      <w:r w:rsidRPr="00DB091C">
        <w:rPr>
          <w:rFonts w:ascii="Times New Roman" w:hAnsi="Times New Roman" w:cs="Times New Roman"/>
          <w:sz w:val="24"/>
          <w:szCs w:val="24"/>
        </w:rPr>
        <w:t xml:space="preserve"> Free radicals, Oxidative stress, Resveratrol, Cell viability, </w:t>
      </w:r>
      <w:r w:rsidRPr="00DB091C">
        <w:rPr>
          <w:rFonts w:ascii="Times New Roman" w:hAnsi="Times New Roman" w:cs="Times New Roman"/>
          <w:i/>
          <w:sz w:val="24"/>
          <w:szCs w:val="24"/>
        </w:rPr>
        <w:t>Tribolium castaneum</w:t>
      </w:r>
    </w:p>
    <w:p w14:paraId="65CF5C58" w14:textId="77777777" w:rsidR="00DB091C" w:rsidRPr="009769A9" w:rsidRDefault="00DB091C" w:rsidP="009769A9">
      <w:pPr>
        <w:spacing w:beforeLines="240" w:before="576" w:afterLines="240" w:after="576" w:line="240" w:lineRule="auto"/>
        <w:rPr>
          <w:rFonts w:ascii="Times New Roman" w:hAnsi="Times New Roman" w:cs="Times New Roman"/>
          <w:b/>
          <w:sz w:val="28"/>
          <w:szCs w:val="28"/>
        </w:rPr>
      </w:pPr>
      <w:r w:rsidRPr="009769A9">
        <w:rPr>
          <w:rFonts w:ascii="Times New Roman" w:hAnsi="Times New Roman" w:cs="Times New Roman"/>
          <w:b/>
          <w:sz w:val="28"/>
          <w:szCs w:val="28"/>
        </w:rPr>
        <w:t>INTRODUCTION</w:t>
      </w:r>
    </w:p>
    <w:p w14:paraId="5F169281" w14:textId="77777777" w:rsidR="00DB091C" w:rsidRPr="00DB091C" w:rsidRDefault="00DB091C" w:rsidP="009769A9">
      <w:pPr>
        <w:spacing w:beforeLines="240" w:before="576" w:afterLines="240" w:after="576" w:line="240" w:lineRule="auto"/>
        <w:jc w:val="both"/>
        <w:rPr>
          <w:rFonts w:ascii="Times New Roman" w:hAnsi="Times New Roman" w:cs="Times New Roman"/>
          <w:sz w:val="24"/>
          <w:szCs w:val="24"/>
        </w:rPr>
      </w:pPr>
      <w:r w:rsidRPr="00DB091C">
        <w:rPr>
          <w:rFonts w:ascii="Times New Roman" w:hAnsi="Times New Roman" w:cs="Times New Roman"/>
          <w:sz w:val="24"/>
          <w:szCs w:val="24"/>
        </w:rPr>
        <w:t>Oxidative stress is an imbalance between excess production of oxidant and antioxidants during cellular metabolic process, which leads to damage the lipids, proteins, and DNA structure (</w:t>
      </w:r>
      <w:proofErr w:type="spellStart"/>
      <w:r w:rsidRPr="00DB091C">
        <w:rPr>
          <w:rFonts w:ascii="Times New Roman" w:hAnsi="Times New Roman" w:cs="Times New Roman"/>
          <w:sz w:val="24"/>
          <w:szCs w:val="24"/>
        </w:rPr>
        <w:t>Stadtman</w:t>
      </w:r>
      <w:proofErr w:type="spellEnd"/>
      <w:r w:rsidRPr="00DB091C">
        <w:rPr>
          <w:rFonts w:ascii="Times New Roman" w:hAnsi="Times New Roman" w:cs="Times New Roman"/>
          <w:sz w:val="24"/>
          <w:szCs w:val="24"/>
        </w:rPr>
        <w:t xml:space="preserve"> et al., 2004; Volodymyr, 2014). Generally, Reactive Oxygen Species (ROS) and Reactive Nitrogen Species (RNS) play a major role in contributing to oxidative stress. They are byproducts of cellular redox process driven by environmental pollutants, toxins, UV radiation, and lifestyle habits (smoking and alcohol consumption). ROS and RNS can be divided into two groups:  free radicals such as superoxide (O</w:t>
      </w:r>
      <w:r w:rsidRPr="00DB091C">
        <w:rPr>
          <w:rFonts w:ascii="Times New Roman" w:hAnsi="Times New Roman" w:cs="Times New Roman"/>
          <w:sz w:val="24"/>
          <w:szCs w:val="24"/>
          <w:vertAlign w:val="subscript"/>
        </w:rPr>
        <w:t>2</w:t>
      </w:r>
      <w:r w:rsidRPr="00DB091C">
        <w:rPr>
          <w:rFonts w:ascii="Times New Roman" w:hAnsi="Times New Roman" w:cs="Times New Roman"/>
          <w:sz w:val="24"/>
          <w:szCs w:val="24"/>
          <w:vertAlign w:val="superscript"/>
        </w:rPr>
        <w:t>-</w:t>
      </w:r>
      <w:r w:rsidRPr="00DB091C">
        <w:rPr>
          <w:rFonts w:ascii="Times New Roman" w:hAnsi="Times New Roman" w:cs="Times New Roman"/>
          <w:sz w:val="24"/>
          <w:szCs w:val="24"/>
        </w:rPr>
        <w:t>•), hydroxyl radical (•OH), and Nitric oxide (NO•), and non-free radicals, such as hydrogen peroxide (H</w:t>
      </w:r>
      <w:r w:rsidRPr="00DB091C">
        <w:rPr>
          <w:rFonts w:ascii="Times New Roman" w:hAnsi="Times New Roman" w:cs="Times New Roman"/>
          <w:sz w:val="24"/>
          <w:szCs w:val="24"/>
          <w:vertAlign w:val="subscript"/>
        </w:rPr>
        <w:t>2</w:t>
      </w:r>
      <w:r w:rsidRPr="00DB091C">
        <w:rPr>
          <w:rFonts w:ascii="Times New Roman" w:hAnsi="Times New Roman" w:cs="Times New Roman"/>
          <w:sz w:val="24"/>
          <w:szCs w:val="24"/>
        </w:rPr>
        <w:t>O</w:t>
      </w:r>
      <w:r w:rsidRPr="00DB091C">
        <w:rPr>
          <w:rFonts w:ascii="Times New Roman" w:hAnsi="Times New Roman" w:cs="Times New Roman"/>
          <w:sz w:val="24"/>
          <w:szCs w:val="24"/>
          <w:vertAlign w:val="subscript"/>
        </w:rPr>
        <w:t>2</w:t>
      </w:r>
      <w:r w:rsidRPr="00DB091C">
        <w:rPr>
          <w:rFonts w:ascii="Times New Roman" w:hAnsi="Times New Roman" w:cs="Times New Roman"/>
          <w:sz w:val="24"/>
          <w:szCs w:val="24"/>
        </w:rPr>
        <w:t>) and nitrate (NO</w:t>
      </w:r>
      <w:r w:rsidRPr="00DB091C">
        <w:rPr>
          <w:rFonts w:ascii="Times New Roman" w:hAnsi="Times New Roman" w:cs="Times New Roman"/>
          <w:sz w:val="24"/>
          <w:szCs w:val="24"/>
          <w:vertAlign w:val="subscript"/>
        </w:rPr>
        <w:t>3</w:t>
      </w:r>
      <w:r w:rsidRPr="00DB091C">
        <w:rPr>
          <w:rFonts w:ascii="Times New Roman" w:hAnsi="Times New Roman" w:cs="Times New Roman"/>
          <w:sz w:val="24"/>
          <w:szCs w:val="24"/>
          <w:vertAlign w:val="superscript"/>
        </w:rPr>
        <w:t>-</w:t>
      </w:r>
      <w:r w:rsidRPr="00DB091C">
        <w:rPr>
          <w:rFonts w:ascii="Times New Roman" w:hAnsi="Times New Roman" w:cs="Times New Roman"/>
          <w:sz w:val="24"/>
          <w:szCs w:val="24"/>
        </w:rPr>
        <w:t>). Excess level of oxidants is associated with several pathological conditions, including, cardiovascular diseases, neurological disorder, atherosclerosis, cancer, and aging (Pham-Huy et al., 2008; Forman and Li, 2021)</w:t>
      </w:r>
    </w:p>
    <w:p w14:paraId="7FFF4656" w14:textId="545A1D7A" w:rsidR="00DB091C" w:rsidRPr="00DB091C" w:rsidRDefault="00DB091C" w:rsidP="009769A9">
      <w:pPr>
        <w:spacing w:beforeLines="240" w:before="576" w:afterLines="240" w:after="576" w:line="240" w:lineRule="auto"/>
        <w:jc w:val="both"/>
        <w:rPr>
          <w:rStyle w:val="fontstyle01"/>
          <w:color w:val="auto"/>
          <w:sz w:val="24"/>
          <w:szCs w:val="24"/>
        </w:rPr>
      </w:pPr>
      <w:r w:rsidRPr="00DB091C">
        <w:rPr>
          <w:rStyle w:val="fontstyle01"/>
          <w:color w:val="auto"/>
          <w:sz w:val="24"/>
          <w:szCs w:val="24"/>
        </w:rPr>
        <w:t xml:space="preserve">Plants are an important source of bioactive polyphenolic compounds, including flavonoids, anthocyanin, lignans, and stilbenes. These compounds consist antioxidant properties, and capable to scavenging the free radicals, and help prevent oxidative stress in the body (Zhao, 2015). Resveratrol (3,5,4′- </w:t>
      </w:r>
      <w:proofErr w:type="spellStart"/>
      <w:r w:rsidRPr="00DB091C">
        <w:rPr>
          <w:rStyle w:val="fontstyle01"/>
          <w:color w:val="auto"/>
          <w:sz w:val="24"/>
          <w:szCs w:val="24"/>
        </w:rPr>
        <w:t>trihydroxoy</w:t>
      </w:r>
      <w:proofErr w:type="spellEnd"/>
      <w:r w:rsidRPr="00DB091C">
        <w:rPr>
          <w:rStyle w:val="fontstyle01"/>
          <w:color w:val="auto"/>
          <w:sz w:val="24"/>
          <w:szCs w:val="24"/>
        </w:rPr>
        <w:t>-trans-</w:t>
      </w:r>
      <w:proofErr w:type="spellStart"/>
      <w:r w:rsidRPr="00DB091C">
        <w:rPr>
          <w:rStyle w:val="fontstyle01"/>
          <w:color w:val="auto"/>
          <w:sz w:val="24"/>
          <w:szCs w:val="24"/>
        </w:rPr>
        <w:lastRenderedPageBreak/>
        <w:t>stilbene</w:t>
      </w:r>
      <w:proofErr w:type="spellEnd"/>
      <w:r w:rsidRPr="00DB091C">
        <w:rPr>
          <w:rStyle w:val="fontstyle01"/>
          <w:color w:val="auto"/>
          <w:sz w:val="24"/>
          <w:szCs w:val="24"/>
        </w:rPr>
        <w:t>) is a secondary metabolite and a bioactive compound present in grapes, berries and peanuts. It belongs to the stilbenes group and is a non-flavonoid phytoalexin. The trans-resveratrol form is more abundant than the cis form and less soluble in water (</w:t>
      </w:r>
      <w:proofErr w:type="spellStart"/>
      <w:r w:rsidRPr="00DB091C">
        <w:rPr>
          <w:rStyle w:val="fontstyle01"/>
          <w:color w:val="auto"/>
          <w:sz w:val="24"/>
          <w:szCs w:val="24"/>
        </w:rPr>
        <w:t>Veerasham</w:t>
      </w:r>
      <w:proofErr w:type="spellEnd"/>
      <w:r w:rsidRPr="00DB091C">
        <w:rPr>
          <w:rStyle w:val="fontstyle01"/>
          <w:color w:val="auto"/>
          <w:sz w:val="24"/>
          <w:szCs w:val="24"/>
        </w:rPr>
        <w:t xml:space="preserve">, 2012; </w:t>
      </w:r>
      <w:proofErr w:type="spellStart"/>
      <w:r w:rsidRPr="00DB091C">
        <w:rPr>
          <w:rStyle w:val="fontstyle01"/>
          <w:color w:val="auto"/>
          <w:sz w:val="24"/>
          <w:szCs w:val="24"/>
        </w:rPr>
        <w:t>Akinwumi</w:t>
      </w:r>
      <w:proofErr w:type="spellEnd"/>
      <w:r w:rsidRPr="00DB091C">
        <w:rPr>
          <w:rStyle w:val="fontstyle01"/>
          <w:color w:val="auto"/>
          <w:sz w:val="24"/>
          <w:szCs w:val="24"/>
        </w:rPr>
        <w:t xml:space="preserve"> et al., 2018). Resveratrol activates sirtuin 1 (SIRT1), a nicotinamide adenine dinucleotide (NAD+)-dependent deacetylase, enhancing mitochondrial functional and promoting cell survival (Wu et al., 2022 &amp; Rogina et al., 2024). It is often used in the treatment of neurological and cardiovascular diseases, as well as cancer. Topical application of resveratrol has been shown to protect against UV-induced damage in SKH-mice and may help reduce edema, eczema, lesions, acne, and inflammation (Afaq., et al., 2003; Szabolcs et al., 2026).</w:t>
      </w:r>
    </w:p>
    <w:p w14:paraId="7F3A4B86" w14:textId="77777777" w:rsidR="00DB091C" w:rsidRPr="00DB091C" w:rsidRDefault="00DB091C" w:rsidP="009769A9">
      <w:pPr>
        <w:spacing w:beforeLines="240" w:before="576" w:afterLines="240" w:after="576" w:line="240" w:lineRule="auto"/>
        <w:jc w:val="both"/>
        <w:rPr>
          <w:rStyle w:val="fontstyle01"/>
          <w:color w:val="auto"/>
          <w:sz w:val="24"/>
          <w:szCs w:val="24"/>
        </w:rPr>
      </w:pPr>
      <w:r w:rsidRPr="00DB091C">
        <w:rPr>
          <w:rStyle w:val="fontstyle01"/>
          <w:color w:val="auto"/>
          <w:sz w:val="24"/>
          <w:szCs w:val="24"/>
        </w:rPr>
        <w:t xml:space="preserve">Higher animal model organisms (non-human primates), are essential in biomedical research, however, they come with several important limitations including moral and ethical concerns, high maintenance cost under laboratory condition, produce less offspring and requires long time to study multiple generations. Alternative </w:t>
      </w:r>
      <w:r w:rsidRPr="00DB091C">
        <w:rPr>
          <w:rStyle w:val="fontstyle01"/>
          <w:i/>
          <w:iCs/>
          <w:color w:val="auto"/>
          <w:sz w:val="24"/>
          <w:szCs w:val="24"/>
        </w:rPr>
        <w:t>in-vivo</w:t>
      </w:r>
      <w:r w:rsidRPr="00DB091C">
        <w:rPr>
          <w:rStyle w:val="fontstyle01"/>
          <w:color w:val="auto"/>
          <w:sz w:val="24"/>
          <w:szCs w:val="24"/>
        </w:rPr>
        <w:t xml:space="preserve"> models often used pharmacological studies such </w:t>
      </w:r>
      <w:r w:rsidRPr="00DB091C">
        <w:rPr>
          <w:rStyle w:val="fontstyle01"/>
          <w:i/>
          <w:color w:val="auto"/>
          <w:sz w:val="24"/>
          <w:szCs w:val="24"/>
        </w:rPr>
        <w:t>Caenorhabditis elegans, Drosophila melanogaster</w:t>
      </w:r>
      <w:r w:rsidRPr="00DB091C">
        <w:rPr>
          <w:rStyle w:val="fontstyle01"/>
          <w:color w:val="auto"/>
          <w:sz w:val="24"/>
          <w:szCs w:val="24"/>
        </w:rPr>
        <w:t xml:space="preserve">, and </w:t>
      </w:r>
      <w:r w:rsidRPr="00DB091C">
        <w:rPr>
          <w:rStyle w:val="fontstyle01"/>
          <w:i/>
          <w:color w:val="auto"/>
          <w:sz w:val="24"/>
          <w:szCs w:val="24"/>
        </w:rPr>
        <w:t>Danio rerio</w:t>
      </w:r>
      <w:r w:rsidRPr="00DB091C">
        <w:rPr>
          <w:rStyle w:val="fontstyle01"/>
          <w:color w:val="auto"/>
          <w:sz w:val="24"/>
          <w:szCs w:val="24"/>
        </w:rPr>
        <w:t xml:space="preserve"> due their high fecundity, short lifespan and ease of maintenance (Rollin, 2003; Seung et al., 2022). </w:t>
      </w:r>
    </w:p>
    <w:p w14:paraId="7A703E4D" w14:textId="78910F1A" w:rsidR="00DB091C" w:rsidRPr="00DB091C" w:rsidRDefault="00DB091C" w:rsidP="009769A9">
      <w:pPr>
        <w:spacing w:beforeLines="240" w:before="576" w:afterLines="240" w:after="576" w:line="240" w:lineRule="auto"/>
        <w:jc w:val="both"/>
        <w:rPr>
          <w:rStyle w:val="fontstyle01"/>
          <w:color w:val="auto"/>
          <w:sz w:val="24"/>
          <w:szCs w:val="24"/>
        </w:rPr>
      </w:pPr>
      <w:r w:rsidRPr="00DB091C">
        <w:rPr>
          <w:rStyle w:val="fontstyle01"/>
          <w:color w:val="auto"/>
          <w:sz w:val="24"/>
          <w:szCs w:val="24"/>
        </w:rPr>
        <w:t xml:space="preserve">The 3Rs principle is fundamental ethical framework in animal research to ensure Replacement, Reduction, and Refinement to ensure minimizing the number of higher animals for scientific research purpose which ensure by in-vivo ((invertebrates), in-vitro (cell line) and in-silico approaches (computational models) (Jein et al., 2018; Klein et al., 2015). In this context insect are widely distributed and are increasingly considered as a valuable alternative model for preclinical trials. The red flour beetle, </w:t>
      </w:r>
      <w:r w:rsidRPr="00DB091C">
        <w:rPr>
          <w:rStyle w:val="fontstyle01"/>
          <w:i/>
          <w:color w:val="auto"/>
          <w:sz w:val="24"/>
          <w:szCs w:val="24"/>
        </w:rPr>
        <w:t>Tribolium castaneum (T.</w:t>
      </w:r>
      <w:r w:rsidR="00682160">
        <w:rPr>
          <w:rStyle w:val="fontstyle01"/>
          <w:i/>
          <w:color w:val="auto"/>
          <w:sz w:val="24"/>
          <w:szCs w:val="24"/>
        </w:rPr>
        <w:t xml:space="preserve"> </w:t>
      </w:r>
      <w:r w:rsidRPr="00DB091C">
        <w:rPr>
          <w:rStyle w:val="fontstyle01"/>
          <w:i/>
          <w:color w:val="auto"/>
          <w:sz w:val="24"/>
          <w:szCs w:val="24"/>
        </w:rPr>
        <w:t xml:space="preserve">castaneum) </w:t>
      </w:r>
      <w:r w:rsidRPr="00DB091C">
        <w:rPr>
          <w:rStyle w:val="fontstyle01"/>
          <w:color w:val="auto"/>
          <w:sz w:val="24"/>
          <w:szCs w:val="24"/>
        </w:rPr>
        <w:t xml:space="preserve">is an alternative emergent animal model due to its short life cycle, high fecundity, and ease of maintenance. Its genome has been fully sequenced and is more representative of higher animals than that of </w:t>
      </w:r>
      <w:r w:rsidRPr="00DB091C">
        <w:rPr>
          <w:rStyle w:val="fontstyle01"/>
          <w:i/>
          <w:color w:val="auto"/>
          <w:sz w:val="24"/>
          <w:szCs w:val="24"/>
        </w:rPr>
        <w:t>Drosophila</w:t>
      </w:r>
      <w:r w:rsidRPr="00DB091C">
        <w:rPr>
          <w:rStyle w:val="fontstyle01"/>
          <w:color w:val="auto"/>
          <w:sz w:val="24"/>
          <w:szCs w:val="24"/>
        </w:rPr>
        <w:t xml:space="preserve"> (Schroder et al., 2008). It is an invaluable model for evaluating toxicological and pharmaceutical studies and as well as for screening transgenerational and epigenetic risk factors that are difficult to screen in humans (Campbell et al., 2022; </w:t>
      </w:r>
      <w:proofErr w:type="spellStart"/>
      <w:r w:rsidRPr="00DB091C">
        <w:rPr>
          <w:rStyle w:val="fontstyle01"/>
          <w:color w:val="auto"/>
          <w:sz w:val="24"/>
          <w:szCs w:val="24"/>
        </w:rPr>
        <w:t>Bingsohn</w:t>
      </w:r>
      <w:proofErr w:type="spellEnd"/>
      <w:r w:rsidRPr="00DB091C">
        <w:rPr>
          <w:rStyle w:val="fontstyle01"/>
          <w:color w:val="auto"/>
          <w:sz w:val="24"/>
          <w:szCs w:val="24"/>
        </w:rPr>
        <w:t xml:space="preserve"> et al., 2014).</w:t>
      </w:r>
    </w:p>
    <w:p w14:paraId="3F12FC18" w14:textId="2FB45DC2" w:rsidR="00DB091C" w:rsidRPr="00DB091C" w:rsidRDefault="00DB091C" w:rsidP="009769A9">
      <w:pPr>
        <w:spacing w:beforeLines="240" w:before="576" w:afterLines="240" w:after="576" w:line="240" w:lineRule="auto"/>
        <w:jc w:val="both"/>
        <w:rPr>
          <w:rStyle w:val="fontstyle01"/>
          <w:color w:val="auto"/>
          <w:sz w:val="24"/>
          <w:szCs w:val="24"/>
        </w:rPr>
      </w:pPr>
      <w:r w:rsidRPr="00DB091C">
        <w:rPr>
          <w:rFonts w:ascii="Times New Roman" w:hAnsi="Times New Roman" w:cs="Times New Roman"/>
          <w:sz w:val="24"/>
          <w:szCs w:val="24"/>
          <w:shd w:val="clear" w:color="auto" w:fill="FFFFFF"/>
        </w:rPr>
        <w:t xml:space="preserve">Resveratrol exhibits a double-edged sword, act as a pro-oxidant properties and toxic effects depending on the dosage level and route of administration. Further need more </w:t>
      </w:r>
      <w:r w:rsidRPr="00DB091C">
        <w:rPr>
          <w:rFonts w:ascii="Times New Roman" w:hAnsi="Times New Roman" w:cs="Times New Roman"/>
          <w:i/>
          <w:sz w:val="24"/>
          <w:szCs w:val="24"/>
          <w:shd w:val="clear" w:color="auto" w:fill="FFFFFF"/>
        </w:rPr>
        <w:t>in-vivo</w:t>
      </w:r>
      <w:r w:rsidRPr="00DB091C">
        <w:rPr>
          <w:rFonts w:ascii="Times New Roman" w:hAnsi="Times New Roman" w:cs="Times New Roman"/>
          <w:sz w:val="24"/>
          <w:szCs w:val="24"/>
          <w:shd w:val="clear" w:color="auto" w:fill="FFFFFF"/>
        </w:rPr>
        <w:t xml:space="preserve"> studies are required to better understand and mitigate side effects. </w:t>
      </w:r>
      <w:r w:rsidRPr="00DB091C">
        <w:rPr>
          <w:rStyle w:val="fontstyle01"/>
          <w:color w:val="auto"/>
          <w:sz w:val="24"/>
          <w:szCs w:val="24"/>
        </w:rPr>
        <w:t>Hydrogen peroxide is a toxic compound and produce ROS, leading to abnormal physiological functions and reduced cell viability (</w:t>
      </w:r>
      <w:r w:rsidRPr="00DB091C">
        <w:rPr>
          <w:rFonts w:ascii="Times New Roman" w:hAnsi="Times New Roman" w:cs="Times New Roman"/>
          <w:sz w:val="24"/>
          <w:szCs w:val="24"/>
        </w:rPr>
        <w:t>Subedi et al., 2017</w:t>
      </w:r>
      <w:r w:rsidRPr="00DB091C">
        <w:rPr>
          <w:rStyle w:val="fontstyle01"/>
          <w:color w:val="auto"/>
          <w:sz w:val="24"/>
          <w:szCs w:val="24"/>
        </w:rPr>
        <w:t xml:space="preserve">; Saputra et al., 2024). The current study evaluated cell viability and DPPH </w:t>
      </w:r>
      <w:r w:rsidR="005415AA">
        <w:rPr>
          <w:rStyle w:val="fontstyle01"/>
          <w:color w:val="auto"/>
          <w:sz w:val="24"/>
          <w:szCs w:val="24"/>
        </w:rPr>
        <w:t>(</w:t>
      </w:r>
      <w:r w:rsidR="005415AA" w:rsidRPr="005415AA">
        <w:rPr>
          <w:rStyle w:val="fontstyle01"/>
          <w:color w:val="auto"/>
          <w:sz w:val="24"/>
          <w:szCs w:val="24"/>
        </w:rPr>
        <w:t>2,2- Diphenyl-picrylhydrazyl</w:t>
      </w:r>
      <w:r w:rsidR="005415AA">
        <w:rPr>
          <w:rStyle w:val="fontstyle01"/>
          <w:color w:val="auto"/>
          <w:sz w:val="24"/>
          <w:szCs w:val="24"/>
        </w:rPr>
        <w:t xml:space="preserve">) </w:t>
      </w:r>
      <w:r w:rsidRPr="00DB091C">
        <w:rPr>
          <w:rStyle w:val="fontstyle01"/>
          <w:color w:val="auto"/>
          <w:sz w:val="24"/>
          <w:szCs w:val="24"/>
        </w:rPr>
        <w:t xml:space="preserve">free radical scavenging activity in </w:t>
      </w:r>
      <w:r w:rsidRPr="00DB091C">
        <w:rPr>
          <w:rStyle w:val="fontstyle01"/>
          <w:i/>
          <w:color w:val="auto"/>
          <w:sz w:val="24"/>
          <w:szCs w:val="24"/>
        </w:rPr>
        <w:t>T.</w:t>
      </w:r>
      <w:r w:rsidR="00682160">
        <w:rPr>
          <w:rStyle w:val="fontstyle01"/>
          <w:i/>
          <w:color w:val="auto"/>
          <w:sz w:val="24"/>
          <w:szCs w:val="24"/>
        </w:rPr>
        <w:t xml:space="preserve"> </w:t>
      </w:r>
      <w:r w:rsidRPr="00DB091C">
        <w:rPr>
          <w:rStyle w:val="fontstyle01"/>
          <w:i/>
          <w:color w:val="auto"/>
          <w:sz w:val="24"/>
          <w:szCs w:val="24"/>
        </w:rPr>
        <w:t>castaneum</w:t>
      </w:r>
      <w:r w:rsidRPr="00DB091C">
        <w:rPr>
          <w:rStyle w:val="fontstyle01"/>
          <w:color w:val="auto"/>
          <w:sz w:val="24"/>
          <w:szCs w:val="24"/>
        </w:rPr>
        <w:t xml:space="preserve">, oxidative stress induced by hydrogen peroxide-induced and followed by topical post-treatment with resveratrol. </w:t>
      </w:r>
    </w:p>
    <w:p w14:paraId="565E02C1" w14:textId="77777777" w:rsidR="00DB091C" w:rsidRPr="009769A9" w:rsidRDefault="00DB091C" w:rsidP="00DB091C">
      <w:pPr>
        <w:spacing w:beforeLines="240" w:before="576" w:afterLines="240" w:after="576" w:line="240" w:lineRule="auto"/>
        <w:jc w:val="both"/>
        <w:rPr>
          <w:rStyle w:val="fontstyle01"/>
          <w:b/>
          <w:color w:val="auto"/>
          <w:sz w:val="28"/>
          <w:szCs w:val="28"/>
        </w:rPr>
      </w:pPr>
      <w:r w:rsidRPr="009769A9">
        <w:rPr>
          <w:rStyle w:val="fontstyle01"/>
          <w:b/>
          <w:color w:val="auto"/>
          <w:sz w:val="28"/>
          <w:szCs w:val="28"/>
        </w:rPr>
        <w:t>MATERIAL &amp; METHODS</w:t>
      </w:r>
    </w:p>
    <w:p w14:paraId="6F9C7E60" w14:textId="77777777" w:rsidR="00DB091C" w:rsidRPr="00DB091C" w:rsidRDefault="00DB091C" w:rsidP="00DB091C">
      <w:pPr>
        <w:spacing w:beforeLines="240" w:before="576" w:afterLines="240" w:after="576" w:line="240" w:lineRule="auto"/>
        <w:jc w:val="both"/>
        <w:rPr>
          <w:rStyle w:val="Emphasis"/>
          <w:rFonts w:ascii="Times New Roman" w:hAnsi="Times New Roman" w:cs="Times New Roman"/>
          <w:sz w:val="24"/>
          <w:szCs w:val="24"/>
        </w:rPr>
      </w:pPr>
      <w:r w:rsidRPr="00DB091C">
        <w:rPr>
          <w:rStyle w:val="fontstyle21"/>
          <w:i w:val="0"/>
          <w:color w:val="auto"/>
          <w:sz w:val="24"/>
          <w:szCs w:val="24"/>
        </w:rPr>
        <w:t xml:space="preserve">Adult insects of </w:t>
      </w:r>
      <w:r w:rsidRPr="00DB091C">
        <w:rPr>
          <w:rStyle w:val="fontstyle21"/>
          <w:color w:val="auto"/>
          <w:sz w:val="24"/>
          <w:szCs w:val="24"/>
        </w:rPr>
        <w:t>T. castaneum</w:t>
      </w:r>
      <w:r w:rsidRPr="00DB091C">
        <w:rPr>
          <w:rStyle w:val="fontstyle21"/>
          <w:i w:val="0"/>
          <w:color w:val="auto"/>
          <w:sz w:val="24"/>
          <w:szCs w:val="24"/>
        </w:rPr>
        <w:t xml:space="preserve"> were obtained from a stock culture and sub-cultured in un-infested whole wheat flour. They were maintained in the insect growth chamber at 29±1</w:t>
      </w:r>
      <w:r w:rsidRPr="00DB091C">
        <w:rPr>
          <w:rStyle w:val="fontstyle21"/>
          <w:i w:val="0"/>
          <w:color w:val="auto"/>
          <w:sz w:val="24"/>
          <w:szCs w:val="24"/>
          <w:vertAlign w:val="superscript"/>
        </w:rPr>
        <w:t>o</w:t>
      </w:r>
      <w:r w:rsidRPr="00DB091C">
        <w:rPr>
          <w:rStyle w:val="fontstyle21"/>
          <w:i w:val="0"/>
          <w:color w:val="auto"/>
          <w:sz w:val="24"/>
          <w:szCs w:val="24"/>
        </w:rPr>
        <w:t>C and 70-85 % relative humidity. Healthy fourth instar larvae (18±2) were harvested, and randomly selected for the further bioassays</w:t>
      </w:r>
      <w:r w:rsidRPr="00DB091C">
        <w:rPr>
          <w:rStyle w:val="fontstyle21"/>
          <w:color w:val="auto"/>
          <w:sz w:val="24"/>
          <w:szCs w:val="24"/>
        </w:rPr>
        <w:t>.</w:t>
      </w:r>
    </w:p>
    <w:p w14:paraId="61A92807" w14:textId="77777777" w:rsidR="00DB091C" w:rsidRPr="00DB091C" w:rsidRDefault="00DB091C" w:rsidP="00DB091C">
      <w:pPr>
        <w:spacing w:beforeLines="240" w:before="576" w:afterLines="240" w:after="576" w:line="240" w:lineRule="auto"/>
        <w:jc w:val="both"/>
        <w:rPr>
          <w:rFonts w:ascii="Times New Roman" w:eastAsia="Times New Roman" w:hAnsi="Times New Roman" w:cs="Times New Roman"/>
          <w:b/>
          <w:kern w:val="0"/>
          <w:sz w:val="24"/>
          <w:szCs w:val="24"/>
          <w14:ligatures w14:val="none"/>
        </w:rPr>
      </w:pPr>
      <w:r w:rsidRPr="00DB091C">
        <w:rPr>
          <w:rStyle w:val="fontstyle21"/>
          <w:b/>
          <w:i w:val="0"/>
          <w:color w:val="auto"/>
          <w:sz w:val="24"/>
          <w:szCs w:val="24"/>
        </w:rPr>
        <w:t>Induction of oxidative stress and p</w:t>
      </w:r>
      <w:r w:rsidRPr="00DB091C">
        <w:rPr>
          <w:rFonts w:ascii="Times New Roman" w:eastAsia="Times New Roman" w:hAnsi="Times New Roman" w:cs="Times New Roman"/>
          <w:b/>
          <w:kern w:val="0"/>
          <w:sz w:val="24"/>
          <w:szCs w:val="24"/>
          <w14:ligatures w14:val="none"/>
        </w:rPr>
        <w:t xml:space="preserve">ost treatment with resveratrol </w:t>
      </w:r>
    </w:p>
    <w:p w14:paraId="317177D3" w14:textId="77777777" w:rsidR="00DB091C" w:rsidRPr="00DB091C" w:rsidRDefault="00DB091C" w:rsidP="00DB091C">
      <w:pPr>
        <w:spacing w:beforeLines="240" w:before="576" w:afterLines="240" w:after="576" w:line="240" w:lineRule="auto"/>
        <w:jc w:val="both"/>
        <w:rPr>
          <w:rStyle w:val="fontstyle21"/>
          <w:i w:val="0"/>
          <w:color w:val="auto"/>
          <w:sz w:val="24"/>
          <w:szCs w:val="24"/>
        </w:rPr>
      </w:pPr>
      <w:r w:rsidRPr="00DB091C">
        <w:rPr>
          <w:rStyle w:val="fontstyle21"/>
          <w:i w:val="0"/>
          <w:color w:val="auto"/>
          <w:sz w:val="24"/>
          <w:szCs w:val="24"/>
        </w:rPr>
        <w:t xml:space="preserve">Fourth instar larvae were transferred using a fine brush to </w:t>
      </w:r>
      <w:proofErr w:type="spellStart"/>
      <w:r w:rsidRPr="00DB091C">
        <w:rPr>
          <w:rStyle w:val="fontstyle21"/>
          <w:i w:val="0"/>
          <w:color w:val="auto"/>
          <w:sz w:val="24"/>
          <w:szCs w:val="24"/>
        </w:rPr>
        <w:t>Borosil</w:t>
      </w:r>
      <w:proofErr w:type="spellEnd"/>
      <w:r w:rsidRPr="00DB091C">
        <w:rPr>
          <w:rStyle w:val="fontstyle21"/>
          <w:i w:val="0"/>
          <w:color w:val="auto"/>
          <w:sz w:val="24"/>
          <w:szCs w:val="24"/>
        </w:rPr>
        <w:t xml:space="preserve"> glass Petri dish (100 mm diameter) and subjected to starvation for 24 h. Fumigant sub-lethal acute toxicity of hydrogen peroxide was determined by Chaubey et al., 2008 with sight modifications. </w:t>
      </w:r>
      <w:proofErr w:type="spellStart"/>
      <w:r w:rsidRPr="00DB091C">
        <w:rPr>
          <w:rStyle w:val="fontstyle21"/>
          <w:i w:val="0"/>
          <w:color w:val="auto"/>
          <w:sz w:val="24"/>
          <w:szCs w:val="24"/>
        </w:rPr>
        <w:t>Borosil</w:t>
      </w:r>
      <w:proofErr w:type="spellEnd"/>
      <w:r w:rsidRPr="00DB091C">
        <w:rPr>
          <w:rStyle w:val="fontstyle21"/>
          <w:i w:val="0"/>
          <w:color w:val="auto"/>
          <w:sz w:val="24"/>
          <w:szCs w:val="24"/>
          <w:vertAlign w:val="superscript"/>
        </w:rPr>
        <w:t>@</w:t>
      </w:r>
      <w:r w:rsidRPr="00DB091C">
        <w:rPr>
          <w:rStyle w:val="fontstyle21"/>
          <w:i w:val="0"/>
          <w:color w:val="auto"/>
          <w:sz w:val="24"/>
          <w:szCs w:val="24"/>
        </w:rPr>
        <w:t xml:space="preserve"> filter paper (90 mm diameter) was impregnated with sub-lethal concentration (LC</w:t>
      </w:r>
      <w:r w:rsidRPr="00DB091C">
        <w:rPr>
          <w:rStyle w:val="fontstyle21"/>
          <w:i w:val="0"/>
          <w:color w:val="auto"/>
          <w:sz w:val="24"/>
          <w:szCs w:val="24"/>
          <w:vertAlign w:val="subscript"/>
        </w:rPr>
        <w:t>20</w:t>
      </w:r>
      <w:r w:rsidRPr="00DB091C">
        <w:rPr>
          <w:rStyle w:val="fontstyle21"/>
          <w:i w:val="0"/>
          <w:color w:val="auto"/>
          <w:sz w:val="24"/>
          <w:szCs w:val="24"/>
        </w:rPr>
        <w:t>) of liquid hydrogen peroxide (H</w:t>
      </w:r>
      <w:r w:rsidRPr="00DB091C">
        <w:rPr>
          <w:rStyle w:val="fontstyle21"/>
          <w:i w:val="0"/>
          <w:color w:val="auto"/>
          <w:sz w:val="24"/>
          <w:szCs w:val="24"/>
          <w:vertAlign w:val="subscript"/>
        </w:rPr>
        <w:t>2</w:t>
      </w:r>
      <w:r w:rsidRPr="00DB091C">
        <w:rPr>
          <w:rStyle w:val="fontstyle21"/>
          <w:i w:val="0"/>
          <w:color w:val="auto"/>
          <w:sz w:val="24"/>
          <w:szCs w:val="24"/>
        </w:rPr>
        <w:t>O</w:t>
      </w:r>
      <w:r w:rsidRPr="00DB091C">
        <w:rPr>
          <w:rStyle w:val="fontstyle21"/>
          <w:i w:val="0"/>
          <w:color w:val="auto"/>
          <w:sz w:val="24"/>
          <w:szCs w:val="24"/>
          <w:vertAlign w:val="subscript"/>
        </w:rPr>
        <w:t>2</w:t>
      </w:r>
      <w:r w:rsidRPr="00DB091C">
        <w:rPr>
          <w:rStyle w:val="fontstyle21"/>
          <w:i w:val="0"/>
          <w:color w:val="auto"/>
          <w:sz w:val="24"/>
          <w:szCs w:val="24"/>
        </w:rPr>
        <w:t xml:space="preserve">) and placed inside the glass Petri dish. The </w:t>
      </w:r>
      <w:r w:rsidRPr="00DB091C">
        <w:rPr>
          <w:rStyle w:val="fontstyle21"/>
          <w:i w:val="0"/>
          <w:color w:val="auto"/>
          <w:sz w:val="24"/>
          <w:szCs w:val="24"/>
        </w:rPr>
        <w:lastRenderedPageBreak/>
        <w:t>solvent was allowed to evaporate for a few seconds, and the petri dish was sealed with parafilm. Non-exposed with H</w:t>
      </w:r>
      <w:r w:rsidRPr="00DB091C">
        <w:rPr>
          <w:rStyle w:val="fontstyle21"/>
          <w:i w:val="0"/>
          <w:color w:val="auto"/>
          <w:sz w:val="24"/>
          <w:szCs w:val="24"/>
          <w:vertAlign w:val="subscript"/>
        </w:rPr>
        <w:t>2</w:t>
      </w:r>
      <w:r w:rsidRPr="00DB091C">
        <w:rPr>
          <w:rStyle w:val="fontstyle21"/>
          <w:i w:val="0"/>
          <w:color w:val="auto"/>
          <w:sz w:val="24"/>
          <w:szCs w:val="24"/>
        </w:rPr>
        <w:t>O</w:t>
      </w:r>
      <w:r w:rsidRPr="00DB091C">
        <w:rPr>
          <w:rStyle w:val="fontstyle21"/>
          <w:i w:val="0"/>
          <w:color w:val="auto"/>
          <w:sz w:val="24"/>
          <w:szCs w:val="24"/>
          <w:vertAlign w:val="subscript"/>
        </w:rPr>
        <w:t>2</w:t>
      </w:r>
      <w:r w:rsidRPr="00DB091C">
        <w:rPr>
          <w:rStyle w:val="fontstyle21"/>
          <w:i w:val="0"/>
          <w:color w:val="auto"/>
          <w:sz w:val="24"/>
          <w:szCs w:val="24"/>
        </w:rPr>
        <w:t xml:space="preserve"> larvae were used as the control group. </w:t>
      </w:r>
    </w:p>
    <w:p w14:paraId="690EA6FA" w14:textId="77777777" w:rsidR="00DB091C" w:rsidRPr="00DB091C" w:rsidRDefault="00DB091C" w:rsidP="00DB091C">
      <w:pPr>
        <w:spacing w:beforeLines="240" w:before="576" w:afterLines="240" w:after="576" w:line="240" w:lineRule="auto"/>
        <w:jc w:val="both"/>
        <w:rPr>
          <w:rFonts w:ascii="Times New Roman" w:eastAsia="Times New Roman" w:hAnsi="Times New Roman" w:cs="Times New Roman"/>
          <w:kern w:val="0"/>
          <w:sz w:val="24"/>
          <w:szCs w:val="24"/>
          <w14:ligatures w14:val="none"/>
        </w:rPr>
      </w:pPr>
      <w:r w:rsidRPr="00DB091C">
        <w:rPr>
          <w:rFonts w:ascii="Times New Roman" w:eastAsia="Times New Roman" w:hAnsi="Times New Roman" w:cs="Times New Roman"/>
          <w:kern w:val="0"/>
          <w:sz w:val="24"/>
          <w:szCs w:val="24"/>
          <w14:ligatures w14:val="none"/>
        </w:rPr>
        <w:t>Post-treatment with resveratrol was performed following oxidative stress induction. After 24 h of exposure to H</w:t>
      </w:r>
      <w:r w:rsidRPr="00DB091C">
        <w:rPr>
          <w:rFonts w:ascii="Times New Roman" w:eastAsia="Times New Roman" w:hAnsi="Times New Roman" w:cs="Times New Roman"/>
          <w:kern w:val="0"/>
          <w:sz w:val="24"/>
          <w:szCs w:val="24"/>
          <w:vertAlign w:val="subscript"/>
          <w14:ligatures w14:val="none"/>
        </w:rPr>
        <w:t>2</w:t>
      </w:r>
      <w:r w:rsidRPr="00DB091C">
        <w:rPr>
          <w:rFonts w:ascii="Times New Roman" w:eastAsia="Times New Roman" w:hAnsi="Times New Roman" w:cs="Times New Roman"/>
          <w:kern w:val="0"/>
          <w:sz w:val="24"/>
          <w:szCs w:val="24"/>
          <w14:ligatures w14:val="none"/>
        </w:rPr>
        <w:t>O</w:t>
      </w:r>
      <w:r w:rsidRPr="00DB091C">
        <w:rPr>
          <w:rFonts w:ascii="Times New Roman" w:eastAsia="Times New Roman" w:hAnsi="Times New Roman" w:cs="Times New Roman"/>
          <w:kern w:val="0"/>
          <w:sz w:val="24"/>
          <w:szCs w:val="24"/>
          <w:vertAlign w:val="subscript"/>
          <w14:ligatures w14:val="none"/>
        </w:rPr>
        <w:t>2</w:t>
      </w:r>
      <w:r w:rsidRPr="00DB091C">
        <w:rPr>
          <w:rFonts w:ascii="Times New Roman" w:eastAsia="Times New Roman" w:hAnsi="Times New Roman" w:cs="Times New Roman"/>
          <w:kern w:val="0"/>
          <w:sz w:val="24"/>
          <w:szCs w:val="24"/>
          <w14:ligatures w14:val="none"/>
        </w:rPr>
        <w:t>, the larvae were topical post treatment with 2 µL of resveratrol (&gt;99 % HPLC, CAS No. 501-63-0) (1mM- prepared in 1% DMSO) against H</w:t>
      </w:r>
      <w:r w:rsidRPr="00DB091C">
        <w:rPr>
          <w:rFonts w:ascii="Times New Roman" w:eastAsia="Times New Roman" w:hAnsi="Times New Roman" w:cs="Times New Roman"/>
          <w:kern w:val="0"/>
          <w:sz w:val="24"/>
          <w:szCs w:val="24"/>
          <w:vertAlign w:val="subscript"/>
          <w14:ligatures w14:val="none"/>
        </w:rPr>
        <w:t>2</w:t>
      </w:r>
      <w:r w:rsidRPr="00DB091C">
        <w:rPr>
          <w:rFonts w:ascii="Times New Roman" w:eastAsia="Times New Roman" w:hAnsi="Times New Roman" w:cs="Times New Roman"/>
          <w:kern w:val="0"/>
          <w:sz w:val="24"/>
          <w:szCs w:val="24"/>
          <w14:ligatures w14:val="none"/>
        </w:rPr>
        <w:t>O</w:t>
      </w:r>
      <w:r w:rsidRPr="00DB091C">
        <w:rPr>
          <w:rFonts w:ascii="Times New Roman" w:eastAsia="Times New Roman" w:hAnsi="Times New Roman" w:cs="Times New Roman"/>
          <w:kern w:val="0"/>
          <w:sz w:val="24"/>
          <w:szCs w:val="24"/>
          <w:vertAlign w:val="subscript"/>
          <w14:ligatures w14:val="none"/>
        </w:rPr>
        <w:t>2</w:t>
      </w:r>
      <w:r w:rsidRPr="00DB091C">
        <w:rPr>
          <w:rFonts w:ascii="Times New Roman" w:eastAsia="Times New Roman" w:hAnsi="Times New Roman" w:cs="Times New Roman"/>
          <w:kern w:val="0"/>
          <w:sz w:val="24"/>
          <w:szCs w:val="24"/>
          <w14:ligatures w14:val="none"/>
        </w:rPr>
        <w:t xml:space="preserve"> exposed larvae according to method of Murray </w:t>
      </w:r>
      <w:r w:rsidRPr="00DB091C">
        <w:rPr>
          <w:rFonts w:ascii="Times New Roman" w:eastAsia="Times New Roman" w:hAnsi="Times New Roman" w:cs="Times New Roman"/>
          <w:i/>
          <w:kern w:val="0"/>
          <w:sz w:val="24"/>
          <w:szCs w:val="24"/>
          <w14:ligatures w14:val="none"/>
        </w:rPr>
        <w:t>el al</w:t>
      </w:r>
      <w:r w:rsidRPr="00DB091C">
        <w:rPr>
          <w:rFonts w:ascii="Times New Roman" w:eastAsia="Times New Roman" w:hAnsi="Times New Roman" w:cs="Times New Roman"/>
          <w:kern w:val="0"/>
          <w:sz w:val="24"/>
          <w:szCs w:val="24"/>
          <w14:ligatures w14:val="none"/>
        </w:rPr>
        <w:t>., 2020 with slight modifications. Meanwhile, both the H</w:t>
      </w:r>
      <w:r w:rsidRPr="00DB091C">
        <w:rPr>
          <w:rFonts w:ascii="Times New Roman" w:eastAsia="Times New Roman" w:hAnsi="Times New Roman" w:cs="Times New Roman"/>
          <w:kern w:val="0"/>
          <w:sz w:val="24"/>
          <w:szCs w:val="24"/>
          <w:vertAlign w:val="subscript"/>
          <w14:ligatures w14:val="none"/>
        </w:rPr>
        <w:t>2</w:t>
      </w:r>
      <w:r w:rsidRPr="00DB091C">
        <w:rPr>
          <w:rFonts w:ascii="Times New Roman" w:eastAsia="Times New Roman" w:hAnsi="Times New Roman" w:cs="Times New Roman"/>
          <w:kern w:val="0"/>
          <w:sz w:val="24"/>
          <w:szCs w:val="24"/>
          <w14:ligatures w14:val="none"/>
        </w:rPr>
        <w:t>O</w:t>
      </w:r>
      <w:r w:rsidRPr="00DB091C">
        <w:rPr>
          <w:rFonts w:ascii="Times New Roman" w:eastAsia="Times New Roman" w:hAnsi="Times New Roman" w:cs="Times New Roman"/>
          <w:kern w:val="0"/>
          <w:sz w:val="24"/>
          <w:szCs w:val="24"/>
          <w:vertAlign w:val="subscript"/>
          <w14:ligatures w14:val="none"/>
        </w:rPr>
        <w:t xml:space="preserve">2 </w:t>
      </w:r>
      <w:r w:rsidRPr="00DB091C">
        <w:rPr>
          <w:rFonts w:ascii="Times New Roman" w:eastAsia="Times New Roman" w:hAnsi="Times New Roman" w:cs="Times New Roman"/>
          <w:kern w:val="0"/>
          <w:sz w:val="24"/>
          <w:szCs w:val="24"/>
          <w14:ligatures w14:val="none"/>
        </w:rPr>
        <w:t>exposed larval group (without resveratrol treatment) and the control group were maintained for an additional 24 h. (n=3).</w:t>
      </w:r>
    </w:p>
    <w:p w14:paraId="7228B00A" w14:textId="4A84EDD7" w:rsidR="00DB091C" w:rsidRPr="00DB091C" w:rsidRDefault="00DB091C" w:rsidP="00DB091C">
      <w:pPr>
        <w:spacing w:beforeLines="240" w:before="576" w:afterLines="240" w:after="576" w:line="240" w:lineRule="auto"/>
        <w:jc w:val="both"/>
        <w:rPr>
          <w:rStyle w:val="fontstyle21"/>
          <w:b/>
          <w:i w:val="0"/>
          <w:color w:val="auto"/>
          <w:sz w:val="24"/>
          <w:szCs w:val="24"/>
        </w:rPr>
      </w:pPr>
      <w:r w:rsidRPr="00DB091C">
        <w:rPr>
          <w:rStyle w:val="fontstyle21"/>
          <w:b/>
          <w:i w:val="0"/>
          <w:color w:val="auto"/>
          <w:sz w:val="24"/>
          <w:szCs w:val="24"/>
        </w:rPr>
        <w:t>MTT assay</w:t>
      </w:r>
    </w:p>
    <w:p w14:paraId="1DF66D11" w14:textId="4BE64EFF" w:rsidR="00DB091C" w:rsidRPr="00DB091C" w:rsidRDefault="00DB091C" w:rsidP="00DB091C">
      <w:pPr>
        <w:spacing w:beforeLines="240" w:before="576" w:afterLines="240" w:after="576" w:line="240" w:lineRule="auto"/>
        <w:jc w:val="both"/>
        <w:rPr>
          <w:rStyle w:val="fontstyle21"/>
          <w:i w:val="0"/>
          <w:color w:val="auto"/>
          <w:sz w:val="24"/>
          <w:szCs w:val="24"/>
        </w:rPr>
      </w:pPr>
      <w:r w:rsidRPr="00DB091C">
        <w:rPr>
          <w:rStyle w:val="fontstyle21"/>
          <w:i w:val="0"/>
          <w:color w:val="auto"/>
          <w:sz w:val="24"/>
          <w:szCs w:val="24"/>
        </w:rPr>
        <w:t xml:space="preserve">Determination of cell viability by method of Catalani et al., 2023. Whole larval tissue was homogenized in PBS and centrifuged at 10,000 rpm for 10 min. The supernatant was collected. 1 ml of larval supernatant mixed with 100 µl of MTT </w:t>
      </w:r>
      <w:r w:rsidR="005415AA">
        <w:rPr>
          <w:rStyle w:val="fontstyle21"/>
          <w:i w:val="0"/>
          <w:color w:val="auto"/>
          <w:sz w:val="24"/>
          <w:szCs w:val="24"/>
        </w:rPr>
        <w:t>(</w:t>
      </w:r>
      <w:r w:rsidR="005415AA" w:rsidRPr="005415AA">
        <w:rPr>
          <w:rStyle w:val="fontstyle21"/>
          <w:i w:val="0"/>
          <w:color w:val="auto"/>
          <w:sz w:val="24"/>
          <w:szCs w:val="24"/>
        </w:rPr>
        <w:t>3-(4,5-Dimethylthiazol-2-yl)-2,5-diphenyltetrazolium bromide</w:t>
      </w:r>
      <w:r w:rsidR="005415AA">
        <w:rPr>
          <w:rStyle w:val="fontstyle21"/>
          <w:i w:val="0"/>
          <w:color w:val="auto"/>
          <w:sz w:val="24"/>
          <w:szCs w:val="24"/>
        </w:rPr>
        <w:t xml:space="preserve">) </w:t>
      </w:r>
      <w:r w:rsidRPr="00DB091C">
        <w:rPr>
          <w:rStyle w:val="fontstyle21"/>
          <w:i w:val="0"/>
          <w:color w:val="auto"/>
          <w:sz w:val="24"/>
          <w:szCs w:val="24"/>
        </w:rPr>
        <w:t>solution (5mg/ml). The mixture was incubated at room temperature for 2-4 h. During incubation, purple formazan crystals formed. After incubation, the supernatant was carefully removed and the crystals were dissolved in 1ml of DMSO. The absorbance was measured at 570 nm using a spectrophotometer</w:t>
      </w:r>
      <w:r w:rsidRPr="00DB091C">
        <w:rPr>
          <w:rStyle w:val="fontstyle21"/>
          <w:color w:val="auto"/>
          <w:sz w:val="24"/>
          <w:szCs w:val="24"/>
        </w:rPr>
        <w:t>.</w:t>
      </w:r>
    </w:p>
    <w:p w14:paraId="11C2DB5A" w14:textId="77777777" w:rsidR="00DB091C" w:rsidRPr="009769A9" w:rsidRDefault="00DB091C" w:rsidP="00DB091C">
      <w:pPr>
        <w:spacing w:beforeLines="240" w:before="576" w:afterLines="240" w:after="576" w:line="240" w:lineRule="auto"/>
        <w:jc w:val="both"/>
        <w:rPr>
          <w:rFonts w:ascii="Times New Roman" w:hAnsi="Times New Roman" w:cs="Times New Roman"/>
          <w:sz w:val="24"/>
          <w:szCs w:val="24"/>
        </w:rPr>
      </w:pPr>
      <m:oMathPara>
        <m:oMathParaPr>
          <m:jc m:val="center"/>
        </m:oMathParaPr>
        <m:oMath>
          <m:r>
            <m:rPr>
              <m:sty m:val="p"/>
            </m:rPr>
            <w:rPr>
              <w:rFonts w:ascii="Cambria Math" w:hAnsi="Cambria Math" w:cs="Times New Roman"/>
              <w:sz w:val="24"/>
              <w:szCs w:val="24"/>
            </w:rPr>
            <m:t xml:space="preserve">Cell viability </m:t>
          </m:r>
          <m:d>
            <m:dPr>
              <m:ctrlPr>
                <w:rPr>
                  <w:rFonts w:ascii="Cambria Math" w:hAnsi="Cambria Math" w:cs="Times New Roman"/>
                  <w:sz w:val="24"/>
                  <w:szCs w:val="24"/>
                </w:rPr>
              </m:ctrlPr>
            </m:dPr>
            <m:e>
              <m:r>
                <m:rPr>
                  <m:sty m:val="p"/>
                </m:rPr>
                <w:rPr>
                  <w:rFonts w:ascii="Cambria Math" w:hAnsi="Cambria Math" w:cs="Times New Roman"/>
                  <w:sz w:val="24"/>
                  <w:szCs w:val="24"/>
                </w:rPr>
                <m:t>%</m:t>
              </m:r>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OD of control-OD of test</m:t>
              </m:r>
            </m:num>
            <m:den>
              <m:r>
                <m:rPr>
                  <m:sty m:val="p"/>
                </m:rPr>
                <w:rPr>
                  <w:rFonts w:ascii="Cambria Math" w:hAnsi="Cambria Math" w:cs="Times New Roman"/>
                  <w:sz w:val="24"/>
                  <w:szCs w:val="24"/>
                </w:rPr>
                <m:t>OD of control</m:t>
              </m:r>
            </m:den>
          </m:f>
          <m:r>
            <m:rPr>
              <m:sty m:val="p"/>
            </m:rPr>
            <w:rPr>
              <w:rFonts w:ascii="Cambria Math" w:hAnsi="Cambria Math" w:cs="Times New Roman"/>
              <w:sz w:val="24"/>
              <w:szCs w:val="24"/>
            </w:rPr>
            <m:t xml:space="preserve"> ×100</m:t>
          </m:r>
        </m:oMath>
      </m:oMathPara>
    </w:p>
    <w:p w14:paraId="7B65CBAE" w14:textId="2029ACCF" w:rsidR="00DB091C" w:rsidRPr="00DB091C" w:rsidRDefault="00DB091C" w:rsidP="00DB091C">
      <w:pPr>
        <w:spacing w:beforeLines="240" w:before="576" w:afterLines="240" w:after="576" w:line="240" w:lineRule="auto"/>
        <w:jc w:val="both"/>
        <w:rPr>
          <w:rStyle w:val="fontstyle21"/>
          <w:b/>
          <w:i w:val="0"/>
          <w:color w:val="auto"/>
          <w:sz w:val="24"/>
          <w:szCs w:val="24"/>
        </w:rPr>
      </w:pPr>
      <w:r w:rsidRPr="00DB091C">
        <w:rPr>
          <w:rStyle w:val="fontstyle21"/>
          <w:i w:val="0"/>
          <w:color w:val="auto"/>
          <w:sz w:val="24"/>
          <w:szCs w:val="24"/>
        </w:rPr>
        <w:t>Control: Non-treated larvae, Test: Treated larvae</w:t>
      </w:r>
    </w:p>
    <w:p w14:paraId="0B43D710" w14:textId="77777777" w:rsidR="00DB091C" w:rsidRPr="00DB091C" w:rsidRDefault="00DB091C" w:rsidP="00DB091C">
      <w:pPr>
        <w:spacing w:beforeLines="240" w:before="576" w:afterLines="240" w:after="576" w:line="240" w:lineRule="auto"/>
        <w:jc w:val="both"/>
        <w:rPr>
          <w:rStyle w:val="fontstyle21"/>
          <w:b/>
          <w:i w:val="0"/>
          <w:color w:val="auto"/>
          <w:sz w:val="24"/>
          <w:szCs w:val="24"/>
        </w:rPr>
      </w:pPr>
      <w:r w:rsidRPr="00DB091C">
        <w:rPr>
          <w:rStyle w:val="fontstyle21"/>
          <w:b/>
          <w:i w:val="0"/>
          <w:color w:val="auto"/>
          <w:sz w:val="24"/>
          <w:szCs w:val="24"/>
        </w:rPr>
        <w:t xml:space="preserve">DPPH assay from larval homogenate </w:t>
      </w:r>
    </w:p>
    <w:p w14:paraId="449E363D" w14:textId="77777777" w:rsidR="00DB091C" w:rsidRPr="00DB091C" w:rsidRDefault="00DB091C" w:rsidP="00DB091C">
      <w:pPr>
        <w:spacing w:beforeLines="240" w:before="576" w:afterLines="240" w:after="576" w:line="240" w:lineRule="auto"/>
        <w:jc w:val="both"/>
        <w:rPr>
          <w:rFonts w:ascii="Times New Roman" w:hAnsi="Times New Roman" w:cs="Times New Roman"/>
          <w:sz w:val="24"/>
          <w:szCs w:val="24"/>
        </w:rPr>
      </w:pPr>
      <w:r w:rsidRPr="00DB091C">
        <w:rPr>
          <w:rFonts w:ascii="Times New Roman" w:hAnsi="Times New Roman" w:cs="Times New Roman"/>
          <w:sz w:val="24"/>
          <w:szCs w:val="24"/>
        </w:rPr>
        <w:t xml:space="preserve">The method followed by according to the method of Brand et al., 1995 and </w:t>
      </w:r>
      <w:proofErr w:type="spellStart"/>
      <w:r w:rsidRPr="00DB091C">
        <w:rPr>
          <w:rFonts w:ascii="Times New Roman" w:hAnsi="Times New Roman" w:cs="Times New Roman"/>
          <w:sz w:val="24"/>
          <w:szCs w:val="24"/>
        </w:rPr>
        <w:t>Rambhadur</w:t>
      </w:r>
      <w:proofErr w:type="spellEnd"/>
      <w:r w:rsidRPr="00DB091C">
        <w:rPr>
          <w:rFonts w:ascii="Times New Roman" w:hAnsi="Times New Roman" w:cs="Times New Roman"/>
          <w:sz w:val="24"/>
          <w:szCs w:val="24"/>
        </w:rPr>
        <w:t xml:space="preserve"> et al., 2017 with slight modifications. The larvae were anesthetized by kept at 4</w:t>
      </w:r>
      <w:r w:rsidRPr="00DB091C">
        <w:rPr>
          <w:rFonts w:ascii="Times New Roman" w:hAnsi="Times New Roman" w:cs="Times New Roman"/>
          <w:sz w:val="24"/>
          <w:szCs w:val="24"/>
          <w:vertAlign w:val="superscript"/>
        </w:rPr>
        <w:t>o</w:t>
      </w:r>
      <w:r w:rsidRPr="00DB091C">
        <w:rPr>
          <w:rFonts w:ascii="Times New Roman" w:hAnsi="Times New Roman" w:cs="Times New Roman"/>
          <w:sz w:val="24"/>
          <w:szCs w:val="24"/>
        </w:rPr>
        <w:t>C for few minutes and homogenized with 70% ethanol using mortar and pestle. The homogenized samples were centrifuged at 10,000 rpm for 10-15 min. An aliquot of 0.5 ml of supernatant mixed with 1 ml of ethanol and added with equal volume of 0.1 mM of DPPH (DPPH solution prepared in ethanol). The reaction mixture was incubated in the dark at room temperature for 20-30 min. DPPH solution in ethanol was used as the control, and ethanol alone served as the blank. The absorbance rate was measured at 517 nm against the blank.</w:t>
      </w:r>
    </w:p>
    <w:p w14:paraId="04938932" w14:textId="77777777" w:rsidR="00DB091C" w:rsidRPr="009769A9" w:rsidRDefault="00DB091C" w:rsidP="00DB091C">
      <w:pPr>
        <w:spacing w:beforeLines="240" w:before="576" w:afterLines="240" w:after="576" w:line="24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 xml:space="preserve">Free radical scavenging activity </m:t>
          </m:r>
          <m:d>
            <m:dPr>
              <m:ctrlPr>
                <w:rPr>
                  <w:rFonts w:ascii="Cambria Math" w:hAnsi="Cambria Math" w:cs="Times New Roman"/>
                  <w:sz w:val="24"/>
                  <w:szCs w:val="24"/>
                </w:rPr>
              </m:ctrlPr>
            </m:dPr>
            <m:e>
              <m:r>
                <m:rPr>
                  <m:sty m:val="p"/>
                </m:rPr>
                <w:rPr>
                  <w:rFonts w:ascii="Cambria Math" w:hAnsi="Cambria Math" w:cs="Times New Roman"/>
                  <w:sz w:val="24"/>
                  <w:szCs w:val="24"/>
                </w:rPr>
                <m:t>%</m:t>
              </m:r>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OD control-OD of sample</m:t>
              </m:r>
            </m:num>
            <m:den>
              <m:r>
                <m:rPr>
                  <m:sty m:val="p"/>
                </m:rPr>
                <w:rPr>
                  <w:rFonts w:ascii="Cambria Math" w:hAnsi="Cambria Math" w:cs="Times New Roman"/>
                  <w:sz w:val="24"/>
                  <w:szCs w:val="24"/>
                </w:rPr>
                <m:t>OD of control</m:t>
              </m:r>
            </m:den>
          </m:f>
          <m:r>
            <m:rPr>
              <m:sty m:val="p"/>
            </m:rPr>
            <w:rPr>
              <w:rFonts w:ascii="Cambria Math" w:hAnsi="Cambria Math" w:cs="Times New Roman"/>
              <w:sz w:val="24"/>
              <w:szCs w:val="24"/>
            </w:rPr>
            <m:t xml:space="preserve"> ×100</m:t>
          </m:r>
        </m:oMath>
      </m:oMathPara>
    </w:p>
    <w:p w14:paraId="2B02FE22" w14:textId="77777777" w:rsidR="00DB091C" w:rsidRPr="00DB091C" w:rsidRDefault="00DB091C" w:rsidP="00DB091C">
      <w:pPr>
        <w:spacing w:beforeLines="240" w:before="576" w:afterLines="240" w:after="576" w:line="240" w:lineRule="auto"/>
        <w:jc w:val="both"/>
        <w:rPr>
          <w:rFonts w:ascii="Times New Roman" w:hAnsi="Times New Roman" w:cs="Times New Roman"/>
          <w:b/>
          <w:sz w:val="24"/>
          <w:szCs w:val="24"/>
        </w:rPr>
      </w:pPr>
      <w:r w:rsidRPr="00DB091C">
        <w:rPr>
          <w:rFonts w:ascii="Times New Roman" w:hAnsi="Times New Roman" w:cs="Times New Roman"/>
          <w:b/>
          <w:sz w:val="24"/>
          <w:szCs w:val="24"/>
        </w:rPr>
        <w:t>DPPH-in-vitro Assay</w:t>
      </w:r>
    </w:p>
    <w:p w14:paraId="2CDC3652" w14:textId="33D39E14" w:rsidR="00DB091C" w:rsidRPr="00DB091C" w:rsidRDefault="00DB091C" w:rsidP="00DB091C">
      <w:pPr>
        <w:spacing w:beforeLines="240" w:before="576" w:afterLines="240" w:after="576" w:line="240" w:lineRule="auto"/>
        <w:jc w:val="both"/>
        <w:rPr>
          <w:rFonts w:ascii="Times New Roman" w:hAnsi="Times New Roman" w:cs="Times New Roman"/>
          <w:sz w:val="24"/>
          <w:szCs w:val="24"/>
        </w:rPr>
      </w:pPr>
      <w:r w:rsidRPr="00DB091C">
        <w:rPr>
          <w:rFonts w:ascii="Times New Roman" w:hAnsi="Times New Roman" w:cs="Times New Roman"/>
          <w:sz w:val="24"/>
          <w:szCs w:val="24"/>
        </w:rPr>
        <w:t xml:space="preserve">Different concertation of resveratrol 5, 10, 20, 40 and 80 µg/ml were prepared and made up to 1ml using ethanol. Ascorbic acid was prepared and used as the standard in the same way. To each sample, 1 ml of DPPH (0.1mM) solution was added. A blank solution was prepared containing the same amount of ethanol and DPPH. The mixture was incubated at room temperature for 30 min, and absorbance was measured at 517 nm. </w:t>
      </w:r>
    </w:p>
    <w:p w14:paraId="171CA4B5" w14:textId="77777777" w:rsidR="00DB091C" w:rsidRPr="00DB091C" w:rsidRDefault="00DB091C" w:rsidP="00DB091C">
      <w:pPr>
        <w:spacing w:beforeLines="240" w:before="576" w:afterLines="240" w:after="576" w:line="24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w:lastRenderedPageBreak/>
            <m:t xml:space="preserve">Free radical scavenging activity </m:t>
          </m:r>
          <m:d>
            <m:dPr>
              <m:ctrlPr>
                <w:rPr>
                  <w:rFonts w:ascii="Cambria Math" w:hAnsi="Cambria Math" w:cs="Times New Roman"/>
                  <w:sz w:val="24"/>
                  <w:szCs w:val="24"/>
                </w:rPr>
              </m:ctrlPr>
            </m:dPr>
            <m:e>
              <m:r>
                <m:rPr>
                  <m:sty m:val="p"/>
                </m:rPr>
                <w:rPr>
                  <w:rFonts w:ascii="Cambria Math" w:hAnsi="Cambria Math" w:cs="Times New Roman"/>
                  <w:sz w:val="24"/>
                  <w:szCs w:val="24"/>
                </w:rPr>
                <m:t>%</m:t>
              </m:r>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A-B</m:t>
              </m:r>
            </m:num>
            <m:den>
              <m:r>
                <m:rPr>
                  <m:sty m:val="p"/>
                </m:rPr>
                <w:rPr>
                  <w:rFonts w:ascii="Cambria Math" w:hAnsi="Cambria Math" w:cs="Times New Roman"/>
                  <w:sz w:val="24"/>
                  <w:szCs w:val="24"/>
                </w:rPr>
                <m:t>A</m:t>
              </m:r>
            </m:den>
          </m:f>
          <m:r>
            <m:rPr>
              <m:sty m:val="p"/>
            </m:rPr>
            <w:rPr>
              <w:rFonts w:ascii="Cambria Math" w:hAnsi="Cambria Math" w:cs="Times New Roman"/>
              <w:sz w:val="24"/>
              <w:szCs w:val="24"/>
            </w:rPr>
            <m:t xml:space="preserve"> ×100</m:t>
          </m:r>
        </m:oMath>
      </m:oMathPara>
    </w:p>
    <w:p w14:paraId="40E78115" w14:textId="77777777" w:rsidR="00DB091C" w:rsidRPr="00DB091C" w:rsidRDefault="00DB091C" w:rsidP="00DB091C">
      <w:pPr>
        <w:spacing w:beforeLines="240" w:before="576" w:afterLines="240" w:after="576" w:line="240" w:lineRule="auto"/>
        <w:jc w:val="both"/>
        <w:rPr>
          <w:rFonts w:ascii="Times New Roman" w:hAnsi="Times New Roman" w:cs="Times New Roman"/>
          <w:sz w:val="24"/>
          <w:szCs w:val="24"/>
        </w:rPr>
      </w:pPr>
      <w:r w:rsidRPr="00DB091C">
        <w:rPr>
          <w:rFonts w:ascii="Times New Roman" w:hAnsi="Times New Roman" w:cs="Times New Roman"/>
          <w:sz w:val="24"/>
          <w:szCs w:val="24"/>
        </w:rPr>
        <w:t>Where A is absorbance rate of blank, B is the absorbance of the sample.</w:t>
      </w:r>
    </w:p>
    <w:p w14:paraId="0C4FC77E" w14:textId="77D33940" w:rsidR="00DB091C" w:rsidRPr="00DB091C" w:rsidRDefault="009769A9" w:rsidP="00DB091C">
      <w:pPr>
        <w:spacing w:beforeLines="240" w:before="576" w:afterLines="240" w:after="576" w:line="240" w:lineRule="auto"/>
        <w:jc w:val="both"/>
        <w:rPr>
          <w:rFonts w:ascii="Times New Roman" w:hAnsi="Times New Roman" w:cs="Times New Roman"/>
          <w:sz w:val="24"/>
          <w:szCs w:val="24"/>
        </w:rPr>
      </w:pPr>
      <w:r w:rsidRPr="00DB091C">
        <w:rPr>
          <w:rFonts w:ascii="Times New Roman" w:hAnsi="Times New Roman" w:cs="Times New Roman"/>
          <w:b/>
          <w:sz w:val="24"/>
          <w:szCs w:val="24"/>
        </w:rPr>
        <w:t>Statistical analysis</w:t>
      </w:r>
      <w:r w:rsidR="00DB091C" w:rsidRPr="00DB091C">
        <w:rPr>
          <w:rFonts w:ascii="Times New Roman" w:hAnsi="Times New Roman" w:cs="Times New Roman"/>
          <w:sz w:val="24"/>
          <w:szCs w:val="24"/>
        </w:rPr>
        <w:t>:</w:t>
      </w:r>
    </w:p>
    <w:p w14:paraId="6BA4DD79" w14:textId="77777777" w:rsidR="00DB091C" w:rsidRPr="00DB091C" w:rsidRDefault="00DB091C" w:rsidP="00DB091C">
      <w:pPr>
        <w:spacing w:beforeLines="240" w:before="576" w:afterLines="240" w:after="576" w:line="240" w:lineRule="auto"/>
        <w:jc w:val="both"/>
        <w:rPr>
          <w:rFonts w:ascii="Times New Roman" w:hAnsi="Times New Roman" w:cs="Times New Roman"/>
          <w:sz w:val="24"/>
          <w:szCs w:val="24"/>
        </w:rPr>
      </w:pPr>
      <w:r w:rsidRPr="00DB091C">
        <w:rPr>
          <w:rFonts w:ascii="Times New Roman" w:hAnsi="Times New Roman" w:cs="Times New Roman"/>
          <w:sz w:val="24"/>
          <w:szCs w:val="24"/>
        </w:rPr>
        <w:t>All the data were analyzed by one way ANOVA using SPSS/20 software. The values were expressed as mean ± standard deviation followed by Tukey’s post hoc multiple comparison test. p &lt; 0.05 was considered as statistical significance.</w:t>
      </w:r>
    </w:p>
    <w:p w14:paraId="2ED16DB5" w14:textId="77777777" w:rsidR="00DB091C" w:rsidRPr="00682160" w:rsidRDefault="00DB091C" w:rsidP="009769A9">
      <w:pPr>
        <w:spacing w:beforeLines="240" w:before="576" w:afterLines="240" w:after="576" w:line="240" w:lineRule="auto"/>
        <w:rPr>
          <w:rFonts w:ascii="Times New Roman" w:hAnsi="Times New Roman" w:cs="Times New Roman"/>
          <w:b/>
          <w:sz w:val="28"/>
          <w:szCs w:val="28"/>
        </w:rPr>
      </w:pPr>
      <w:r w:rsidRPr="00682160">
        <w:rPr>
          <w:rFonts w:ascii="Times New Roman" w:hAnsi="Times New Roman" w:cs="Times New Roman"/>
          <w:b/>
          <w:sz w:val="28"/>
          <w:szCs w:val="28"/>
        </w:rPr>
        <w:t>RESULTS</w:t>
      </w:r>
    </w:p>
    <w:p w14:paraId="336A913F" w14:textId="77777777" w:rsidR="00DB091C" w:rsidRDefault="00DB091C" w:rsidP="00DB091C">
      <w:pPr>
        <w:spacing w:beforeLines="240" w:before="576" w:afterLines="240" w:after="576" w:line="240" w:lineRule="auto"/>
        <w:jc w:val="both"/>
        <w:rPr>
          <w:rFonts w:ascii="Times New Roman" w:eastAsia="Times New Roman" w:hAnsi="Times New Roman" w:cs="Times New Roman"/>
          <w:kern w:val="36"/>
          <w:sz w:val="24"/>
          <w:szCs w:val="24"/>
          <w14:ligatures w14:val="none"/>
        </w:rPr>
      </w:pPr>
      <w:r w:rsidRPr="00DB091C">
        <w:rPr>
          <w:rFonts w:ascii="Times New Roman" w:eastAsia="Times New Roman" w:hAnsi="Times New Roman" w:cs="Times New Roman"/>
          <w:kern w:val="36"/>
          <w:sz w:val="24"/>
          <w:szCs w:val="24"/>
          <w14:ligatures w14:val="none"/>
        </w:rPr>
        <w:t xml:space="preserve">The results of the </w:t>
      </w:r>
      <w:r w:rsidRPr="00DB091C">
        <w:rPr>
          <w:rFonts w:ascii="Times New Roman" w:eastAsia="Times New Roman" w:hAnsi="Times New Roman" w:cs="Times New Roman"/>
          <w:i/>
          <w:kern w:val="36"/>
          <w:sz w:val="24"/>
          <w:szCs w:val="24"/>
          <w14:ligatures w14:val="none"/>
        </w:rPr>
        <w:t>in-vitro</w:t>
      </w:r>
      <w:r w:rsidRPr="00DB091C">
        <w:rPr>
          <w:rFonts w:ascii="Times New Roman" w:eastAsia="Times New Roman" w:hAnsi="Times New Roman" w:cs="Times New Roman"/>
          <w:kern w:val="36"/>
          <w:sz w:val="24"/>
          <w:szCs w:val="24"/>
          <w14:ligatures w14:val="none"/>
        </w:rPr>
        <w:t xml:space="preserve"> free radical scavenging activity of resveratrol and ascorbic acid (standard) are shown in Figure 1 and 2, respectively. Resveratrol is a potent antioxidant and scavenges free radicals in a dose-dependent manner. The scavenging activity of resveratrol and ascorbic acid was tested at different concentrations such as 5, 10, 20, 40, and 80 µg/ml. Ascorbic acid showed scavenging activities of 30.41, 39.56, 44.74, 70.82, and 81.52 %   respectively, while resveratrol showed 37.88%, 43.61%, 50.65%, 80.98%, and 92 %, respectively. These finding revealed that both resveratrol and ascorbic acid effectively scavenging free radicals in a dose-dependent manner. The figure 1and 2 represent the IC</w:t>
      </w:r>
      <w:r w:rsidRPr="00DB091C">
        <w:rPr>
          <w:rFonts w:ascii="Times New Roman" w:eastAsia="Times New Roman" w:hAnsi="Times New Roman" w:cs="Times New Roman"/>
          <w:kern w:val="36"/>
          <w:sz w:val="24"/>
          <w:szCs w:val="24"/>
          <w:vertAlign w:val="subscript"/>
          <w14:ligatures w14:val="none"/>
        </w:rPr>
        <w:t>50</w:t>
      </w:r>
      <w:r w:rsidRPr="00DB091C">
        <w:rPr>
          <w:rFonts w:ascii="Times New Roman" w:eastAsia="Times New Roman" w:hAnsi="Times New Roman" w:cs="Times New Roman"/>
          <w:kern w:val="36"/>
          <w:sz w:val="24"/>
          <w:szCs w:val="24"/>
          <w14:ligatures w14:val="none"/>
        </w:rPr>
        <w:t xml:space="preserve"> values of resveratrol and ascorbic acid, which were 16.24 µg/ml and 25.96 µg/ml, respectively, indicating that resveratrol exhibits higher free radical quenching activity at a lower concentration compared to ascorbic acid.</w:t>
      </w:r>
    </w:p>
    <w:p w14:paraId="159DAC7E" w14:textId="2A1E24BB" w:rsidR="00682160" w:rsidRDefault="00682160" w:rsidP="00DB091C">
      <w:pPr>
        <w:spacing w:beforeLines="240" w:before="576" w:afterLines="240" w:after="576" w:line="240" w:lineRule="auto"/>
        <w:jc w:val="both"/>
        <w:rPr>
          <w:rFonts w:ascii="Times New Roman" w:eastAsia="Times New Roman" w:hAnsi="Times New Roman" w:cs="Times New Roman"/>
          <w:kern w:val="36"/>
          <w:sz w:val="24"/>
          <w:szCs w:val="24"/>
          <w14:ligatures w14:val="none"/>
        </w:rPr>
      </w:pPr>
      <w:r w:rsidRPr="00DB091C">
        <w:rPr>
          <w:rFonts w:ascii="Times New Roman" w:hAnsi="Times New Roman" w:cs="Times New Roman"/>
          <w:noProof/>
          <w:sz w:val="24"/>
          <w:szCs w:val="24"/>
          <w:lang w:val="en-IN" w:eastAsia="en-IN"/>
        </w:rPr>
        <w:drawing>
          <wp:inline distT="0" distB="0" distL="0" distR="0" wp14:anchorId="6173F0C6" wp14:editId="6D66BACA">
            <wp:extent cx="5025081" cy="2875006"/>
            <wp:effectExtent l="0" t="0" r="4445" b="19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F88AE5" w14:textId="77777777" w:rsidR="00682160" w:rsidRPr="00DB091C" w:rsidRDefault="00682160" w:rsidP="00682160">
      <w:pPr>
        <w:spacing w:beforeLines="240" w:before="576" w:afterLines="240" w:after="576" w:line="240" w:lineRule="auto"/>
        <w:jc w:val="both"/>
        <w:rPr>
          <w:rFonts w:ascii="Times New Roman" w:hAnsi="Times New Roman" w:cs="Times New Roman"/>
          <w:sz w:val="24"/>
          <w:szCs w:val="24"/>
        </w:rPr>
      </w:pPr>
      <w:r w:rsidRPr="00DB091C">
        <w:rPr>
          <w:rFonts w:ascii="Times New Roman" w:hAnsi="Times New Roman" w:cs="Times New Roman"/>
          <w:sz w:val="24"/>
          <w:szCs w:val="24"/>
        </w:rPr>
        <w:t>Figure 1. DPPH free radical scavenging activity of resveratrol at different concentration 5 10, 20, 40, and 80 µg/ml. Significant differences were observed at p &lt; 0.05 based on Tukey’s test. 50% inhibitory concentration (IC</w:t>
      </w:r>
      <w:r w:rsidRPr="00DB091C">
        <w:rPr>
          <w:rFonts w:ascii="Times New Roman" w:hAnsi="Times New Roman" w:cs="Times New Roman"/>
          <w:sz w:val="24"/>
          <w:szCs w:val="24"/>
          <w:vertAlign w:val="subscript"/>
        </w:rPr>
        <w:t>50</w:t>
      </w:r>
      <w:r w:rsidRPr="00DB091C">
        <w:rPr>
          <w:rFonts w:ascii="Times New Roman" w:hAnsi="Times New Roman" w:cs="Times New Roman"/>
          <w:sz w:val="24"/>
          <w:szCs w:val="24"/>
        </w:rPr>
        <w:t>) of resveratrol was 16.96 µg/ml (R</w:t>
      </w:r>
      <w:r w:rsidRPr="00DB091C">
        <w:rPr>
          <w:rFonts w:ascii="Times New Roman" w:hAnsi="Times New Roman" w:cs="Times New Roman"/>
          <w:sz w:val="24"/>
          <w:szCs w:val="24"/>
          <w:vertAlign w:val="superscript"/>
        </w:rPr>
        <w:t>2</w:t>
      </w:r>
      <w:r w:rsidRPr="00DB091C">
        <w:rPr>
          <w:rFonts w:ascii="Times New Roman" w:hAnsi="Times New Roman" w:cs="Times New Roman"/>
          <w:sz w:val="24"/>
          <w:szCs w:val="24"/>
        </w:rPr>
        <w:t>=0.9009). Data are presented as mean ± SD (n=3).</w:t>
      </w:r>
    </w:p>
    <w:p w14:paraId="3F6E40D2" w14:textId="77777777" w:rsidR="00682160" w:rsidRPr="00DB091C" w:rsidRDefault="00682160" w:rsidP="00682160">
      <w:pPr>
        <w:spacing w:beforeLines="240" w:before="576" w:afterLines="240" w:after="576" w:line="240" w:lineRule="auto"/>
        <w:jc w:val="both"/>
        <w:rPr>
          <w:rFonts w:ascii="Times New Roman" w:hAnsi="Times New Roman" w:cs="Times New Roman"/>
          <w:sz w:val="24"/>
          <w:szCs w:val="24"/>
        </w:rPr>
      </w:pPr>
      <w:r w:rsidRPr="00DB091C">
        <w:rPr>
          <w:rFonts w:ascii="Times New Roman" w:hAnsi="Times New Roman" w:cs="Times New Roman"/>
          <w:noProof/>
          <w:sz w:val="24"/>
          <w:szCs w:val="24"/>
          <w:lang w:val="en-IN" w:eastAsia="en-IN"/>
        </w:rPr>
        <w:lastRenderedPageBreak/>
        <w:drawing>
          <wp:inline distT="0" distB="0" distL="0" distR="0" wp14:anchorId="02D9E59A" wp14:editId="12ACF8AC">
            <wp:extent cx="6183086" cy="2641600"/>
            <wp:effectExtent l="0" t="0" r="8255"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E04D0C" w14:textId="58F295B9" w:rsidR="00682160" w:rsidRPr="00DB091C" w:rsidRDefault="00682160" w:rsidP="00682160">
      <w:pPr>
        <w:spacing w:beforeLines="240" w:before="576" w:afterLines="240" w:after="576" w:line="240" w:lineRule="auto"/>
        <w:jc w:val="both"/>
        <w:rPr>
          <w:rFonts w:ascii="Times New Roman" w:eastAsia="Times New Roman" w:hAnsi="Times New Roman" w:cs="Times New Roman"/>
          <w:kern w:val="36"/>
          <w:sz w:val="24"/>
          <w:szCs w:val="24"/>
          <w14:ligatures w14:val="none"/>
        </w:rPr>
      </w:pPr>
      <w:r w:rsidRPr="00DB091C">
        <w:rPr>
          <w:rFonts w:ascii="Times New Roman" w:hAnsi="Times New Roman" w:cs="Times New Roman"/>
          <w:sz w:val="24"/>
          <w:szCs w:val="24"/>
        </w:rPr>
        <w:t>Figure 2. DPPH free radical scavenging activity of ascorbic acid at different concentration 5</w:t>
      </w:r>
      <w:r w:rsidR="005415AA">
        <w:rPr>
          <w:rFonts w:ascii="Times New Roman" w:hAnsi="Times New Roman" w:cs="Times New Roman"/>
          <w:sz w:val="24"/>
          <w:szCs w:val="24"/>
        </w:rPr>
        <w:t>,</w:t>
      </w:r>
      <w:r w:rsidRPr="00DB091C">
        <w:rPr>
          <w:rFonts w:ascii="Times New Roman" w:hAnsi="Times New Roman" w:cs="Times New Roman"/>
          <w:sz w:val="24"/>
          <w:szCs w:val="24"/>
        </w:rPr>
        <w:t xml:space="preserve"> 10, 20, 40, and 80 µg/ml. Significant differences were observed at p &lt; 0.05 based on Tukey’s test. 50% inhibitory concentration (IC</w:t>
      </w:r>
      <w:r w:rsidRPr="00DB091C">
        <w:rPr>
          <w:rFonts w:ascii="Times New Roman" w:hAnsi="Times New Roman" w:cs="Times New Roman"/>
          <w:sz w:val="24"/>
          <w:szCs w:val="24"/>
          <w:vertAlign w:val="subscript"/>
        </w:rPr>
        <w:t>50</w:t>
      </w:r>
      <w:r w:rsidRPr="00DB091C">
        <w:rPr>
          <w:rFonts w:ascii="Times New Roman" w:hAnsi="Times New Roman" w:cs="Times New Roman"/>
          <w:sz w:val="24"/>
          <w:szCs w:val="24"/>
        </w:rPr>
        <w:t>) of ascorbic acid was 25.96 µg/ml (R</w:t>
      </w:r>
      <w:r w:rsidRPr="00DB091C">
        <w:rPr>
          <w:rFonts w:ascii="Times New Roman" w:hAnsi="Times New Roman" w:cs="Times New Roman"/>
          <w:sz w:val="24"/>
          <w:szCs w:val="24"/>
          <w:vertAlign w:val="superscript"/>
        </w:rPr>
        <w:t>2</w:t>
      </w:r>
      <w:r w:rsidRPr="00DB091C">
        <w:rPr>
          <w:rFonts w:ascii="Times New Roman" w:hAnsi="Times New Roman" w:cs="Times New Roman"/>
          <w:sz w:val="24"/>
          <w:szCs w:val="24"/>
        </w:rPr>
        <w:t>=0.9023). Data are presented as mean ± SD (n=3).</w:t>
      </w:r>
    </w:p>
    <w:p w14:paraId="1A52E539" w14:textId="00D321A8" w:rsidR="00DB091C" w:rsidRDefault="00DB091C" w:rsidP="00DB091C">
      <w:pPr>
        <w:spacing w:beforeLines="240" w:before="576" w:afterLines="240" w:after="576" w:line="240" w:lineRule="auto"/>
        <w:jc w:val="both"/>
        <w:rPr>
          <w:rFonts w:ascii="Times New Roman" w:eastAsia="Times New Roman" w:hAnsi="Times New Roman" w:cs="Times New Roman"/>
          <w:kern w:val="36"/>
          <w:sz w:val="24"/>
          <w:szCs w:val="24"/>
          <w14:ligatures w14:val="none"/>
        </w:rPr>
      </w:pPr>
      <w:r w:rsidRPr="00DB091C">
        <w:rPr>
          <w:rFonts w:ascii="Times New Roman" w:eastAsia="Times New Roman" w:hAnsi="Times New Roman" w:cs="Times New Roman"/>
          <w:kern w:val="36"/>
          <w:sz w:val="24"/>
          <w:szCs w:val="24"/>
          <w14:ligatures w14:val="none"/>
        </w:rPr>
        <w:t xml:space="preserve">The DPPH• free radical scavenging activity of </w:t>
      </w:r>
      <w:r w:rsidRPr="00DB091C">
        <w:rPr>
          <w:rFonts w:ascii="Times New Roman" w:eastAsia="Times New Roman" w:hAnsi="Times New Roman" w:cs="Times New Roman"/>
          <w:i/>
          <w:kern w:val="36"/>
          <w:sz w:val="24"/>
          <w:szCs w:val="24"/>
          <w14:ligatures w14:val="none"/>
        </w:rPr>
        <w:t>T. castaneum</w:t>
      </w:r>
      <w:r w:rsidRPr="00DB091C">
        <w:rPr>
          <w:rFonts w:ascii="Times New Roman" w:eastAsia="Times New Roman" w:hAnsi="Times New Roman" w:cs="Times New Roman"/>
          <w:kern w:val="36"/>
          <w:sz w:val="24"/>
          <w:szCs w:val="24"/>
          <w14:ligatures w14:val="none"/>
        </w:rPr>
        <w:t xml:space="preserve"> fourth instar larvae was assessed under sub-lethal acute oxidative stress induced by H</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O</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 xml:space="preserve"> and compared with control larvae at 24 h. Furthermore, larvae were topically post-treated with resveratrol following H</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O</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 xml:space="preserve"> exposure, and the activity was evaluated at 48 h (Figure</w:t>
      </w:r>
      <w:r w:rsidR="00682160">
        <w:rPr>
          <w:rFonts w:ascii="Times New Roman" w:eastAsia="Times New Roman" w:hAnsi="Times New Roman" w:cs="Times New Roman"/>
          <w:kern w:val="36"/>
          <w:sz w:val="24"/>
          <w:szCs w:val="24"/>
          <w14:ligatures w14:val="none"/>
        </w:rPr>
        <w:t xml:space="preserve"> </w:t>
      </w:r>
      <w:r w:rsidRPr="00DB091C">
        <w:rPr>
          <w:rFonts w:ascii="Times New Roman" w:eastAsia="Times New Roman" w:hAnsi="Times New Roman" w:cs="Times New Roman"/>
          <w:kern w:val="36"/>
          <w:sz w:val="24"/>
          <w:szCs w:val="24"/>
          <w14:ligatures w14:val="none"/>
        </w:rPr>
        <w:t>3). The results demonstrated a reduction in free radical scavenging activity in oxidative-stress induced larvae at 24 h and 48 h, recording as 84.31% and 81.37% compared to the control group such as 85.6% and 83.13% respectively. Meanwhile, the resveratrol-treated larvae exhibited a statistically significant enhancement in DPPH radical quenching activity compared to both H</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O</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-exposed (p &lt; 0.05).</w:t>
      </w:r>
    </w:p>
    <w:p w14:paraId="2D7233AC" w14:textId="77777777" w:rsidR="00682160" w:rsidRPr="00DB091C" w:rsidRDefault="00682160" w:rsidP="00682160">
      <w:pPr>
        <w:spacing w:beforeLines="240" w:before="576" w:afterLines="240" w:after="576" w:line="240" w:lineRule="auto"/>
        <w:jc w:val="both"/>
        <w:rPr>
          <w:rFonts w:ascii="Times New Roman" w:hAnsi="Times New Roman" w:cs="Times New Roman"/>
          <w:sz w:val="24"/>
          <w:szCs w:val="24"/>
        </w:rPr>
      </w:pPr>
      <w:r w:rsidRPr="00DB091C">
        <w:rPr>
          <w:rFonts w:ascii="Times New Roman" w:hAnsi="Times New Roman" w:cs="Times New Roman"/>
          <w:noProof/>
          <w:sz w:val="24"/>
          <w:szCs w:val="24"/>
          <w:lang w:val="en-IN" w:eastAsia="en-IN"/>
        </w:rPr>
        <w:drawing>
          <wp:inline distT="0" distB="0" distL="0" distR="0" wp14:anchorId="3E3B37F2" wp14:editId="61B4D8B4">
            <wp:extent cx="5747658" cy="3077028"/>
            <wp:effectExtent l="0" t="0" r="5715" b="9525"/>
            <wp:docPr id="582233106"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1977D7" w14:textId="573DADB5" w:rsidR="00682160" w:rsidRPr="00682160" w:rsidRDefault="00682160" w:rsidP="00DB091C">
      <w:pPr>
        <w:spacing w:beforeLines="240" w:before="576" w:afterLines="240" w:after="576" w:line="240" w:lineRule="auto"/>
        <w:jc w:val="both"/>
        <w:rPr>
          <w:rFonts w:ascii="Times New Roman" w:hAnsi="Times New Roman" w:cs="Times New Roman"/>
          <w:sz w:val="24"/>
          <w:szCs w:val="24"/>
        </w:rPr>
      </w:pPr>
      <w:r w:rsidRPr="00DB091C">
        <w:rPr>
          <w:rFonts w:ascii="Times New Roman" w:hAnsi="Times New Roman" w:cs="Times New Roman"/>
          <w:sz w:val="24"/>
          <w:szCs w:val="24"/>
        </w:rPr>
        <w:t>Figure 3. DPPH free radical scavenging activity in larval homogenates measured in control and oxidative stress state induced by H</w:t>
      </w:r>
      <w:r w:rsidRPr="00DB091C">
        <w:rPr>
          <w:rFonts w:ascii="Times New Roman" w:hAnsi="Times New Roman" w:cs="Times New Roman"/>
          <w:sz w:val="24"/>
          <w:szCs w:val="24"/>
          <w:vertAlign w:val="subscript"/>
        </w:rPr>
        <w:t>2</w:t>
      </w:r>
      <w:r w:rsidRPr="00DB091C">
        <w:rPr>
          <w:rFonts w:ascii="Times New Roman" w:hAnsi="Times New Roman" w:cs="Times New Roman"/>
          <w:sz w:val="24"/>
          <w:szCs w:val="24"/>
        </w:rPr>
        <w:t>O</w:t>
      </w:r>
      <w:r w:rsidRPr="00DB091C">
        <w:rPr>
          <w:rFonts w:ascii="Times New Roman" w:hAnsi="Times New Roman" w:cs="Times New Roman"/>
          <w:sz w:val="24"/>
          <w:szCs w:val="24"/>
          <w:vertAlign w:val="subscript"/>
        </w:rPr>
        <w:t>2</w:t>
      </w:r>
      <w:r w:rsidRPr="00DB091C">
        <w:rPr>
          <w:rFonts w:ascii="Times New Roman" w:hAnsi="Times New Roman" w:cs="Times New Roman"/>
          <w:sz w:val="24"/>
          <w:szCs w:val="24"/>
        </w:rPr>
        <w:t xml:space="preserve"> at 24 and 48 h, including post-treatment with resveratrol. Different letters (a-e) </w:t>
      </w:r>
      <w:r w:rsidRPr="00DB091C">
        <w:rPr>
          <w:rFonts w:ascii="Times New Roman" w:hAnsi="Times New Roman" w:cs="Times New Roman"/>
          <w:sz w:val="24"/>
          <w:szCs w:val="24"/>
        </w:rPr>
        <w:lastRenderedPageBreak/>
        <w:t xml:space="preserve">above the bars indicate significant differences at p &lt; 0.05 based on Tukey’s test. Data are presented as mean ± SD (n=3). </w:t>
      </w:r>
    </w:p>
    <w:p w14:paraId="5ED25726" w14:textId="14AAD944" w:rsidR="00DB091C" w:rsidRPr="009769A9" w:rsidRDefault="00DB091C" w:rsidP="00DB091C">
      <w:pPr>
        <w:spacing w:beforeLines="240" w:before="576" w:afterLines="240" w:after="576" w:line="240" w:lineRule="auto"/>
        <w:jc w:val="both"/>
        <w:rPr>
          <w:rFonts w:ascii="Times New Roman" w:eastAsia="Times New Roman" w:hAnsi="Times New Roman" w:cs="Times New Roman"/>
          <w:kern w:val="36"/>
          <w:sz w:val="24"/>
          <w:szCs w:val="24"/>
          <w14:ligatures w14:val="none"/>
        </w:rPr>
      </w:pPr>
      <w:r w:rsidRPr="00DB091C">
        <w:rPr>
          <w:rFonts w:ascii="Times New Roman" w:eastAsia="Times New Roman" w:hAnsi="Times New Roman" w:cs="Times New Roman"/>
          <w:kern w:val="36"/>
          <w:sz w:val="24"/>
          <w:szCs w:val="24"/>
          <w14:ligatures w14:val="none"/>
        </w:rPr>
        <w:t>Figure 4 shows cell viability assessed by the MTT assay, with the control larval group denoted as 100%. The cell viability of the H</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O</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 exposed larval group was significantly reduced at 24 and 48 h compared to the control, reaching 22.75% and 29.08% respectively. However, topical post-treatment with resveratrol rejuvenated the cells and increasing viability to 51.7% compared to the oxidative stress-exposed larvae at 48 h.</w:t>
      </w:r>
    </w:p>
    <w:p w14:paraId="5635CCA2" w14:textId="77777777" w:rsidR="00682160" w:rsidRPr="00DB091C" w:rsidRDefault="00682160" w:rsidP="00682160">
      <w:pPr>
        <w:spacing w:beforeLines="240" w:before="576" w:afterLines="240" w:after="576" w:line="240" w:lineRule="auto"/>
        <w:jc w:val="both"/>
        <w:rPr>
          <w:rFonts w:ascii="Times New Roman" w:eastAsia="Times New Roman" w:hAnsi="Times New Roman" w:cs="Times New Roman"/>
          <w:kern w:val="0"/>
          <w:sz w:val="24"/>
          <w:szCs w:val="24"/>
          <w14:ligatures w14:val="none"/>
        </w:rPr>
      </w:pPr>
      <w:r w:rsidRPr="00DB091C">
        <w:rPr>
          <w:rFonts w:ascii="Times New Roman" w:hAnsi="Times New Roman" w:cs="Times New Roman"/>
          <w:noProof/>
          <w:sz w:val="24"/>
          <w:szCs w:val="24"/>
          <w:lang w:val="en-IN" w:eastAsia="en-IN"/>
        </w:rPr>
        <w:drawing>
          <wp:inline distT="0" distB="0" distL="0" distR="0" wp14:anchorId="156B4D6B" wp14:editId="5085AED4">
            <wp:extent cx="5591909" cy="3304444"/>
            <wp:effectExtent l="0" t="0" r="8890" b="10795"/>
            <wp:docPr id="1658789532"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662A17" w14:textId="74B3B17D" w:rsidR="00DB091C" w:rsidRPr="00DB091C" w:rsidRDefault="00682160" w:rsidP="00DB091C">
      <w:pPr>
        <w:spacing w:beforeLines="240" w:before="576" w:afterLines="240" w:after="576" w:line="240" w:lineRule="auto"/>
        <w:jc w:val="both"/>
        <w:rPr>
          <w:rFonts w:ascii="Times New Roman" w:hAnsi="Times New Roman" w:cs="Times New Roman"/>
          <w:sz w:val="24"/>
          <w:szCs w:val="24"/>
        </w:rPr>
      </w:pPr>
      <w:r w:rsidRPr="00DB091C">
        <w:rPr>
          <w:rFonts w:ascii="Times New Roman" w:hAnsi="Times New Roman" w:cs="Times New Roman"/>
          <w:sz w:val="24"/>
          <w:szCs w:val="24"/>
        </w:rPr>
        <w:t>Figure 4.  Cell viability (%) determined by MTT assay in larval homogenates under control conditions and acute oxidative stress induced by H</w:t>
      </w:r>
      <w:r w:rsidRPr="00DB091C">
        <w:rPr>
          <w:rFonts w:ascii="Times New Roman" w:hAnsi="Times New Roman" w:cs="Times New Roman"/>
          <w:sz w:val="24"/>
          <w:szCs w:val="24"/>
          <w:vertAlign w:val="subscript"/>
        </w:rPr>
        <w:t>2</w:t>
      </w:r>
      <w:r w:rsidRPr="00DB091C">
        <w:rPr>
          <w:rFonts w:ascii="Times New Roman" w:hAnsi="Times New Roman" w:cs="Times New Roman"/>
          <w:sz w:val="24"/>
          <w:szCs w:val="24"/>
        </w:rPr>
        <w:t>O</w:t>
      </w:r>
      <w:r w:rsidRPr="00DB091C">
        <w:rPr>
          <w:rFonts w:ascii="Times New Roman" w:hAnsi="Times New Roman" w:cs="Times New Roman"/>
          <w:sz w:val="24"/>
          <w:szCs w:val="24"/>
          <w:vertAlign w:val="subscript"/>
        </w:rPr>
        <w:t>2</w:t>
      </w:r>
      <w:r w:rsidRPr="00DB091C">
        <w:rPr>
          <w:rFonts w:ascii="Times New Roman" w:hAnsi="Times New Roman" w:cs="Times New Roman"/>
          <w:sz w:val="24"/>
          <w:szCs w:val="24"/>
        </w:rPr>
        <w:t xml:space="preserve"> at 24 h. Letters A and B denoted significant differences between groups at 24 h. Cell viability (%) was also assessed at 48 h in Control, H</w:t>
      </w:r>
      <w:r w:rsidRPr="00DB091C">
        <w:rPr>
          <w:rFonts w:ascii="Times New Roman" w:hAnsi="Times New Roman" w:cs="Times New Roman"/>
          <w:sz w:val="24"/>
          <w:szCs w:val="24"/>
          <w:vertAlign w:val="subscript"/>
        </w:rPr>
        <w:t>2</w:t>
      </w:r>
      <w:r w:rsidRPr="00DB091C">
        <w:rPr>
          <w:rFonts w:ascii="Times New Roman" w:hAnsi="Times New Roman" w:cs="Times New Roman"/>
          <w:sz w:val="24"/>
          <w:szCs w:val="24"/>
        </w:rPr>
        <w:t>O</w:t>
      </w:r>
      <w:r w:rsidRPr="00DB091C">
        <w:rPr>
          <w:rFonts w:ascii="Times New Roman" w:hAnsi="Times New Roman" w:cs="Times New Roman"/>
          <w:sz w:val="24"/>
          <w:szCs w:val="24"/>
          <w:vertAlign w:val="subscript"/>
        </w:rPr>
        <w:t xml:space="preserve">2 </w:t>
      </w:r>
      <w:r w:rsidRPr="00DB091C">
        <w:rPr>
          <w:rFonts w:ascii="Times New Roman" w:hAnsi="Times New Roman" w:cs="Times New Roman"/>
          <w:sz w:val="24"/>
          <w:szCs w:val="24"/>
        </w:rPr>
        <w:t xml:space="preserve">exposed group as well as following post-treatment with resveratrol. Different letters (a, b, and c) above the bars indicate significant differences at p &lt; 0.05 based on Tukey’s test. Data are presented as mean ± SD (n=3). </w:t>
      </w:r>
    </w:p>
    <w:p w14:paraId="46B7E58B" w14:textId="77777777" w:rsidR="00DB091C" w:rsidRPr="00682160" w:rsidRDefault="00DB091C" w:rsidP="00682160">
      <w:pPr>
        <w:spacing w:beforeLines="240" w:before="576" w:afterLines="240" w:after="576" w:line="240" w:lineRule="auto"/>
        <w:rPr>
          <w:rFonts w:ascii="Times New Roman" w:hAnsi="Times New Roman" w:cs="Times New Roman"/>
          <w:b/>
          <w:sz w:val="28"/>
          <w:szCs w:val="28"/>
        </w:rPr>
      </w:pPr>
      <w:r w:rsidRPr="00682160">
        <w:rPr>
          <w:rFonts w:ascii="Times New Roman" w:hAnsi="Times New Roman" w:cs="Times New Roman"/>
          <w:b/>
          <w:sz w:val="28"/>
          <w:szCs w:val="28"/>
        </w:rPr>
        <w:t>DISCUSSION</w:t>
      </w:r>
    </w:p>
    <w:p w14:paraId="17EDF00C" w14:textId="77777777" w:rsidR="00DB091C" w:rsidRPr="00DB091C" w:rsidRDefault="00DB091C" w:rsidP="00DB091C">
      <w:pPr>
        <w:spacing w:beforeLines="240" w:before="576" w:afterLines="240" w:after="576" w:line="240" w:lineRule="auto"/>
        <w:jc w:val="both"/>
        <w:rPr>
          <w:rFonts w:ascii="Times New Roman" w:eastAsia="Times New Roman" w:hAnsi="Times New Roman" w:cs="Times New Roman"/>
          <w:kern w:val="36"/>
          <w:sz w:val="24"/>
          <w:szCs w:val="24"/>
          <w14:ligatures w14:val="none"/>
        </w:rPr>
      </w:pPr>
      <w:r w:rsidRPr="00DB091C">
        <w:rPr>
          <w:rFonts w:ascii="Times New Roman" w:eastAsia="Times New Roman" w:hAnsi="Times New Roman" w:cs="Times New Roman"/>
          <w:kern w:val="36"/>
          <w:sz w:val="24"/>
          <w:szCs w:val="24"/>
          <w14:ligatures w14:val="none"/>
        </w:rPr>
        <w:t xml:space="preserve">Oxidative stress is an endogenous physiological state in biological </w:t>
      </w:r>
      <w:proofErr w:type="gramStart"/>
      <w:r w:rsidRPr="00DB091C">
        <w:rPr>
          <w:rFonts w:ascii="Times New Roman" w:eastAsia="Times New Roman" w:hAnsi="Times New Roman" w:cs="Times New Roman"/>
          <w:kern w:val="36"/>
          <w:sz w:val="24"/>
          <w:szCs w:val="24"/>
          <w14:ligatures w14:val="none"/>
        </w:rPr>
        <w:t>system,</w:t>
      </w:r>
      <w:proofErr w:type="gramEnd"/>
      <w:r w:rsidRPr="00DB091C">
        <w:rPr>
          <w:rFonts w:ascii="Times New Roman" w:eastAsia="Times New Roman" w:hAnsi="Times New Roman" w:cs="Times New Roman"/>
          <w:kern w:val="36"/>
          <w:sz w:val="24"/>
          <w:szCs w:val="24"/>
          <w14:ligatures w14:val="none"/>
        </w:rPr>
        <w:t xml:space="preserve"> however, prolonged exposure of environmental physical and chemical toxicants leads to negative impact on the organism. Enzymatic and non-enzymatic antioxidant defense system protect against ROS and helps maintain the homeostasis of body. An imbalance between the pro-oxidants and antioxidants leads to several chronic pathological conditions. Topical application of natural extract and antioxidant serums neutralize ROS before and after exposure with blue light in human skin (Coat et al., 2020). </w:t>
      </w:r>
    </w:p>
    <w:p w14:paraId="1E1EBB14" w14:textId="77777777" w:rsidR="00DB091C" w:rsidRPr="00DB091C" w:rsidRDefault="00DB091C" w:rsidP="00DB091C">
      <w:pPr>
        <w:spacing w:beforeLines="240" w:before="576" w:afterLines="240" w:after="576" w:line="240" w:lineRule="auto"/>
        <w:jc w:val="both"/>
        <w:rPr>
          <w:rFonts w:ascii="Times New Roman" w:eastAsia="Times New Roman" w:hAnsi="Times New Roman" w:cs="Times New Roman"/>
          <w:kern w:val="36"/>
          <w:sz w:val="24"/>
          <w:szCs w:val="24"/>
          <w14:ligatures w14:val="none"/>
        </w:rPr>
      </w:pPr>
      <w:r w:rsidRPr="00DB091C">
        <w:rPr>
          <w:rFonts w:ascii="Times New Roman" w:eastAsia="Times New Roman" w:hAnsi="Times New Roman" w:cs="Times New Roman"/>
          <w:kern w:val="36"/>
          <w:sz w:val="24"/>
          <w:szCs w:val="24"/>
          <w14:ligatures w14:val="none"/>
        </w:rPr>
        <w:t>Topical application of resveratrol has been reducing hyperpigmentation in guinea pig exposed to UV radiation (Lee et al., 2014). The present study investigated the DPPH free radical quenching activity of resveratrol and its ameliorative effects against H</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O</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 xml:space="preserve"> induced oxidative stress in </w:t>
      </w:r>
      <w:r w:rsidRPr="00DB091C">
        <w:rPr>
          <w:rFonts w:ascii="Times New Roman" w:eastAsia="Times New Roman" w:hAnsi="Times New Roman" w:cs="Times New Roman"/>
          <w:i/>
          <w:kern w:val="36"/>
          <w:sz w:val="24"/>
          <w:szCs w:val="24"/>
          <w14:ligatures w14:val="none"/>
        </w:rPr>
        <w:t>T. castaneum</w:t>
      </w:r>
      <w:r w:rsidRPr="00DB091C">
        <w:rPr>
          <w:rFonts w:ascii="Times New Roman" w:eastAsia="Times New Roman" w:hAnsi="Times New Roman" w:cs="Times New Roman"/>
          <w:kern w:val="36"/>
          <w:sz w:val="24"/>
          <w:szCs w:val="24"/>
          <w14:ligatures w14:val="none"/>
        </w:rPr>
        <w:t xml:space="preserve"> fourth instar larvae.</w:t>
      </w:r>
    </w:p>
    <w:p w14:paraId="1BFBA305" w14:textId="77777777" w:rsidR="00DB091C" w:rsidRPr="00DB091C" w:rsidRDefault="00DB091C" w:rsidP="00DB091C">
      <w:pPr>
        <w:spacing w:beforeLines="240" w:before="576" w:afterLines="240" w:after="576" w:line="240" w:lineRule="auto"/>
        <w:jc w:val="both"/>
        <w:rPr>
          <w:rFonts w:ascii="Times New Roman" w:eastAsia="Times New Roman" w:hAnsi="Times New Roman" w:cs="Times New Roman"/>
          <w:kern w:val="36"/>
          <w:sz w:val="24"/>
          <w:szCs w:val="24"/>
          <w14:ligatures w14:val="none"/>
        </w:rPr>
      </w:pPr>
      <w:r w:rsidRPr="00DB091C">
        <w:rPr>
          <w:rFonts w:ascii="Times New Roman" w:eastAsia="Times New Roman" w:hAnsi="Times New Roman" w:cs="Times New Roman"/>
          <w:kern w:val="36"/>
          <w:sz w:val="24"/>
          <w:szCs w:val="24"/>
          <w14:ligatures w14:val="none"/>
        </w:rPr>
        <w:lastRenderedPageBreak/>
        <w:t>We evaluated cell viability in stress-induced larvae, following topical-post treatment with resveratrol (1mM). Hermanto et al., 2024), stated that resveratrol can reduce ROS levels, with an inhibitory concentration (IC</w:t>
      </w:r>
      <w:r w:rsidRPr="00DB091C">
        <w:rPr>
          <w:rFonts w:ascii="Times New Roman" w:eastAsia="Times New Roman" w:hAnsi="Times New Roman" w:cs="Times New Roman"/>
          <w:kern w:val="36"/>
          <w:sz w:val="24"/>
          <w:szCs w:val="24"/>
          <w:vertAlign w:val="subscript"/>
          <w14:ligatures w14:val="none"/>
        </w:rPr>
        <w:t>50</w:t>
      </w:r>
      <w:r w:rsidRPr="00DB091C">
        <w:rPr>
          <w:rFonts w:ascii="Times New Roman" w:eastAsia="Times New Roman" w:hAnsi="Times New Roman" w:cs="Times New Roman"/>
          <w:kern w:val="36"/>
          <w:sz w:val="24"/>
          <w:szCs w:val="24"/>
          <w14:ligatures w14:val="none"/>
        </w:rPr>
        <w:t xml:space="preserve">) is 32.10 µM, indicating very strong free radical scavenging activity. Resveratrol’s phenolic hydroxyl group (at the 3, 5, and 4’ positions) donate hydrogen atoms to neutralize radicals and inhibit DPPH. The present findings also revealed that resveratrol exhibited </w:t>
      </w:r>
      <w:r w:rsidRPr="00DB091C">
        <w:rPr>
          <w:rFonts w:ascii="Times New Roman" w:eastAsia="Times New Roman" w:hAnsi="Times New Roman" w:cs="Times New Roman"/>
          <w:i/>
          <w:kern w:val="36"/>
          <w:sz w:val="24"/>
          <w:szCs w:val="24"/>
          <w14:ligatures w14:val="none"/>
        </w:rPr>
        <w:t>in-vitro</w:t>
      </w:r>
      <w:r w:rsidRPr="00DB091C">
        <w:rPr>
          <w:rFonts w:ascii="Times New Roman" w:eastAsia="Times New Roman" w:hAnsi="Times New Roman" w:cs="Times New Roman"/>
          <w:kern w:val="36"/>
          <w:sz w:val="24"/>
          <w:szCs w:val="24"/>
          <w14:ligatures w14:val="none"/>
        </w:rPr>
        <w:t xml:space="preserve"> DPPH• free radical scavenging activity, effectively quenching DPPH with a low IC</w:t>
      </w:r>
      <w:r w:rsidRPr="00DB091C">
        <w:rPr>
          <w:rFonts w:ascii="Times New Roman" w:eastAsia="Times New Roman" w:hAnsi="Times New Roman" w:cs="Times New Roman"/>
          <w:kern w:val="36"/>
          <w:sz w:val="24"/>
          <w:szCs w:val="24"/>
          <w:vertAlign w:val="subscript"/>
          <w14:ligatures w14:val="none"/>
        </w:rPr>
        <w:t>50</w:t>
      </w:r>
      <w:r w:rsidRPr="00DB091C">
        <w:rPr>
          <w:rFonts w:ascii="Times New Roman" w:eastAsia="Times New Roman" w:hAnsi="Times New Roman" w:cs="Times New Roman"/>
          <w:kern w:val="36"/>
          <w:sz w:val="24"/>
          <w:szCs w:val="24"/>
          <w14:ligatures w14:val="none"/>
        </w:rPr>
        <w:t xml:space="preserve"> value 16.24 µg/ml than ascorbic acid (25.96 µg/ml). </w:t>
      </w:r>
    </w:p>
    <w:p w14:paraId="1FA9A580" w14:textId="596CBFCD" w:rsidR="00DB091C" w:rsidRPr="00DB091C" w:rsidRDefault="00DB091C" w:rsidP="00DB091C">
      <w:pPr>
        <w:spacing w:beforeLines="240" w:before="576" w:afterLines="240" w:after="576" w:line="240" w:lineRule="auto"/>
        <w:jc w:val="both"/>
        <w:rPr>
          <w:rFonts w:ascii="Times New Roman" w:eastAsia="Times New Roman" w:hAnsi="Times New Roman" w:cs="Times New Roman"/>
          <w:kern w:val="36"/>
          <w:sz w:val="24"/>
          <w:szCs w:val="24"/>
          <w14:ligatures w14:val="none"/>
        </w:rPr>
      </w:pPr>
      <w:r w:rsidRPr="00DB091C">
        <w:rPr>
          <w:rFonts w:ascii="Times New Roman" w:eastAsia="Times New Roman" w:hAnsi="Times New Roman" w:cs="Times New Roman"/>
          <w:kern w:val="36"/>
          <w:sz w:val="24"/>
          <w:szCs w:val="24"/>
          <w14:ligatures w14:val="none"/>
        </w:rPr>
        <w:t>H</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O</w:t>
      </w:r>
      <w:r w:rsidRPr="00DB091C">
        <w:rPr>
          <w:rFonts w:ascii="Times New Roman" w:eastAsia="Times New Roman" w:hAnsi="Times New Roman" w:cs="Times New Roman"/>
          <w:kern w:val="36"/>
          <w:sz w:val="24"/>
          <w:szCs w:val="24"/>
          <w:vertAlign w:val="subscript"/>
          <w14:ligatures w14:val="none"/>
        </w:rPr>
        <w:t xml:space="preserve">2 </w:t>
      </w:r>
      <w:r w:rsidRPr="00DB091C">
        <w:rPr>
          <w:rFonts w:ascii="Times New Roman" w:eastAsia="Times New Roman" w:hAnsi="Times New Roman" w:cs="Times New Roman"/>
          <w:kern w:val="36"/>
          <w:sz w:val="24"/>
          <w:szCs w:val="24"/>
          <w14:ligatures w14:val="none"/>
        </w:rPr>
        <w:t xml:space="preserve">induces oxidative stress by increasing ROS in </w:t>
      </w:r>
      <w:r w:rsidRPr="00DB091C">
        <w:rPr>
          <w:rFonts w:ascii="Times New Roman" w:eastAsia="Times New Roman" w:hAnsi="Times New Roman" w:cs="Times New Roman"/>
          <w:i/>
          <w:kern w:val="36"/>
          <w:sz w:val="24"/>
          <w:szCs w:val="24"/>
          <w14:ligatures w14:val="none"/>
        </w:rPr>
        <w:t>Drosophila melanogaster</w:t>
      </w:r>
      <w:r w:rsidRPr="00DB091C">
        <w:rPr>
          <w:rFonts w:ascii="Times New Roman" w:eastAsia="Times New Roman" w:hAnsi="Times New Roman" w:cs="Times New Roman"/>
          <w:kern w:val="36"/>
          <w:sz w:val="24"/>
          <w:szCs w:val="24"/>
          <w14:ligatures w14:val="none"/>
        </w:rPr>
        <w:t>. The exposure of H</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O</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 xml:space="preserve"> stimulates excess production of ROS and impairs cellular function (Subedi et al., 2017). Our findings demonstrated that a reduction in DPPH free radical scavenging activity in whole larval homogenates of (fourth instar) </w:t>
      </w:r>
      <w:r w:rsidRPr="00DB091C">
        <w:rPr>
          <w:rFonts w:ascii="Times New Roman" w:eastAsia="Times New Roman" w:hAnsi="Times New Roman" w:cs="Times New Roman"/>
          <w:i/>
          <w:kern w:val="36"/>
          <w:sz w:val="24"/>
          <w:szCs w:val="24"/>
          <w14:ligatures w14:val="none"/>
        </w:rPr>
        <w:t>T.</w:t>
      </w:r>
      <w:r w:rsidR="00682160">
        <w:rPr>
          <w:rFonts w:ascii="Times New Roman" w:eastAsia="Times New Roman" w:hAnsi="Times New Roman" w:cs="Times New Roman"/>
          <w:i/>
          <w:kern w:val="36"/>
          <w:sz w:val="24"/>
          <w:szCs w:val="24"/>
          <w14:ligatures w14:val="none"/>
        </w:rPr>
        <w:t xml:space="preserve"> </w:t>
      </w:r>
      <w:r w:rsidRPr="00DB091C">
        <w:rPr>
          <w:rFonts w:ascii="Times New Roman" w:eastAsia="Times New Roman" w:hAnsi="Times New Roman" w:cs="Times New Roman"/>
          <w:i/>
          <w:kern w:val="36"/>
          <w:sz w:val="24"/>
          <w:szCs w:val="24"/>
          <w14:ligatures w14:val="none"/>
        </w:rPr>
        <w:t>castaneum</w:t>
      </w:r>
      <w:r w:rsidRPr="00DB091C">
        <w:rPr>
          <w:rFonts w:ascii="Times New Roman" w:eastAsia="Times New Roman" w:hAnsi="Times New Roman" w:cs="Times New Roman"/>
          <w:kern w:val="36"/>
          <w:sz w:val="24"/>
          <w:szCs w:val="24"/>
          <w14:ligatures w14:val="none"/>
        </w:rPr>
        <w:t xml:space="preserve"> after 24 h exposure to an acute sub-lethal concentration H</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O</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 xml:space="preserve">. Subsequent topical post-treatment with resveratrol significantly enhanced DPPH• radical scavenging activity indicating that resveratrol </w:t>
      </w:r>
      <w:r w:rsidR="00682160" w:rsidRPr="00DB091C">
        <w:rPr>
          <w:rFonts w:ascii="Times New Roman" w:eastAsia="Times New Roman" w:hAnsi="Times New Roman" w:cs="Times New Roman"/>
          <w:kern w:val="36"/>
          <w:sz w:val="24"/>
          <w:szCs w:val="24"/>
          <w14:ligatures w14:val="none"/>
        </w:rPr>
        <w:t>mitigates</w:t>
      </w:r>
      <w:r w:rsidRPr="00DB091C">
        <w:rPr>
          <w:rFonts w:ascii="Times New Roman" w:eastAsia="Times New Roman" w:hAnsi="Times New Roman" w:cs="Times New Roman"/>
          <w:kern w:val="36"/>
          <w:sz w:val="24"/>
          <w:szCs w:val="24"/>
          <w14:ligatures w14:val="none"/>
        </w:rPr>
        <w:t xml:space="preserve"> oxidative stress and helps restore the antioxidant defense system in the model organism.</w:t>
      </w:r>
    </w:p>
    <w:p w14:paraId="4A3ED932" w14:textId="77777777" w:rsidR="00DB091C" w:rsidRPr="00682160" w:rsidRDefault="00DB091C" w:rsidP="00DB091C">
      <w:pPr>
        <w:spacing w:beforeLines="240" w:before="576" w:afterLines="240" w:after="576" w:line="240" w:lineRule="auto"/>
        <w:jc w:val="both"/>
        <w:rPr>
          <w:rFonts w:ascii="Times New Roman" w:eastAsia="Times New Roman" w:hAnsi="Times New Roman" w:cs="Times New Roman"/>
          <w:b/>
          <w:kern w:val="36"/>
          <w:sz w:val="28"/>
          <w:szCs w:val="28"/>
          <w14:ligatures w14:val="none"/>
        </w:rPr>
      </w:pPr>
      <w:r w:rsidRPr="00682160">
        <w:rPr>
          <w:rFonts w:ascii="Times New Roman" w:eastAsia="Times New Roman" w:hAnsi="Times New Roman" w:cs="Times New Roman"/>
          <w:b/>
          <w:kern w:val="36"/>
          <w:sz w:val="28"/>
          <w:szCs w:val="28"/>
          <w14:ligatures w14:val="none"/>
        </w:rPr>
        <w:t>CONCLUSION</w:t>
      </w:r>
    </w:p>
    <w:p w14:paraId="681F27C2" w14:textId="77777777" w:rsidR="00DB091C" w:rsidRPr="00DB091C" w:rsidRDefault="00DB091C" w:rsidP="00DB091C">
      <w:pPr>
        <w:spacing w:beforeLines="240" w:before="576" w:afterLines="240" w:after="576" w:line="240" w:lineRule="auto"/>
        <w:jc w:val="both"/>
        <w:rPr>
          <w:rFonts w:ascii="Times New Roman" w:eastAsia="Times New Roman" w:hAnsi="Times New Roman" w:cs="Times New Roman"/>
          <w:kern w:val="0"/>
          <w:sz w:val="24"/>
          <w:szCs w:val="24"/>
          <w14:ligatures w14:val="none"/>
        </w:rPr>
      </w:pPr>
      <w:r w:rsidRPr="00DB091C">
        <w:rPr>
          <w:rFonts w:ascii="Times New Roman" w:eastAsia="Times New Roman" w:hAnsi="Times New Roman" w:cs="Times New Roman"/>
          <w:kern w:val="0"/>
          <w:sz w:val="24"/>
          <w:szCs w:val="24"/>
          <w14:ligatures w14:val="none"/>
        </w:rPr>
        <w:t xml:space="preserve">The findings of this study revealed that </w:t>
      </w:r>
      <w:r w:rsidRPr="00DB091C">
        <w:rPr>
          <w:rFonts w:ascii="Times New Roman" w:eastAsia="Times New Roman" w:hAnsi="Times New Roman" w:cs="Times New Roman"/>
          <w:i/>
          <w:kern w:val="0"/>
          <w:sz w:val="24"/>
          <w:szCs w:val="24"/>
          <w14:ligatures w14:val="none"/>
        </w:rPr>
        <w:t>T. castaneum</w:t>
      </w:r>
      <w:r w:rsidRPr="00DB091C">
        <w:rPr>
          <w:rFonts w:ascii="Times New Roman" w:eastAsia="Times New Roman" w:hAnsi="Times New Roman" w:cs="Times New Roman"/>
          <w:kern w:val="0"/>
          <w:sz w:val="24"/>
          <w:szCs w:val="24"/>
          <w14:ligatures w14:val="none"/>
        </w:rPr>
        <w:t xml:space="preserve"> serves as promising alternative model organism to vertebrate for preliminary pharmaceutical and toxicological investigations. H</w:t>
      </w:r>
      <w:r w:rsidRPr="00DB091C">
        <w:rPr>
          <w:rFonts w:ascii="Times New Roman" w:eastAsia="Times New Roman" w:hAnsi="Times New Roman" w:cs="Times New Roman"/>
          <w:kern w:val="0"/>
          <w:sz w:val="24"/>
          <w:szCs w:val="24"/>
          <w:vertAlign w:val="subscript"/>
          <w14:ligatures w14:val="none"/>
        </w:rPr>
        <w:t>2</w:t>
      </w:r>
      <w:r w:rsidRPr="00DB091C">
        <w:rPr>
          <w:rFonts w:ascii="Times New Roman" w:eastAsia="Times New Roman" w:hAnsi="Times New Roman" w:cs="Times New Roman"/>
          <w:kern w:val="0"/>
          <w:sz w:val="24"/>
          <w:szCs w:val="24"/>
          <w14:ligatures w14:val="none"/>
        </w:rPr>
        <w:t>O</w:t>
      </w:r>
      <w:r w:rsidRPr="00DB091C">
        <w:rPr>
          <w:rFonts w:ascii="Times New Roman" w:eastAsia="Times New Roman" w:hAnsi="Times New Roman" w:cs="Times New Roman"/>
          <w:kern w:val="0"/>
          <w:sz w:val="24"/>
          <w:szCs w:val="24"/>
          <w:vertAlign w:val="subscript"/>
          <w14:ligatures w14:val="none"/>
        </w:rPr>
        <w:t>2</w:t>
      </w:r>
      <w:r w:rsidRPr="00DB091C">
        <w:rPr>
          <w:rFonts w:ascii="Times New Roman" w:eastAsia="Times New Roman" w:hAnsi="Times New Roman" w:cs="Times New Roman"/>
          <w:kern w:val="0"/>
          <w:sz w:val="24"/>
          <w:szCs w:val="24"/>
          <w14:ligatures w14:val="none"/>
        </w:rPr>
        <w:t xml:space="preserve">-induced oxidative stress significantly reduced cell viability and DPPH free radical scavenging activity in fourth instar larvae of </w:t>
      </w:r>
      <w:r w:rsidRPr="00DB091C">
        <w:rPr>
          <w:rFonts w:ascii="Times New Roman" w:eastAsia="Times New Roman" w:hAnsi="Times New Roman" w:cs="Times New Roman"/>
          <w:i/>
          <w:kern w:val="0"/>
          <w:sz w:val="24"/>
          <w:szCs w:val="24"/>
          <w14:ligatures w14:val="none"/>
        </w:rPr>
        <w:t>T. castaneum</w:t>
      </w:r>
      <w:r w:rsidRPr="00DB091C">
        <w:rPr>
          <w:rFonts w:ascii="Times New Roman" w:eastAsia="Times New Roman" w:hAnsi="Times New Roman" w:cs="Times New Roman"/>
          <w:kern w:val="0"/>
          <w:sz w:val="24"/>
          <w:szCs w:val="24"/>
          <w14:ligatures w14:val="none"/>
        </w:rPr>
        <w:t xml:space="preserve">. However, post-treatment with resveratrol significantly improved cell survival, indicating its protective and restorative effects against oxidative damage. These findings suggest that resveratrol has potential may serve as a potential therapeutic agent in mitigating oxidative stress-induced cellular injury. Nevertheless, further </w:t>
      </w:r>
      <w:r w:rsidRPr="00DB091C">
        <w:rPr>
          <w:rFonts w:ascii="Times New Roman" w:eastAsia="Times New Roman" w:hAnsi="Times New Roman" w:cs="Times New Roman"/>
          <w:i/>
          <w:kern w:val="0"/>
          <w:sz w:val="24"/>
          <w:szCs w:val="24"/>
          <w14:ligatures w14:val="none"/>
        </w:rPr>
        <w:t>in-vivo</w:t>
      </w:r>
      <w:r w:rsidRPr="00DB091C">
        <w:rPr>
          <w:rFonts w:ascii="Times New Roman" w:eastAsia="Times New Roman" w:hAnsi="Times New Roman" w:cs="Times New Roman"/>
          <w:kern w:val="0"/>
          <w:sz w:val="24"/>
          <w:szCs w:val="24"/>
          <w14:ligatures w14:val="none"/>
        </w:rPr>
        <w:t xml:space="preserve"> studies including epigenetic and transgenerational studies across different concentrations are required to evaluate its efficacy and minimize potential adverse effects associated with resveratrol.</w:t>
      </w:r>
    </w:p>
    <w:p w14:paraId="3086973D" w14:textId="77777777" w:rsidR="00DB091C" w:rsidRPr="00682160" w:rsidRDefault="00DB091C" w:rsidP="00DB091C">
      <w:pPr>
        <w:spacing w:beforeLines="240" w:before="576" w:afterLines="240" w:after="576" w:line="240" w:lineRule="auto"/>
        <w:jc w:val="both"/>
        <w:rPr>
          <w:rFonts w:ascii="Times New Roman" w:eastAsia="Times New Roman" w:hAnsi="Times New Roman" w:cs="Times New Roman"/>
          <w:b/>
          <w:kern w:val="0"/>
          <w:sz w:val="28"/>
          <w:szCs w:val="28"/>
          <w14:ligatures w14:val="none"/>
        </w:rPr>
      </w:pPr>
      <w:r w:rsidRPr="00682160">
        <w:rPr>
          <w:rFonts w:ascii="Times New Roman" w:eastAsia="Times New Roman" w:hAnsi="Times New Roman" w:cs="Times New Roman"/>
          <w:b/>
          <w:kern w:val="0"/>
          <w:sz w:val="28"/>
          <w:szCs w:val="28"/>
          <w14:ligatures w14:val="none"/>
        </w:rPr>
        <w:t>ACKNOWLEDGEMENT</w:t>
      </w:r>
    </w:p>
    <w:p w14:paraId="3664D8B3" w14:textId="77777777" w:rsidR="00DB091C" w:rsidRPr="00DB091C" w:rsidRDefault="00DB091C" w:rsidP="00DB091C">
      <w:pPr>
        <w:spacing w:beforeLines="240" w:before="576" w:afterLines="240" w:after="576" w:line="240" w:lineRule="auto"/>
        <w:jc w:val="both"/>
        <w:rPr>
          <w:rFonts w:ascii="Times New Roman" w:eastAsia="Times New Roman" w:hAnsi="Times New Roman" w:cs="Times New Roman"/>
          <w:kern w:val="36"/>
          <w:sz w:val="24"/>
          <w:szCs w:val="24"/>
          <w14:ligatures w14:val="none"/>
        </w:rPr>
      </w:pPr>
      <w:r w:rsidRPr="00DB091C">
        <w:rPr>
          <w:rFonts w:ascii="Times New Roman" w:eastAsia="Times New Roman" w:hAnsi="Times New Roman" w:cs="Times New Roman"/>
          <w:kern w:val="0"/>
          <w:sz w:val="24"/>
          <w:szCs w:val="24"/>
          <w14:ligatures w14:val="none"/>
        </w:rPr>
        <w:t>We gratefully acknowledge the ANRF (DST-SERB), Govt of India for providing grant for this study (SERB sanction order no: EEQ/2021/001049). We thank to the Department of Zoology, Bharathiar University, Coimbatore, Tamil Nadu, India for providing essential facilities needed for this study.</w:t>
      </w:r>
    </w:p>
    <w:p w14:paraId="156278D7" w14:textId="735F5FD3" w:rsidR="00DB091C" w:rsidRPr="00906FFC" w:rsidRDefault="00682160" w:rsidP="00DB091C">
      <w:pPr>
        <w:spacing w:beforeLines="240" w:before="576" w:afterLines="240" w:after="576" w:line="240" w:lineRule="auto"/>
        <w:jc w:val="both"/>
        <w:rPr>
          <w:rFonts w:ascii="Times New Roman" w:hAnsi="Times New Roman" w:cs="Times New Roman"/>
          <w:b/>
          <w:bCs/>
          <w:sz w:val="28"/>
          <w:szCs w:val="28"/>
        </w:rPr>
      </w:pPr>
      <w:r w:rsidRPr="00906FFC">
        <w:rPr>
          <w:rFonts w:ascii="Times New Roman" w:hAnsi="Times New Roman" w:cs="Times New Roman"/>
          <w:b/>
          <w:bCs/>
          <w:sz w:val="28"/>
          <w:szCs w:val="28"/>
        </w:rPr>
        <w:t>REFERENCES</w:t>
      </w:r>
    </w:p>
    <w:p w14:paraId="7DC28261"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Afaq, F., Adhami, V.M., &amp; Ahmad, N. (2003). Effects of phytochemicals on cellular pathways. </w:t>
      </w:r>
      <w:r w:rsidRPr="005415AA">
        <w:rPr>
          <w:rFonts w:ascii="Times New Roman" w:hAnsi="Times New Roman" w:cs="Times New Roman"/>
          <w:i/>
          <w:iCs/>
          <w:sz w:val="24"/>
          <w:szCs w:val="24"/>
        </w:rPr>
        <w:t>Toxicology and Applied Pharmacology</w:t>
      </w:r>
      <w:r w:rsidRPr="005415AA">
        <w:rPr>
          <w:rFonts w:ascii="Times New Roman" w:hAnsi="Times New Roman" w:cs="Times New Roman"/>
          <w:sz w:val="24"/>
          <w:szCs w:val="24"/>
        </w:rPr>
        <w:t xml:space="preserve">, 186(1), 28–37. </w:t>
      </w:r>
      <w:hyperlink r:id="rId13" w:history="1">
        <w:r w:rsidRPr="005415AA">
          <w:rPr>
            <w:rStyle w:val="Hyperlink"/>
            <w:rFonts w:ascii="Times New Roman" w:hAnsi="Times New Roman" w:cs="Times New Roman"/>
            <w:sz w:val="24"/>
            <w:szCs w:val="24"/>
          </w:rPr>
          <w:t>https://doi.org/10.1016/S0041-008X(02)00014-5</w:t>
        </w:r>
      </w:hyperlink>
      <w:r w:rsidRPr="005415AA">
        <w:rPr>
          <w:rFonts w:ascii="Times New Roman" w:hAnsi="Times New Roman" w:cs="Times New Roman"/>
          <w:sz w:val="24"/>
          <w:szCs w:val="24"/>
        </w:rPr>
        <w:t xml:space="preserve"> </w:t>
      </w:r>
    </w:p>
    <w:p w14:paraId="2A10BEDF"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Akinwumi, B.C., Bordun, K.M., &amp; Anderson, H.D. (2018). Biological activities of </w:t>
      </w:r>
      <w:proofErr w:type="spellStart"/>
      <w:r w:rsidRPr="005415AA">
        <w:rPr>
          <w:rFonts w:ascii="Times New Roman" w:hAnsi="Times New Roman" w:cs="Times New Roman"/>
          <w:sz w:val="24"/>
          <w:szCs w:val="24"/>
        </w:rPr>
        <w:t>stilbenoids</w:t>
      </w:r>
      <w:proofErr w:type="spellEnd"/>
      <w:r w:rsidRPr="005415AA">
        <w:rPr>
          <w:rFonts w:ascii="Times New Roman" w:hAnsi="Times New Roman" w:cs="Times New Roman"/>
          <w:sz w:val="24"/>
          <w:szCs w:val="24"/>
        </w:rPr>
        <w:t xml:space="preserve">. </w:t>
      </w:r>
      <w:r w:rsidRPr="005415AA">
        <w:rPr>
          <w:rFonts w:ascii="Times New Roman" w:hAnsi="Times New Roman" w:cs="Times New Roman"/>
          <w:i/>
          <w:iCs/>
          <w:sz w:val="24"/>
          <w:szCs w:val="24"/>
        </w:rPr>
        <w:t>International Journal of Molecular Sciences</w:t>
      </w:r>
      <w:r w:rsidRPr="005415AA">
        <w:rPr>
          <w:rFonts w:ascii="Times New Roman" w:hAnsi="Times New Roman" w:cs="Times New Roman"/>
          <w:sz w:val="24"/>
          <w:szCs w:val="24"/>
        </w:rPr>
        <w:t xml:space="preserve">, 19, 792. </w:t>
      </w:r>
      <w:hyperlink r:id="rId14" w:history="1">
        <w:r w:rsidRPr="005415AA">
          <w:rPr>
            <w:rStyle w:val="Hyperlink"/>
            <w:rFonts w:ascii="Times New Roman" w:hAnsi="Times New Roman" w:cs="Times New Roman"/>
            <w:sz w:val="24"/>
            <w:szCs w:val="24"/>
          </w:rPr>
          <w:t>https://doi.org/10.3390/ijms19030792</w:t>
        </w:r>
      </w:hyperlink>
      <w:r w:rsidRPr="005415AA">
        <w:rPr>
          <w:rFonts w:ascii="Times New Roman" w:hAnsi="Times New Roman" w:cs="Times New Roman"/>
          <w:sz w:val="24"/>
          <w:szCs w:val="24"/>
        </w:rPr>
        <w:t xml:space="preserve"> </w:t>
      </w:r>
    </w:p>
    <w:p w14:paraId="5F773FC2"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Bingsohn, L., Knorr, E., &amp; </w:t>
      </w:r>
      <w:proofErr w:type="spellStart"/>
      <w:r w:rsidRPr="005415AA">
        <w:rPr>
          <w:rFonts w:ascii="Times New Roman" w:hAnsi="Times New Roman" w:cs="Times New Roman"/>
          <w:sz w:val="24"/>
          <w:szCs w:val="24"/>
        </w:rPr>
        <w:t>Vilcinskas</w:t>
      </w:r>
      <w:proofErr w:type="spellEnd"/>
      <w:r w:rsidRPr="005415AA">
        <w:rPr>
          <w:rFonts w:ascii="Times New Roman" w:hAnsi="Times New Roman" w:cs="Times New Roman"/>
          <w:sz w:val="24"/>
          <w:szCs w:val="24"/>
        </w:rPr>
        <w:t xml:space="preserve">, A. (2016). The model beetle </w:t>
      </w:r>
      <w:r w:rsidRPr="005415AA">
        <w:rPr>
          <w:rFonts w:ascii="Times New Roman" w:hAnsi="Times New Roman" w:cs="Times New Roman"/>
          <w:i/>
          <w:iCs/>
          <w:sz w:val="24"/>
          <w:szCs w:val="24"/>
        </w:rPr>
        <w:t>Tribolium castaneum</w:t>
      </w:r>
      <w:r w:rsidRPr="005415AA">
        <w:rPr>
          <w:rFonts w:ascii="Times New Roman" w:hAnsi="Times New Roman" w:cs="Times New Roman"/>
          <w:sz w:val="24"/>
          <w:szCs w:val="24"/>
        </w:rPr>
        <w:t xml:space="preserve"> as an early warning system for transgenerational epigenetic side effects. </w:t>
      </w:r>
      <w:r w:rsidRPr="005415AA">
        <w:rPr>
          <w:rFonts w:ascii="Times New Roman" w:hAnsi="Times New Roman" w:cs="Times New Roman"/>
          <w:i/>
          <w:iCs/>
          <w:sz w:val="24"/>
          <w:szCs w:val="24"/>
        </w:rPr>
        <w:t>Comparative Biochemistry and Physiology Part C</w:t>
      </w:r>
      <w:r w:rsidRPr="005415AA">
        <w:rPr>
          <w:rFonts w:ascii="Times New Roman" w:hAnsi="Times New Roman" w:cs="Times New Roman"/>
          <w:sz w:val="24"/>
          <w:szCs w:val="24"/>
        </w:rPr>
        <w:t xml:space="preserve">, 18, 57–64. </w:t>
      </w:r>
      <w:hyperlink r:id="rId15" w:tgtFrame="_new" w:history="1">
        <w:r w:rsidRPr="005415AA">
          <w:rPr>
            <w:rStyle w:val="Hyperlink"/>
            <w:rFonts w:ascii="Times New Roman" w:hAnsi="Times New Roman" w:cs="Times New Roman"/>
            <w:sz w:val="24"/>
            <w:szCs w:val="24"/>
          </w:rPr>
          <w:t>https://doi.org/10.1016/j.cbpc.2016.03.002</w:t>
        </w:r>
      </w:hyperlink>
      <w:r w:rsidRPr="005415AA">
        <w:rPr>
          <w:rFonts w:ascii="Times New Roman" w:hAnsi="Times New Roman" w:cs="Times New Roman"/>
          <w:sz w:val="24"/>
          <w:szCs w:val="24"/>
        </w:rPr>
        <w:t xml:space="preserve"> </w:t>
      </w:r>
    </w:p>
    <w:p w14:paraId="7CD5F201"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Bozsányi, S., Rodrigues, R. C. G., Acquah, R., Tracy, E. C., Murphy, S. P., Tracy, J., ... &amp; </w:t>
      </w:r>
      <w:proofErr w:type="spellStart"/>
      <w:r w:rsidRPr="005415AA">
        <w:rPr>
          <w:rFonts w:ascii="Times New Roman" w:hAnsi="Times New Roman" w:cs="Times New Roman"/>
          <w:sz w:val="24"/>
          <w:szCs w:val="24"/>
        </w:rPr>
        <w:t>Paragh</w:t>
      </w:r>
      <w:proofErr w:type="spellEnd"/>
      <w:r w:rsidRPr="005415AA">
        <w:rPr>
          <w:rFonts w:ascii="Times New Roman" w:hAnsi="Times New Roman" w:cs="Times New Roman"/>
          <w:sz w:val="24"/>
          <w:szCs w:val="24"/>
        </w:rPr>
        <w:t>, G. (2026). Acute UV response of early erythema and late edema in SKH1 mice. </w:t>
      </w:r>
      <w:r w:rsidRPr="005415AA">
        <w:rPr>
          <w:rFonts w:ascii="Times New Roman" w:hAnsi="Times New Roman" w:cs="Times New Roman"/>
          <w:i/>
          <w:iCs/>
          <w:sz w:val="24"/>
          <w:szCs w:val="24"/>
        </w:rPr>
        <w:t>Journal of Photochemistry and Photobiology B: Biology</w:t>
      </w:r>
      <w:r w:rsidRPr="005415AA">
        <w:rPr>
          <w:rFonts w:ascii="Times New Roman" w:hAnsi="Times New Roman" w:cs="Times New Roman"/>
          <w:sz w:val="24"/>
          <w:szCs w:val="24"/>
        </w:rPr>
        <w:t>, 113369.</w:t>
      </w:r>
    </w:p>
    <w:p w14:paraId="36B20C38"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lastRenderedPageBreak/>
        <w:t xml:space="preserve">Campbell, J. F., </w:t>
      </w:r>
      <w:proofErr w:type="spellStart"/>
      <w:r w:rsidRPr="005415AA">
        <w:rPr>
          <w:rFonts w:ascii="Times New Roman" w:hAnsi="Times New Roman" w:cs="Times New Roman"/>
          <w:sz w:val="24"/>
          <w:szCs w:val="24"/>
        </w:rPr>
        <w:t>Athanassiou</w:t>
      </w:r>
      <w:proofErr w:type="spellEnd"/>
      <w:r w:rsidRPr="005415AA">
        <w:rPr>
          <w:rFonts w:ascii="Times New Roman" w:hAnsi="Times New Roman" w:cs="Times New Roman"/>
          <w:sz w:val="24"/>
          <w:szCs w:val="24"/>
        </w:rPr>
        <w:t xml:space="preserve">, C. G., </w:t>
      </w:r>
      <w:proofErr w:type="spellStart"/>
      <w:r w:rsidRPr="005415AA">
        <w:rPr>
          <w:rFonts w:ascii="Times New Roman" w:hAnsi="Times New Roman" w:cs="Times New Roman"/>
          <w:sz w:val="24"/>
          <w:szCs w:val="24"/>
        </w:rPr>
        <w:t>Hagstrum</w:t>
      </w:r>
      <w:proofErr w:type="spellEnd"/>
      <w:r w:rsidRPr="005415AA">
        <w:rPr>
          <w:rFonts w:ascii="Times New Roman" w:hAnsi="Times New Roman" w:cs="Times New Roman"/>
          <w:sz w:val="24"/>
          <w:szCs w:val="24"/>
        </w:rPr>
        <w:t xml:space="preserve">, D. W., &amp; Zhu, K. Y. (2022). </w:t>
      </w:r>
      <w:r w:rsidRPr="005415AA">
        <w:rPr>
          <w:rFonts w:ascii="Times New Roman" w:hAnsi="Times New Roman" w:cs="Times New Roman"/>
          <w:i/>
          <w:iCs/>
          <w:sz w:val="24"/>
          <w:szCs w:val="24"/>
        </w:rPr>
        <w:t>Tribolium castaneum</w:t>
      </w:r>
      <w:r w:rsidRPr="005415AA">
        <w:rPr>
          <w:rFonts w:ascii="Times New Roman" w:hAnsi="Times New Roman" w:cs="Times New Roman"/>
          <w:sz w:val="24"/>
          <w:szCs w:val="24"/>
        </w:rPr>
        <w:t>: a model insect for fundamental and applied research. </w:t>
      </w:r>
      <w:r w:rsidRPr="005415AA">
        <w:rPr>
          <w:rFonts w:ascii="Times New Roman" w:hAnsi="Times New Roman" w:cs="Times New Roman"/>
          <w:i/>
          <w:iCs/>
          <w:sz w:val="24"/>
          <w:szCs w:val="24"/>
        </w:rPr>
        <w:t>Annual review of entomology</w:t>
      </w:r>
      <w:r w:rsidRPr="005415AA">
        <w:rPr>
          <w:rFonts w:ascii="Times New Roman" w:hAnsi="Times New Roman" w:cs="Times New Roman"/>
          <w:sz w:val="24"/>
          <w:szCs w:val="24"/>
        </w:rPr>
        <w:t>, </w:t>
      </w:r>
      <w:r w:rsidRPr="005415AA">
        <w:rPr>
          <w:rFonts w:ascii="Times New Roman" w:hAnsi="Times New Roman" w:cs="Times New Roman"/>
          <w:i/>
          <w:iCs/>
          <w:sz w:val="24"/>
          <w:szCs w:val="24"/>
        </w:rPr>
        <w:t>67</w:t>
      </w:r>
      <w:r w:rsidRPr="005415AA">
        <w:rPr>
          <w:rFonts w:ascii="Times New Roman" w:hAnsi="Times New Roman" w:cs="Times New Roman"/>
          <w:sz w:val="24"/>
          <w:szCs w:val="24"/>
        </w:rPr>
        <w:t xml:space="preserve">(1), 347-365. </w:t>
      </w:r>
    </w:p>
    <w:p w14:paraId="678BA3EC"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Catalani, E., Del Quondam, S., Brunetti, K., Cherubini, A., Bongiorni, S., et al. (2023). Neuroprotective role of plumbagin on eye damage in </w:t>
      </w:r>
      <w:r w:rsidRPr="005415AA">
        <w:rPr>
          <w:rFonts w:ascii="Times New Roman" w:hAnsi="Times New Roman" w:cs="Times New Roman"/>
          <w:i/>
          <w:iCs/>
          <w:sz w:val="24"/>
          <w:szCs w:val="24"/>
        </w:rPr>
        <w:t>Drosophila melanogaster</w:t>
      </w:r>
      <w:r w:rsidRPr="005415AA">
        <w:rPr>
          <w:rFonts w:ascii="Times New Roman" w:hAnsi="Times New Roman" w:cs="Times New Roman"/>
          <w:sz w:val="24"/>
          <w:szCs w:val="24"/>
        </w:rPr>
        <w:t xml:space="preserve">. </w:t>
      </w:r>
      <w:r w:rsidRPr="005415AA">
        <w:rPr>
          <w:rFonts w:ascii="Times New Roman" w:hAnsi="Times New Roman" w:cs="Times New Roman"/>
          <w:i/>
          <w:iCs/>
          <w:sz w:val="24"/>
          <w:szCs w:val="24"/>
        </w:rPr>
        <w:t>Biomedicine &amp; Pharmacotherapy</w:t>
      </w:r>
      <w:r w:rsidRPr="005415AA">
        <w:rPr>
          <w:rFonts w:ascii="Times New Roman" w:hAnsi="Times New Roman" w:cs="Times New Roman"/>
          <w:sz w:val="24"/>
          <w:szCs w:val="24"/>
        </w:rPr>
        <w:t xml:space="preserve">, 166, 115298. </w:t>
      </w:r>
    </w:p>
    <w:p w14:paraId="731C7DEE"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Chaubey, M.K. (2008). Fumigant toxicity of essential oils against </w:t>
      </w:r>
      <w:proofErr w:type="spellStart"/>
      <w:r w:rsidRPr="005415AA">
        <w:rPr>
          <w:rFonts w:ascii="Times New Roman" w:hAnsi="Times New Roman" w:cs="Times New Roman"/>
          <w:i/>
          <w:iCs/>
          <w:sz w:val="24"/>
          <w:szCs w:val="24"/>
        </w:rPr>
        <w:t>Callosobruchus</w:t>
      </w:r>
      <w:proofErr w:type="spellEnd"/>
      <w:r w:rsidRPr="005415AA">
        <w:rPr>
          <w:rFonts w:ascii="Times New Roman" w:hAnsi="Times New Roman" w:cs="Times New Roman"/>
          <w:i/>
          <w:iCs/>
          <w:sz w:val="24"/>
          <w:szCs w:val="24"/>
        </w:rPr>
        <w:t xml:space="preserve"> </w:t>
      </w:r>
      <w:proofErr w:type="spellStart"/>
      <w:r w:rsidRPr="005415AA">
        <w:rPr>
          <w:rFonts w:ascii="Times New Roman" w:hAnsi="Times New Roman" w:cs="Times New Roman"/>
          <w:i/>
          <w:iCs/>
          <w:sz w:val="24"/>
          <w:szCs w:val="24"/>
        </w:rPr>
        <w:t>chinensis</w:t>
      </w:r>
      <w:proofErr w:type="spellEnd"/>
      <w:r w:rsidRPr="005415AA">
        <w:rPr>
          <w:rFonts w:ascii="Times New Roman" w:hAnsi="Times New Roman" w:cs="Times New Roman"/>
          <w:sz w:val="24"/>
          <w:szCs w:val="24"/>
        </w:rPr>
        <w:t xml:space="preserve">. </w:t>
      </w:r>
      <w:r w:rsidRPr="005415AA">
        <w:rPr>
          <w:rFonts w:ascii="Times New Roman" w:hAnsi="Times New Roman" w:cs="Times New Roman"/>
          <w:i/>
          <w:iCs/>
          <w:sz w:val="24"/>
          <w:szCs w:val="24"/>
        </w:rPr>
        <w:t>Journal of Oleo Science</w:t>
      </w:r>
      <w:r w:rsidRPr="005415AA">
        <w:rPr>
          <w:rFonts w:ascii="Times New Roman" w:hAnsi="Times New Roman" w:cs="Times New Roman"/>
          <w:sz w:val="24"/>
          <w:szCs w:val="24"/>
        </w:rPr>
        <w:t xml:space="preserve">, 57(3), 171–179. </w:t>
      </w:r>
      <w:hyperlink r:id="rId16" w:history="1">
        <w:r w:rsidRPr="005415AA">
          <w:rPr>
            <w:rStyle w:val="Hyperlink"/>
            <w:rFonts w:ascii="Times New Roman" w:hAnsi="Times New Roman" w:cs="Times New Roman"/>
            <w:sz w:val="24"/>
            <w:szCs w:val="24"/>
          </w:rPr>
          <w:t>https://doi.org/10.5650/jos.57.171</w:t>
        </w:r>
      </w:hyperlink>
      <w:r w:rsidRPr="005415AA">
        <w:rPr>
          <w:rFonts w:ascii="Times New Roman" w:hAnsi="Times New Roman" w:cs="Times New Roman"/>
          <w:sz w:val="24"/>
          <w:szCs w:val="24"/>
        </w:rPr>
        <w:t xml:space="preserve">  </w:t>
      </w:r>
    </w:p>
    <w:p w14:paraId="27181490"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Coats, J. G., Maktabi, B., </w:t>
      </w:r>
      <w:proofErr w:type="spellStart"/>
      <w:r w:rsidRPr="005415AA">
        <w:rPr>
          <w:rFonts w:ascii="Times New Roman" w:hAnsi="Times New Roman" w:cs="Times New Roman"/>
          <w:sz w:val="24"/>
          <w:szCs w:val="24"/>
        </w:rPr>
        <w:t>Abou‐Dahech</w:t>
      </w:r>
      <w:proofErr w:type="spellEnd"/>
      <w:r w:rsidRPr="005415AA">
        <w:rPr>
          <w:rFonts w:ascii="Times New Roman" w:hAnsi="Times New Roman" w:cs="Times New Roman"/>
          <w:sz w:val="24"/>
          <w:szCs w:val="24"/>
        </w:rPr>
        <w:t>, M. S., &amp; Baki, G. (2021). Blue light protection, part II—Ingredients and performance testing methods. </w:t>
      </w:r>
      <w:r w:rsidRPr="005415AA">
        <w:rPr>
          <w:rFonts w:ascii="Times New Roman" w:hAnsi="Times New Roman" w:cs="Times New Roman"/>
          <w:i/>
          <w:iCs/>
          <w:sz w:val="24"/>
          <w:szCs w:val="24"/>
        </w:rPr>
        <w:t>Journal of Cosmetic Dermatology</w:t>
      </w:r>
      <w:r w:rsidRPr="005415AA">
        <w:rPr>
          <w:rFonts w:ascii="Times New Roman" w:hAnsi="Times New Roman" w:cs="Times New Roman"/>
          <w:sz w:val="24"/>
          <w:szCs w:val="24"/>
        </w:rPr>
        <w:t>, </w:t>
      </w:r>
      <w:r w:rsidRPr="005415AA">
        <w:rPr>
          <w:rFonts w:ascii="Times New Roman" w:hAnsi="Times New Roman" w:cs="Times New Roman"/>
          <w:i/>
          <w:iCs/>
          <w:sz w:val="24"/>
          <w:szCs w:val="24"/>
        </w:rPr>
        <w:t>20</w:t>
      </w:r>
      <w:r w:rsidRPr="005415AA">
        <w:rPr>
          <w:rFonts w:ascii="Times New Roman" w:hAnsi="Times New Roman" w:cs="Times New Roman"/>
          <w:sz w:val="24"/>
          <w:szCs w:val="24"/>
        </w:rPr>
        <w:t xml:space="preserve">(3), 718-723. </w:t>
      </w:r>
    </w:p>
    <w:p w14:paraId="61D9B0F3"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Subedi, R. P., Vartak, R. R., &amp; Kale, P. G. (2017). Management of stress exerted by hydrogen peroxide in Drosophila melanogaster using </w:t>
      </w:r>
      <w:proofErr w:type="spellStart"/>
      <w:r w:rsidRPr="005415AA">
        <w:rPr>
          <w:rFonts w:ascii="Times New Roman" w:hAnsi="Times New Roman" w:cs="Times New Roman"/>
          <w:sz w:val="24"/>
          <w:szCs w:val="24"/>
        </w:rPr>
        <w:t>Abhrak</w:t>
      </w:r>
      <w:proofErr w:type="spellEnd"/>
      <w:r w:rsidRPr="005415AA">
        <w:rPr>
          <w:rFonts w:ascii="Times New Roman" w:hAnsi="Times New Roman" w:cs="Times New Roman"/>
          <w:sz w:val="24"/>
          <w:szCs w:val="24"/>
        </w:rPr>
        <w:t xml:space="preserve"> </w:t>
      </w:r>
      <w:proofErr w:type="spellStart"/>
      <w:r w:rsidRPr="005415AA">
        <w:rPr>
          <w:rFonts w:ascii="Times New Roman" w:hAnsi="Times New Roman" w:cs="Times New Roman"/>
          <w:sz w:val="24"/>
          <w:szCs w:val="24"/>
        </w:rPr>
        <w:t>bhasma</w:t>
      </w:r>
      <w:proofErr w:type="spellEnd"/>
      <w:r w:rsidRPr="005415AA">
        <w:rPr>
          <w:rFonts w:ascii="Times New Roman" w:hAnsi="Times New Roman" w:cs="Times New Roman"/>
          <w:sz w:val="24"/>
          <w:szCs w:val="24"/>
        </w:rPr>
        <w:t>. </w:t>
      </w:r>
      <w:r w:rsidRPr="005415AA">
        <w:rPr>
          <w:rFonts w:ascii="Times New Roman" w:hAnsi="Times New Roman" w:cs="Times New Roman"/>
          <w:i/>
          <w:iCs/>
          <w:sz w:val="24"/>
          <w:szCs w:val="24"/>
        </w:rPr>
        <w:t>Journal of Applied Pharmaceutical Science</w:t>
      </w:r>
      <w:r w:rsidRPr="005415AA">
        <w:rPr>
          <w:rFonts w:ascii="Times New Roman" w:hAnsi="Times New Roman" w:cs="Times New Roman"/>
          <w:sz w:val="24"/>
          <w:szCs w:val="24"/>
        </w:rPr>
        <w:t>, </w:t>
      </w:r>
      <w:r w:rsidRPr="005415AA">
        <w:rPr>
          <w:rFonts w:ascii="Times New Roman" w:hAnsi="Times New Roman" w:cs="Times New Roman"/>
          <w:i/>
          <w:iCs/>
          <w:sz w:val="24"/>
          <w:szCs w:val="24"/>
        </w:rPr>
        <w:t>7</w:t>
      </w:r>
      <w:r w:rsidRPr="005415AA">
        <w:rPr>
          <w:rFonts w:ascii="Times New Roman" w:hAnsi="Times New Roman" w:cs="Times New Roman"/>
          <w:sz w:val="24"/>
          <w:szCs w:val="24"/>
        </w:rPr>
        <w:t xml:space="preserve">(12), 065-071. </w:t>
      </w:r>
    </w:p>
    <w:p w14:paraId="776655E8"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Forman, H.J., &amp; Zhang, H. (2021). Targeting oxidative stress in disease. </w:t>
      </w:r>
      <w:r w:rsidRPr="005415AA">
        <w:rPr>
          <w:rFonts w:ascii="Times New Roman" w:hAnsi="Times New Roman" w:cs="Times New Roman"/>
          <w:i/>
          <w:iCs/>
          <w:sz w:val="24"/>
          <w:szCs w:val="24"/>
        </w:rPr>
        <w:t>Nature Reviews Drug Discovery</w:t>
      </w:r>
      <w:r w:rsidRPr="005415AA">
        <w:rPr>
          <w:rFonts w:ascii="Times New Roman" w:hAnsi="Times New Roman" w:cs="Times New Roman"/>
          <w:sz w:val="24"/>
          <w:szCs w:val="24"/>
        </w:rPr>
        <w:t xml:space="preserve">, 20(9), 689–709. </w:t>
      </w:r>
      <w:hyperlink r:id="rId17" w:history="1">
        <w:r w:rsidRPr="005415AA">
          <w:rPr>
            <w:rStyle w:val="Hyperlink"/>
            <w:rFonts w:ascii="Times New Roman" w:hAnsi="Times New Roman" w:cs="Times New Roman"/>
            <w:sz w:val="24"/>
            <w:szCs w:val="24"/>
          </w:rPr>
          <w:t>https://doi.org/10.1038/s41573-021-00233-1</w:t>
        </w:r>
      </w:hyperlink>
      <w:r w:rsidRPr="005415AA">
        <w:rPr>
          <w:rFonts w:ascii="Times New Roman" w:hAnsi="Times New Roman" w:cs="Times New Roman"/>
          <w:sz w:val="24"/>
          <w:szCs w:val="24"/>
        </w:rPr>
        <w:t xml:space="preserve"> </w:t>
      </w:r>
    </w:p>
    <w:p w14:paraId="2BFA9A3F"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Hermanto, F., </w:t>
      </w:r>
      <w:proofErr w:type="spellStart"/>
      <w:r w:rsidRPr="005415AA">
        <w:rPr>
          <w:rFonts w:ascii="Times New Roman" w:hAnsi="Times New Roman" w:cs="Times New Roman"/>
          <w:sz w:val="24"/>
          <w:szCs w:val="24"/>
        </w:rPr>
        <w:t>Haq</w:t>
      </w:r>
      <w:proofErr w:type="spellEnd"/>
      <w:r w:rsidRPr="005415AA">
        <w:rPr>
          <w:rFonts w:ascii="Times New Roman" w:hAnsi="Times New Roman" w:cs="Times New Roman"/>
          <w:sz w:val="24"/>
          <w:szCs w:val="24"/>
        </w:rPr>
        <w:t xml:space="preserve">, F.A., &amp; </w:t>
      </w:r>
      <w:proofErr w:type="spellStart"/>
      <w:r w:rsidRPr="005415AA">
        <w:rPr>
          <w:rFonts w:ascii="Times New Roman" w:hAnsi="Times New Roman" w:cs="Times New Roman"/>
          <w:sz w:val="24"/>
          <w:szCs w:val="24"/>
        </w:rPr>
        <w:t>Khasanah</w:t>
      </w:r>
      <w:proofErr w:type="spellEnd"/>
      <w:r w:rsidRPr="005415AA">
        <w:rPr>
          <w:rFonts w:ascii="Times New Roman" w:hAnsi="Times New Roman" w:cs="Times New Roman"/>
          <w:sz w:val="24"/>
          <w:szCs w:val="24"/>
        </w:rPr>
        <w:t xml:space="preserve">, R. (2024). Effect of resveratrol on antioxidant activity and antimalarial action. </w:t>
      </w:r>
      <w:r w:rsidRPr="005415AA">
        <w:rPr>
          <w:rFonts w:ascii="Times New Roman" w:hAnsi="Times New Roman" w:cs="Times New Roman"/>
          <w:i/>
          <w:iCs/>
          <w:sz w:val="24"/>
          <w:szCs w:val="24"/>
        </w:rPr>
        <w:t>Journal of Advanced Pharmaceutical Technology &amp; Research</w:t>
      </w:r>
      <w:r w:rsidRPr="005415AA">
        <w:rPr>
          <w:rFonts w:ascii="Times New Roman" w:hAnsi="Times New Roman" w:cs="Times New Roman"/>
          <w:sz w:val="24"/>
          <w:szCs w:val="24"/>
        </w:rPr>
        <w:t xml:space="preserve">, 15(4), 359–363. </w:t>
      </w:r>
      <w:hyperlink r:id="rId18" w:history="1">
        <w:r w:rsidRPr="005415AA">
          <w:rPr>
            <w:rStyle w:val="Hyperlink"/>
            <w:rFonts w:ascii="Times New Roman" w:hAnsi="Times New Roman" w:cs="Times New Roman"/>
            <w:sz w:val="24"/>
            <w:szCs w:val="24"/>
          </w:rPr>
          <w:t>https://doi.org/10.4103/JAPTR.JAPTR_144_24</w:t>
        </w:r>
      </w:hyperlink>
      <w:r w:rsidRPr="005415AA">
        <w:rPr>
          <w:rFonts w:ascii="Times New Roman" w:hAnsi="Times New Roman" w:cs="Times New Roman"/>
          <w:sz w:val="24"/>
          <w:szCs w:val="24"/>
        </w:rPr>
        <w:t xml:space="preserve">  </w:t>
      </w:r>
    </w:p>
    <w:p w14:paraId="47FC2B31"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LaFollette, H. (2020). </w:t>
      </w:r>
      <w:r w:rsidRPr="005415AA">
        <w:rPr>
          <w:rFonts w:ascii="Times New Roman" w:hAnsi="Times New Roman" w:cs="Times New Roman"/>
          <w:i/>
          <w:iCs/>
          <w:sz w:val="24"/>
          <w:szCs w:val="24"/>
        </w:rPr>
        <w:t>Ethics in Practice: An Anthology</w:t>
      </w:r>
      <w:r w:rsidRPr="005415AA">
        <w:rPr>
          <w:rFonts w:ascii="Times New Roman" w:hAnsi="Times New Roman" w:cs="Times New Roman"/>
          <w:sz w:val="24"/>
          <w:szCs w:val="24"/>
        </w:rPr>
        <w:t xml:space="preserve"> (4th ed.). Wiley. </w:t>
      </w:r>
    </w:p>
    <w:p w14:paraId="3011DB81"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Lee, T.H., Seo, J.O., Baek, S.H., &amp; Kim, S.Y. (2014). Effects of resveratrol on melanin synthesis. </w:t>
      </w:r>
      <w:r w:rsidRPr="005415AA">
        <w:rPr>
          <w:rFonts w:ascii="Times New Roman" w:hAnsi="Times New Roman" w:cs="Times New Roman"/>
          <w:i/>
          <w:iCs/>
          <w:sz w:val="24"/>
          <w:szCs w:val="24"/>
        </w:rPr>
        <w:t>Biomolecules &amp; Therapeutics</w:t>
      </w:r>
      <w:r w:rsidRPr="005415AA">
        <w:rPr>
          <w:rFonts w:ascii="Times New Roman" w:hAnsi="Times New Roman" w:cs="Times New Roman"/>
          <w:sz w:val="24"/>
          <w:szCs w:val="24"/>
        </w:rPr>
        <w:t xml:space="preserve">, 22(1), 35–40. </w:t>
      </w:r>
    </w:p>
    <w:p w14:paraId="381EC280"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Li, Z., Chen, X., Liu, G., Li, J., Zhang, J., Cao, Y., &amp; Miao, J. (2021). Antioxidant activity of resveratrol and polydatin. </w:t>
      </w:r>
      <w:r w:rsidRPr="005415AA">
        <w:rPr>
          <w:rFonts w:ascii="Times New Roman" w:hAnsi="Times New Roman" w:cs="Times New Roman"/>
          <w:i/>
          <w:iCs/>
          <w:sz w:val="24"/>
          <w:szCs w:val="24"/>
        </w:rPr>
        <w:t>Molecules</w:t>
      </w:r>
      <w:r w:rsidRPr="005415AA">
        <w:rPr>
          <w:rFonts w:ascii="Times New Roman" w:hAnsi="Times New Roman" w:cs="Times New Roman"/>
          <w:sz w:val="24"/>
          <w:szCs w:val="24"/>
        </w:rPr>
        <w:t xml:space="preserve">, 26(24), 7574. </w:t>
      </w:r>
      <w:hyperlink r:id="rId19" w:history="1">
        <w:r w:rsidRPr="005415AA">
          <w:rPr>
            <w:rStyle w:val="Hyperlink"/>
            <w:rFonts w:ascii="Times New Roman" w:hAnsi="Times New Roman" w:cs="Times New Roman"/>
            <w:sz w:val="24"/>
            <w:szCs w:val="24"/>
          </w:rPr>
          <w:t>https://doi.org/10.3390/molecules26247574</w:t>
        </w:r>
      </w:hyperlink>
      <w:r w:rsidRPr="005415AA">
        <w:rPr>
          <w:rFonts w:ascii="Times New Roman" w:hAnsi="Times New Roman" w:cs="Times New Roman"/>
          <w:sz w:val="24"/>
          <w:szCs w:val="24"/>
        </w:rPr>
        <w:t xml:space="preserve">  </w:t>
      </w:r>
    </w:p>
    <w:p w14:paraId="0F186BCA"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Murray, A., Palmer, D., Bennett, D., </w:t>
      </w:r>
      <w:proofErr w:type="spellStart"/>
      <w:r w:rsidRPr="005415AA">
        <w:rPr>
          <w:rFonts w:ascii="Times New Roman" w:hAnsi="Times New Roman" w:cs="Times New Roman"/>
          <w:sz w:val="24"/>
          <w:szCs w:val="24"/>
        </w:rPr>
        <w:t>Dwarampudi</w:t>
      </w:r>
      <w:proofErr w:type="spellEnd"/>
      <w:r w:rsidRPr="005415AA">
        <w:rPr>
          <w:rFonts w:ascii="Times New Roman" w:hAnsi="Times New Roman" w:cs="Times New Roman"/>
          <w:sz w:val="24"/>
          <w:szCs w:val="24"/>
        </w:rPr>
        <w:t xml:space="preserve">, V., De Pedro, V., &amp; Magalhães, J.A. (2020). Permeabilization of </w:t>
      </w:r>
      <w:r w:rsidRPr="005415AA">
        <w:rPr>
          <w:rFonts w:ascii="Times New Roman" w:hAnsi="Times New Roman" w:cs="Times New Roman"/>
          <w:i/>
          <w:iCs/>
          <w:sz w:val="24"/>
          <w:szCs w:val="24"/>
        </w:rPr>
        <w:t>Drosophila</w:t>
      </w:r>
      <w:r w:rsidRPr="005415AA">
        <w:rPr>
          <w:rFonts w:ascii="Times New Roman" w:hAnsi="Times New Roman" w:cs="Times New Roman"/>
          <w:sz w:val="24"/>
          <w:szCs w:val="24"/>
        </w:rPr>
        <w:t xml:space="preserve"> larvae. </w:t>
      </w:r>
      <w:r w:rsidRPr="005415AA">
        <w:rPr>
          <w:rFonts w:ascii="Times New Roman" w:hAnsi="Times New Roman" w:cs="Times New Roman"/>
          <w:i/>
          <w:iCs/>
          <w:sz w:val="24"/>
          <w:szCs w:val="24"/>
        </w:rPr>
        <w:t>Fly</w:t>
      </w:r>
      <w:r w:rsidRPr="005415AA">
        <w:rPr>
          <w:rFonts w:ascii="Times New Roman" w:hAnsi="Times New Roman" w:cs="Times New Roman"/>
          <w:sz w:val="24"/>
          <w:szCs w:val="24"/>
        </w:rPr>
        <w:t xml:space="preserve">, 14(1–4), 29–33. </w:t>
      </w:r>
      <w:hyperlink r:id="rId20" w:tgtFrame="_new" w:history="1">
        <w:r w:rsidRPr="005415AA">
          <w:rPr>
            <w:rStyle w:val="Hyperlink"/>
            <w:rFonts w:ascii="Times New Roman" w:hAnsi="Times New Roman" w:cs="Times New Roman"/>
            <w:sz w:val="24"/>
            <w:szCs w:val="24"/>
          </w:rPr>
          <w:t>https://doi.org/10.1080/19336934.2020.1724051</w:t>
        </w:r>
      </w:hyperlink>
      <w:r w:rsidRPr="005415AA">
        <w:rPr>
          <w:rFonts w:ascii="Times New Roman" w:hAnsi="Times New Roman" w:cs="Times New Roman"/>
          <w:sz w:val="24"/>
          <w:szCs w:val="24"/>
        </w:rPr>
        <w:t xml:space="preserve"> </w:t>
      </w:r>
    </w:p>
    <w:p w14:paraId="36EBDC35"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Pham-Huy, L.A., He, H., &amp; Pham-Huy, C. (2008). Free radicals and antioxidants in health. </w:t>
      </w:r>
      <w:r w:rsidRPr="005415AA">
        <w:rPr>
          <w:rFonts w:ascii="Times New Roman" w:hAnsi="Times New Roman" w:cs="Times New Roman"/>
          <w:i/>
          <w:iCs/>
          <w:sz w:val="24"/>
          <w:szCs w:val="24"/>
        </w:rPr>
        <w:t>International Journal of Biomedical Science</w:t>
      </w:r>
      <w:r w:rsidRPr="005415AA">
        <w:rPr>
          <w:rFonts w:ascii="Times New Roman" w:hAnsi="Times New Roman" w:cs="Times New Roman"/>
          <w:sz w:val="24"/>
          <w:szCs w:val="24"/>
        </w:rPr>
        <w:t xml:space="preserve">, 4(2), 89–96. </w:t>
      </w:r>
    </w:p>
    <w:p w14:paraId="116B9D19"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Rogina, B., &amp; </w:t>
      </w:r>
      <w:proofErr w:type="spellStart"/>
      <w:r w:rsidRPr="005415AA">
        <w:rPr>
          <w:rFonts w:ascii="Times New Roman" w:hAnsi="Times New Roman" w:cs="Times New Roman"/>
          <w:sz w:val="24"/>
          <w:szCs w:val="24"/>
        </w:rPr>
        <w:t>Tissenbaum</w:t>
      </w:r>
      <w:proofErr w:type="spellEnd"/>
      <w:r w:rsidRPr="005415AA">
        <w:rPr>
          <w:rFonts w:ascii="Times New Roman" w:hAnsi="Times New Roman" w:cs="Times New Roman"/>
          <w:sz w:val="24"/>
          <w:szCs w:val="24"/>
        </w:rPr>
        <w:t xml:space="preserve">, H.A. (2024). SIRT1, resveratrol, and aging. </w:t>
      </w:r>
      <w:r w:rsidRPr="005415AA">
        <w:rPr>
          <w:rFonts w:ascii="Times New Roman" w:hAnsi="Times New Roman" w:cs="Times New Roman"/>
          <w:i/>
          <w:iCs/>
          <w:sz w:val="24"/>
          <w:szCs w:val="24"/>
        </w:rPr>
        <w:t>Frontiers in Genetics</w:t>
      </w:r>
      <w:r w:rsidRPr="005415AA">
        <w:rPr>
          <w:rFonts w:ascii="Times New Roman" w:hAnsi="Times New Roman" w:cs="Times New Roman"/>
          <w:sz w:val="24"/>
          <w:szCs w:val="24"/>
        </w:rPr>
        <w:t xml:space="preserve">, 15, 1393181. </w:t>
      </w:r>
      <w:hyperlink r:id="rId21" w:tgtFrame="_new" w:history="1">
        <w:r w:rsidRPr="005415AA">
          <w:rPr>
            <w:rStyle w:val="Hyperlink"/>
            <w:rFonts w:ascii="Times New Roman" w:hAnsi="Times New Roman" w:cs="Times New Roman"/>
            <w:sz w:val="24"/>
            <w:szCs w:val="24"/>
          </w:rPr>
          <w:t>https://doi.org/10.3389/fgene.2024.1393181</w:t>
        </w:r>
      </w:hyperlink>
      <w:r w:rsidRPr="005415AA">
        <w:rPr>
          <w:rFonts w:ascii="Times New Roman" w:hAnsi="Times New Roman" w:cs="Times New Roman"/>
          <w:sz w:val="24"/>
          <w:szCs w:val="24"/>
        </w:rPr>
        <w:t xml:space="preserve"> </w:t>
      </w:r>
    </w:p>
    <w:p w14:paraId="68767244"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Saputra, F., Kishida, M., &amp; Hu, S.Y. (2024). Oxidative stress in zebrafish visual development. </w:t>
      </w:r>
      <w:r w:rsidRPr="005415AA">
        <w:rPr>
          <w:rFonts w:ascii="Times New Roman" w:hAnsi="Times New Roman" w:cs="Times New Roman"/>
          <w:i/>
          <w:iCs/>
          <w:sz w:val="24"/>
          <w:szCs w:val="24"/>
        </w:rPr>
        <w:t>Scientific Reports</w:t>
      </w:r>
      <w:r w:rsidRPr="005415AA">
        <w:rPr>
          <w:rFonts w:ascii="Times New Roman" w:hAnsi="Times New Roman" w:cs="Times New Roman"/>
          <w:sz w:val="24"/>
          <w:szCs w:val="24"/>
        </w:rPr>
        <w:t xml:space="preserve">, 14, 22020. https://doi.org/10.1038/s41598-024-72932-9 </w:t>
      </w:r>
    </w:p>
    <w:p w14:paraId="230A7EA9"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Schröder, R., Beermann, A., Wittkopp, N., &amp; Lutz, R. (2008). </w:t>
      </w:r>
      <w:r w:rsidRPr="005415AA">
        <w:rPr>
          <w:rFonts w:ascii="Times New Roman" w:hAnsi="Times New Roman" w:cs="Times New Roman"/>
          <w:i/>
          <w:iCs/>
          <w:sz w:val="24"/>
          <w:szCs w:val="24"/>
        </w:rPr>
        <w:t>Tribolium castaneum</w:t>
      </w:r>
      <w:r w:rsidRPr="005415AA">
        <w:rPr>
          <w:rFonts w:ascii="Times New Roman" w:hAnsi="Times New Roman" w:cs="Times New Roman"/>
          <w:sz w:val="24"/>
          <w:szCs w:val="24"/>
        </w:rPr>
        <w:t xml:space="preserve"> as a model organism. </w:t>
      </w:r>
      <w:r w:rsidRPr="005415AA">
        <w:rPr>
          <w:rFonts w:ascii="Times New Roman" w:hAnsi="Times New Roman" w:cs="Times New Roman"/>
          <w:i/>
          <w:iCs/>
          <w:sz w:val="24"/>
          <w:szCs w:val="24"/>
        </w:rPr>
        <w:t>Development Genes and Evolution</w:t>
      </w:r>
      <w:r w:rsidRPr="005415AA">
        <w:rPr>
          <w:rFonts w:ascii="Times New Roman" w:hAnsi="Times New Roman" w:cs="Times New Roman"/>
          <w:sz w:val="24"/>
          <w:szCs w:val="24"/>
        </w:rPr>
        <w:t xml:space="preserve">, 218(3–4), 119–126. </w:t>
      </w:r>
    </w:p>
    <w:p w14:paraId="64A9D8B5"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Seung Yun Lee, et al. (2022). Alternative experimental approaches to reduce animal use. </w:t>
      </w:r>
      <w:r w:rsidRPr="005415AA">
        <w:rPr>
          <w:rFonts w:ascii="Times New Roman" w:hAnsi="Times New Roman" w:cs="Times New Roman"/>
          <w:i/>
          <w:iCs/>
          <w:sz w:val="24"/>
          <w:szCs w:val="24"/>
        </w:rPr>
        <w:t>Journal of Drug Delivery Science and Technology</w:t>
      </w:r>
      <w:r w:rsidRPr="005415AA">
        <w:rPr>
          <w:rFonts w:ascii="Times New Roman" w:hAnsi="Times New Roman" w:cs="Times New Roman"/>
          <w:sz w:val="24"/>
          <w:szCs w:val="24"/>
        </w:rPr>
        <w:t xml:space="preserve">, 68, 103131. </w:t>
      </w:r>
    </w:p>
    <w:p w14:paraId="62EB8440"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i/>
          <w:iCs/>
          <w:sz w:val="24"/>
          <w:szCs w:val="24"/>
        </w:rPr>
        <w:t>Tribolium castaneum</w:t>
      </w:r>
      <w:r w:rsidRPr="005415AA">
        <w:rPr>
          <w:rFonts w:ascii="Times New Roman" w:hAnsi="Times New Roman" w:cs="Times New Roman"/>
          <w:sz w:val="24"/>
          <w:szCs w:val="24"/>
        </w:rPr>
        <w:t xml:space="preserve">: A model insect for research. (2022). </w:t>
      </w:r>
      <w:r w:rsidRPr="005415AA">
        <w:rPr>
          <w:rFonts w:ascii="Times New Roman" w:hAnsi="Times New Roman" w:cs="Times New Roman"/>
          <w:i/>
          <w:iCs/>
          <w:sz w:val="24"/>
          <w:szCs w:val="24"/>
        </w:rPr>
        <w:t>Annual Review of Entomology</w:t>
      </w:r>
      <w:r w:rsidRPr="005415AA">
        <w:rPr>
          <w:rFonts w:ascii="Times New Roman" w:hAnsi="Times New Roman" w:cs="Times New Roman"/>
          <w:sz w:val="24"/>
          <w:szCs w:val="24"/>
        </w:rPr>
        <w:t xml:space="preserve">, 67(1). https://doi.org/10.1146/annurev-ento-080921-075157 </w:t>
      </w:r>
    </w:p>
    <w:p w14:paraId="003D65B1"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Veerasham, C. (2012). Natural products as drug sources. </w:t>
      </w:r>
      <w:r w:rsidRPr="005415AA">
        <w:rPr>
          <w:rFonts w:ascii="Times New Roman" w:hAnsi="Times New Roman" w:cs="Times New Roman"/>
          <w:i/>
          <w:iCs/>
          <w:sz w:val="24"/>
          <w:szCs w:val="24"/>
        </w:rPr>
        <w:t>Journal of Advanced Pharmaceutical Technology &amp; Research</w:t>
      </w:r>
      <w:r w:rsidRPr="005415AA">
        <w:rPr>
          <w:rFonts w:ascii="Times New Roman" w:hAnsi="Times New Roman" w:cs="Times New Roman"/>
          <w:sz w:val="24"/>
          <w:szCs w:val="24"/>
        </w:rPr>
        <w:t xml:space="preserve">, 3, 200. </w:t>
      </w:r>
    </w:p>
    <w:p w14:paraId="4E72F3FE"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Wu, Q.J., Zhang, T.N., Chen, H.H., et al. (2022). The sirtuin family in health and disease. </w:t>
      </w:r>
      <w:r w:rsidRPr="005415AA">
        <w:rPr>
          <w:rFonts w:ascii="Times New Roman" w:hAnsi="Times New Roman" w:cs="Times New Roman"/>
          <w:i/>
          <w:iCs/>
          <w:sz w:val="24"/>
          <w:szCs w:val="24"/>
        </w:rPr>
        <w:t>Signal Transduction and Targeted Therapy</w:t>
      </w:r>
      <w:r w:rsidRPr="005415AA">
        <w:rPr>
          <w:rFonts w:ascii="Times New Roman" w:hAnsi="Times New Roman" w:cs="Times New Roman"/>
          <w:sz w:val="24"/>
          <w:szCs w:val="24"/>
        </w:rPr>
        <w:t xml:space="preserve">, 7, 402. </w:t>
      </w:r>
    </w:p>
    <w:p w14:paraId="2B073610"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Zhao, H. (2015). Phenolic compounds in food processing. In </w:t>
      </w:r>
      <w:r w:rsidRPr="005415AA">
        <w:rPr>
          <w:rFonts w:ascii="Times New Roman" w:hAnsi="Times New Roman" w:cs="Times New Roman"/>
          <w:i/>
          <w:iCs/>
          <w:sz w:val="24"/>
          <w:szCs w:val="24"/>
        </w:rPr>
        <w:t>Processing and Impact on Active Components in Food</w:t>
      </w:r>
      <w:r w:rsidRPr="005415AA">
        <w:rPr>
          <w:rFonts w:ascii="Times New Roman" w:hAnsi="Times New Roman" w:cs="Times New Roman"/>
          <w:sz w:val="24"/>
          <w:szCs w:val="24"/>
        </w:rPr>
        <w:t xml:space="preserve"> (pp. 533–539). </w:t>
      </w:r>
    </w:p>
    <w:p w14:paraId="4EB1BD0F"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Jean-Quartier, C., Jeanquartier, F., </w:t>
      </w:r>
      <w:proofErr w:type="spellStart"/>
      <w:r w:rsidRPr="005415AA">
        <w:rPr>
          <w:rFonts w:ascii="Times New Roman" w:hAnsi="Times New Roman" w:cs="Times New Roman"/>
          <w:sz w:val="24"/>
          <w:szCs w:val="24"/>
        </w:rPr>
        <w:t>Jurisica</w:t>
      </w:r>
      <w:proofErr w:type="spellEnd"/>
      <w:r w:rsidRPr="005415AA">
        <w:rPr>
          <w:rFonts w:ascii="Times New Roman" w:hAnsi="Times New Roman" w:cs="Times New Roman"/>
          <w:sz w:val="24"/>
          <w:szCs w:val="24"/>
        </w:rPr>
        <w:t xml:space="preserve">, I., &amp; Holzinger, A. (2018). In silico cancer research. </w:t>
      </w:r>
      <w:r w:rsidRPr="005415AA">
        <w:rPr>
          <w:rFonts w:ascii="Times New Roman" w:hAnsi="Times New Roman" w:cs="Times New Roman"/>
          <w:i/>
          <w:iCs/>
          <w:sz w:val="24"/>
          <w:szCs w:val="24"/>
        </w:rPr>
        <w:t>BMC Cancer</w:t>
      </w:r>
      <w:r w:rsidRPr="005415AA">
        <w:rPr>
          <w:rFonts w:ascii="Times New Roman" w:hAnsi="Times New Roman" w:cs="Times New Roman"/>
          <w:sz w:val="24"/>
          <w:szCs w:val="24"/>
        </w:rPr>
        <w:t xml:space="preserve">, 18, 408. </w:t>
      </w:r>
    </w:p>
    <w:p w14:paraId="13AEB999"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Klein, S., Maggioni, S., Bucher, J., Mueller, D., Niklas, J., et al. (2015). In silico modeling for toxicity prediction. </w:t>
      </w:r>
      <w:r w:rsidRPr="005415AA">
        <w:rPr>
          <w:rFonts w:ascii="Times New Roman" w:hAnsi="Times New Roman" w:cs="Times New Roman"/>
          <w:i/>
          <w:iCs/>
          <w:sz w:val="24"/>
          <w:szCs w:val="24"/>
        </w:rPr>
        <w:t>Toxicological Sciences</w:t>
      </w:r>
      <w:r w:rsidRPr="005415AA">
        <w:rPr>
          <w:rFonts w:ascii="Times New Roman" w:hAnsi="Times New Roman" w:cs="Times New Roman"/>
          <w:sz w:val="24"/>
          <w:szCs w:val="24"/>
        </w:rPr>
        <w:t xml:space="preserve">, 149, 55–66. </w:t>
      </w:r>
    </w:p>
    <w:p w14:paraId="44BB2C6C" w14:textId="540EBC49" w:rsidR="0044613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Rollin, B.E. (2003). Toxicology and animal ethics. </w:t>
      </w:r>
      <w:r w:rsidRPr="005415AA">
        <w:rPr>
          <w:rFonts w:ascii="Times New Roman" w:hAnsi="Times New Roman" w:cs="Times New Roman"/>
          <w:i/>
          <w:iCs/>
          <w:sz w:val="24"/>
          <w:szCs w:val="24"/>
        </w:rPr>
        <w:t>Toxicologic Pathology</w:t>
      </w:r>
      <w:r w:rsidRPr="005415AA">
        <w:rPr>
          <w:rFonts w:ascii="Times New Roman" w:hAnsi="Times New Roman" w:cs="Times New Roman"/>
          <w:sz w:val="24"/>
          <w:szCs w:val="24"/>
        </w:rPr>
        <w:t>, 31, 128–131.</w:t>
      </w:r>
    </w:p>
    <w:sectPr w:rsidR="0044613C" w:rsidRPr="005415AA" w:rsidSect="00421410">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55D97" w14:textId="77777777" w:rsidR="00EB5716" w:rsidRDefault="00EB5716" w:rsidP="00DB091C">
      <w:pPr>
        <w:spacing w:after="0" w:line="240" w:lineRule="auto"/>
      </w:pPr>
      <w:r>
        <w:separator/>
      </w:r>
    </w:p>
  </w:endnote>
  <w:endnote w:type="continuationSeparator" w:id="0">
    <w:p w14:paraId="5ABAF170" w14:textId="77777777" w:rsidR="00EB5716" w:rsidRDefault="00EB5716" w:rsidP="00DB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BE8E2" w14:textId="77777777" w:rsidR="00EB5716" w:rsidRDefault="00EB5716" w:rsidP="00DB091C">
      <w:pPr>
        <w:spacing w:after="0" w:line="240" w:lineRule="auto"/>
      </w:pPr>
      <w:r>
        <w:separator/>
      </w:r>
    </w:p>
  </w:footnote>
  <w:footnote w:type="continuationSeparator" w:id="0">
    <w:p w14:paraId="7E272BA0" w14:textId="77777777" w:rsidR="00EB5716" w:rsidRDefault="00EB5716" w:rsidP="00DB09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F0D93"/>
    <w:multiLevelType w:val="multilevel"/>
    <w:tmpl w:val="BF584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842559"/>
    <w:multiLevelType w:val="hybridMultilevel"/>
    <w:tmpl w:val="F604AAF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91C"/>
    <w:rsid w:val="000E2887"/>
    <w:rsid w:val="00421410"/>
    <w:rsid w:val="0044613C"/>
    <w:rsid w:val="005415AA"/>
    <w:rsid w:val="005F27ED"/>
    <w:rsid w:val="00682160"/>
    <w:rsid w:val="009769A9"/>
    <w:rsid w:val="00B93403"/>
    <w:rsid w:val="00C60DEA"/>
    <w:rsid w:val="00DB091C"/>
    <w:rsid w:val="00EB5716"/>
    <w:rsid w:val="00F4579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A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91C"/>
    <w:pPr>
      <w:spacing w:line="259" w:lineRule="auto"/>
    </w:pPr>
    <w:rPr>
      <w:sz w:val="22"/>
      <w:szCs w:val="22"/>
      <w:lang w:val="en-US"/>
    </w:rPr>
  </w:style>
  <w:style w:type="paragraph" w:styleId="Heading1">
    <w:name w:val="heading 1"/>
    <w:basedOn w:val="Normal"/>
    <w:next w:val="Normal"/>
    <w:link w:val="Heading1Char"/>
    <w:uiPriority w:val="9"/>
    <w:qFormat/>
    <w:rsid w:val="00DB0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9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9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9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9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9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9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9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9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9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9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9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9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9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9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9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91C"/>
    <w:rPr>
      <w:rFonts w:eastAsiaTheme="majorEastAsia" w:cstheme="majorBidi"/>
      <w:color w:val="272727" w:themeColor="text1" w:themeTint="D8"/>
    </w:rPr>
  </w:style>
  <w:style w:type="paragraph" w:styleId="Title">
    <w:name w:val="Title"/>
    <w:basedOn w:val="Normal"/>
    <w:next w:val="Normal"/>
    <w:link w:val="TitleChar"/>
    <w:uiPriority w:val="10"/>
    <w:qFormat/>
    <w:rsid w:val="00DB0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9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91C"/>
    <w:pPr>
      <w:spacing w:before="160"/>
      <w:jc w:val="center"/>
    </w:pPr>
    <w:rPr>
      <w:i/>
      <w:iCs/>
      <w:color w:val="404040" w:themeColor="text1" w:themeTint="BF"/>
    </w:rPr>
  </w:style>
  <w:style w:type="character" w:customStyle="1" w:styleId="QuoteChar">
    <w:name w:val="Quote Char"/>
    <w:basedOn w:val="DefaultParagraphFont"/>
    <w:link w:val="Quote"/>
    <w:uiPriority w:val="29"/>
    <w:rsid w:val="00DB091C"/>
    <w:rPr>
      <w:i/>
      <w:iCs/>
      <w:color w:val="404040" w:themeColor="text1" w:themeTint="BF"/>
    </w:rPr>
  </w:style>
  <w:style w:type="paragraph" w:styleId="ListParagraph">
    <w:name w:val="List Paragraph"/>
    <w:basedOn w:val="Normal"/>
    <w:uiPriority w:val="34"/>
    <w:qFormat/>
    <w:rsid w:val="00DB091C"/>
    <w:pPr>
      <w:ind w:left="720"/>
      <w:contextualSpacing/>
    </w:pPr>
  </w:style>
  <w:style w:type="character" w:styleId="IntenseEmphasis">
    <w:name w:val="Intense Emphasis"/>
    <w:basedOn w:val="DefaultParagraphFont"/>
    <w:uiPriority w:val="21"/>
    <w:qFormat/>
    <w:rsid w:val="00DB091C"/>
    <w:rPr>
      <w:i/>
      <w:iCs/>
      <w:color w:val="0F4761" w:themeColor="accent1" w:themeShade="BF"/>
    </w:rPr>
  </w:style>
  <w:style w:type="paragraph" w:styleId="IntenseQuote">
    <w:name w:val="Intense Quote"/>
    <w:basedOn w:val="Normal"/>
    <w:next w:val="Normal"/>
    <w:link w:val="IntenseQuoteChar"/>
    <w:uiPriority w:val="30"/>
    <w:qFormat/>
    <w:rsid w:val="00DB0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91C"/>
    <w:rPr>
      <w:i/>
      <w:iCs/>
      <w:color w:val="0F4761" w:themeColor="accent1" w:themeShade="BF"/>
    </w:rPr>
  </w:style>
  <w:style w:type="character" w:styleId="IntenseReference">
    <w:name w:val="Intense Reference"/>
    <w:basedOn w:val="DefaultParagraphFont"/>
    <w:uiPriority w:val="32"/>
    <w:qFormat/>
    <w:rsid w:val="00DB091C"/>
    <w:rPr>
      <w:b/>
      <w:bCs/>
      <w:smallCaps/>
      <w:color w:val="0F4761" w:themeColor="accent1" w:themeShade="BF"/>
      <w:spacing w:val="5"/>
    </w:rPr>
  </w:style>
  <w:style w:type="character" w:customStyle="1" w:styleId="fontstyle01">
    <w:name w:val="fontstyle01"/>
    <w:basedOn w:val="DefaultParagraphFont"/>
    <w:rsid w:val="00DB091C"/>
    <w:rPr>
      <w:rFonts w:ascii="Times New Roman" w:hAnsi="Times New Roman" w:cs="Times New Roman" w:hint="default"/>
      <w:b w:val="0"/>
      <w:bCs w:val="0"/>
      <w:i w:val="0"/>
      <w:iCs w:val="0"/>
      <w:color w:val="000000"/>
      <w:sz w:val="22"/>
      <w:szCs w:val="22"/>
    </w:rPr>
  </w:style>
  <w:style w:type="character" w:styleId="Emphasis">
    <w:name w:val="Emphasis"/>
    <w:basedOn w:val="DefaultParagraphFont"/>
    <w:uiPriority w:val="20"/>
    <w:qFormat/>
    <w:rsid w:val="00DB091C"/>
    <w:rPr>
      <w:i/>
      <w:iCs/>
    </w:rPr>
  </w:style>
  <w:style w:type="character" w:customStyle="1" w:styleId="fontstyle21">
    <w:name w:val="fontstyle21"/>
    <w:basedOn w:val="DefaultParagraphFont"/>
    <w:rsid w:val="00DB091C"/>
    <w:rPr>
      <w:rFonts w:ascii="Times New Roman" w:hAnsi="Times New Roman" w:cs="Times New Roman" w:hint="default"/>
      <w:b w:val="0"/>
      <w:bCs w:val="0"/>
      <w:i/>
      <w:iCs/>
      <w:color w:val="000000"/>
      <w:sz w:val="22"/>
      <w:szCs w:val="22"/>
    </w:rPr>
  </w:style>
  <w:style w:type="table" w:styleId="TableGrid">
    <w:name w:val="Table Grid"/>
    <w:basedOn w:val="TableNormal"/>
    <w:uiPriority w:val="39"/>
    <w:rsid w:val="00DB091C"/>
    <w:pPr>
      <w:spacing w:after="0" w:line="240" w:lineRule="auto"/>
    </w:pPr>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B091C"/>
    <w:rPr>
      <w:color w:val="467886" w:themeColor="hyperlink"/>
      <w:u w:val="single"/>
    </w:rPr>
  </w:style>
  <w:style w:type="paragraph" w:styleId="Header">
    <w:name w:val="header"/>
    <w:basedOn w:val="Normal"/>
    <w:link w:val="HeaderChar"/>
    <w:uiPriority w:val="99"/>
    <w:unhideWhenUsed/>
    <w:rsid w:val="00DB09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91C"/>
    <w:rPr>
      <w:sz w:val="22"/>
      <w:szCs w:val="22"/>
      <w:lang w:val="en-US"/>
    </w:rPr>
  </w:style>
  <w:style w:type="paragraph" w:styleId="Footer">
    <w:name w:val="footer"/>
    <w:basedOn w:val="Normal"/>
    <w:link w:val="FooterChar"/>
    <w:uiPriority w:val="99"/>
    <w:unhideWhenUsed/>
    <w:rsid w:val="00DB09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91C"/>
    <w:rPr>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91C"/>
    <w:pPr>
      <w:spacing w:line="259" w:lineRule="auto"/>
    </w:pPr>
    <w:rPr>
      <w:sz w:val="22"/>
      <w:szCs w:val="22"/>
      <w:lang w:val="en-US"/>
    </w:rPr>
  </w:style>
  <w:style w:type="paragraph" w:styleId="Heading1">
    <w:name w:val="heading 1"/>
    <w:basedOn w:val="Normal"/>
    <w:next w:val="Normal"/>
    <w:link w:val="Heading1Char"/>
    <w:uiPriority w:val="9"/>
    <w:qFormat/>
    <w:rsid w:val="00DB0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9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9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9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9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9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9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9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9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9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9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9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9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9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9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9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91C"/>
    <w:rPr>
      <w:rFonts w:eastAsiaTheme="majorEastAsia" w:cstheme="majorBidi"/>
      <w:color w:val="272727" w:themeColor="text1" w:themeTint="D8"/>
    </w:rPr>
  </w:style>
  <w:style w:type="paragraph" w:styleId="Title">
    <w:name w:val="Title"/>
    <w:basedOn w:val="Normal"/>
    <w:next w:val="Normal"/>
    <w:link w:val="TitleChar"/>
    <w:uiPriority w:val="10"/>
    <w:qFormat/>
    <w:rsid w:val="00DB0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9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91C"/>
    <w:pPr>
      <w:spacing w:before="160"/>
      <w:jc w:val="center"/>
    </w:pPr>
    <w:rPr>
      <w:i/>
      <w:iCs/>
      <w:color w:val="404040" w:themeColor="text1" w:themeTint="BF"/>
    </w:rPr>
  </w:style>
  <w:style w:type="character" w:customStyle="1" w:styleId="QuoteChar">
    <w:name w:val="Quote Char"/>
    <w:basedOn w:val="DefaultParagraphFont"/>
    <w:link w:val="Quote"/>
    <w:uiPriority w:val="29"/>
    <w:rsid w:val="00DB091C"/>
    <w:rPr>
      <w:i/>
      <w:iCs/>
      <w:color w:val="404040" w:themeColor="text1" w:themeTint="BF"/>
    </w:rPr>
  </w:style>
  <w:style w:type="paragraph" w:styleId="ListParagraph">
    <w:name w:val="List Paragraph"/>
    <w:basedOn w:val="Normal"/>
    <w:uiPriority w:val="34"/>
    <w:qFormat/>
    <w:rsid w:val="00DB091C"/>
    <w:pPr>
      <w:ind w:left="720"/>
      <w:contextualSpacing/>
    </w:pPr>
  </w:style>
  <w:style w:type="character" w:styleId="IntenseEmphasis">
    <w:name w:val="Intense Emphasis"/>
    <w:basedOn w:val="DefaultParagraphFont"/>
    <w:uiPriority w:val="21"/>
    <w:qFormat/>
    <w:rsid w:val="00DB091C"/>
    <w:rPr>
      <w:i/>
      <w:iCs/>
      <w:color w:val="0F4761" w:themeColor="accent1" w:themeShade="BF"/>
    </w:rPr>
  </w:style>
  <w:style w:type="paragraph" w:styleId="IntenseQuote">
    <w:name w:val="Intense Quote"/>
    <w:basedOn w:val="Normal"/>
    <w:next w:val="Normal"/>
    <w:link w:val="IntenseQuoteChar"/>
    <w:uiPriority w:val="30"/>
    <w:qFormat/>
    <w:rsid w:val="00DB0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91C"/>
    <w:rPr>
      <w:i/>
      <w:iCs/>
      <w:color w:val="0F4761" w:themeColor="accent1" w:themeShade="BF"/>
    </w:rPr>
  </w:style>
  <w:style w:type="character" w:styleId="IntenseReference">
    <w:name w:val="Intense Reference"/>
    <w:basedOn w:val="DefaultParagraphFont"/>
    <w:uiPriority w:val="32"/>
    <w:qFormat/>
    <w:rsid w:val="00DB091C"/>
    <w:rPr>
      <w:b/>
      <w:bCs/>
      <w:smallCaps/>
      <w:color w:val="0F4761" w:themeColor="accent1" w:themeShade="BF"/>
      <w:spacing w:val="5"/>
    </w:rPr>
  </w:style>
  <w:style w:type="character" w:customStyle="1" w:styleId="fontstyle01">
    <w:name w:val="fontstyle01"/>
    <w:basedOn w:val="DefaultParagraphFont"/>
    <w:rsid w:val="00DB091C"/>
    <w:rPr>
      <w:rFonts w:ascii="Times New Roman" w:hAnsi="Times New Roman" w:cs="Times New Roman" w:hint="default"/>
      <w:b w:val="0"/>
      <w:bCs w:val="0"/>
      <w:i w:val="0"/>
      <w:iCs w:val="0"/>
      <w:color w:val="000000"/>
      <w:sz w:val="22"/>
      <w:szCs w:val="22"/>
    </w:rPr>
  </w:style>
  <w:style w:type="character" w:styleId="Emphasis">
    <w:name w:val="Emphasis"/>
    <w:basedOn w:val="DefaultParagraphFont"/>
    <w:uiPriority w:val="20"/>
    <w:qFormat/>
    <w:rsid w:val="00DB091C"/>
    <w:rPr>
      <w:i/>
      <w:iCs/>
    </w:rPr>
  </w:style>
  <w:style w:type="character" w:customStyle="1" w:styleId="fontstyle21">
    <w:name w:val="fontstyle21"/>
    <w:basedOn w:val="DefaultParagraphFont"/>
    <w:rsid w:val="00DB091C"/>
    <w:rPr>
      <w:rFonts w:ascii="Times New Roman" w:hAnsi="Times New Roman" w:cs="Times New Roman" w:hint="default"/>
      <w:b w:val="0"/>
      <w:bCs w:val="0"/>
      <w:i/>
      <w:iCs/>
      <w:color w:val="000000"/>
      <w:sz w:val="22"/>
      <w:szCs w:val="22"/>
    </w:rPr>
  </w:style>
  <w:style w:type="table" w:styleId="TableGrid">
    <w:name w:val="Table Grid"/>
    <w:basedOn w:val="TableNormal"/>
    <w:uiPriority w:val="39"/>
    <w:rsid w:val="00DB091C"/>
    <w:pPr>
      <w:spacing w:after="0" w:line="240" w:lineRule="auto"/>
    </w:pPr>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B091C"/>
    <w:rPr>
      <w:color w:val="467886" w:themeColor="hyperlink"/>
      <w:u w:val="single"/>
    </w:rPr>
  </w:style>
  <w:style w:type="paragraph" w:styleId="Header">
    <w:name w:val="header"/>
    <w:basedOn w:val="Normal"/>
    <w:link w:val="HeaderChar"/>
    <w:uiPriority w:val="99"/>
    <w:unhideWhenUsed/>
    <w:rsid w:val="00DB09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91C"/>
    <w:rPr>
      <w:sz w:val="22"/>
      <w:szCs w:val="22"/>
      <w:lang w:val="en-US"/>
    </w:rPr>
  </w:style>
  <w:style w:type="paragraph" w:styleId="Footer">
    <w:name w:val="footer"/>
    <w:basedOn w:val="Normal"/>
    <w:link w:val="FooterChar"/>
    <w:uiPriority w:val="99"/>
    <w:unhideWhenUsed/>
    <w:rsid w:val="00DB09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91C"/>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S0041-008X(02)00014-5" TargetMode="External"/><Relationship Id="rId18" Type="http://schemas.openxmlformats.org/officeDocument/2006/relationships/hyperlink" Target="https://doi.org/10.4103/JAPTR.JAPTR_144_24" TargetMode="External"/><Relationship Id="rId3" Type="http://schemas.openxmlformats.org/officeDocument/2006/relationships/styles" Target="styles.xml"/><Relationship Id="rId21" Type="http://schemas.openxmlformats.org/officeDocument/2006/relationships/hyperlink" Target="https://doi.org/10.3389/fgene.2024.1393181" TargetMode="Externa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s://doi.org/10.1038/s41573-021-00233-1" TargetMode="External"/><Relationship Id="rId2" Type="http://schemas.openxmlformats.org/officeDocument/2006/relationships/numbering" Target="numbering.xml"/><Relationship Id="rId16" Type="http://schemas.openxmlformats.org/officeDocument/2006/relationships/hyperlink" Target="https://doi.org/10.5650/jos.57.171" TargetMode="External"/><Relationship Id="rId20" Type="http://schemas.openxmlformats.org/officeDocument/2006/relationships/hyperlink" Target="https://doi.org/10.1080/19336934.2020.172405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s://doi.org/10.1016/j.cbpc.2016.03.002"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doi.org/10.3390/molecules26247574"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doi.org/10.3390/ijms19030792"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S\Documents\Book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S\Documents\Book1.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Sasikala\DPPH%20assay-2026.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Sasikala\DPPH%20assay-202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93058276653841"/>
          <c:y val="0.17737041719342606"/>
          <c:w val="0.85651221659812848"/>
          <c:h val="0.65248472478523389"/>
        </c:manualLayout>
      </c:layout>
      <c:scatterChart>
        <c:scatterStyle val="lineMarker"/>
        <c:varyColors val="0"/>
        <c:ser>
          <c:idx val="1"/>
          <c:order val="0"/>
          <c:spPr>
            <a:ln w="3175" cap="rnd">
              <a:solidFill>
                <a:srgbClr val="C00000"/>
              </a:solidFill>
              <a:round/>
            </a:ln>
            <a:effectLst/>
          </c:spPr>
          <c:marker>
            <c:symbol val="circle"/>
            <c:size val="5"/>
            <c:spPr>
              <a:solidFill>
                <a:srgbClr val="C00000"/>
              </a:solidFill>
              <a:ln w="3175">
                <a:solidFill>
                  <a:srgbClr val="C00000"/>
                </a:solidFill>
                <a:round/>
              </a:ln>
              <a:effectLst/>
            </c:spPr>
          </c:marker>
          <c:trendline>
            <c:spPr>
              <a:ln w="9525" cap="rnd">
                <a:solidFill>
                  <a:schemeClr val="accent2"/>
                </a:solidFill>
              </a:ln>
              <a:effectLst/>
            </c:spPr>
            <c:trendlineType val="linear"/>
            <c:dispRSqr val="0"/>
            <c:dispEq val="0"/>
          </c:trendline>
          <c:trendline>
            <c:spPr>
              <a:ln w="9525" cap="rnd">
                <a:solidFill>
                  <a:srgbClr val="0070C0"/>
                </a:solidFill>
              </a:ln>
              <a:effectLst/>
            </c:spPr>
            <c:trendlineType val="linear"/>
            <c:dispRSqr val="1"/>
            <c:dispEq val="1"/>
            <c:trendlineLbl>
              <c:layout>
                <c:manualLayout>
                  <c:x val="-0.14147898808399589"/>
                  <c:y val="-0.15384106398464897"/>
                </c:manualLayout>
              </c:layout>
              <c:tx>
                <c:rich>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000" baseline="0">
                        <a:solidFill>
                          <a:schemeClr val="tx1"/>
                        </a:solidFill>
                        <a:latin typeface="Times New Roman" panose="02020603050405020304" pitchFamily="18" charset="0"/>
                        <a:cs typeface="Times New Roman" panose="02020603050405020304" pitchFamily="18" charset="0"/>
                      </a:rPr>
                      <a:t>y = 0.747x + 37.866</a:t>
                    </a:r>
                    <a:br>
                      <a:rPr lang="en-US" sz="1000" baseline="0">
                        <a:solidFill>
                          <a:schemeClr val="tx1"/>
                        </a:solidFill>
                        <a:latin typeface="Times New Roman" panose="02020603050405020304" pitchFamily="18" charset="0"/>
                        <a:cs typeface="Times New Roman" panose="02020603050405020304" pitchFamily="18" charset="0"/>
                      </a:rPr>
                    </a:br>
                    <a:r>
                      <a:rPr lang="en-US" sz="1000" baseline="0">
                        <a:solidFill>
                          <a:schemeClr val="tx1"/>
                        </a:solidFill>
                        <a:latin typeface="Times New Roman" panose="02020603050405020304" pitchFamily="18" charset="0"/>
                        <a:cs typeface="Times New Roman" panose="02020603050405020304" pitchFamily="18" charset="0"/>
                      </a:rPr>
                      <a:t>R² = 0.9009</a:t>
                    </a:r>
                    <a:endParaRPr lang="en-US" sz="1000">
                      <a:solidFill>
                        <a:schemeClr val="tx1"/>
                      </a:solidFill>
                      <a:latin typeface="Times New Roman" panose="02020603050405020304" pitchFamily="18" charset="0"/>
                      <a:cs typeface="Times New Roman" panose="02020603050405020304" pitchFamily="18" charset="0"/>
                    </a:endParaRPr>
                  </a:p>
                </c:rich>
              </c:tx>
              <c:numFmt formatCode="General" sourceLinked="0"/>
              <c:spPr>
                <a:noFill/>
                <a:ln>
                  <a:noFill/>
                </a:ln>
                <a:effectLst/>
              </c:spPr>
            </c:trendlineLbl>
          </c:trendline>
          <c:errBars>
            <c:errDir val="y"/>
            <c:errBarType val="both"/>
            <c:errValType val="cust"/>
            <c:noEndCap val="0"/>
            <c:plus>
              <c:numRef>
                <c:f>'DPPH-Res'!$H$19:$L$19</c:f>
                <c:numCache>
                  <c:formatCode>General</c:formatCode>
                  <c:ptCount val="5"/>
                  <c:pt idx="0">
                    <c:v>0.34799999999999998</c:v>
                  </c:pt>
                  <c:pt idx="1">
                    <c:v>1.98</c:v>
                  </c:pt>
                  <c:pt idx="2">
                    <c:v>4.5999999999999999E-2</c:v>
                  </c:pt>
                  <c:pt idx="3">
                    <c:v>0.16300000000000001</c:v>
                  </c:pt>
                  <c:pt idx="4">
                    <c:v>0.03</c:v>
                  </c:pt>
                </c:numCache>
              </c:numRef>
            </c:plus>
            <c:minus>
              <c:numRef>
                <c:f>'DPPH-Res'!$H$19:$L$19</c:f>
                <c:numCache>
                  <c:formatCode>General</c:formatCode>
                  <c:ptCount val="5"/>
                  <c:pt idx="0">
                    <c:v>0.34799999999999998</c:v>
                  </c:pt>
                  <c:pt idx="1">
                    <c:v>1.98</c:v>
                  </c:pt>
                  <c:pt idx="2">
                    <c:v>4.5999999999999999E-2</c:v>
                  </c:pt>
                  <c:pt idx="3">
                    <c:v>0.16300000000000001</c:v>
                  </c:pt>
                  <c:pt idx="4">
                    <c:v>0.03</c:v>
                  </c:pt>
                </c:numCache>
              </c:numRef>
            </c:minus>
            <c:spPr>
              <a:noFill/>
              <a:ln w="9525">
                <a:solidFill>
                  <a:schemeClr val="tx2">
                    <a:lumMod val="75000"/>
                  </a:schemeClr>
                </a:solidFill>
                <a:round/>
              </a:ln>
              <a:effectLst/>
            </c:spPr>
          </c:errBars>
          <c:xVal>
            <c:numRef>
              <c:f>'DPPH-Res'!$H$16:$L$16</c:f>
              <c:numCache>
                <c:formatCode>General</c:formatCode>
                <c:ptCount val="5"/>
                <c:pt idx="0">
                  <c:v>5</c:v>
                </c:pt>
                <c:pt idx="1">
                  <c:v>10</c:v>
                </c:pt>
                <c:pt idx="2">
                  <c:v>20</c:v>
                </c:pt>
                <c:pt idx="3">
                  <c:v>40</c:v>
                </c:pt>
                <c:pt idx="4">
                  <c:v>80</c:v>
                </c:pt>
              </c:numCache>
            </c:numRef>
          </c:xVal>
          <c:yVal>
            <c:numRef>
              <c:f>'DPPH-Res'!$H$17:$L$17</c:f>
              <c:numCache>
                <c:formatCode>General</c:formatCode>
                <c:ptCount val="5"/>
                <c:pt idx="0">
                  <c:v>37.880000000000003</c:v>
                </c:pt>
                <c:pt idx="1">
                  <c:v>43.61</c:v>
                </c:pt>
                <c:pt idx="2">
                  <c:v>50.65</c:v>
                </c:pt>
                <c:pt idx="3">
                  <c:v>80.98</c:v>
                </c:pt>
                <c:pt idx="4">
                  <c:v>92</c:v>
                </c:pt>
              </c:numCache>
            </c:numRef>
          </c:yVal>
          <c:smooth val="0"/>
          <c:extLst xmlns:c16r2="http://schemas.microsoft.com/office/drawing/2015/06/chart">
            <c:ext xmlns:c16="http://schemas.microsoft.com/office/drawing/2014/chart" uri="{C3380CC4-5D6E-409C-BE32-E72D297353CC}">
              <c16:uniqueId val="{00000002-044C-4F07-9A8B-4BB84BDF1B78}"/>
            </c:ext>
          </c:extLst>
        </c:ser>
        <c:dLbls>
          <c:showLegendKey val="0"/>
          <c:showVal val="0"/>
          <c:showCatName val="0"/>
          <c:showSerName val="0"/>
          <c:showPercent val="0"/>
          <c:showBubbleSize val="0"/>
        </c:dLbls>
        <c:axId val="167042368"/>
        <c:axId val="139016384"/>
      </c:scatterChart>
      <c:valAx>
        <c:axId val="16704236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a:solidFill>
                      <a:schemeClr val="tx1"/>
                    </a:solidFill>
                    <a:latin typeface="Times New Roman" panose="02020603050405020304" pitchFamily="18" charset="0"/>
                    <a:cs typeface="Times New Roman" panose="02020603050405020304" pitchFamily="18" charset="0"/>
                  </a:rPr>
                  <a:t>Resveratrol Concentartion (µg/ml)</a:t>
                </a:r>
              </a:p>
            </c:rich>
          </c:tx>
          <c:overlay val="0"/>
          <c:spPr>
            <a:noFill/>
            <a:ln>
              <a:noFill/>
            </a:ln>
            <a:effectLst/>
          </c:sp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9016384"/>
        <c:crosses val="autoZero"/>
        <c:crossBetween val="midCat"/>
      </c:valAx>
      <c:valAx>
        <c:axId val="139016384"/>
        <c:scaling>
          <c:orientation val="minMax"/>
          <c:max val="10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a:solidFill>
                      <a:schemeClr val="tx1"/>
                    </a:solidFill>
                    <a:latin typeface="Times New Roman" panose="02020603050405020304" pitchFamily="18" charset="0"/>
                    <a:cs typeface="Times New Roman" panose="02020603050405020304" pitchFamily="18" charset="0"/>
                  </a:rPr>
                  <a:t>DPPH Scavenging Avtivity (%)</a:t>
                </a:r>
              </a:p>
            </c:rich>
          </c:tx>
          <c:overlay val="0"/>
          <c:spPr>
            <a:noFill/>
            <a:ln>
              <a:noFill/>
            </a:ln>
            <a:effectLst/>
          </c:sp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7042368"/>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24300087489064"/>
          <c:y val="0.10648148148148148"/>
          <c:w val="0.77636811023622043"/>
          <c:h val="0.74530074365704291"/>
        </c:manualLayout>
      </c:layout>
      <c:scatterChart>
        <c:scatterStyle val="lineMarker"/>
        <c:varyColors val="0"/>
        <c:ser>
          <c:idx val="0"/>
          <c:order val="0"/>
          <c:spPr>
            <a:ln w="3175" cap="rnd">
              <a:solidFill>
                <a:srgbClr val="C00000"/>
              </a:solidFill>
              <a:round/>
            </a:ln>
            <a:effectLst/>
          </c:spPr>
          <c:marker>
            <c:symbol val="circle"/>
            <c:size val="5"/>
            <c:spPr>
              <a:solidFill>
                <a:srgbClr val="C00000"/>
              </a:solidFill>
              <a:ln w="3175">
                <a:solidFill>
                  <a:srgbClr val="C00000"/>
                </a:solidFill>
                <a:round/>
              </a:ln>
              <a:effectLst/>
            </c:spPr>
          </c:marker>
          <c:trendline>
            <c:spPr>
              <a:ln w="9525" cap="rnd">
                <a:solidFill>
                  <a:srgbClr val="0070C0"/>
                </a:solidFill>
              </a:ln>
              <a:effectLst/>
            </c:spPr>
            <c:trendlineType val="linear"/>
            <c:dispRSqr val="1"/>
            <c:dispEq val="1"/>
            <c:trendlineLbl>
              <c:layout>
                <c:manualLayout>
                  <c:x val="-0.22968079793674792"/>
                  <c:y val="-0.15273634678919121"/>
                </c:manualLayout>
              </c:layout>
              <c:tx>
                <c:rich>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r>
                      <a:rPr lang="en-US" sz="1000" b="0" baseline="0">
                        <a:solidFill>
                          <a:schemeClr val="tx1"/>
                        </a:solidFill>
                        <a:latin typeface="Times New Roman" panose="02020603050405020304" pitchFamily="18" charset="0"/>
                        <a:cs typeface="Times New Roman" panose="02020603050405020304" pitchFamily="18" charset="0"/>
                      </a:rPr>
                      <a:t>y = 0.6768x + 32.426</a:t>
                    </a:r>
                    <a:br>
                      <a:rPr lang="en-US" sz="1000" b="0" baseline="0">
                        <a:solidFill>
                          <a:schemeClr val="tx1"/>
                        </a:solidFill>
                        <a:latin typeface="Times New Roman" panose="02020603050405020304" pitchFamily="18" charset="0"/>
                        <a:cs typeface="Times New Roman" panose="02020603050405020304" pitchFamily="18" charset="0"/>
                      </a:rPr>
                    </a:br>
                    <a:r>
                      <a:rPr lang="en-US" sz="1000" b="0" baseline="0">
                        <a:solidFill>
                          <a:schemeClr val="tx1"/>
                        </a:solidFill>
                        <a:latin typeface="Times New Roman" panose="02020603050405020304" pitchFamily="18" charset="0"/>
                        <a:cs typeface="Times New Roman" panose="02020603050405020304" pitchFamily="18" charset="0"/>
                      </a:rPr>
                      <a:t>R² = 0.9023</a:t>
                    </a:r>
                    <a:endParaRPr lang="en-US" sz="1000" b="0">
                      <a:solidFill>
                        <a:schemeClr val="tx1"/>
                      </a:solidFill>
                      <a:latin typeface="Times New Roman" panose="02020603050405020304" pitchFamily="18" charset="0"/>
                      <a:cs typeface="Times New Roman" panose="02020603050405020304" pitchFamily="18" charset="0"/>
                    </a:endParaRPr>
                  </a:p>
                </c:rich>
              </c:tx>
              <c:numFmt formatCode="General" sourceLinked="0"/>
              <c:spPr>
                <a:noFill/>
                <a:ln>
                  <a:noFill/>
                </a:ln>
                <a:effectLst/>
              </c:spPr>
            </c:trendlineLbl>
          </c:trendline>
          <c:errBars>
            <c:errDir val="y"/>
            <c:errBarType val="both"/>
            <c:errValType val="cust"/>
            <c:noEndCap val="0"/>
            <c:plus>
              <c:numRef>
                <c:f>'DPPH-Ascorbic'!$H$17:$L$17</c:f>
                <c:numCache>
                  <c:formatCode>General</c:formatCode>
                  <c:ptCount val="5"/>
                  <c:pt idx="0">
                    <c:v>0.40200000000000002</c:v>
                  </c:pt>
                  <c:pt idx="1">
                    <c:v>0.49299999999999999</c:v>
                  </c:pt>
                  <c:pt idx="2">
                    <c:v>0.21</c:v>
                  </c:pt>
                  <c:pt idx="3">
                    <c:v>0.51300000000000001</c:v>
                  </c:pt>
                  <c:pt idx="4">
                    <c:v>8.7999999999999995E-2</c:v>
                  </c:pt>
                </c:numCache>
              </c:numRef>
            </c:plus>
            <c:minus>
              <c:numRef>
                <c:f>'DPPH-Ascorbic'!$H$17:$L$17</c:f>
                <c:numCache>
                  <c:formatCode>General</c:formatCode>
                  <c:ptCount val="5"/>
                  <c:pt idx="0">
                    <c:v>0.40200000000000002</c:v>
                  </c:pt>
                  <c:pt idx="1">
                    <c:v>0.49299999999999999</c:v>
                  </c:pt>
                  <c:pt idx="2">
                    <c:v>0.21</c:v>
                  </c:pt>
                  <c:pt idx="3">
                    <c:v>0.51300000000000001</c:v>
                  </c:pt>
                  <c:pt idx="4">
                    <c:v>8.7999999999999995E-2</c:v>
                  </c:pt>
                </c:numCache>
              </c:numRef>
            </c:minus>
            <c:spPr>
              <a:noFill/>
              <a:ln w="9525">
                <a:solidFill>
                  <a:schemeClr val="tx2">
                    <a:lumMod val="75000"/>
                  </a:schemeClr>
                </a:solidFill>
                <a:round/>
              </a:ln>
              <a:effectLst/>
            </c:spPr>
          </c:errBars>
          <c:xVal>
            <c:numRef>
              <c:f>'DPPH-Ascorbic'!$H$14:$L$14</c:f>
              <c:numCache>
                <c:formatCode>General</c:formatCode>
                <c:ptCount val="5"/>
                <c:pt idx="0">
                  <c:v>5</c:v>
                </c:pt>
                <c:pt idx="1">
                  <c:v>10</c:v>
                </c:pt>
                <c:pt idx="2">
                  <c:v>20</c:v>
                </c:pt>
                <c:pt idx="3">
                  <c:v>40</c:v>
                </c:pt>
                <c:pt idx="4">
                  <c:v>80</c:v>
                </c:pt>
              </c:numCache>
            </c:numRef>
          </c:xVal>
          <c:yVal>
            <c:numRef>
              <c:f>'DPPH-Ascorbic'!$H$15:$L$15</c:f>
              <c:numCache>
                <c:formatCode>General</c:formatCode>
                <c:ptCount val="5"/>
                <c:pt idx="0">
                  <c:v>30.41</c:v>
                </c:pt>
                <c:pt idx="1">
                  <c:v>39.56</c:v>
                </c:pt>
                <c:pt idx="2">
                  <c:v>44.74</c:v>
                </c:pt>
                <c:pt idx="3">
                  <c:v>70.819999999999993</c:v>
                </c:pt>
                <c:pt idx="4">
                  <c:v>81.510000000000005</c:v>
                </c:pt>
              </c:numCache>
            </c:numRef>
          </c:yVal>
          <c:smooth val="0"/>
          <c:extLst xmlns:c16r2="http://schemas.microsoft.com/office/drawing/2015/06/chart">
            <c:ext xmlns:c16="http://schemas.microsoft.com/office/drawing/2014/chart" uri="{C3380CC4-5D6E-409C-BE32-E72D297353CC}">
              <c16:uniqueId val="{00000001-F302-4A25-8AE6-7FEAB5515B9E}"/>
            </c:ext>
          </c:extLst>
        </c:ser>
        <c:dLbls>
          <c:showLegendKey val="0"/>
          <c:showVal val="0"/>
          <c:showCatName val="0"/>
          <c:showSerName val="0"/>
          <c:showPercent val="0"/>
          <c:showBubbleSize val="0"/>
        </c:dLbls>
        <c:axId val="166223872"/>
        <c:axId val="166224448"/>
      </c:scatterChart>
      <c:valAx>
        <c:axId val="166223872"/>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000">
                    <a:solidFill>
                      <a:schemeClr val="tx1"/>
                    </a:solidFill>
                    <a:latin typeface="Times New Roman" panose="02020603050405020304" pitchFamily="18" charset="0"/>
                    <a:cs typeface="Times New Roman" panose="02020603050405020304" pitchFamily="18" charset="0"/>
                  </a:rPr>
                  <a:t>Ascorbic acid </a:t>
                </a:r>
                <a:r>
                  <a:rPr lang="en-US" sz="1000" b="1" i="0" u="none" strike="noStrike" baseline="0">
                    <a:solidFill>
                      <a:schemeClr val="tx1"/>
                    </a:solidFill>
                    <a:effectLst/>
                    <a:latin typeface="Times New Roman" panose="02020603050405020304" pitchFamily="18" charset="0"/>
                    <a:cs typeface="Times New Roman" panose="02020603050405020304" pitchFamily="18" charset="0"/>
                  </a:rPr>
                  <a:t>Concentartion (µg/ml</a:t>
                </a:r>
                <a:endParaRPr lang="en-US" sz="10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6224448"/>
        <c:crosses val="autoZero"/>
        <c:crossBetween val="midCat"/>
      </c:valAx>
      <c:valAx>
        <c:axId val="16622444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000">
                    <a:solidFill>
                      <a:schemeClr val="tx1"/>
                    </a:solidFill>
                    <a:latin typeface="Times New Roman" panose="02020603050405020304" pitchFamily="18" charset="0"/>
                    <a:cs typeface="Times New Roman" panose="02020603050405020304" pitchFamily="18" charset="0"/>
                  </a:rPr>
                  <a:t>DPPH free radical scavenging activity (%)</a:t>
                </a:r>
              </a:p>
            </c:rich>
          </c:tx>
          <c:overlay val="0"/>
          <c:spPr>
            <a:noFill/>
            <a:ln>
              <a:noFill/>
            </a:ln>
            <a:effectLst/>
          </c:sp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622387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35606658268279"/>
          <c:y val="4.206029826983744E-2"/>
          <c:w val="0.80648750385065227"/>
          <c:h val="0.80057035811769783"/>
        </c:manualLayout>
      </c:layout>
      <c:barChart>
        <c:barDir val="col"/>
        <c:grouping val="clustered"/>
        <c:varyColors val="0"/>
        <c:ser>
          <c:idx val="0"/>
          <c:order val="0"/>
          <c:spPr>
            <a:solidFill>
              <a:schemeClr val="accent1"/>
            </a:solidFill>
            <a:ln>
              <a:solidFill>
                <a:schemeClr val="tx1"/>
              </a:solidFill>
            </a:ln>
            <a:effectLst/>
            <a:scene3d>
              <a:camera prst="orthographicFront"/>
              <a:lightRig rig="threePt" dir="t"/>
            </a:scene3d>
            <a:sp3d>
              <a:bevelT w="190500" h="38100"/>
            </a:sp3d>
          </c:spPr>
          <c:invertIfNegative val="0"/>
          <c:dPt>
            <c:idx val="0"/>
            <c:invertIfNegative val="0"/>
            <c:bubble3D val="0"/>
            <c:spPr>
              <a:solidFill>
                <a:schemeClr val="bg1"/>
              </a:solidFill>
              <a:ln>
                <a:solidFill>
                  <a:schemeClr val="tx1"/>
                </a:solidFill>
              </a:ln>
              <a:effectLst/>
              <a:scene3d>
                <a:camera prst="orthographicFront"/>
                <a:lightRig rig="threePt" dir="t"/>
              </a:scene3d>
              <a:sp3d>
                <a:bevelT w="190500" h="38100"/>
              </a:sp3d>
            </c:spPr>
            <c:extLst xmlns:c16r2="http://schemas.microsoft.com/office/drawing/2015/06/chart">
              <c:ext xmlns:c16="http://schemas.microsoft.com/office/drawing/2014/chart" uri="{C3380CC4-5D6E-409C-BE32-E72D297353CC}">
                <c16:uniqueId val="{00000001-9AC4-41E6-8017-A68B9E463D86}"/>
              </c:ext>
            </c:extLst>
          </c:dPt>
          <c:dPt>
            <c:idx val="1"/>
            <c:invertIfNegative val="0"/>
            <c:bubble3D val="0"/>
            <c:spPr>
              <a:solidFill>
                <a:schemeClr val="bg2">
                  <a:lumMod val="75000"/>
                </a:schemeClr>
              </a:solidFill>
              <a:ln>
                <a:solidFill>
                  <a:schemeClr val="tx1"/>
                </a:solidFill>
              </a:ln>
              <a:effectLst/>
              <a:scene3d>
                <a:camera prst="orthographicFront"/>
                <a:lightRig rig="threePt" dir="t"/>
              </a:scene3d>
              <a:sp3d>
                <a:bevelT w="190500" h="38100"/>
              </a:sp3d>
            </c:spPr>
            <c:extLst xmlns:c16r2="http://schemas.microsoft.com/office/drawing/2015/06/chart">
              <c:ext xmlns:c16="http://schemas.microsoft.com/office/drawing/2014/chart" uri="{C3380CC4-5D6E-409C-BE32-E72D297353CC}">
                <c16:uniqueId val="{00000003-9AC4-41E6-8017-A68B9E463D86}"/>
              </c:ext>
            </c:extLst>
          </c:dPt>
          <c:dPt>
            <c:idx val="3"/>
            <c:invertIfNegative val="0"/>
            <c:bubble3D val="0"/>
            <c:spPr>
              <a:pattFill prst="pct20">
                <a:fgClr>
                  <a:schemeClr val="tx1"/>
                </a:fgClr>
                <a:bgClr>
                  <a:schemeClr val="bg1"/>
                </a:bgClr>
              </a:pattFill>
              <a:ln>
                <a:solidFill>
                  <a:schemeClr val="tx1"/>
                </a:solidFill>
              </a:ln>
              <a:effectLst/>
              <a:scene3d>
                <a:camera prst="orthographicFront"/>
                <a:lightRig rig="threePt" dir="t"/>
              </a:scene3d>
              <a:sp3d>
                <a:bevelT w="190500" h="38100"/>
              </a:sp3d>
            </c:spPr>
            <c:extLst xmlns:c16r2="http://schemas.microsoft.com/office/drawing/2015/06/chart">
              <c:ext xmlns:c16="http://schemas.microsoft.com/office/drawing/2014/chart" uri="{C3380CC4-5D6E-409C-BE32-E72D297353CC}">
                <c16:uniqueId val="{00000005-9AC4-41E6-8017-A68B9E463D86}"/>
              </c:ext>
            </c:extLst>
          </c:dPt>
          <c:dPt>
            <c:idx val="4"/>
            <c:invertIfNegative val="0"/>
            <c:bubble3D val="0"/>
            <c:spPr>
              <a:pattFill prst="ltHorz">
                <a:fgClr>
                  <a:schemeClr val="tx1"/>
                </a:fgClr>
                <a:bgClr>
                  <a:schemeClr val="bg1"/>
                </a:bgClr>
              </a:pattFill>
              <a:ln>
                <a:solidFill>
                  <a:schemeClr val="tx1"/>
                </a:solidFill>
              </a:ln>
              <a:effectLst/>
              <a:scene3d>
                <a:camera prst="orthographicFront"/>
                <a:lightRig rig="threePt" dir="t"/>
              </a:scene3d>
              <a:sp3d>
                <a:bevelT w="190500" h="38100"/>
              </a:sp3d>
            </c:spPr>
            <c:extLst xmlns:c16r2="http://schemas.microsoft.com/office/drawing/2015/06/chart">
              <c:ext xmlns:c16="http://schemas.microsoft.com/office/drawing/2014/chart" uri="{C3380CC4-5D6E-409C-BE32-E72D297353CC}">
                <c16:uniqueId val="{00000007-9AC4-41E6-8017-A68B9E463D86}"/>
              </c:ext>
            </c:extLst>
          </c:dPt>
          <c:dPt>
            <c:idx val="5"/>
            <c:invertIfNegative val="0"/>
            <c:bubble3D val="0"/>
            <c:spPr>
              <a:pattFill prst="ltVert">
                <a:fgClr>
                  <a:schemeClr val="tx1"/>
                </a:fgClr>
                <a:bgClr>
                  <a:schemeClr val="bg1"/>
                </a:bgClr>
              </a:pattFill>
              <a:ln>
                <a:solidFill>
                  <a:schemeClr val="tx1"/>
                </a:solidFill>
              </a:ln>
              <a:effectLst/>
              <a:scene3d>
                <a:camera prst="orthographicFront"/>
                <a:lightRig rig="threePt" dir="t"/>
              </a:scene3d>
              <a:sp3d>
                <a:bevelT w="190500" h="38100"/>
              </a:sp3d>
            </c:spPr>
            <c:extLst xmlns:c16r2="http://schemas.microsoft.com/office/drawing/2015/06/chart">
              <c:ext xmlns:c16="http://schemas.microsoft.com/office/drawing/2014/chart" uri="{C3380CC4-5D6E-409C-BE32-E72D297353CC}">
                <c16:uniqueId val="{00000009-9AC4-41E6-8017-A68B9E463D86}"/>
              </c:ext>
            </c:extLst>
          </c:dPt>
          <c:dLbls>
            <c:dLbl>
              <c:idx val="0"/>
              <c:tx>
                <c:rich>
                  <a:bodyPr/>
                  <a:lstStyle/>
                  <a:p>
                    <a:r>
                      <a:rPr lang="en-US"/>
                      <a:t>d</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9AC4-41E6-8017-A68B9E463D86}"/>
                </c:ext>
              </c:extLst>
            </c:dLbl>
            <c:dLbl>
              <c:idx val="1"/>
              <c:tx>
                <c:rich>
                  <a:bodyPr/>
                  <a:lstStyle/>
                  <a:p>
                    <a:r>
                      <a:rPr lang="en-US"/>
                      <a:t>c</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9AC4-41E6-8017-A68B9E463D86}"/>
                </c:ext>
              </c:extLst>
            </c:dLbl>
            <c:dLbl>
              <c:idx val="3"/>
              <c:tx>
                <c:rich>
                  <a:bodyPr/>
                  <a:lstStyle/>
                  <a:p>
                    <a:r>
                      <a:rPr lang="en-US"/>
                      <a:t>b</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9AC4-41E6-8017-A68B9E463D86}"/>
                </c:ext>
              </c:extLst>
            </c:dLbl>
            <c:dLbl>
              <c:idx val="4"/>
              <c:tx>
                <c:rich>
                  <a:bodyPr/>
                  <a:lstStyle/>
                  <a:p>
                    <a:r>
                      <a:rPr lang="en-US"/>
                      <a:t>a</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9AC4-41E6-8017-A68B9E463D86}"/>
                </c:ext>
              </c:extLst>
            </c:dLbl>
            <c:dLbl>
              <c:idx val="5"/>
              <c:tx>
                <c:rich>
                  <a:bodyPr/>
                  <a:lstStyle/>
                  <a:p>
                    <a:r>
                      <a:rPr lang="en-US"/>
                      <a:t>e</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9AC4-41E6-8017-A68B9E463D86}"/>
                </c:ext>
              </c:extLst>
            </c:dLbl>
            <c:numFmt formatCode="@"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'DPPH-larva'!$G$15:$L$15</c:f>
                <c:numCache>
                  <c:formatCode>General</c:formatCode>
                  <c:ptCount val="6"/>
                  <c:pt idx="0">
                    <c:v>0.33500000000000002</c:v>
                  </c:pt>
                  <c:pt idx="1">
                    <c:v>0.30199999999999999</c:v>
                  </c:pt>
                  <c:pt idx="3">
                    <c:v>0.19689999999999999</c:v>
                  </c:pt>
                  <c:pt idx="4">
                    <c:v>0.08</c:v>
                  </c:pt>
                  <c:pt idx="5">
                    <c:v>7.1999999999999995E-2</c:v>
                  </c:pt>
                </c:numCache>
              </c:numRef>
            </c:plus>
            <c:minus>
              <c:numRef>
                <c:f>'DPPH-larva'!$G$15:$L$15</c:f>
                <c:numCache>
                  <c:formatCode>General</c:formatCode>
                  <c:ptCount val="6"/>
                  <c:pt idx="0">
                    <c:v>0.33500000000000002</c:v>
                  </c:pt>
                  <c:pt idx="1">
                    <c:v>0.30199999999999999</c:v>
                  </c:pt>
                  <c:pt idx="3">
                    <c:v>0.19689999999999999</c:v>
                  </c:pt>
                  <c:pt idx="4">
                    <c:v>0.08</c:v>
                  </c:pt>
                  <c:pt idx="5">
                    <c:v>7.1999999999999995E-2</c:v>
                  </c:pt>
                </c:numCache>
              </c:numRef>
            </c:minus>
            <c:spPr>
              <a:noFill/>
              <a:ln w="12700" cap="flat" cmpd="sng" algn="ctr">
                <a:solidFill>
                  <a:schemeClr val="tx1">
                    <a:lumMod val="65000"/>
                    <a:lumOff val="35000"/>
                  </a:schemeClr>
                </a:solidFill>
                <a:round/>
              </a:ln>
              <a:effectLst/>
            </c:spPr>
          </c:errBars>
          <c:cat>
            <c:strRef>
              <c:f>'DPPH-larva'!$G$12:$L$13</c:f>
              <c:strCache>
                <c:ptCount val="6"/>
                <c:pt idx="0">
                  <c:v>Control</c:v>
                </c:pt>
                <c:pt idx="1">
                  <c:v>Hydrogen peroxide</c:v>
                </c:pt>
                <c:pt idx="3">
                  <c:v>Control</c:v>
                </c:pt>
                <c:pt idx="4">
                  <c:v>Hydrogen peroxide</c:v>
                </c:pt>
                <c:pt idx="5">
                  <c:v>Resveratrol</c:v>
                </c:pt>
              </c:strCache>
            </c:strRef>
          </c:cat>
          <c:val>
            <c:numRef>
              <c:f>'DPPH-larva'!$G$14:$L$14</c:f>
              <c:numCache>
                <c:formatCode>General</c:formatCode>
                <c:ptCount val="6"/>
                <c:pt idx="0">
                  <c:v>85.6</c:v>
                </c:pt>
                <c:pt idx="1">
                  <c:v>84.31</c:v>
                </c:pt>
                <c:pt idx="3">
                  <c:v>83.13</c:v>
                </c:pt>
                <c:pt idx="4">
                  <c:v>81.37</c:v>
                </c:pt>
                <c:pt idx="5">
                  <c:v>87.83</c:v>
                </c:pt>
              </c:numCache>
            </c:numRef>
          </c:val>
          <c:extLst xmlns:c16r2="http://schemas.microsoft.com/office/drawing/2015/06/chart">
            <c:ext xmlns:c16="http://schemas.microsoft.com/office/drawing/2014/chart" uri="{C3380CC4-5D6E-409C-BE32-E72D297353CC}">
              <c16:uniqueId val="{0000000A-9AC4-41E6-8017-A68B9E463D86}"/>
            </c:ext>
          </c:extLst>
        </c:ser>
        <c:dLbls>
          <c:showLegendKey val="0"/>
          <c:showVal val="0"/>
          <c:showCatName val="0"/>
          <c:showSerName val="0"/>
          <c:showPercent val="0"/>
          <c:showBubbleSize val="0"/>
        </c:dLbls>
        <c:gapWidth val="219"/>
        <c:overlap val="-27"/>
        <c:axId val="228474368"/>
        <c:axId val="166226752"/>
      </c:barChart>
      <c:catAx>
        <c:axId val="22847436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6226752"/>
        <c:crosses val="autoZero"/>
        <c:auto val="1"/>
        <c:lblAlgn val="ctr"/>
        <c:lblOffset val="100"/>
        <c:noMultiLvlLbl val="0"/>
      </c:catAx>
      <c:valAx>
        <c:axId val="1662267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Larvae - Free radical scavenging (%)</a:t>
                </a:r>
              </a:p>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3.7364951339401112E-2"/>
              <c:y val="0.22031375968853126"/>
            </c:manualLayout>
          </c:layout>
          <c:overlay val="0"/>
          <c:spPr>
            <a:noFill/>
            <a:ln>
              <a:noFill/>
            </a:ln>
            <a:effectLst/>
          </c:spPr>
        </c:title>
        <c:numFmt formatCode="General" sourceLinked="1"/>
        <c:majorTickMark val="none"/>
        <c:minorTickMark val="none"/>
        <c:tickLblPos val="nextTo"/>
        <c:spPr>
          <a:noFill/>
          <a:ln w="9525">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28474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49429181871749"/>
          <c:y val="4.6085913776125385E-2"/>
          <c:w val="0.85903865532467083"/>
          <c:h val="0.76013423135631897"/>
        </c:manualLayout>
      </c:layout>
      <c:barChart>
        <c:barDir val="col"/>
        <c:grouping val="clustered"/>
        <c:varyColors val="0"/>
        <c:ser>
          <c:idx val="0"/>
          <c:order val="0"/>
          <c:spPr>
            <a:solidFill>
              <a:schemeClr val="accent1"/>
            </a:solidFill>
            <a:ln>
              <a:solidFill>
                <a:schemeClr val="tx1"/>
              </a:solidFill>
            </a:ln>
            <a:effectLst/>
            <a:scene3d>
              <a:camera prst="orthographicFront"/>
              <a:lightRig rig="threePt" dir="t"/>
            </a:scene3d>
            <a:sp3d>
              <a:bevelT w="190500" h="38100"/>
            </a:sp3d>
          </c:spPr>
          <c:invertIfNegative val="0"/>
          <c:dPt>
            <c:idx val="0"/>
            <c:invertIfNegative val="0"/>
            <c:bubble3D val="0"/>
            <c:spPr>
              <a:solidFill>
                <a:schemeClr val="bg1"/>
              </a:solidFill>
              <a:ln>
                <a:solidFill>
                  <a:schemeClr val="tx1"/>
                </a:solidFill>
              </a:ln>
              <a:effectLst/>
              <a:scene3d>
                <a:camera prst="orthographicFront"/>
                <a:lightRig rig="threePt" dir="t"/>
              </a:scene3d>
              <a:sp3d>
                <a:bevelT w="190500" h="38100"/>
              </a:sp3d>
            </c:spPr>
            <c:extLst xmlns:c16r2="http://schemas.microsoft.com/office/drawing/2015/06/chart">
              <c:ext xmlns:c16="http://schemas.microsoft.com/office/drawing/2014/chart" uri="{C3380CC4-5D6E-409C-BE32-E72D297353CC}">
                <c16:uniqueId val="{00000001-72C0-4584-921B-B5DE3FF987E9}"/>
              </c:ext>
            </c:extLst>
          </c:dPt>
          <c:dPt>
            <c:idx val="1"/>
            <c:invertIfNegative val="0"/>
            <c:bubble3D val="0"/>
            <c:spPr>
              <a:solidFill>
                <a:schemeClr val="bg2">
                  <a:lumMod val="75000"/>
                </a:schemeClr>
              </a:solidFill>
              <a:ln>
                <a:solidFill>
                  <a:schemeClr val="tx1"/>
                </a:solidFill>
              </a:ln>
              <a:effectLst/>
              <a:scene3d>
                <a:camera prst="orthographicFront"/>
                <a:lightRig rig="threePt" dir="t"/>
              </a:scene3d>
              <a:sp3d>
                <a:bevelT w="190500" h="38100"/>
              </a:sp3d>
            </c:spPr>
            <c:extLst xmlns:c16r2="http://schemas.microsoft.com/office/drawing/2015/06/chart">
              <c:ext xmlns:c16="http://schemas.microsoft.com/office/drawing/2014/chart" uri="{C3380CC4-5D6E-409C-BE32-E72D297353CC}">
                <c16:uniqueId val="{00000003-72C0-4584-921B-B5DE3FF987E9}"/>
              </c:ext>
            </c:extLst>
          </c:dPt>
          <c:dPt>
            <c:idx val="3"/>
            <c:invertIfNegative val="0"/>
            <c:bubble3D val="0"/>
            <c:spPr>
              <a:pattFill prst="pct20">
                <a:fgClr>
                  <a:schemeClr val="tx1"/>
                </a:fgClr>
                <a:bgClr>
                  <a:schemeClr val="bg1"/>
                </a:bgClr>
              </a:pattFill>
              <a:ln>
                <a:solidFill>
                  <a:schemeClr val="tx1"/>
                </a:solidFill>
              </a:ln>
              <a:effectLst/>
              <a:scene3d>
                <a:camera prst="orthographicFront"/>
                <a:lightRig rig="threePt" dir="t"/>
              </a:scene3d>
              <a:sp3d>
                <a:bevelT w="190500" h="38100"/>
              </a:sp3d>
            </c:spPr>
            <c:extLst xmlns:c16r2="http://schemas.microsoft.com/office/drawing/2015/06/chart">
              <c:ext xmlns:c16="http://schemas.microsoft.com/office/drawing/2014/chart" uri="{C3380CC4-5D6E-409C-BE32-E72D297353CC}">
                <c16:uniqueId val="{00000005-72C0-4584-921B-B5DE3FF987E9}"/>
              </c:ext>
            </c:extLst>
          </c:dPt>
          <c:dPt>
            <c:idx val="4"/>
            <c:invertIfNegative val="0"/>
            <c:bubble3D val="0"/>
            <c:spPr>
              <a:pattFill prst="ltHorz">
                <a:fgClr>
                  <a:schemeClr val="tx1"/>
                </a:fgClr>
                <a:bgClr>
                  <a:schemeClr val="bg1"/>
                </a:bgClr>
              </a:pattFill>
              <a:ln>
                <a:solidFill>
                  <a:schemeClr val="tx1"/>
                </a:solidFill>
              </a:ln>
              <a:effectLst/>
              <a:scene3d>
                <a:camera prst="orthographicFront"/>
                <a:lightRig rig="threePt" dir="t"/>
              </a:scene3d>
              <a:sp3d>
                <a:bevelT w="190500" h="38100"/>
              </a:sp3d>
            </c:spPr>
            <c:extLst xmlns:c16r2="http://schemas.microsoft.com/office/drawing/2015/06/chart">
              <c:ext xmlns:c16="http://schemas.microsoft.com/office/drawing/2014/chart" uri="{C3380CC4-5D6E-409C-BE32-E72D297353CC}">
                <c16:uniqueId val="{00000007-72C0-4584-921B-B5DE3FF987E9}"/>
              </c:ext>
            </c:extLst>
          </c:dPt>
          <c:dPt>
            <c:idx val="5"/>
            <c:invertIfNegative val="0"/>
            <c:bubble3D val="0"/>
            <c:spPr>
              <a:pattFill prst="ltVert">
                <a:fgClr>
                  <a:schemeClr val="tx1"/>
                </a:fgClr>
                <a:bgClr>
                  <a:schemeClr val="bg1"/>
                </a:bgClr>
              </a:pattFill>
              <a:ln>
                <a:solidFill>
                  <a:schemeClr val="tx1"/>
                </a:solidFill>
              </a:ln>
              <a:effectLst/>
              <a:scene3d>
                <a:camera prst="orthographicFront"/>
                <a:lightRig rig="threePt" dir="t"/>
              </a:scene3d>
              <a:sp3d>
                <a:bevelT w="190500" h="38100"/>
              </a:sp3d>
            </c:spPr>
            <c:extLst xmlns:c16r2="http://schemas.microsoft.com/office/drawing/2015/06/chart">
              <c:ext xmlns:c16="http://schemas.microsoft.com/office/drawing/2014/chart" uri="{C3380CC4-5D6E-409C-BE32-E72D297353CC}">
                <c16:uniqueId val="{00000009-72C0-4584-921B-B5DE3FF987E9}"/>
              </c:ext>
            </c:extLst>
          </c:dPt>
          <c:dLbls>
            <c:dLbl>
              <c:idx val="0"/>
              <c:tx>
                <c:rich>
                  <a:bodyPr/>
                  <a:lstStyle/>
                  <a:p>
                    <a:r>
                      <a:rPr lang="en-US"/>
                      <a:t>B</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72C0-4584-921B-B5DE3FF987E9}"/>
                </c:ext>
              </c:extLst>
            </c:dLbl>
            <c:dLbl>
              <c:idx val="1"/>
              <c:tx>
                <c:rich>
                  <a:bodyPr/>
                  <a:lstStyle/>
                  <a:p>
                    <a:r>
                      <a:rPr lang="en-US"/>
                      <a:t>A</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72C0-4584-921B-B5DE3FF987E9}"/>
                </c:ext>
              </c:extLst>
            </c:dLbl>
            <c:dLbl>
              <c:idx val="3"/>
              <c:tx>
                <c:rich>
                  <a:bodyPr/>
                  <a:lstStyle/>
                  <a:p>
                    <a:r>
                      <a:rPr lang="en-US"/>
                      <a:t>c</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72C0-4584-921B-B5DE3FF987E9}"/>
                </c:ext>
              </c:extLst>
            </c:dLbl>
            <c:dLbl>
              <c:idx val="4"/>
              <c:tx>
                <c:rich>
                  <a:bodyPr/>
                  <a:lstStyle/>
                  <a:p>
                    <a:r>
                      <a:rPr lang="en-US"/>
                      <a:t>a</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72C0-4584-921B-B5DE3FF987E9}"/>
                </c:ext>
              </c:extLst>
            </c:dLbl>
            <c:dLbl>
              <c:idx val="5"/>
              <c:tx>
                <c:rich>
                  <a:bodyPr/>
                  <a:lstStyle/>
                  <a:p>
                    <a:r>
                      <a:rPr lang="en-US"/>
                      <a:t>b</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72C0-4584-921B-B5DE3FF987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MTT!$D$5:$I$5</c:f>
                <c:numCache>
                  <c:formatCode>General</c:formatCode>
                  <c:ptCount val="6"/>
                  <c:pt idx="0">
                    <c:v>0</c:v>
                  </c:pt>
                  <c:pt idx="1">
                    <c:v>2.1</c:v>
                  </c:pt>
                  <c:pt idx="3">
                    <c:v>0</c:v>
                  </c:pt>
                  <c:pt idx="4">
                    <c:v>0.72</c:v>
                  </c:pt>
                  <c:pt idx="5">
                    <c:v>0.30499999999999999</c:v>
                  </c:pt>
                </c:numCache>
              </c:numRef>
            </c:plus>
            <c:minus>
              <c:numRef>
                <c:f>MTT!$G$5:$I$5</c:f>
                <c:numCache>
                  <c:formatCode>General</c:formatCode>
                  <c:ptCount val="3"/>
                  <c:pt idx="0">
                    <c:v>0</c:v>
                  </c:pt>
                  <c:pt idx="1">
                    <c:v>0.72</c:v>
                  </c:pt>
                  <c:pt idx="2">
                    <c:v>0.30499999999999999</c:v>
                  </c:pt>
                </c:numCache>
              </c:numRef>
            </c:minus>
            <c:spPr>
              <a:noFill/>
              <a:ln w="12700" cap="flat" cmpd="sng" algn="ctr">
                <a:solidFill>
                  <a:schemeClr val="tx1"/>
                </a:solidFill>
                <a:round/>
              </a:ln>
              <a:effectLst/>
            </c:spPr>
          </c:errBars>
          <c:cat>
            <c:strRef>
              <c:f>MTT!$D$2:$I$3</c:f>
              <c:strCache>
                <c:ptCount val="6"/>
                <c:pt idx="0">
                  <c:v>Control </c:v>
                </c:pt>
                <c:pt idx="1">
                  <c:v>Hydrogen peroxide</c:v>
                </c:pt>
                <c:pt idx="3">
                  <c:v>Control </c:v>
                </c:pt>
                <c:pt idx="4">
                  <c:v>Hydrogen peroxide</c:v>
                </c:pt>
                <c:pt idx="5">
                  <c:v>Resveratrol</c:v>
                </c:pt>
              </c:strCache>
            </c:strRef>
          </c:cat>
          <c:val>
            <c:numRef>
              <c:f>MTT!$D$4:$I$4</c:f>
              <c:numCache>
                <c:formatCode>General</c:formatCode>
                <c:ptCount val="6"/>
                <c:pt idx="0">
                  <c:v>100</c:v>
                </c:pt>
                <c:pt idx="1">
                  <c:v>22.75</c:v>
                </c:pt>
                <c:pt idx="3">
                  <c:v>100</c:v>
                </c:pt>
                <c:pt idx="4">
                  <c:v>29.08</c:v>
                </c:pt>
                <c:pt idx="5">
                  <c:v>51.7</c:v>
                </c:pt>
              </c:numCache>
            </c:numRef>
          </c:val>
          <c:extLst xmlns:c16r2="http://schemas.microsoft.com/office/drawing/2015/06/chart">
            <c:ext xmlns:c16="http://schemas.microsoft.com/office/drawing/2014/chart" uri="{C3380CC4-5D6E-409C-BE32-E72D297353CC}">
              <c16:uniqueId val="{0000000A-72C0-4584-921B-B5DE3FF987E9}"/>
            </c:ext>
          </c:extLst>
        </c:ser>
        <c:dLbls>
          <c:showLegendKey val="0"/>
          <c:showVal val="0"/>
          <c:showCatName val="0"/>
          <c:showSerName val="0"/>
          <c:showPercent val="0"/>
          <c:showBubbleSize val="0"/>
        </c:dLbls>
        <c:gapWidth val="219"/>
        <c:overlap val="-27"/>
        <c:axId val="262403584"/>
        <c:axId val="166227904"/>
      </c:barChart>
      <c:catAx>
        <c:axId val="26240358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6227904"/>
        <c:crosses val="autoZero"/>
        <c:auto val="1"/>
        <c:lblAlgn val="ctr"/>
        <c:lblOffset val="100"/>
        <c:noMultiLvlLbl val="0"/>
      </c:catAx>
      <c:valAx>
        <c:axId val="166227904"/>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Larvae</a:t>
                </a:r>
                <a:r>
                  <a:rPr lang="en-US" baseline="0">
                    <a:solidFill>
                      <a:schemeClr val="tx1"/>
                    </a:solidFill>
                    <a:latin typeface="Times New Roman" panose="02020603050405020304" pitchFamily="18" charset="0"/>
                    <a:cs typeface="Times New Roman" panose="02020603050405020304" pitchFamily="18" charset="0"/>
                  </a:rPr>
                  <a:t> - c</a:t>
                </a:r>
                <a:r>
                  <a:rPr lang="en-US">
                    <a:solidFill>
                      <a:schemeClr val="tx1"/>
                    </a:solidFill>
                    <a:latin typeface="Times New Roman" panose="02020603050405020304" pitchFamily="18" charset="0"/>
                    <a:cs typeface="Times New Roman" panose="02020603050405020304" pitchFamily="18" charset="0"/>
                  </a:rPr>
                  <a:t>ell viablity (%)</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2403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0.74841</cdr:x>
      <cdr:y>0.03921</cdr:y>
    </cdr:from>
    <cdr:to>
      <cdr:x>0.98786</cdr:x>
      <cdr:y>0.12773</cdr:y>
    </cdr:to>
    <cdr:sp macro="" textlink="">
      <cdr:nvSpPr>
        <cdr:cNvPr id="2" name="TextBox 1"/>
        <cdr:cNvSpPr txBox="1"/>
      </cdr:nvSpPr>
      <cdr:spPr>
        <a:xfrm xmlns:a="http://schemas.openxmlformats.org/drawingml/2006/main">
          <a:off x="3903133" y="148153"/>
          <a:ext cx="1248833" cy="33444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latin typeface="Times New Roman" panose="02020603050405020304" pitchFamily="18" charset="0"/>
              <a:cs typeface="Times New Roman" panose="02020603050405020304" pitchFamily="18" charset="0"/>
            </a:rPr>
            <a:t>IC</a:t>
          </a:r>
          <a:r>
            <a:rPr lang="en-US" sz="1000" b="1" baseline="-25000">
              <a:latin typeface="Times New Roman" panose="02020603050405020304" pitchFamily="18" charset="0"/>
              <a:cs typeface="Times New Roman" panose="02020603050405020304" pitchFamily="18" charset="0"/>
            </a:rPr>
            <a:t>50</a:t>
          </a:r>
          <a:r>
            <a:rPr lang="en-US" sz="1000" b="1">
              <a:latin typeface="Times New Roman" panose="02020603050405020304" pitchFamily="18" charset="0"/>
              <a:cs typeface="Times New Roman" panose="02020603050405020304" pitchFamily="18" charset="0"/>
            </a:rPr>
            <a:t>= 16.24 </a:t>
          </a:r>
          <a:r>
            <a:rPr lang="en-US" sz="1000" b="1">
              <a:latin typeface="Times New Roman" panose="02020603050405020304" pitchFamily="18" charset="0"/>
              <a:ea typeface="Calibri" panose="020F0502020204030204" pitchFamily="34" charset="0"/>
              <a:cs typeface="Times New Roman" panose="02020603050405020304" pitchFamily="18" charset="0"/>
            </a:rPr>
            <a:t>µg/ml</a:t>
          </a:r>
          <a:endParaRPr lang="en-US" sz="1000" b="1">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0.69615</cdr:x>
      <cdr:y>0.00972</cdr:y>
    </cdr:from>
    <cdr:to>
      <cdr:x>0.97833</cdr:x>
      <cdr:y>0.10694</cdr:y>
    </cdr:to>
    <cdr:sp macro="" textlink="">
      <cdr:nvSpPr>
        <cdr:cNvPr id="2" name="TextBox 1"/>
        <cdr:cNvSpPr txBox="1"/>
      </cdr:nvSpPr>
      <cdr:spPr>
        <a:xfrm xmlns:a="http://schemas.openxmlformats.org/drawingml/2006/main">
          <a:off x="3182816" y="26664"/>
          <a:ext cx="1290110" cy="2666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latin typeface="Times New Roman" panose="02020603050405020304" pitchFamily="18" charset="0"/>
              <a:cs typeface="Times New Roman" panose="02020603050405020304" pitchFamily="18" charset="0"/>
            </a:rPr>
            <a:t>IC</a:t>
          </a:r>
          <a:r>
            <a:rPr lang="en-US" sz="1000" b="1" baseline="-25000">
              <a:latin typeface="Times New Roman" panose="02020603050405020304" pitchFamily="18" charset="0"/>
              <a:cs typeface="Times New Roman" panose="02020603050405020304" pitchFamily="18" charset="0"/>
            </a:rPr>
            <a:t>50</a:t>
          </a:r>
          <a:r>
            <a:rPr lang="en-US" sz="1000" b="1">
              <a:latin typeface="Times New Roman" panose="02020603050405020304" pitchFamily="18" charset="0"/>
              <a:cs typeface="Times New Roman" panose="02020603050405020304" pitchFamily="18" charset="0"/>
            </a:rPr>
            <a:t>=</a:t>
          </a:r>
          <a:r>
            <a:rPr lang="en-US" sz="1000" b="1" baseline="0">
              <a:latin typeface="Times New Roman" panose="02020603050405020304" pitchFamily="18" charset="0"/>
              <a:cs typeface="Times New Roman" panose="02020603050405020304" pitchFamily="18" charset="0"/>
            </a:rPr>
            <a:t> 25</a:t>
          </a:r>
          <a:r>
            <a:rPr lang="en-US" sz="1000" b="1">
              <a:latin typeface="Times New Roman" panose="02020603050405020304" pitchFamily="18" charset="0"/>
              <a:cs typeface="Times New Roman" panose="02020603050405020304" pitchFamily="18" charset="0"/>
            </a:rPr>
            <a:t>.96 ug/ml</a:t>
          </a:r>
        </a:p>
        <a:p xmlns:a="http://schemas.openxmlformats.org/drawingml/2006/main">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0.15793</cdr:x>
      <cdr:y>0.92693</cdr:y>
    </cdr:from>
    <cdr:to>
      <cdr:x>0.96847</cdr:x>
      <cdr:y>0.97999</cdr:y>
    </cdr:to>
    <cdr:sp macro="" textlink="">
      <cdr:nvSpPr>
        <cdr:cNvPr id="2" name="TextBox 1">
          <a:extLst xmlns:a="http://schemas.openxmlformats.org/drawingml/2006/main">
            <a:ext uri="{FF2B5EF4-FFF2-40B4-BE49-F238E27FC236}">
              <a16:creationId xmlns="" xmlns:a16="http://schemas.microsoft.com/office/drawing/2014/main" id="{044B0359-73B2-67AF-A097-794F4A815806}"/>
            </a:ext>
          </a:extLst>
        </cdr:cNvPr>
        <cdr:cNvSpPr txBox="1"/>
      </cdr:nvSpPr>
      <cdr:spPr>
        <a:xfrm xmlns:a="http://schemas.openxmlformats.org/drawingml/2006/main">
          <a:off x="756722" y="3078741"/>
          <a:ext cx="3883580" cy="1762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1050" kern="1200">
              <a:latin typeface="Times New Roman" panose="02020603050405020304" pitchFamily="18" charset="0"/>
              <a:cs typeface="Times New Roman" panose="02020603050405020304" pitchFamily="18" charset="0"/>
            </a:rPr>
            <a:t>24 h			48</a:t>
          </a:r>
          <a:r>
            <a:rPr lang="en-IN" sz="1050" kern="1200" baseline="0">
              <a:latin typeface="Times New Roman" panose="02020603050405020304" pitchFamily="18" charset="0"/>
              <a:cs typeface="Times New Roman" panose="02020603050405020304" pitchFamily="18" charset="0"/>
            </a:rPr>
            <a:t> h</a:t>
          </a:r>
          <a:endParaRPr lang="en-IN" sz="1050" kern="1200">
            <a:latin typeface="Times New Roman" panose="02020603050405020304" pitchFamily="18"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0.12507</cdr:x>
      <cdr:y>0.91166</cdr:y>
    </cdr:from>
    <cdr:to>
      <cdr:x>0.99098</cdr:x>
      <cdr:y>0.99647</cdr:y>
    </cdr:to>
    <cdr:sp macro="" textlink="">
      <cdr:nvSpPr>
        <cdr:cNvPr id="2" name="TextBox 1">
          <a:extLst xmlns:a="http://schemas.openxmlformats.org/drawingml/2006/main">
            <a:ext uri="{FF2B5EF4-FFF2-40B4-BE49-F238E27FC236}">
              <a16:creationId xmlns="" xmlns:a16="http://schemas.microsoft.com/office/drawing/2014/main" id="{C96B06A7-198B-069B-0936-A368EBA18859}"/>
            </a:ext>
          </a:extLst>
        </cdr:cNvPr>
        <cdr:cNvSpPr txBox="1"/>
      </cdr:nvSpPr>
      <cdr:spPr>
        <a:xfrm xmlns:a="http://schemas.openxmlformats.org/drawingml/2006/main">
          <a:off x="699400" y="3012539"/>
          <a:ext cx="4842088" cy="28025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1100" kern="1200"/>
            <a:t>24 h			48 h</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C4327-6E6E-4F2C-B8DA-ED6CEE219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3365</Words>
  <Characters>19184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Shahidh</dc:creator>
  <cp:keywords/>
  <dc:description/>
  <cp:lastModifiedBy>qwert</cp:lastModifiedBy>
  <cp:revision>3</cp:revision>
  <dcterms:created xsi:type="dcterms:W3CDTF">2026-05-01T09:58:00Z</dcterms:created>
  <dcterms:modified xsi:type="dcterms:W3CDTF">2026-05-02T09:56:00Z</dcterms:modified>
</cp:coreProperties>
</file>