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96850" w14:textId="77777777" w:rsidR="00036607" w:rsidRPr="00EB7344" w:rsidRDefault="00036607" w:rsidP="007C7124">
      <w:pPr>
        <w:tabs>
          <w:tab w:val="left" w:pos="3557"/>
        </w:tabs>
        <w:spacing w:after="0" w:line="240" w:lineRule="auto"/>
        <w:jc w:val="center"/>
        <w:rPr>
          <w:rFonts w:ascii="Times New Roman" w:eastAsia="Times New Roman" w:hAnsi="Times New Roman"/>
          <w:b/>
          <w:bCs/>
          <w:sz w:val="36"/>
          <w:szCs w:val="36"/>
          <w:lang w:eastAsia="en-IN"/>
        </w:rPr>
      </w:pPr>
      <w:bookmarkStart w:id="0" w:name="_Hlk216139543"/>
      <w:bookmarkStart w:id="1" w:name="_Hlk181385233"/>
      <w:r w:rsidRPr="00EB7344">
        <w:rPr>
          <w:rFonts w:ascii="Times New Roman" w:eastAsia="Times New Roman" w:hAnsi="Times New Roman"/>
          <w:b/>
          <w:bCs/>
          <w:sz w:val="36"/>
          <w:szCs w:val="36"/>
          <w:lang w:eastAsia="en-IN"/>
        </w:rPr>
        <w:t>Deciphering Groundwater Geochemical Signatures in Central Odisha Using Multivariate Techniques</w:t>
      </w:r>
    </w:p>
    <w:p w14:paraId="093393E4" w14:textId="2C63C9A8" w:rsidR="00136869" w:rsidRPr="00F7371C" w:rsidRDefault="00136869" w:rsidP="00136869">
      <w:pPr>
        <w:tabs>
          <w:tab w:val="left" w:pos="3557"/>
        </w:tabs>
        <w:spacing w:after="0" w:line="360" w:lineRule="auto"/>
        <w:jc w:val="center"/>
        <w:rPr>
          <w:rFonts w:ascii="Times New Roman" w:eastAsia="Times New Roman" w:hAnsi="Times New Roman"/>
          <w:b/>
          <w:sz w:val="24"/>
          <w:szCs w:val="24"/>
          <w:lang w:eastAsia="en-IN"/>
        </w:rPr>
      </w:pPr>
      <w:r w:rsidRPr="00F7371C">
        <w:rPr>
          <w:rFonts w:ascii="Times New Roman" w:eastAsia="Times New Roman" w:hAnsi="Times New Roman"/>
          <w:b/>
          <w:sz w:val="24"/>
          <w:szCs w:val="24"/>
          <w:lang w:eastAsia="en-IN"/>
        </w:rPr>
        <w:t>Pragnya Paramita Das</w:t>
      </w:r>
      <w:r w:rsidRPr="00F7371C">
        <w:rPr>
          <w:rFonts w:ascii="Times New Roman" w:eastAsia="Times New Roman" w:hAnsi="Times New Roman"/>
          <w:b/>
          <w:sz w:val="24"/>
          <w:szCs w:val="24"/>
          <w:vertAlign w:val="superscript"/>
          <w:lang w:eastAsia="en-IN"/>
        </w:rPr>
        <w:t>1</w:t>
      </w:r>
      <w:r w:rsidR="00F7371C" w:rsidRPr="00F7371C">
        <w:rPr>
          <w:rFonts w:ascii="Times New Roman" w:eastAsia="Times New Roman" w:hAnsi="Times New Roman"/>
          <w:b/>
          <w:sz w:val="24"/>
          <w:szCs w:val="24"/>
          <w:vertAlign w:val="superscript"/>
          <w:lang w:eastAsia="en-IN"/>
        </w:rPr>
        <w:t>*</w:t>
      </w:r>
      <w:r w:rsidR="00F7371C" w:rsidRPr="00F7371C">
        <w:rPr>
          <w:rFonts w:ascii="Times New Roman" w:eastAsia="Times New Roman" w:hAnsi="Times New Roman"/>
          <w:b/>
          <w:sz w:val="24"/>
          <w:szCs w:val="24"/>
          <w:lang w:eastAsia="en-IN"/>
        </w:rPr>
        <w:t xml:space="preserve">, </w:t>
      </w:r>
      <w:r w:rsidRPr="00F7371C">
        <w:rPr>
          <w:rFonts w:ascii="Times New Roman" w:eastAsia="Times New Roman" w:hAnsi="Times New Roman"/>
          <w:b/>
          <w:sz w:val="24"/>
          <w:szCs w:val="24"/>
          <w:lang w:eastAsia="en-IN"/>
        </w:rPr>
        <w:t>Nandita Mahanta</w:t>
      </w:r>
      <w:r w:rsidRPr="00F7371C">
        <w:rPr>
          <w:rFonts w:ascii="Times New Roman" w:eastAsia="Times New Roman" w:hAnsi="Times New Roman"/>
          <w:b/>
          <w:sz w:val="24"/>
          <w:szCs w:val="24"/>
          <w:vertAlign w:val="superscript"/>
          <w:lang w:eastAsia="en-IN"/>
        </w:rPr>
        <w:t>2</w:t>
      </w:r>
      <w:bookmarkEnd w:id="0"/>
    </w:p>
    <w:p w14:paraId="7F8BA77E" w14:textId="402C1E70" w:rsidR="00E928BC" w:rsidRPr="00C05A82" w:rsidRDefault="00010343" w:rsidP="00036607">
      <w:pPr>
        <w:spacing w:line="360" w:lineRule="auto"/>
        <w:jc w:val="both"/>
        <w:rPr>
          <w:rFonts w:ascii="Times New Roman" w:hAnsi="Times New Roman"/>
          <w:b/>
          <w:bCs/>
          <w:color w:val="000000"/>
          <w:sz w:val="28"/>
          <w:szCs w:val="28"/>
          <w:shd w:val="clear" w:color="auto" w:fill="FFFFFF"/>
        </w:rPr>
      </w:pPr>
      <w:bookmarkStart w:id="2" w:name="_GoBack"/>
      <w:bookmarkEnd w:id="2"/>
      <w:r w:rsidRPr="00C05A82">
        <w:rPr>
          <w:rFonts w:ascii="Times New Roman" w:hAnsi="Times New Roman"/>
          <w:b/>
          <w:bCs/>
          <w:color w:val="000000"/>
          <w:sz w:val="28"/>
          <w:szCs w:val="28"/>
          <w:shd w:val="clear" w:color="auto" w:fill="FFFFFF"/>
        </w:rPr>
        <w:t>ABSTRACT</w:t>
      </w:r>
    </w:p>
    <w:p w14:paraId="2BA58975" w14:textId="77777777" w:rsidR="00DB41B7" w:rsidRDefault="00DB41B7" w:rsidP="005F7043">
      <w:pPr>
        <w:spacing w:line="240" w:lineRule="auto"/>
        <w:jc w:val="both"/>
        <w:rPr>
          <w:rFonts w:ascii="Times New Roman" w:hAnsi="Times New Roman"/>
          <w:color w:val="000000"/>
          <w:sz w:val="24"/>
          <w:szCs w:val="24"/>
          <w:shd w:val="clear" w:color="auto" w:fill="FFFFFF"/>
        </w:rPr>
      </w:pPr>
      <w:r w:rsidRPr="005B7951">
        <w:rPr>
          <w:rFonts w:ascii="Times New Roman" w:hAnsi="Times New Roman"/>
          <w:color w:val="000000"/>
          <w:sz w:val="24"/>
          <w:szCs w:val="24"/>
          <w:shd w:val="clear" w:color="auto" w:fill="FFFFFF"/>
        </w:rPr>
        <w:t xml:space="preserve">The </w:t>
      </w:r>
      <w:r>
        <w:rPr>
          <w:rFonts w:ascii="Times New Roman" w:hAnsi="Times New Roman"/>
          <w:color w:val="000000"/>
          <w:sz w:val="24"/>
          <w:szCs w:val="24"/>
          <w:shd w:val="clear" w:color="auto" w:fill="FFFFFF"/>
        </w:rPr>
        <w:t>current</w:t>
      </w:r>
      <w:r w:rsidRPr="005B7951">
        <w:rPr>
          <w:rFonts w:ascii="Times New Roman" w:hAnsi="Times New Roman"/>
          <w:color w:val="000000"/>
          <w:sz w:val="24"/>
          <w:szCs w:val="24"/>
          <w:shd w:val="clear" w:color="auto" w:fill="FFFFFF"/>
        </w:rPr>
        <w:t xml:space="preserve"> study </w:t>
      </w:r>
      <w:r>
        <w:rPr>
          <w:rFonts w:ascii="Times New Roman" w:hAnsi="Times New Roman"/>
          <w:color w:val="000000"/>
          <w:sz w:val="24"/>
          <w:szCs w:val="24"/>
          <w:shd w:val="clear" w:color="auto" w:fill="FFFFFF"/>
        </w:rPr>
        <w:t>aims</w:t>
      </w:r>
      <w:r w:rsidRPr="005B795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at evaluating</w:t>
      </w:r>
      <w:r w:rsidRPr="005B7951">
        <w:rPr>
          <w:rFonts w:ascii="Times New Roman" w:hAnsi="Times New Roman"/>
          <w:color w:val="000000"/>
          <w:sz w:val="24"/>
          <w:szCs w:val="24"/>
          <w:shd w:val="clear" w:color="auto" w:fill="FFFFFF"/>
        </w:rPr>
        <w:t xml:space="preserve"> the hydrogeochemical characteristics of groundwater</w:t>
      </w:r>
      <w:r>
        <w:rPr>
          <w:rFonts w:ascii="Times New Roman" w:hAnsi="Times New Roman"/>
          <w:color w:val="000000"/>
          <w:sz w:val="24"/>
          <w:szCs w:val="24"/>
          <w:shd w:val="clear" w:color="auto" w:fill="FFFFFF"/>
        </w:rPr>
        <w:t xml:space="preserve"> and its associate geochemical processes occur in different aquifer system </w:t>
      </w:r>
      <w:r w:rsidRPr="00B552BA">
        <w:rPr>
          <w:rFonts w:ascii="Times New Roman" w:hAnsi="Times New Roman"/>
          <w:color w:val="000000"/>
          <w:sz w:val="24"/>
          <w:szCs w:val="24"/>
          <w:shd w:val="clear" w:color="auto" w:fill="FFFFFF"/>
        </w:rPr>
        <w:t xml:space="preserve">in Kaniha </w:t>
      </w:r>
      <w:r w:rsidR="00FF4A26">
        <w:rPr>
          <w:rFonts w:ascii="Times New Roman" w:hAnsi="Times New Roman"/>
          <w:color w:val="000000"/>
          <w:sz w:val="24"/>
          <w:szCs w:val="24"/>
          <w:shd w:val="clear" w:color="auto" w:fill="FFFFFF"/>
        </w:rPr>
        <w:t>B</w:t>
      </w:r>
      <w:r w:rsidRPr="00B552BA">
        <w:rPr>
          <w:rFonts w:ascii="Times New Roman" w:hAnsi="Times New Roman"/>
          <w:color w:val="000000"/>
          <w:sz w:val="24"/>
          <w:szCs w:val="24"/>
          <w:shd w:val="clear" w:color="auto" w:fill="FFFFFF"/>
        </w:rPr>
        <w:t xml:space="preserve">lock of Angul </w:t>
      </w:r>
      <w:r w:rsidR="00FF4A26">
        <w:rPr>
          <w:rFonts w:ascii="Times New Roman" w:hAnsi="Times New Roman"/>
          <w:color w:val="000000"/>
          <w:sz w:val="24"/>
          <w:szCs w:val="24"/>
          <w:shd w:val="clear" w:color="auto" w:fill="FFFFFF"/>
        </w:rPr>
        <w:t>D</w:t>
      </w:r>
      <w:r w:rsidRPr="00B552BA">
        <w:rPr>
          <w:rFonts w:ascii="Times New Roman" w:hAnsi="Times New Roman"/>
          <w:color w:val="000000"/>
          <w:sz w:val="24"/>
          <w:szCs w:val="24"/>
          <w:shd w:val="clear" w:color="auto" w:fill="FFFFFF"/>
        </w:rPr>
        <w:t>istrict, Odisha</w:t>
      </w:r>
      <w:r>
        <w:rPr>
          <w:rFonts w:ascii="Times New Roman" w:hAnsi="Times New Roman"/>
          <w:color w:val="000000"/>
          <w:sz w:val="24"/>
          <w:szCs w:val="24"/>
          <w:shd w:val="clear" w:color="auto" w:fill="FFFFFF"/>
        </w:rPr>
        <w:t xml:space="preserve">, </w:t>
      </w:r>
      <w:r w:rsidRPr="005B7951">
        <w:rPr>
          <w:rFonts w:ascii="Times New Roman" w:hAnsi="Times New Roman"/>
          <w:color w:val="000000"/>
          <w:sz w:val="24"/>
          <w:szCs w:val="24"/>
          <w:shd w:val="clear" w:color="auto" w:fill="FFFFFF"/>
        </w:rPr>
        <w:t>using graphical techniques,</w:t>
      </w:r>
      <w:r>
        <w:rPr>
          <w:rFonts w:ascii="Times New Roman" w:hAnsi="Times New Roman"/>
          <w:color w:val="000000"/>
          <w:sz w:val="24"/>
          <w:szCs w:val="24"/>
          <w:shd w:val="clear" w:color="auto" w:fill="FFFFFF"/>
        </w:rPr>
        <w:t xml:space="preserve"> multivariate </w:t>
      </w:r>
      <w:r w:rsidRPr="005B7951">
        <w:rPr>
          <w:rFonts w:ascii="Times New Roman" w:hAnsi="Times New Roman"/>
          <w:color w:val="000000"/>
          <w:sz w:val="24"/>
          <w:szCs w:val="24"/>
          <w:shd w:val="clear" w:color="auto" w:fill="FFFFFF"/>
        </w:rPr>
        <w:t>statistical techniques</w:t>
      </w:r>
      <w:r>
        <w:rPr>
          <w:rFonts w:ascii="Times New Roman" w:hAnsi="Times New Roman"/>
          <w:color w:val="000000"/>
          <w:sz w:val="24"/>
          <w:szCs w:val="24"/>
          <w:shd w:val="clear" w:color="auto" w:fill="FFFFFF"/>
        </w:rPr>
        <w:t xml:space="preserve"> and ionic ratio analysis. The study is carried out by using 81 groundwater samples during premonsoon season. </w:t>
      </w:r>
      <w:r w:rsidRPr="0071671F">
        <w:rPr>
          <w:rFonts w:ascii="Times New Roman" w:hAnsi="Times New Roman"/>
          <w:color w:val="000000"/>
          <w:sz w:val="24"/>
          <w:szCs w:val="24"/>
          <w:shd w:val="clear" w:color="auto" w:fill="FFFFFF"/>
        </w:rPr>
        <w:t xml:space="preserve">The groundwater in the study area is mostly alkaline, with </w:t>
      </w:r>
      <w:r w:rsidRPr="00F3128D">
        <w:rPr>
          <w:rFonts w:ascii="Times New Roman" w:hAnsi="Times New Roman"/>
          <w:color w:val="000000"/>
          <w:sz w:val="24"/>
          <w:szCs w:val="24"/>
          <w:shd w:val="clear" w:color="auto" w:fill="FFFFFF"/>
        </w:rPr>
        <w:t>moderately hard to hard</w:t>
      </w:r>
      <w:r w:rsidRPr="0071671F">
        <w:rPr>
          <w:rFonts w:ascii="Times New Roman" w:hAnsi="Times New Roman"/>
          <w:color w:val="000000"/>
          <w:sz w:val="24"/>
          <w:szCs w:val="24"/>
          <w:shd w:val="clear" w:color="auto" w:fill="FFFFFF"/>
        </w:rPr>
        <w:t xml:space="preserve">. The order of </w:t>
      </w:r>
      <w:r>
        <w:rPr>
          <w:rFonts w:ascii="Times New Roman" w:hAnsi="Times New Roman"/>
          <w:color w:val="000000"/>
          <w:sz w:val="24"/>
          <w:szCs w:val="24"/>
          <w:shd w:val="clear" w:color="auto" w:fill="FFFFFF"/>
        </w:rPr>
        <w:t xml:space="preserve">dominance of the </w:t>
      </w:r>
      <w:r w:rsidRPr="0071671F">
        <w:rPr>
          <w:rFonts w:ascii="Times New Roman" w:hAnsi="Times New Roman"/>
          <w:color w:val="000000"/>
          <w:sz w:val="24"/>
          <w:szCs w:val="24"/>
          <w:shd w:val="clear" w:color="auto" w:fill="FFFFFF"/>
        </w:rPr>
        <w:t>chemical parameters in the study area is Ca</w:t>
      </w:r>
      <w:r w:rsidRPr="00406BBC">
        <w:rPr>
          <w:rFonts w:ascii="Times New Roman" w:hAnsi="Times New Roman"/>
          <w:color w:val="000000"/>
          <w:sz w:val="24"/>
          <w:szCs w:val="24"/>
          <w:shd w:val="clear" w:color="auto" w:fill="FFFFFF"/>
          <w:vertAlign w:val="superscript"/>
        </w:rPr>
        <w:t>2+</w:t>
      </w:r>
      <w:r w:rsidRPr="0071671F">
        <w:rPr>
          <w:rFonts w:ascii="Times New Roman" w:hAnsi="Times New Roman"/>
          <w:color w:val="000000"/>
          <w:sz w:val="24"/>
          <w:szCs w:val="24"/>
          <w:shd w:val="clear" w:color="auto" w:fill="FFFFFF"/>
        </w:rPr>
        <w:t>&gt;Na</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&gt;Mg</w:t>
      </w:r>
      <w:r w:rsidRPr="00406BBC">
        <w:rPr>
          <w:rFonts w:ascii="Times New Roman" w:hAnsi="Times New Roman"/>
          <w:color w:val="000000"/>
          <w:sz w:val="24"/>
          <w:szCs w:val="24"/>
          <w:shd w:val="clear" w:color="auto" w:fill="FFFFFF"/>
          <w:vertAlign w:val="superscript"/>
        </w:rPr>
        <w:t>2+</w:t>
      </w:r>
      <w:r w:rsidRPr="0071671F">
        <w:rPr>
          <w:rFonts w:ascii="Times New Roman" w:hAnsi="Times New Roman"/>
          <w:color w:val="000000"/>
          <w:sz w:val="24"/>
          <w:szCs w:val="24"/>
          <w:shd w:val="clear" w:color="auto" w:fill="FFFFFF"/>
        </w:rPr>
        <w:t>&gt;K</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 xml:space="preserve"> and HCO</w:t>
      </w:r>
      <w:r w:rsidRPr="00406BBC">
        <w:rPr>
          <w:rFonts w:ascii="Times New Roman" w:hAnsi="Times New Roman"/>
          <w:color w:val="000000"/>
          <w:sz w:val="24"/>
          <w:szCs w:val="24"/>
          <w:shd w:val="clear" w:color="auto" w:fill="FFFFFF"/>
          <w:vertAlign w:val="subscript"/>
        </w:rPr>
        <w:t>3</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&gt;Cl</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&gt; SO</w:t>
      </w:r>
      <w:r w:rsidRPr="00406BBC">
        <w:rPr>
          <w:rFonts w:ascii="Times New Roman" w:hAnsi="Times New Roman"/>
          <w:color w:val="000000"/>
          <w:sz w:val="24"/>
          <w:szCs w:val="24"/>
          <w:shd w:val="clear" w:color="auto" w:fill="FFFFFF"/>
          <w:vertAlign w:val="subscript"/>
        </w:rPr>
        <w:t>4</w:t>
      </w:r>
      <w:r w:rsidRPr="00406BBC">
        <w:rPr>
          <w:rFonts w:ascii="Times New Roman" w:hAnsi="Times New Roman"/>
          <w:color w:val="000000"/>
          <w:sz w:val="24"/>
          <w:szCs w:val="24"/>
          <w:shd w:val="clear" w:color="auto" w:fill="FFFFFF"/>
          <w:vertAlign w:val="superscript"/>
        </w:rPr>
        <w:t>2-</w:t>
      </w:r>
      <w:r w:rsidRPr="0071671F">
        <w:rPr>
          <w:rFonts w:ascii="Times New Roman" w:hAnsi="Times New Roman"/>
          <w:color w:val="000000"/>
          <w:sz w:val="24"/>
          <w:szCs w:val="24"/>
          <w:shd w:val="clear" w:color="auto" w:fill="FFFFFF"/>
        </w:rPr>
        <w:t>&gt;NO</w:t>
      </w:r>
      <w:r w:rsidRPr="00406BBC">
        <w:rPr>
          <w:rFonts w:ascii="Times New Roman" w:hAnsi="Times New Roman"/>
          <w:color w:val="000000"/>
          <w:sz w:val="24"/>
          <w:szCs w:val="24"/>
          <w:shd w:val="clear" w:color="auto" w:fill="FFFFFF"/>
          <w:vertAlign w:val="subscript"/>
        </w:rPr>
        <w:t>3</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 xml:space="preserve"> respectively. </w:t>
      </w:r>
      <w:r w:rsidRPr="005B7951">
        <w:rPr>
          <w:rFonts w:ascii="Times New Roman" w:hAnsi="Times New Roman"/>
          <w:color w:val="000000"/>
          <w:sz w:val="24"/>
          <w:szCs w:val="24"/>
          <w:shd w:val="clear" w:color="auto" w:fill="FFFFFF"/>
        </w:rPr>
        <w:t xml:space="preserve">The analysed data were </w:t>
      </w:r>
      <w:r>
        <w:rPr>
          <w:rFonts w:ascii="Times New Roman" w:hAnsi="Times New Roman"/>
          <w:color w:val="000000"/>
          <w:sz w:val="24"/>
          <w:szCs w:val="24"/>
          <w:shd w:val="clear" w:color="auto" w:fill="FFFFFF"/>
        </w:rPr>
        <w:t>plotted</w:t>
      </w:r>
      <w:r w:rsidRPr="005B7951">
        <w:rPr>
          <w:rFonts w:ascii="Times New Roman" w:hAnsi="Times New Roman"/>
          <w:color w:val="000000"/>
          <w:sz w:val="24"/>
          <w:szCs w:val="24"/>
          <w:shd w:val="clear" w:color="auto" w:fill="FFFFFF"/>
        </w:rPr>
        <w:t xml:space="preserve"> in Piper</w:t>
      </w:r>
      <w:r>
        <w:rPr>
          <w:rFonts w:ascii="Times New Roman" w:hAnsi="Times New Roman"/>
          <w:color w:val="000000"/>
          <w:sz w:val="24"/>
          <w:szCs w:val="24"/>
          <w:shd w:val="clear" w:color="auto" w:fill="FFFFFF"/>
        </w:rPr>
        <w:t>-trilinear</w:t>
      </w:r>
      <w:r w:rsidRPr="005B7951">
        <w:rPr>
          <w:rFonts w:ascii="Times New Roman" w:hAnsi="Times New Roman"/>
          <w:color w:val="000000"/>
          <w:sz w:val="24"/>
          <w:szCs w:val="24"/>
          <w:shd w:val="clear" w:color="auto" w:fill="FFFFFF"/>
        </w:rPr>
        <w:t xml:space="preserve">, and </w:t>
      </w:r>
      <w:r w:rsidR="00E1013A" w:rsidRPr="005B7951">
        <w:rPr>
          <w:rFonts w:ascii="Times New Roman" w:hAnsi="Times New Roman"/>
          <w:color w:val="000000"/>
          <w:sz w:val="24"/>
          <w:szCs w:val="24"/>
          <w:shd w:val="clear" w:color="auto" w:fill="FFFFFF"/>
        </w:rPr>
        <w:t>Gibbs</w:t>
      </w:r>
      <w:r w:rsidR="00E1013A">
        <w:rPr>
          <w:rFonts w:ascii="Times New Roman" w:hAnsi="Times New Roman"/>
          <w:color w:val="000000"/>
          <w:sz w:val="24"/>
          <w:szCs w:val="24"/>
          <w:shd w:val="clear" w:color="auto" w:fill="FFFFFF"/>
        </w:rPr>
        <w:t xml:space="preserve"> </w:t>
      </w:r>
      <w:r w:rsidRPr="005B7951">
        <w:rPr>
          <w:rFonts w:ascii="Times New Roman" w:hAnsi="Times New Roman"/>
          <w:color w:val="000000"/>
          <w:sz w:val="24"/>
          <w:szCs w:val="24"/>
          <w:shd w:val="clear" w:color="auto" w:fill="FFFFFF"/>
        </w:rPr>
        <w:t xml:space="preserve">diagrams for the evaluation of hydrochemical facies </w:t>
      </w:r>
      <w:r>
        <w:rPr>
          <w:rFonts w:ascii="Times New Roman" w:hAnsi="Times New Roman"/>
          <w:color w:val="000000"/>
          <w:sz w:val="24"/>
          <w:szCs w:val="24"/>
          <w:shd w:val="clear" w:color="auto" w:fill="FFFFFF"/>
        </w:rPr>
        <w:t xml:space="preserve">and the </w:t>
      </w:r>
      <w:r w:rsidRPr="005B7951">
        <w:rPr>
          <w:rFonts w:ascii="Times New Roman" w:hAnsi="Times New Roman"/>
          <w:color w:val="000000"/>
          <w:sz w:val="24"/>
          <w:szCs w:val="24"/>
          <w:shd w:val="clear" w:color="auto" w:fill="FFFFFF"/>
        </w:rPr>
        <w:t>geochemical processes</w:t>
      </w:r>
      <w:r>
        <w:rPr>
          <w:rFonts w:ascii="Times New Roman" w:hAnsi="Times New Roman"/>
          <w:color w:val="000000"/>
          <w:sz w:val="24"/>
          <w:szCs w:val="24"/>
          <w:shd w:val="clear" w:color="auto" w:fill="FFFFFF"/>
        </w:rPr>
        <w:t xml:space="preserve"> responsible for the water chemistry. The </w:t>
      </w:r>
      <w:r w:rsidRPr="009414CE">
        <w:rPr>
          <w:rFonts w:ascii="Times New Roman" w:hAnsi="Times New Roman"/>
          <w:color w:val="000000"/>
          <w:sz w:val="24"/>
          <w:szCs w:val="24"/>
          <w:shd w:val="clear" w:color="auto" w:fill="FFFFFF"/>
        </w:rPr>
        <w:t>water chemistry</w:t>
      </w:r>
      <w:r>
        <w:rPr>
          <w:rFonts w:ascii="Times New Roman" w:hAnsi="Times New Roman"/>
          <w:color w:val="000000"/>
          <w:sz w:val="24"/>
          <w:szCs w:val="24"/>
          <w:shd w:val="clear" w:color="auto" w:fill="FFFFFF"/>
        </w:rPr>
        <w:t xml:space="preserve"> of the study area</w:t>
      </w:r>
      <w:r w:rsidRPr="009414CE">
        <w:rPr>
          <w:rFonts w:ascii="Times New Roman" w:hAnsi="Times New Roman"/>
          <w:color w:val="000000"/>
          <w:sz w:val="24"/>
          <w:szCs w:val="24"/>
          <w:shd w:val="clear" w:color="auto" w:fill="FFFFFF"/>
        </w:rPr>
        <w:t xml:space="preserve"> is</w:t>
      </w:r>
      <w:r>
        <w:rPr>
          <w:rFonts w:ascii="Times New Roman" w:hAnsi="Times New Roman"/>
          <w:color w:val="000000"/>
          <w:sz w:val="24"/>
          <w:szCs w:val="24"/>
          <w:shd w:val="clear" w:color="auto" w:fill="FFFFFF"/>
        </w:rPr>
        <w:t xml:space="preserve"> varied from</w:t>
      </w:r>
      <w:r w:rsidRPr="009414CE">
        <w:rPr>
          <w:rFonts w:ascii="Times New Roman" w:hAnsi="Times New Roman"/>
          <w:color w:val="000000"/>
          <w:sz w:val="24"/>
          <w:szCs w:val="24"/>
          <w:shd w:val="clear" w:color="auto" w:fill="FFFFFF"/>
        </w:rPr>
        <w:t xml:space="preserve"> </w:t>
      </w:r>
      <w:r w:rsidRPr="005B7951">
        <w:rPr>
          <w:rFonts w:ascii="Times New Roman" w:hAnsi="Times New Roman"/>
          <w:color w:val="000000"/>
          <w:sz w:val="24"/>
          <w:szCs w:val="24"/>
          <w:shd w:val="clear" w:color="auto" w:fill="FFFFFF"/>
        </w:rPr>
        <w:t>Ca</w:t>
      </w:r>
      <w:r w:rsidRPr="005B7951">
        <w:rPr>
          <w:rFonts w:ascii="Times New Roman" w:hAnsi="Times New Roman"/>
          <w:color w:val="000000"/>
          <w:sz w:val="24"/>
          <w:szCs w:val="24"/>
          <w:shd w:val="clear" w:color="auto" w:fill="FFFFFF"/>
          <w:vertAlign w:val="superscript"/>
        </w:rPr>
        <w:t>2+</w:t>
      </w:r>
      <w:r w:rsidRPr="005B795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Mg</w:t>
      </w:r>
      <w:r>
        <w:rPr>
          <w:rFonts w:ascii="Times New Roman" w:hAnsi="Times New Roman"/>
          <w:color w:val="000000"/>
          <w:sz w:val="24"/>
          <w:szCs w:val="24"/>
          <w:shd w:val="clear" w:color="auto" w:fill="FFFFFF"/>
          <w:vertAlign w:val="superscript"/>
        </w:rPr>
        <w:t>2+</w:t>
      </w:r>
      <w:r>
        <w:rPr>
          <w:rFonts w:ascii="Times New Roman" w:hAnsi="Times New Roman"/>
          <w:color w:val="000000"/>
          <w:sz w:val="24"/>
          <w:szCs w:val="24"/>
          <w:shd w:val="clear" w:color="auto" w:fill="FFFFFF"/>
        </w:rPr>
        <w:t>-</w:t>
      </w:r>
      <w:r w:rsidRPr="005B7951">
        <w:rPr>
          <w:rFonts w:ascii="Times New Roman" w:hAnsi="Times New Roman"/>
          <w:color w:val="000000"/>
          <w:sz w:val="24"/>
          <w:szCs w:val="24"/>
          <w:shd w:val="clear" w:color="auto" w:fill="FFFFFF"/>
        </w:rPr>
        <w:t>HCO</w:t>
      </w:r>
      <w:r w:rsidRPr="005B7951">
        <w:rPr>
          <w:rFonts w:ascii="Times New Roman" w:hAnsi="Times New Roman"/>
          <w:color w:val="000000"/>
          <w:sz w:val="24"/>
          <w:szCs w:val="24"/>
          <w:shd w:val="clear" w:color="auto" w:fill="FFFFFF"/>
          <w:vertAlign w:val="subscript"/>
        </w:rPr>
        <w:t>3</w:t>
      </w:r>
      <w:r w:rsidRPr="005B7951">
        <w:rPr>
          <w:rFonts w:ascii="Times New Roman" w:hAnsi="Times New Roman"/>
          <w:color w:val="000000"/>
          <w:sz w:val="24"/>
          <w:szCs w:val="24"/>
          <w:shd w:val="clear" w:color="auto" w:fill="FFFFFF"/>
          <w:vertAlign w:val="superscript"/>
        </w:rPr>
        <w:t>-</w:t>
      </w:r>
      <w:r>
        <w:rPr>
          <w:rFonts w:ascii="Times New Roman" w:hAnsi="Times New Roman"/>
          <w:color w:val="000000"/>
          <w:sz w:val="24"/>
          <w:szCs w:val="24"/>
          <w:shd w:val="clear" w:color="auto" w:fill="FFFFFF"/>
          <w:vertAlign w:val="superscript"/>
        </w:rPr>
        <w:t xml:space="preserve"> </w:t>
      </w:r>
      <w:r>
        <w:rPr>
          <w:rFonts w:ascii="Times New Roman" w:hAnsi="Times New Roman"/>
          <w:color w:val="000000"/>
          <w:sz w:val="24"/>
          <w:szCs w:val="24"/>
          <w:shd w:val="clear" w:color="auto" w:fill="FFFFFF"/>
        </w:rPr>
        <w:t>type to Ca</w:t>
      </w:r>
      <w:r>
        <w:rPr>
          <w:rFonts w:ascii="Times New Roman" w:hAnsi="Times New Roman"/>
          <w:color w:val="000000"/>
          <w:sz w:val="24"/>
          <w:szCs w:val="24"/>
          <w:shd w:val="clear" w:color="auto" w:fill="FFFFFF"/>
          <w:vertAlign w:val="superscript"/>
        </w:rPr>
        <w:t>2+</w:t>
      </w:r>
      <w:r>
        <w:rPr>
          <w:rFonts w:ascii="Times New Roman" w:hAnsi="Times New Roman"/>
          <w:color w:val="000000"/>
          <w:sz w:val="24"/>
          <w:szCs w:val="24"/>
          <w:shd w:val="clear" w:color="auto" w:fill="FFFFFF"/>
        </w:rPr>
        <w:t>-Mg</w:t>
      </w:r>
      <w:r>
        <w:rPr>
          <w:rFonts w:ascii="Times New Roman" w:hAnsi="Times New Roman"/>
          <w:color w:val="000000"/>
          <w:sz w:val="24"/>
          <w:szCs w:val="24"/>
          <w:shd w:val="clear" w:color="auto" w:fill="FFFFFF"/>
          <w:vertAlign w:val="superscript"/>
        </w:rPr>
        <w:t>2+</w:t>
      </w:r>
      <w:r>
        <w:rPr>
          <w:rFonts w:ascii="Times New Roman" w:hAnsi="Times New Roman"/>
          <w:color w:val="000000"/>
          <w:sz w:val="24"/>
          <w:szCs w:val="24"/>
          <w:shd w:val="clear" w:color="auto" w:fill="FFFFFF"/>
        </w:rPr>
        <w:t>-Cl</w:t>
      </w:r>
      <w:r>
        <w:rPr>
          <w:rFonts w:ascii="Times New Roman" w:hAnsi="Times New Roman"/>
          <w:color w:val="000000"/>
          <w:sz w:val="24"/>
          <w:szCs w:val="24"/>
          <w:shd w:val="clear" w:color="auto" w:fill="FFFFFF"/>
          <w:vertAlign w:val="superscript"/>
        </w:rPr>
        <w:t>-</w:t>
      </w:r>
      <w:r>
        <w:rPr>
          <w:rFonts w:ascii="Times New Roman" w:hAnsi="Times New Roman"/>
          <w:color w:val="000000"/>
          <w:sz w:val="24"/>
          <w:szCs w:val="24"/>
          <w:shd w:val="clear" w:color="auto" w:fill="FFFFFF"/>
        </w:rPr>
        <w:t xml:space="preserve"> type which </w:t>
      </w:r>
      <w:r w:rsidRPr="009414CE">
        <w:rPr>
          <w:rFonts w:ascii="Times New Roman" w:hAnsi="Times New Roman"/>
          <w:color w:val="000000"/>
          <w:sz w:val="24"/>
          <w:szCs w:val="24"/>
          <w:shd w:val="clear" w:color="auto" w:fill="FFFFFF"/>
        </w:rPr>
        <w:t>controlled by rock-water interactions with the influence of evaporation, particularly in a shallow aquifer</w:t>
      </w:r>
      <w:r>
        <w:rPr>
          <w:rFonts w:ascii="Times New Roman" w:hAnsi="Times New Roman"/>
          <w:color w:val="000000"/>
          <w:sz w:val="24"/>
          <w:szCs w:val="24"/>
          <w:shd w:val="clear" w:color="auto" w:fill="FFFFFF"/>
        </w:rPr>
        <w:t xml:space="preserve">. </w:t>
      </w:r>
      <w:r w:rsidRPr="00760C4D">
        <w:rPr>
          <w:rFonts w:ascii="Times New Roman" w:hAnsi="Times New Roman"/>
          <w:color w:val="000000"/>
          <w:sz w:val="24"/>
          <w:szCs w:val="24"/>
          <w:shd w:val="clear" w:color="auto" w:fill="FFFFFF"/>
        </w:rPr>
        <w:t>The impact of mineral weathering and ion exchange reactions within the aquifer system is confirmed by Gibbs plots, molar ratios, bivariate plots, and chloro</w:t>
      </w:r>
      <w:r>
        <w:rPr>
          <w:rFonts w:ascii="Times New Roman" w:hAnsi="Times New Roman"/>
          <w:color w:val="000000"/>
          <w:sz w:val="24"/>
          <w:szCs w:val="24"/>
          <w:shd w:val="clear" w:color="auto" w:fill="FFFFFF"/>
        </w:rPr>
        <w:t>-</w:t>
      </w:r>
      <w:r w:rsidRPr="00760C4D">
        <w:rPr>
          <w:rFonts w:ascii="Times New Roman" w:hAnsi="Times New Roman"/>
          <w:color w:val="000000"/>
          <w:sz w:val="24"/>
          <w:szCs w:val="24"/>
          <w:shd w:val="clear" w:color="auto" w:fill="FFFFFF"/>
        </w:rPr>
        <w:t>alkaline indices (CAI-I &amp; CAI-II)</w:t>
      </w:r>
      <w:r w:rsidRPr="005B795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This study also utilizes chemometric methods (</w:t>
      </w:r>
      <w:r w:rsidRPr="00A0585F">
        <w:rPr>
          <w:rFonts w:ascii="Times New Roman" w:hAnsi="Times New Roman"/>
          <w:color w:val="000000"/>
          <w:sz w:val="24"/>
          <w:szCs w:val="24"/>
          <w:shd w:val="clear" w:color="auto" w:fill="FFFFFF"/>
        </w:rPr>
        <w:t>Correlation</w:t>
      </w:r>
      <w:r>
        <w:rPr>
          <w:rFonts w:ascii="Times New Roman" w:hAnsi="Times New Roman"/>
          <w:color w:val="000000"/>
          <w:sz w:val="24"/>
          <w:szCs w:val="24"/>
          <w:shd w:val="clear" w:color="auto" w:fill="FFFFFF"/>
        </w:rPr>
        <w:t xml:space="preserve"> </w:t>
      </w:r>
      <w:r w:rsidRPr="00A0585F">
        <w:rPr>
          <w:rFonts w:ascii="Times New Roman" w:hAnsi="Times New Roman"/>
          <w:color w:val="000000"/>
          <w:sz w:val="24"/>
          <w:szCs w:val="24"/>
          <w:shd w:val="clear" w:color="auto" w:fill="FFFFFF"/>
        </w:rPr>
        <w:t>Coefficient</w:t>
      </w:r>
      <w:r>
        <w:rPr>
          <w:rFonts w:ascii="Times New Roman" w:hAnsi="Times New Roman"/>
          <w:color w:val="000000"/>
          <w:sz w:val="24"/>
          <w:szCs w:val="24"/>
          <w:shd w:val="clear" w:color="auto" w:fill="FFFFFF"/>
        </w:rPr>
        <w:t xml:space="preserve">, </w:t>
      </w:r>
      <w:r w:rsidRPr="005B7951">
        <w:rPr>
          <w:rFonts w:ascii="Times New Roman" w:hAnsi="Times New Roman"/>
          <w:bCs/>
          <w:sz w:val="24"/>
          <w:szCs w:val="24"/>
        </w:rPr>
        <w:t>Principal component Analysis, Hierarchical cluster analysis</w:t>
      </w:r>
      <w:r>
        <w:rPr>
          <w:rFonts w:ascii="Times New Roman" w:hAnsi="Times New Roman"/>
          <w:color w:val="000000"/>
          <w:sz w:val="24"/>
          <w:szCs w:val="24"/>
          <w:shd w:val="clear" w:color="auto" w:fill="FFFFFF"/>
        </w:rPr>
        <w:t>) to explore</w:t>
      </w:r>
      <w:r w:rsidRPr="005B7951">
        <w:rPr>
          <w:rFonts w:ascii="Times New Roman" w:hAnsi="Times New Roman"/>
          <w:color w:val="000000"/>
          <w:sz w:val="24"/>
          <w:szCs w:val="24"/>
          <w:shd w:val="clear" w:color="auto" w:fill="FFFFFF"/>
        </w:rPr>
        <w:t xml:space="preserve"> the </w:t>
      </w:r>
      <w:r>
        <w:rPr>
          <w:rFonts w:ascii="Times New Roman" w:hAnsi="Times New Roman"/>
          <w:color w:val="000000"/>
          <w:sz w:val="24"/>
          <w:szCs w:val="24"/>
          <w:shd w:val="clear" w:color="auto" w:fill="FFFFFF"/>
        </w:rPr>
        <w:t>geochemical evolution and the key factors influence the groundwater chemistry</w:t>
      </w:r>
      <w:r w:rsidRPr="0071671F">
        <w:rPr>
          <w:rFonts w:ascii="Times New Roman" w:hAnsi="Times New Roman"/>
          <w:color w:val="000000"/>
          <w:sz w:val="24"/>
          <w:szCs w:val="24"/>
          <w:shd w:val="clear" w:color="auto" w:fill="FFFFFF"/>
        </w:rPr>
        <w:t xml:space="preserve">. Three major processes, such as anthropogenic carbonate-sulphate dissolution, ion exchange with silicate weathering, and geogenic fluoride enrichment, which account for a total of 73.72% of groundwater chemistry variance, were extracted using Principal </w:t>
      </w:r>
      <w:r>
        <w:rPr>
          <w:rFonts w:ascii="Times New Roman" w:hAnsi="Times New Roman"/>
          <w:color w:val="000000"/>
          <w:sz w:val="24"/>
          <w:szCs w:val="24"/>
          <w:shd w:val="clear" w:color="auto" w:fill="FFFFFF"/>
        </w:rPr>
        <w:t>c</w:t>
      </w:r>
      <w:r w:rsidRPr="0071671F">
        <w:rPr>
          <w:rFonts w:ascii="Times New Roman" w:hAnsi="Times New Roman"/>
          <w:color w:val="000000"/>
          <w:sz w:val="24"/>
          <w:szCs w:val="24"/>
          <w:shd w:val="clear" w:color="auto" w:fill="FFFFFF"/>
        </w:rPr>
        <w:t>omponent analysis.</w:t>
      </w:r>
      <w:r>
        <w:rPr>
          <w:rFonts w:ascii="Times New Roman" w:hAnsi="Times New Roman"/>
          <w:color w:val="000000"/>
          <w:sz w:val="24"/>
          <w:szCs w:val="24"/>
          <w:shd w:val="clear" w:color="auto" w:fill="FFFFFF"/>
        </w:rPr>
        <w:t xml:space="preserve"> </w:t>
      </w:r>
      <w:r w:rsidRPr="005B7951">
        <w:rPr>
          <w:rFonts w:ascii="Times New Roman" w:hAnsi="Times New Roman"/>
          <w:color w:val="000000"/>
          <w:sz w:val="24"/>
          <w:szCs w:val="24"/>
          <w:shd w:val="clear" w:color="auto" w:fill="FFFFFF"/>
        </w:rPr>
        <w:t>Cluster analysis was performed to classify</w:t>
      </w:r>
      <w:r>
        <w:rPr>
          <w:rFonts w:ascii="Times New Roman" w:hAnsi="Times New Roman"/>
          <w:color w:val="000000"/>
          <w:sz w:val="24"/>
          <w:szCs w:val="24"/>
          <w:shd w:val="clear" w:color="auto" w:fill="FFFFFF"/>
        </w:rPr>
        <w:t xml:space="preserve"> the parameters based on key hydrogeochemical processes occurring on the flow path.</w:t>
      </w:r>
    </w:p>
    <w:p w14:paraId="08970A93" w14:textId="4331F1FB" w:rsidR="002E31B6" w:rsidRDefault="002E4889" w:rsidP="005F7043">
      <w:pPr>
        <w:spacing w:line="240" w:lineRule="auto"/>
        <w:jc w:val="both"/>
        <w:rPr>
          <w:rFonts w:ascii="Times New Roman" w:hAnsi="Times New Roman"/>
          <w:color w:val="000000"/>
          <w:sz w:val="24"/>
          <w:szCs w:val="24"/>
          <w:lang w:val="en-US"/>
        </w:rPr>
      </w:pPr>
      <w:r w:rsidRPr="00C05A82">
        <w:rPr>
          <w:rFonts w:ascii="Times New Roman" w:hAnsi="Times New Roman"/>
          <w:b/>
          <w:color w:val="000000"/>
          <w:sz w:val="24"/>
          <w:szCs w:val="24"/>
        </w:rPr>
        <w:t>Keywords</w:t>
      </w:r>
      <w:r w:rsidR="002F7E90" w:rsidRPr="00C05A82">
        <w:rPr>
          <w:rFonts w:ascii="Times New Roman" w:hAnsi="Times New Roman"/>
          <w:b/>
          <w:color w:val="000000"/>
          <w:sz w:val="24"/>
          <w:szCs w:val="24"/>
        </w:rPr>
        <w:t>:</w:t>
      </w:r>
      <w:r w:rsidR="002F7E90" w:rsidRPr="00DA06FB">
        <w:rPr>
          <w:rFonts w:ascii="Times New Roman" w:hAnsi="Times New Roman"/>
          <w:b/>
          <w:color w:val="000000"/>
          <w:sz w:val="24"/>
          <w:szCs w:val="24"/>
        </w:rPr>
        <w:t xml:space="preserve"> </w:t>
      </w:r>
      <w:r w:rsidR="005F1188" w:rsidRPr="00DA06FB">
        <w:rPr>
          <w:rFonts w:ascii="Times New Roman" w:hAnsi="Times New Roman"/>
          <w:bCs/>
          <w:color w:val="000000"/>
          <w:sz w:val="24"/>
          <w:szCs w:val="24"/>
        </w:rPr>
        <w:t>Geochemica</w:t>
      </w:r>
      <w:r w:rsidR="005D18FC" w:rsidRPr="00DA06FB">
        <w:rPr>
          <w:rFonts w:ascii="Times New Roman" w:hAnsi="Times New Roman"/>
          <w:bCs/>
          <w:color w:val="000000"/>
          <w:sz w:val="24"/>
          <w:szCs w:val="24"/>
        </w:rPr>
        <w:t xml:space="preserve">l </w:t>
      </w:r>
      <w:r w:rsidR="00E90513">
        <w:rPr>
          <w:rFonts w:ascii="Times New Roman" w:hAnsi="Times New Roman"/>
          <w:bCs/>
          <w:color w:val="000000"/>
          <w:sz w:val="24"/>
          <w:szCs w:val="24"/>
        </w:rPr>
        <w:t>e</w:t>
      </w:r>
      <w:r w:rsidR="005D18FC" w:rsidRPr="00DA06FB">
        <w:rPr>
          <w:rFonts w:ascii="Times New Roman" w:hAnsi="Times New Roman"/>
          <w:bCs/>
          <w:color w:val="000000"/>
          <w:sz w:val="24"/>
          <w:szCs w:val="24"/>
        </w:rPr>
        <w:t>v</w:t>
      </w:r>
      <w:r w:rsidR="002F7E90" w:rsidRPr="00DA06FB">
        <w:rPr>
          <w:rFonts w:ascii="Times New Roman" w:hAnsi="Times New Roman"/>
          <w:bCs/>
          <w:color w:val="000000"/>
          <w:sz w:val="24"/>
          <w:szCs w:val="24"/>
        </w:rPr>
        <w:t>o</w:t>
      </w:r>
      <w:r w:rsidR="005D18FC" w:rsidRPr="00DA06FB">
        <w:rPr>
          <w:rFonts w:ascii="Times New Roman" w:hAnsi="Times New Roman"/>
          <w:bCs/>
          <w:color w:val="000000"/>
          <w:sz w:val="24"/>
          <w:szCs w:val="24"/>
        </w:rPr>
        <w:t>lution</w:t>
      </w:r>
      <w:r w:rsidR="00376DFD" w:rsidRPr="00DA06FB">
        <w:rPr>
          <w:rFonts w:ascii="Times New Roman" w:hAnsi="Times New Roman"/>
          <w:bCs/>
          <w:color w:val="000000"/>
          <w:sz w:val="24"/>
          <w:szCs w:val="24"/>
        </w:rPr>
        <w:t>,</w:t>
      </w:r>
      <w:r w:rsidR="00120D44" w:rsidRPr="00DA06FB">
        <w:rPr>
          <w:rFonts w:ascii="Times New Roman" w:hAnsi="Times New Roman"/>
          <w:bCs/>
          <w:color w:val="000000"/>
          <w:sz w:val="24"/>
          <w:szCs w:val="24"/>
        </w:rPr>
        <w:t xml:space="preserve"> </w:t>
      </w:r>
      <w:r w:rsidR="00E90513">
        <w:rPr>
          <w:rFonts w:ascii="Times New Roman" w:hAnsi="Times New Roman"/>
          <w:bCs/>
          <w:color w:val="000000"/>
          <w:sz w:val="24"/>
          <w:szCs w:val="24"/>
        </w:rPr>
        <w:t>C</w:t>
      </w:r>
      <w:r w:rsidR="00120D44" w:rsidRPr="00DA06FB">
        <w:rPr>
          <w:rFonts w:ascii="Times New Roman" w:hAnsi="Times New Roman"/>
          <w:bCs/>
          <w:color w:val="000000"/>
          <w:sz w:val="24"/>
          <w:szCs w:val="24"/>
        </w:rPr>
        <w:t>orrelation</w:t>
      </w:r>
      <w:r w:rsidR="00FE4813">
        <w:rPr>
          <w:rFonts w:ascii="Times New Roman" w:hAnsi="Times New Roman"/>
          <w:bCs/>
          <w:color w:val="000000"/>
          <w:sz w:val="24"/>
          <w:szCs w:val="24"/>
        </w:rPr>
        <w:t xml:space="preserve"> </w:t>
      </w:r>
      <w:bookmarkStart w:id="3" w:name="_Hlk214665465"/>
      <w:r w:rsidR="00E90513">
        <w:rPr>
          <w:rFonts w:ascii="Times New Roman" w:hAnsi="Times New Roman"/>
          <w:bCs/>
          <w:color w:val="000000"/>
          <w:sz w:val="24"/>
          <w:szCs w:val="24"/>
        </w:rPr>
        <w:t>c</w:t>
      </w:r>
      <w:r w:rsidR="00E90513" w:rsidRPr="00DA06FB">
        <w:rPr>
          <w:rFonts w:ascii="Times New Roman" w:hAnsi="Times New Roman"/>
          <w:bCs/>
          <w:color w:val="000000"/>
          <w:sz w:val="24"/>
          <w:szCs w:val="24"/>
        </w:rPr>
        <w:t>o</w:t>
      </w:r>
      <w:r w:rsidR="00E90513">
        <w:rPr>
          <w:rFonts w:ascii="Times New Roman" w:hAnsi="Times New Roman"/>
          <w:bCs/>
          <w:color w:val="000000"/>
          <w:sz w:val="24"/>
          <w:szCs w:val="24"/>
        </w:rPr>
        <w:t>-</w:t>
      </w:r>
      <w:r w:rsidR="00E90513" w:rsidRPr="00DA06FB">
        <w:rPr>
          <w:rFonts w:ascii="Times New Roman" w:hAnsi="Times New Roman"/>
          <w:bCs/>
          <w:color w:val="000000"/>
          <w:sz w:val="24"/>
          <w:szCs w:val="24"/>
        </w:rPr>
        <w:t>efficient</w:t>
      </w:r>
      <w:bookmarkEnd w:id="3"/>
      <w:r w:rsidR="00E90513" w:rsidRPr="00DA06FB">
        <w:rPr>
          <w:rFonts w:ascii="Times New Roman" w:hAnsi="Times New Roman"/>
          <w:bCs/>
          <w:color w:val="000000"/>
          <w:sz w:val="24"/>
          <w:szCs w:val="24"/>
        </w:rPr>
        <w:t xml:space="preserve"> </w:t>
      </w:r>
      <w:r w:rsidR="00FE4813">
        <w:rPr>
          <w:rFonts w:ascii="Times New Roman" w:hAnsi="Times New Roman"/>
          <w:bCs/>
          <w:color w:val="000000"/>
          <w:sz w:val="24"/>
          <w:szCs w:val="24"/>
        </w:rPr>
        <w:t>Analysis</w:t>
      </w:r>
      <w:r w:rsidR="00120D44" w:rsidRPr="00DA06FB">
        <w:rPr>
          <w:rFonts w:ascii="Times New Roman" w:hAnsi="Times New Roman"/>
          <w:bCs/>
          <w:color w:val="000000"/>
          <w:sz w:val="24"/>
          <w:szCs w:val="24"/>
        </w:rPr>
        <w:t>, Principal component Analysis,</w:t>
      </w:r>
      <w:r w:rsidR="005D18FC" w:rsidRPr="00DA06FB">
        <w:rPr>
          <w:rFonts w:ascii="Times New Roman" w:hAnsi="Times New Roman"/>
          <w:bCs/>
          <w:color w:val="000000"/>
          <w:sz w:val="24"/>
          <w:szCs w:val="24"/>
        </w:rPr>
        <w:t xml:space="preserve"> Hierarchical cluster analysis</w:t>
      </w:r>
      <w:r w:rsidR="00C31A52" w:rsidRPr="00DA06FB">
        <w:rPr>
          <w:rFonts w:ascii="Times New Roman" w:hAnsi="Times New Roman"/>
          <w:bCs/>
          <w:color w:val="000000"/>
          <w:sz w:val="24"/>
          <w:szCs w:val="24"/>
        </w:rPr>
        <w:t>,</w:t>
      </w:r>
      <w:r w:rsidR="00376DFD" w:rsidRPr="00DA06FB">
        <w:rPr>
          <w:rFonts w:ascii="Times New Roman" w:hAnsi="Times New Roman"/>
          <w:bCs/>
          <w:color w:val="000000"/>
          <w:sz w:val="24"/>
          <w:szCs w:val="24"/>
        </w:rPr>
        <w:t xml:space="preserve"> Kaniha</w:t>
      </w:r>
      <w:r w:rsidR="00BF78D6" w:rsidRPr="00DA06FB">
        <w:rPr>
          <w:rFonts w:ascii="Times New Roman" w:hAnsi="Times New Roman"/>
          <w:bCs/>
          <w:color w:val="000000"/>
          <w:sz w:val="24"/>
          <w:szCs w:val="24"/>
        </w:rPr>
        <w:t xml:space="preserve"> </w:t>
      </w:r>
      <w:r w:rsidR="00136869">
        <w:rPr>
          <w:rFonts w:ascii="Times New Roman" w:hAnsi="Times New Roman"/>
          <w:bCs/>
          <w:color w:val="000000"/>
          <w:sz w:val="24"/>
          <w:szCs w:val="24"/>
        </w:rPr>
        <w:t>B</w:t>
      </w:r>
      <w:r w:rsidR="00BF78D6" w:rsidRPr="00DA06FB">
        <w:rPr>
          <w:rFonts w:ascii="Times New Roman" w:hAnsi="Times New Roman"/>
          <w:bCs/>
          <w:color w:val="000000"/>
          <w:sz w:val="24"/>
          <w:szCs w:val="24"/>
        </w:rPr>
        <w:t>lock</w:t>
      </w:r>
      <w:r w:rsidR="006E35D3">
        <w:rPr>
          <w:rFonts w:ascii="Times New Roman" w:hAnsi="Times New Roman"/>
          <w:bCs/>
          <w:color w:val="000000"/>
          <w:sz w:val="24"/>
          <w:szCs w:val="24"/>
        </w:rPr>
        <w:t>.</w:t>
      </w:r>
      <w:r w:rsidR="00BF78D6" w:rsidRPr="00DA06FB">
        <w:rPr>
          <w:rFonts w:ascii="Times New Roman" w:hAnsi="Times New Roman"/>
          <w:bCs/>
          <w:color w:val="000000"/>
          <w:sz w:val="24"/>
          <w:szCs w:val="24"/>
        </w:rPr>
        <w:t xml:space="preserve"> </w:t>
      </w:r>
    </w:p>
    <w:p w14:paraId="257D5E4E" w14:textId="77777777" w:rsidR="00E90513" w:rsidRDefault="00E90513" w:rsidP="00DA06FB">
      <w:pPr>
        <w:spacing w:after="0" w:line="360" w:lineRule="auto"/>
        <w:jc w:val="both"/>
        <w:rPr>
          <w:rFonts w:ascii="Roman" w:hAnsi="Roman"/>
          <w:b/>
          <w:bCs/>
          <w:color w:val="000000"/>
          <w:sz w:val="24"/>
          <w:szCs w:val="24"/>
        </w:rPr>
      </w:pPr>
    </w:p>
    <w:p w14:paraId="559792F4" w14:textId="6BEDB7CE" w:rsidR="00C31A52" w:rsidRPr="00C05A82" w:rsidRDefault="00C05A82" w:rsidP="00DA06FB">
      <w:pPr>
        <w:spacing w:after="0" w:line="360" w:lineRule="auto"/>
        <w:jc w:val="both"/>
        <w:rPr>
          <w:rFonts w:ascii="Times New Roman" w:hAnsi="Times New Roman"/>
          <w:b/>
          <w:bCs/>
          <w:color w:val="000000"/>
          <w:sz w:val="28"/>
          <w:szCs w:val="28"/>
        </w:rPr>
      </w:pPr>
      <w:r w:rsidRPr="00C05A82">
        <w:rPr>
          <w:rFonts w:ascii="Times New Roman" w:hAnsi="Times New Roman"/>
          <w:b/>
          <w:bCs/>
          <w:color w:val="000000"/>
          <w:sz w:val="28"/>
          <w:szCs w:val="28"/>
        </w:rPr>
        <w:t>INTRODUCTION</w:t>
      </w:r>
      <w:bookmarkStart w:id="4" w:name="_Hlk128756525"/>
    </w:p>
    <w:bookmarkEnd w:id="4"/>
    <w:p w14:paraId="17FE6C6B" w14:textId="191A96B4" w:rsidR="001C39FB" w:rsidRPr="00FA4319" w:rsidRDefault="00DB41B7" w:rsidP="005F7043">
      <w:pPr>
        <w:spacing w:line="240" w:lineRule="auto"/>
        <w:jc w:val="both"/>
        <w:rPr>
          <w:rFonts w:ascii="Times New Roman" w:hAnsi="Times New Roman"/>
          <w:bCs/>
          <w:color w:val="000000"/>
          <w:sz w:val="24"/>
          <w:szCs w:val="24"/>
          <w:shd w:val="clear" w:color="auto" w:fill="FFFFFF"/>
        </w:rPr>
      </w:pPr>
      <w:r w:rsidRPr="005B7951">
        <w:rPr>
          <w:rFonts w:ascii="Times New Roman" w:hAnsi="Times New Roman"/>
          <w:bCs/>
          <w:sz w:val="24"/>
          <w:szCs w:val="24"/>
        </w:rPr>
        <w:t xml:space="preserve">Water is </w:t>
      </w:r>
      <w:r>
        <w:rPr>
          <w:rFonts w:ascii="Times New Roman" w:hAnsi="Times New Roman"/>
          <w:bCs/>
          <w:sz w:val="24"/>
          <w:szCs w:val="24"/>
        </w:rPr>
        <w:t xml:space="preserve">the </w:t>
      </w:r>
      <w:r w:rsidRPr="005B7951">
        <w:rPr>
          <w:rFonts w:ascii="Times New Roman" w:hAnsi="Times New Roman"/>
          <w:bCs/>
          <w:sz w:val="24"/>
          <w:szCs w:val="24"/>
        </w:rPr>
        <w:t xml:space="preserve">most important and vital resource </w:t>
      </w:r>
      <w:r>
        <w:rPr>
          <w:rFonts w:ascii="Times New Roman" w:hAnsi="Times New Roman"/>
          <w:bCs/>
          <w:sz w:val="24"/>
          <w:szCs w:val="24"/>
        </w:rPr>
        <w:t>for</w:t>
      </w:r>
      <w:r w:rsidRPr="005B7951">
        <w:rPr>
          <w:rFonts w:ascii="Times New Roman" w:hAnsi="Times New Roman"/>
          <w:bCs/>
          <w:sz w:val="24"/>
          <w:szCs w:val="24"/>
        </w:rPr>
        <w:t xml:space="preserve"> drinking, agriculture, industry and natural eco system </w:t>
      </w:r>
      <w:r w:rsidR="00341FF5">
        <w:rPr>
          <w:rFonts w:ascii="Times New Roman" w:hAnsi="Times New Roman"/>
          <w:bCs/>
          <w:sz w:val="24"/>
          <w:szCs w:val="24"/>
        </w:rPr>
        <w:t>[1]</w:t>
      </w:r>
      <w:r w:rsidRPr="005B7951">
        <w:rPr>
          <w:rFonts w:ascii="Times New Roman" w:hAnsi="Times New Roman"/>
          <w:bCs/>
          <w:sz w:val="24"/>
          <w:szCs w:val="24"/>
        </w:rPr>
        <w:t xml:space="preserve">. </w:t>
      </w:r>
      <w:r>
        <w:rPr>
          <w:rFonts w:ascii="Times New Roman" w:hAnsi="Times New Roman"/>
          <w:sz w:val="24"/>
          <w:szCs w:val="24"/>
        </w:rPr>
        <w:t xml:space="preserve">The </w:t>
      </w:r>
      <w:r w:rsidRPr="005B7951">
        <w:rPr>
          <w:rFonts w:ascii="Times New Roman" w:hAnsi="Times New Roman"/>
          <w:sz w:val="24"/>
          <w:szCs w:val="24"/>
        </w:rPr>
        <w:t xml:space="preserve">surface water reservoirs are insufficient for household activities and irrigation. </w:t>
      </w:r>
      <w:r w:rsidRPr="005B7951">
        <w:rPr>
          <w:rFonts w:ascii="Times New Roman" w:hAnsi="Times New Roman"/>
          <w:bCs/>
          <w:sz w:val="24"/>
          <w:szCs w:val="24"/>
        </w:rPr>
        <w:t>Due to increase of human settlement,</w:t>
      </w:r>
      <w:r w:rsidRPr="002E31B6">
        <w:t xml:space="preserve"> </w:t>
      </w:r>
      <w:r w:rsidRPr="002E31B6">
        <w:rPr>
          <w:rFonts w:ascii="Times New Roman" w:hAnsi="Times New Roman"/>
          <w:bCs/>
          <w:sz w:val="24"/>
          <w:szCs w:val="24"/>
        </w:rPr>
        <w:t>the groundwater dependency is intensified day by day</w:t>
      </w:r>
      <w:r>
        <w:rPr>
          <w:rFonts w:ascii="Times New Roman" w:hAnsi="Times New Roman"/>
          <w:bCs/>
          <w:sz w:val="24"/>
          <w:szCs w:val="24"/>
        </w:rPr>
        <w:t xml:space="preserve"> for the purpose of household as well as for </w:t>
      </w:r>
      <w:r w:rsidRPr="005B7951">
        <w:rPr>
          <w:rFonts w:ascii="Times New Roman" w:hAnsi="Times New Roman"/>
          <w:bCs/>
          <w:sz w:val="24"/>
          <w:szCs w:val="24"/>
        </w:rPr>
        <w:t>agricultural activities</w:t>
      </w:r>
      <w:bookmarkStart w:id="5" w:name="_Hlk214665934"/>
      <w:r w:rsidRPr="005B7951">
        <w:rPr>
          <w:rFonts w:ascii="Times New Roman" w:hAnsi="Times New Roman"/>
          <w:bCs/>
          <w:sz w:val="24"/>
          <w:szCs w:val="24"/>
        </w:rPr>
        <w:t xml:space="preserve"> </w:t>
      </w:r>
      <w:bookmarkEnd w:id="5"/>
      <w:r>
        <w:rPr>
          <w:rFonts w:ascii="Times New Roman" w:hAnsi="Times New Roman"/>
          <w:bCs/>
          <w:sz w:val="24"/>
          <w:szCs w:val="24"/>
        </w:rPr>
        <w:t>and industrialisation</w:t>
      </w:r>
      <w:r w:rsidR="001C39FB">
        <w:rPr>
          <w:rFonts w:ascii="Times New Roman" w:hAnsi="Times New Roman"/>
          <w:bCs/>
          <w:sz w:val="24"/>
          <w:szCs w:val="24"/>
        </w:rPr>
        <w:t xml:space="preserve"> [2][3]</w:t>
      </w:r>
      <w:r w:rsidRPr="005B7951">
        <w:rPr>
          <w:rFonts w:ascii="Times New Roman" w:hAnsi="Times New Roman"/>
          <w:bCs/>
          <w:sz w:val="24"/>
          <w:szCs w:val="24"/>
        </w:rPr>
        <w:t>.</w:t>
      </w:r>
      <w:r w:rsidRPr="005B7951">
        <w:rPr>
          <w:rFonts w:ascii="Times New Roman" w:eastAsia="Times New Roman" w:hAnsi="Times New Roman"/>
          <w:sz w:val="24"/>
          <w:szCs w:val="24"/>
          <w:lang w:eastAsia="en-IN"/>
        </w:rPr>
        <w:t xml:space="preserve"> </w:t>
      </w:r>
      <w:r w:rsidRPr="005B7951">
        <w:rPr>
          <w:rFonts w:ascii="Times New Roman" w:hAnsi="Times New Roman"/>
          <w:bCs/>
          <w:sz w:val="24"/>
          <w:szCs w:val="24"/>
        </w:rPr>
        <w:t>The quality of groundwater is impacted by the expansion of industrialization,</w:t>
      </w:r>
      <w:r w:rsidR="001C39FB">
        <w:rPr>
          <w:rFonts w:ascii="Times New Roman" w:hAnsi="Times New Roman"/>
          <w:bCs/>
          <w:sz w:val="24"/>
          <w:szCs w:val="24"/>
        </w:rPr>
        <w:t xml:space="preserve"> </w:t>
      </w:r>
      <w:r w:rsidRPr="005B7951">
        <w:rPr>
          <w:rFonts w:ascii="Times New Roman" w:hAnsi="Times New Roman"/>
          <w:bCs/>
          <w:sz w:val="24"/>
          <w:szCs w:val="24"/>
        </w:rPr>
        <w:t xml:space="preserve">urbanization, and agricultural activities </w:t>
      </w:r>
      <w:r w:rsidR="001C39FB">
        <w:rPr>
          <w:rFonts w:ascii="Times New Roman" w:hAnsi="Times New Roman"/>
          <w:bCs/>
          <w:sz w:val="24"/>
          <w:szCs w:val="24"/>
        </w:rPr>
        <w:t>[4][5]</w:t>
      </w:r>
      <w:r w:rsidRPr="005B7951">
        <w:rPr>
          <w:rFonts w:ascii="Times New Roman" w:hAnsi="Times New Roman"/>
          <w:bCs/>
          <w:sz w:val="24"/>
          <w:szCs w:val="24"/>
        </w:rPr>
        <w:t>.</w:t>
      </w:r>
      <w:r w:rsidRPr="005B7951">
        <w:rPr>
          <w:rFonts w:ascii="Times New Roman" w:hAnsi="Times New Roman"/>
          <w:sz w:val="24"/>
          <w:szCs w:val="24"/>
        </w:rPr>
        <w:t xml:space="preserve"> </w:t>
      </w:r>
      <w:r w:rsidRPr="005B7951">
        <w:rPr>
          <w:rFonts w:ascii="Times New Roman" w:hAnsi="Times New Roman"/>
          <w:bCs/>
          <w:sz w:val="24"/>
          <w:szCs w:val="24"/>
        </w:rPr>
        <w:t>Therefore, it is very much essential to assess the groundwater resources and manage the resource strategically. For which, proper understanding of the hydrogeological processes and regular monitoring of water quality is mostly needed</w:t>
      </w:r>
      <w:r w:rsidRPr="005B7951">
        <w:rPr>
          <w:rFonts w:ascii="Times New Roman" w:hAnsi="Times New Roman"/>
          <w:bCs/>
          <w:color w:val="000000"/>
          <w:sz w:val="24"/>
          <w:szCs w:val="24"/>
          <w:shd w:val="clear" w:color="auto" w:fill="FFFFFF"/>
        </w:rPr>
        <w:t>.</w:t>
      </w:r>
      <w:r w:rsidRPr="005B7951">
        <w:rPr>
          <w:rFonts w:ascii="Times New Roman" w:hAnsi="Times New Roman"/>
          <w:bCs/>
          <w:sz w:val="24"/>
          <w:szCs w:val="24"/>
        </w:rPr>
        <w:t xml:space="preserve"> </w:t>
      </w:r>
      <w:r w:rsidRPr="005B7951">
        <w:rPr>
          <w:rFonts w:ascii="Times New Roman" w:hAnsi="Times New Roman"/>
          <w:bCs/>
          <w:color w:val="000000"/>
          <w:sz w:val="24"/>
          <w:szCs w:val="24"/>
          <w:shd w:val="clear" w:color="auto" w:fill="FFFFFF"/>
        </w:rPr>
        <w:t xml:space="preserve">Groundwater chemistry and quality depend on geological factors and anthropogenic sources </w:t>
      </w:r>
      <w:r w:rsidR="001C39FB">
        <w:rPr>
          <w:rFonts w:ascii="Times New Roman" w:hAnsi="Times New Roman"/>
          <w:bCs/>
          <w:color w:val="000000"/>
          <w:sz w:val="24"/>
          <w:szCs w:val="24"/>
          <w:shd w:val="clear" w:color="auto" w:fill="FFFFFF"/>
        </w:rPr>
        <w:t>[6][7][8]</w:t>
      </w:r>
      <w:r w:rsidRPr="005B7951">
        <w:rPr>
          <w:rFonts w:ascii="Times New Roman" w:hAnsi="Times New Roman"/>
          <w:bCs/>
          <w:color w:val="000000"/>
          <w:sz w:val="24"/>
          <w:szCs w:val="24"/>
          <w:shd w:val="clear" w:color="auto" w:fill="FFFFFF"/>
        </w:rPr>
        <w:t>.</w:t>
      </w:r>
      <w:r>
        <w:rPr>
          <w:rFonts w:ascii="Times New Roman" w:hAnsi="Times New Roman"/>
          <w:bCs/>
          <w:color w:val="000000"/>
          <w:sz w:val="24"/>
          <w:szCs w:val="24"/>
          <w:shd w:val="clear" w:color="auto" w:fill="FFFFFF"/>
        </w:rPr>
        <w:t xml:space="preserve"> </w:t>
      </w:r>
      <w:r w:rsidRPr="00820937">
        <w:rPr>
          <w:rFonts w:ascii="Times New Roman" w:hAnsi="Times New Roman"/>
          <w:bCs/>
          <w:sz w:val="24"/>
          <w:szCs w:val="24"/>
          <w:shd w:val="clear" w:color="auto" w:fill="FFFFFF"/>
        </w:rPr>
        <w:t>Groundwater quality is primarily controlled by lithology, dissolution, mineral precipitation</w:t>
      </w:r>
      <w:r>
        <w:rPr>
          <w:rFonts w:ascii="Times New Roman" w:hAnsi="Times New Roman"/>
          <w:bCs/>
          <w:sz w:val="24"/>
          <w:szCs w:val="24"/>
          <w:shd w:val="clear" w:color="auto" w:fill="FFFFFF"/>
        </w:rPr>
        <w:t xml:space="preserve">, </w:t>
      </w:r>
      <w:r w:rsidRPr="00820937">
        <w:rPr>
          <w:rFonts w:ascii="Times New Roman" w:hAnsi="Times New Roman"/>
          <w:bCs/>
          <w:sz w:val="24"/>
          <w:szCs w:val="24"/>
          <w:shd w:val="clear" w:color="auto" w:fill="FFFFFF"/>
        </w:rPr>
        <w:t>ion exchange in irrigated areas</w:t>
      </w:r>
      <w:r>
        <w:rPr>
          <w:rFonts w:ascii="Times New Roman" w:hAnsi="Times New Roman"/>
          <w:bCs/>
          <w:sz w:val="24"/>
          <w:szCs w:val="24"/>
          <w:shd w:val="clear" w:color="auto" w:fill="FFFFFF"/>
        </w:rPr>
        <w:t xml:space="preserve"> and </w:t>
      </w:r>
      <w:r w:rsidRPr="005B7951">
        <w:rPr>
          <w:rFonts w:ascii="Times New Roman" w:hAnsi="Times New Roman"/>
          <w:bCs/>
          <w:color w:val="000000"/>
          <w:sz w:val="24"/>
          <w:szCs w:val="24"/>
          <w:shd w:val="clear" w:color="auto" w:fill="FFFFFF"/>
        </w:rPr>
        <w:t>residence time of dissolve ions</w:t>
      </w:r>
      <w:r w:rsidR="001C39FB">
        <w:rPr>
          <w:rFonts w:ascii="Times New Roman" w:hAnsi="Times New Roman"/>
          <w:bCs/>
          <w:color w:val="000000"/>
          <w:sz w:val="24"/>
          <w:szCs w:val="24"/>
          <w:shd w:val="clear" w:color="auto" w:fill="FFFFFF"/>
        </w:rPr>
        <w:t xml:space="preserve"> </w:t>
      </w:r>
      <w:r w:rsidR="001C39FB">
        <w:rPr>
          <w:rFonts w:ascii="Times New Roman" w:hAnsi="Times New Roman"/>
          <w:bCs/>
          <w:sz w:val="24"/>
          <w:szCs w:val="24"/>
        </w:rPr>
        <w:t>[7][9]</w:t>
      </w:r>
      <w:r w:rsidRPr="005B7951">
        <w:rPr>
          <w:rFonts w:ascii="Times New Roman" w:hAnsi="Times New Roman"/>
          <w:bCs/>
          <w:sz w:val="24"/>
          <w:szCs w:val="24"/>
        </w:rPr>
        <w:t>.</w:t>
      </w:r>
      <w:r w:rsidRPr="005B7951">
        <w:rPr>
          <w:rFonts w:ascii="Times New Roman" w:hAnsi="Times New Roman"/>
          <w:bCs/>
          <w:color w:val="000000"/>
          <w:sz w:val="24"/>
          <w:szCs w:val="24"/>
          <w:shd w:val="clear" w:color="auto" w:fill="FFFFFF"/>
        </w:rPr>
        <w:t xml:space="preserve"> The comprehensive knowledge of the </w:t>
      </w:r>
      <w:r>
        <w:rPr>
          <w:rFonts w:ascii="Times New Roman" w:hAnsi="Times New Roman"/>
          <w:bCs/>
          <w:color w:val="000000"/>
          <w:sz w:val="24"/>
          <w:szCs w:val="24"/>
          <w:shd w:val="clear" w:color="auto" w:fill="FFFFFF"/>
        </w:rPr>
        <w:t xml:space="preserve">groundwater </w:t>
      </w:r>
      <w:r w:rsidRPr="005B7951">
        <w:rPr>
          <w:rFonts w:ascii="Times New Roman" w:hAnsi="Times New Roman"/>
          <w:bCs/>
          <w:color w:val="000000"/>
          <w:sz w:val="24"/>
          <w:szCs w:val="24"/>
          <w:shd w:val="clear" w:color="auto" w:fill="FFFFFF"/>
        </w:rPr>
        <w:t>chemistry and aquifer characteristics is essential for the hydrological and chemical evaluation of groundwater.</w:t>
      </w:r>
      <w:r w:rsidRPr="00E24A5B">
        <w:rPr>
          <w:rFonts w:ascii="Times New Roman" w:hAnsi="Times New Roman"/>
          <w:color w:val="FF0000"/>
          <w:sz w:val="24"/>
          <w:szCs w:val="24"/>
        </w:rPr>
        <w:t xml:space="preserve"> </w:t>
      </w:r>
      <w:r w:rsidRPr="00C8156F">
        <w:rPr>
          <w:rFonts w:ascii="Times New Roman" w:hAnsi="Times New Roman"/>
          <w:color w:val="000000"/>
          <w:sz w:val="24"/>
          <w:szCs w:val="24"/>
        </w:rPr>
        <w:t>The geochemical development of groundwater is characterized by processes such as silicate weathering, carbonate dissolution, cation exchange, and evaporation</w:t>
      </w:r>
      <w:r>
        <w:rPr>
          <w:rFonts w:ascii="Times New Roman" w:hAnsi="Times New Roman"/>
          <w:color w:val="000000"/>
          <w:sz w:val="24"/>
          <w:szCs w:val="24"/>
        </w:rPr>
        <w:t xml:space="preserve"> </w:t>
      </w:r>
      <w:r w:rsidR="001C39FB">
        <w:rPr>
          <w:rFonts w:ascii="Times New Roman" w:hAnsi="Times New Roman"/>
          <w:color w:val="000000"/>
          <w:sz w:val="24"/>
          <w:szCs w:val="24"/>
        </w:rPr>
        <w:t xml:space="preserve">[10][11]. </w:t>
      </w:r>
      <w:r w:rsidRPr="005F18E2">
        <w:rPr>
          <w:rFonts w:ascii="Times New Roman" w:hAnsi="Times New Roman"/>
          <w:color w:val="000000"/>
          <w:sz w:val="24"/>
          <w:szCs w:val="24"/>
        </w:rPr>
        <w:t xml:space="preserve">The quality and quantity of dissolved ions in the groundwater system depends upon primarily the chemical composition, solubility properties of minerals present in the host rock and the anthropogenic activities as secondary sources </w:t>
      </w:r>
      <w:r w:rsidR="001C39FB">
        <w:rPr>
          <w:rFonts w:ascii="Times New Roman" w:hAnsi="Times New Roman"/>
          <w:color w:val="000000"/>
          <w:sz w:val="24"/>
          <w:szCs w:val="24"/>
        </w:rPr>
        <w:t>[6]</w:t>
      </w:r>
      <w:r w:rsidRPr="005F18E2">
        <w:rPr>
          <w:rFonts w:ascii="Times New Roman" w:hAnsi="Times New Roman"/>
          <w:color w:val="000000"/>
          <w:sz w:val="24"/>
          <w:szCs w:val="24"/>
        </w:rPr>
        <w:t xml:space="preserve">. In the hydrological cycle after precipitation the water recharged in the soil through the process of infiltration reaches the aquifer system through the interaction of different rock materials </w:t>
      </w:r>
      <w:r w:rsidR="001C39FB">
        <w:rPr>
          <w:rFonts w:ascii="Times New Roman" w:hAnsi="Times New Roman"/>
          <w:color w:val="000000"/>
          <w:sz w:val="24"/>
          <w:szCs w:val="24"/>
        </w:rPr>
        <w:t>[12]</w:t>
      </w:r>
      <w:r w:rsidRPr="005F18E2">
        <w:rPr>
          <w:rFonts w:ascii="Times New Roman" w:hAnsi="Times New Roman"/>
          <w:color w:val="000000"/>
          <w:sz w:val="24"/>
          <w:szCs w:val="24"/>
        </w:rPr>
        <w:t xml:space="preserve">. The infiltration rate is also determined by the porosity and permeability of the host rock. During movement of water from surface soil to aquifer system so many geochemical reactions such as adsorption, precipitation, dissolution takes place along its path </w:t>
      </w:r>
      <w:r w:rsidR="001C39FB">
        <w:rPr>
          <w:rFonts w:ascii="Times New Roman" w:hAnsi="Times New Roman"/>
          <w:color w:val="000000"/>
          <w:sz w:val="24"/>
          <w:szCs w:val="24"/>
        </w:rPr>
        <w:t>[12]</w:t>
      </w:r>
      <w:r w:rsidRPr="005F18E2">
        <w:rPr>
          <w:rFonts w:ascii="Times New Roman" w:hAnsi="Times New Roman"/>
          <w:color w:val="000000"/>
          <w:sz w:val="24"/>
          <w:szCs w:val="24"/>
        </w:rPr>
        <w:t xml:space="preserve">. The other external factors such as climatic condition, topographical variation also affect the geochemical processes </w:t>
      </w:r>
      <w:r w:rsidR="001C39FB">
        <w:rPr>
          <w:rFonts w:ascii="Times New Roman" w:hAnsi="Times New Roman"/>
          <w:color w:val="000000"/>
          <w:sz w:val="24"/>
          <w:szCs w:val="24"/>
        </w:rPr>
        <w:t>[13]</w:t>
      </w:r>
      <w:r w:rsidRPr="005F18E2">
        <w:rPr>
          <w:rFonts w:ascii="Times New Roman" w:hAnsi="Times New Roman"/>
          <w:color w:val="000000"/>
          <w:sz w:val="24"/>
          <w:szCs w:val="24"/>
        </w:rPr>
        <w:t xml:space="preserve">. The rate of geochemical reactions depends upon the thermodynamics and kinetic characteristics of reactants and products as well as the rate of actual interfacial reactions or the transport process that moves reactant and products </w:t>
      </w:r>
      <w:r w:rsidR="001C39FB">
        <w:rPr>
          <w:rFonts w:ascii="Times New Roman" w:hAnsi="Times New Roman"/>
          <w:color w:val="000000"/>
          <w:sz w:val="24"/>
          <w:szCs w:val="24"/>
        </w:rPr>
        <w:t>[14]</w:t>
      </w:r>
      <w:r w:rsidRPr="005F18E2">
        <w:rPr>
          <w:rFonts w:ascii="Times New Roman" w:hAnsi="Times New Roman"/>
          <w:color w:val="000000"/>
          <w:sz w:val="24"/>
          <w:szCs w:val="24"/>
        </w:rPr>
        <w:t>. The geochemistry of the groundwater studied by the rock-water interaction and the surface and interfacial reaction processes.</w:t>
      </w:r>
      <w:r>
        <w:rPr>
          <w:rFonts w:ascii="Times New Roman" w:hAnsi="Times New Roman"/>
          <w:color w:val="000000"/>
          <w:sz w:val="24"/>
          <w:szCs w:val="24"/>
        </w:rPr>
        <w:t xml:space="preserve"> </w:t>
      </w:r>
      <w:r w:rsidRPr="005F18E2">
        <w:rPr>
          <w:rFonts w:ascii="Times New Roman" w:hAnsi="Times New Roman"/>
          <w:bCs/>
          <w:color w:val="000000"/>
          <w:sz w:val="24"/>
          <w:szCs w:val="24"/>
          <w:shd w:val="clear" w:color="auto" w:fill="FFFFFF"/>
        </w:rPr>
        <w:t xml:space="preserve">The aim of this research is to analyse </w:t>
      </w:r>
      <w:r>
        <w:rPr>
          <w:rFonts w:ascii="Times New Roman" w:hAnsi="Times New Roman"/>
          <w:bCs/>
          <w:color w:val="000000"/>
          <w:sz w:val="24"/>
          <w:szCs w:val="24"/>
          <w:shd w:val="clear" w:color="auto" w:fill="FFFFFF"/>
        </w:rPr>
        <w:t xml:space="preserve">chemical properties of groundwater and </w:t>
      </w:r>
      <w:r w:rsidRPr="005F18E2">
        <w:rPr>
          <w:rFonts w:ascii="Times New Roman" w:hAnsi="Times New Roman"/>
          <w:bCs/>
          <w:color w:val="000000"/>
          <w:sz w:val="24"/>
          <w:szCs w:val="24"/>
          <w:shd w:val="clear" w:color="auto" w:fill="FFFFFF"/>
        </w:rPr>
        <w:lastRenderedPageBreak/>
        <w:t xml:space="preserve">hydrogeochemical </w:t>
      </w:r>
      <w:r>
        <w:rPr>
          <w:rFonts w:ascii="Times New Roman" w:hAnsi="Times New Roman"/>
          <w:bCs/>
          <w:color w:val="000000"/>
          <w:sz w:val="24"/>
          <w:szCs w:val="24"/>
          <w:shd w:val="clear" w:color="auto" w:fill="FFFFFF"/>
        </w:rPr>
        <w:t>Evolution</w:t>
      </w:r>
      <w:r w:rsidRPr="005F18E2">
        <w:rPr>
          <w:rFonts w:ascii="Times New Roman" w:hAnsi="Times New Roman"/>
          <w:bCs/>
          <w:color w:val="000000"/>
          <w:sz w:val="24"/>
          <w:szCs w:val="24"/>
          <w:shd w:val="clear" w:color="auto" w:fill="FFFFFF"/>
        </w:rPr>
        <w:t xml:space="preserve"> using graphical analysis, binary diagrams, chemometric analysis methods in the Kaniha block of Angul district, Odisha.</w:t>
      </w:r>
    </w:p>
    <w:p w14:paraId="5A4CC7D9" w14:textId="77C33CBF" w:rsidR="00E24A5B" w:rsidRPr="00C05A82" w:rsidRDefault="00E24A5B" w:rsidP="00DA06FB">
      <w:pPr>
        <w:spacing w:after="0" w:line="360" w:lineRule="auto"/>
        <w:jc w:val="both"/>
        <w:rPr>
          <w:rFonts w:ascii="Times New Roman" w:hAnsi="Times New Roman"/>
          <w:b/>
          <w:color w:val="000000"/>
          <w:sz w:val="24"/>
          <w:szCs w:val="24"/>
        </w:rPr>
      </w:pPr>
      <w:r w:rsidRPr="00C05A82">
        <w:rPr>
          <w:rFonts w:ascii="Times New Roman" w:hAnsi="Times New Roman"/>
          <w:b/>
          <w:color w:val="000000"/>
          <w:sz w:val="24"/>
          <w:szCs w:val="24"/>
        </w:rPr>
        <w:t>Study area</w:t>
      </w:r>
    </w:p>
    <w:p w14:paraId="4E9BA566" w14:textId="16D8EC81" w:rsidR="00DB41B7" w:rsidRDefault="00DB41B7" w:rsidP="005F7043">
      <w:pPr>
        <w:spacing w:line="240" w:lineRule="auto"/>
        <w:jc w:val="both"/>
        <w:rPr>
          <w:rFonts w:ascii="Times New Roman" w:hAnsi="Times New Roman"/>
          <w:bCs/>
          <w:color w:val="000000"/>
          <w:sz w:val="24"/>
          <w:szCs w:val="24"/>
        </w:rPr>
      </w:pPr>
      <w:r w:rsidRPr="005F18E2">
        <w:rPr>
          <w:rFonts w:ascii="Times New Roman" w:hAnsi="Times New Roman"/>
          <w:bCs/>
          <w:color w:val="000000"/>
          <w:sz w:val="24"/>
          <w:szCs w:val="24"/>
        </w:rPr>
        <w:t xml:space="preserve">The study area is Kaniha block which is situated on the northeastern part of the Angul district, Odisha. The block lies between east longitude 84°56´41.571ʺand85°12´35.663ʺ </w:t>
      </w:r>
      <w:r>
        <w:rPr>
          <w:rFonts w:ascii="Times New Roman" w:hAnsi="Times New Roman"/>
          <w:bCs/>
          <w:color w:val="000000"/>
          <w:sz w:val="24"/>
          <w:szCs w:val="24"/>
        </w:rPr>
        <w:t xml:space="preserve">and </w:t>
      </w:r>
      <w:r w:rsidRPr="005F18E2">
        <w:rPr>
          <w:rFonts w:ascii="Times New Roman" w:hAnsi="Times New Roman"/>
          <w:bCs/>
          <w:color w:val="000000"/>
          <w:sz w:val="24"/>
          <w:szCs w:val="24"/>
        </w:rPr>
        <w:t>north latitude 21</w:t>
      </w:r>
      <w:r w:rsidR="00382363">
        <w:rPr>
          <w:rFonts w:ascii="Times New Roman" w:hAnsi="Times New Roman"/>
          <w:bCs/>
          <w:color w:val="000000"/>
          <w:sz w:val="24"/>
          <w:szCs w:val="24"/>
        </w:rPr>
        <w:t>°</w:t>
      </w:r>
      <w:r w:rsidRPr="005F18E2">
        <w:rPr>
          <w:rFonts w:ascii="Times New Roman" w:hAnsi="Times New Roman"/>
          <w:bCs/>
          <w:color w:val="000000"/>
          <w:sz w:val="24"/>
          <w:szCs w:val="24"/>
        </w:rPr>
        <w:t>00´47.9ʺ</w:t>
      </w:r>
      <w:r w:rsidR="00382363">
        <w:rPr>
          <w:rFonts w:ascii="Times New Roman" w:hAnsi="Times New Roman"/>
          <w:bCs/>
          <w:color w:val="000000"/>
          <w:sz w:val="24"/>
          <w:szCs w:val="24"/>
        </w:rPr>
        <w:t xml:space="preserve"> </w:t>
      </w:r>
      <w:r w:rsidRPr="005F18E2">
        <w:rPr>
          <w:rFonts w:ascii="Times New Roman" w:hAnsi="Times New Roman"/>
          <w:bCs/>
          <w:color w:val="000000"/>
          <w:sz w:val="24"/>
          <w:szCs w:val="24"/>
        </w:rPr>
        <w:t>and 21°15´10.8ʺ</w:t>
      </w:r>
      <w:r>
        <w:rPr>
          <w:rFonts w:ascii="Times New Roman" w:hAnsi="Times New Roman"/>
          <w:bCs/>
          <w:color w:val="000000"/>
          <w:sz w:val="24"/>
          <w:szCs w:val="24"/>
        </w:rPr>
        <w:t xml:space="preserve"> </w:t>
      </w:r>
      <w:r w:rsidRPr="005F18E2">
        <w:rPr>
          <w:rFonts w:ascii="Times New Roman" w:hAnsi="Times New Roman"/>
          <w:bCs/>
          <w:color w:val="000000"/>
          <w:sz w:val="24"/>
          <w:szCs w:val="24"/>
        </w:rPr>
        <w:t>ha</w:t>
      </w:r>
      <w:r>
        <w:rPr>
          <w:rFonts w:ascii="Times New Roman" w:hAnsi="Times New Roman"/>
          <w:bCs/>
          <w:color w:val="000000"/>
          <w:sz w:val="24"/>
          <w:szCs w:val="24"/>
        </w:rPr>
        <w:t>ving</w:t>
      </w:r>
      <w:r w:rsidRPr="005F18E2">
        <w:rPr>
          <w:rFonts w:ascii="Times New Roman" w:hAnsi="Times New Roman"/>
          <w:bCs/>
          <w:color w:val="000000"/>
          <w:sz w:val="24"/>
          <w:szCs w:val="24"/>
        </w:rPr>
        <w:t xml:space="preserve"> geographical area of about </w:t>
      </w:r>
      <w:r w:rsidR="00E91E0C">
        <w:rPr>
          <w:rFonts w:ascii="Times New Roman" w:hAnsi="Times New Roman"/>
          <w:bCs/>
          <w:color w:val="000000"/>
          <w:sz w:val="24"/>
          <w:szCs w:val="24"/>
        </w:rPr>
        <w:t>723</w:t>
      </w:r>
      <w:r w:rsidRPr="005F18E2">
        <w:rPr>
          <w:rFonts w:ascii="Times New Roman" w:hAnsi="Times New Roman"/>
          <w:bCs/>
          <w:color w:val="000000"/>
          <w:sz w:val="24"/>
          <w:szCs w:val="24"/>
        </w:rPr>
        <w:t xml:space="preserve"> sq.km</w:t>
      </w:r>
      <w:r>
        <w:rPr>
          <w:rFonts w:ascii="Times New Roman" w:hAnsi="Times New Roman"/>
          <w:bCs/>
          <w:color w:val="000000"/>
          <w:sz w:val="24"/>
          <w:szCs w:val="24"/>
        </w:rPr>
        <w:t xml:space="preserve"> (Fig</w:t>
      </w:r>
      <w:r w:rsidR="00E91E0C">
        <w:rPr>
          <w:rFonts w:ascii="Times New Roman" w:hAnsi="Times New Roman"/>
          <w:bCs/>
          <w:color w:val="000000"/>
          <w:sz w:val="24"/>
          <w:szCs w:val="24"/>
        </w:rPr>
        <w:t xml:space="preserve">ure </w:t>
      </w:r>
      <w:r>
        <w:rPr>
          <w:rFonts w:ascii="Times New Roman" w:hAnsi="Times New Roman"/>
          <w:bCs/>
          <w:color w:val="000000"/>
          <w:sz w:val="24"/>
          <w:szCs w:val="24"/>
        </w:rPr>
        <w:t>1)</w:t>
      </w:r>
      <w:r w:rsidRPr="005F18E2">
        <w:rPr>
          <w:rFonts w:ascii="Times New Roman" w:hAnsi="Times New Roman"/>
          <w:bCs/>
          <w:color w:val="000000"/>
          <w:sz w:val="24"/>
          <w:szCs w:val="24"/>
        </w:rPr>
        <w:t xml:space="preserve">. The region experiences a subtropical to tropical temperate monsoon climate. The normal rainfall for this region is 1219 mm. </w:t>
      </w:r>
    </w:p>
    <w:p w14:paraId="10CF2B69" w14:textId="77777777" w:rsidR="00FA4319" w:rsidRPr="00C05A82" w:rsidRDefault="00FA4319" w:rsidP="00FA4319">
      <w:pPr>
        <w:spacing w:after="0" w:line="360" w:lineRule="auto"/>
        <w:jc w:val="both"/>
        <w:rPr>
          <w:rFonts w:ascii="Times New Roman" w:hAnsi="Times New Roman"/>
          <w:b/>
          <w:color w:val="000000"/>
          <w:sz w:val="24"/>
          <w:szCs w:val="24"/>
        </w:rPr>
      </w:pPr>
      <w:r w:rsidRPr="00C05A82">
        <w:rPr>
          <w:rFonts w:ascii="Times New Roman" w:hAnsi="Times New Roman"/>
          <w:b/>
          <w:color w:val="000000"/>
          <w:sz w:val="24"/>
          <w:szCs w:val="24"/>
        </w:rPr>
        <w:t>Geological Setting</w:t>
      </w:r>
    </w:p>
    <w:p w14:paraId="76C11570" w14:textId="7532DA0E" w:rsidR="00FA4319" w:rsidRDefault="00FA4319" w:rsidP="005F7043">
      <w:pPr>
        <w:spacing w:line="240" w:lineRule="auto"/>
        <w:jc w:val="both"/>
        <w:rPr>
          <w:rFonts w:ascii="Times New Roman" w:hAnsi="Times New Roman"/>
          <w:bCs/>
          <w:color w:val="000000"/>
          <w:sz w:val="24"/>
          <w:szCs w:val="24"/>
        </w:rPr>
      </w:pPr>
      <w:r w:rsidRPr="005F18E2">
        <w:rPr>
          <w:rFonts w:ascii="Times New Roman" w:hAnsi="Times New Roman"/>
          <w:bCs/>
          <w:color w:val="000000"/>
          <w:sz w:val="24"/>
          <w:szCs w:val="24"/>
        </w:rPr>
        <w:t xml:space="preserve">The study area is geographically divided into two regions. </w:t>
      </w:r>
      <w:r w:rsidRPr="006C2A25">
        <w:rPr>
          <w:rFonts w:ascii="Times New Roman" w:hAnsi="Times New Roman"/>
          <w:bCs/>
          <w:color w:val="000000"/>
          <w:sz w:val="24"/>
          <w:szCs w:val="24"/>
        </w:rPr>
        <w:t xml:space="preserve">The northern and northeastern sections of the block are composed of charnockite and khondalite, along with granitic gneiss from the Precambrian basement </w:t>
      </w:r>
      <w:r>
        <w:rPr>
          <w:rFonts w:ascii="Times New Roman" w:hAnsi="Times New Roman"/>
          <w:bCs/>
          <w:color w:val="000000"/>
          <w:sz w:val="24"/>
          <w:szCs w:val="24"/>
        </w:rPr>
        <w:t>[15]</w:t>
      </w:r>
      <w:r w:rsidRPr="005F18E2">
        <w:rPr>
          <w:rFonts w:ascii="Times New Roman" w:hAnsi="Times New Roman"/>
          <w:bCs/>
          <w:color w:val="000000"/>
          <w:sz w:val="24"/>
          <w:szCs w:val="24"/>
        </w:rPr>
        <w:t xml:space="preserve">. The rocks of Iron-Ore Supergroup are exposed to the north of Brahmani River and central part of the block, consisting mainly of quartzites and mica schists </w:t>
      </w:r>
      <w:r>
        <w:rPr>
          <w:rFonts w:ascii="Times New Roman" w:hAnsi="Times New Roman"/>
          <w:bCs/>
          <w:color w:val="000000"/>
          <w:sz w:val="24"/>
          <w:szCs w:val="24"/>
        </w:rPr>
        <w:t>[16]</w:t>
      </w:r>
      <w:r w:rsidRPr="005F18E2">
        <w:rPr>
          <w:rFonts w:ascii="Times New Roman" w:hAnsi="Times New Roman"/>
          <w:bCs/>
          <w:color w:val="000000"/>
          <w:sz w:val="24"/>
          <w:szCs w:val="24"/>
        </w:rPr>
        <w:t>. The southern</w:t>
      </w:r>
      <w:r>
        <w:rPr>
          <w:rFonts w:ascii="Times New Roman" w:hAnsi="Times New Roman"/>
          <w:bCs/>
          <w:color w:val="000000"/>
          <w:sz w:val="24"/>
          <w:szCs w:val="24"/>
        </w:rPr>
        <w:t xml:space="preserve"> section</w:t>
      </w:r>
      <w:r w:rsidRPr="005F18E2">
        <w:rPr>
          <w:rFonts w:ascii="Times New Roman" w:hAnsi="Times New Roman"/>
          <w:bCs/>
          <w:color w:val="000000"/>
          <w:sz w:val="24"/>
          <w:szCs w:val="24"/>
        </w:rPr>
        <w:t xml:space="preserve"> of the area is occupied by Gondwana Supergroup with sandstone, shale, coal, conglomerate and boulder beds. Barakar Formation is the main coal bearing formation with water bearing aquifer</w:t>
      </w:r>
      <w:r>
        <w:rPr>
          <w:rFonts w:ascii="Times New Roman" w:hAnsi="Times New Roman"/>
          <w:bCs/>
          <w:color w:val="000000"/>
          <w:sz w:val="24"/>
          <w:szCs w:val="24"/>
        </w:rPr>
        <w:t xml:space="preserve"> [15]</w:t>
      </w:r>
      <w:r w:rsidRPr="005F18E2">
        <w:rPr>
          <w:rFonts w:ascii="Times New Roman" w:hAnsi="Times New Roman"/>
          <w:bCs/>
          <w:color w:val="000000"/>
          <w:sz w:val="24"/>
          <w:szCs w:val="24"/>
        </w:rPr>
        <w:t xml:space="preserve">. The primary drainage system in the study area is managed by the Tikra </w:t>
      </w:r>
      <w:r w:rsidR="00F1529B" w:rsidRPr="005F18E2">
        <w:rPr>
          <w:rFonts w:ascii="Times New Roman" w:hAnsi="Times New Roman"/>
          <w:bCs/>
          <w:color w:val="000000"/>
          <w:sz w:val="24"/>
          <w:szCs w:val="24"/>
        </w:rPr>
        <w:t>Jhora</w:t>
      </w:r>
      <w:r w:rsidRPr="005F18E2">
        <w:rPr>
          <w:rFonts w:ascii="Times New Roman" w:hAnsi="Times New Roman"/>
          <w:bCs/>
          <w:color w:val="000000"/>
          <w:sz w:val="24"/>
          <w:szCs w:val="24"/>
        </w:rPr>
        <w:t xml:space="preserve">, Singhada jhora, and Bhalutungri nullah are traversed by the Brahmani River. Most of the area is occupied by “Alfisols” which includes red sandy soil, red loamy soil, and mixed red and black soils. </w:t>
      </w:r>
      <w:r>
        <w:rPr>
          <w:rFonts w:ascii="Times New Roman" w:hAnsi="Times New Roman"/>
          <w:bCs/>
          <w:color w:val="000000"/>
          <w:sz w:val="24"/>
          <w:szCs w:val="24"/>
        </w:rPr>
        <w:t>[16][17]</w:t>
      </w:r>
      <w:r w:rsidRPr="005F18E2">
        <w:rPr>
          <w:rFonts w:ascii="Times New Roman" w:hAnsi="Times New Roman"/>
          <w:bCs/>
          <w:color w:val="000000"/>
          <w:sz w:val="24"/>
          <w:szCs w:val="24"/>
        </w:rPr>
        <w:t>.</w:t>
      </w:r>
    </w:p>
    <w:p w14:paraId="2C839678" w14:textId="77777777" w:rsidR="00827F11" w:rsidRDefault="00827F11" w:rsidP="005F7043">
      <w:pPr>
        <w:spacing w:line="240" w:lineRule="auto"/>
        <w:jc w:val="both"/>
        <w:rPr>
          <w:rFonts w:ascii="Times New Roman" w:hAnsi="Times New Roman"/>
          <w:bCs/>
          <w:color w:val="000000"/>
          <w:sz w:val="24"/>
          <w:szCs w:val="24"/>
        </w:rPr>
      </w:pPr>
    </w:p>
    <w:p w14:paraId="1F94FBFB" w14:textId="31938CC6" w:rsidR="005F7043" w:rsidRDefault="005F7043" w:rsidP="005F7043">
      <w:pPr>
        <w:spacing w:line="240" w:lineRule="auto"/>
        <w:jc w:val="center"/>
        <w:rPr>
          <w:rFonts w:ascii="Times New Roman" w:hAnsi="Times New Roman"/>
          <w:bCs/>
          <w:color w:val="000000"/>
          <w:sz w:val="24"/>
          <w:szCs w:val="24"/>
        </w:rPr>
      </w:pPr>
      <w:r>
        <w:rPr>
          <w:noProof/>
          <w:lang w:eastAsia="en-IN"/>
        </w:rPr>
        <w:drawing>
          <wp:inline distT="0" distB="0" distL="0" distR="0" wp14:anchorId="048C5170" wp14:editId="6C395433">
            <wp:extent cx="3653365" cy="4178300"/>
            <wp:effectExtent l="0" t="0" r="4445" b="0"/>
            <wp:docPr id="81795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5619" cy="4203752"/>
                    </a:xfrm>
                    <a:prstGeom prst="rect">
                      <a:avLst/>
                    </a:prstGeom>
                    <a:noFill/>
                  </pic:spPr>
                </pic:pic>
              </a:graphicData>
            </a:graphic>
          </wp:inline>
        </w:drawing>
      </w:r>
    </w:p>
    <w:p w14:paraId="607FE65A" w14:textId="65FA2BA1" w:rsidR="00F1529B" w:rsidRPr="001039B4" w:rsidRDefault="005F7043" w:rsidP="001039B4">
      <w:pPr>
        <w:spacing w:line="240" w:lineRule="auto"/>
        <w:jc w:val="center"/>
        <w:rPr>
          <w:rFonts w:ascii="Times New Roman" w:hAnsi="Times New Roman"/>
          <w:sz w:val="24"/>
          <w:szCs w:val="24"/>
        </w:rPr>
      </w:pPr>
      <w:r w:rsidRPr="001039B4">
        <w:rPr>
          <w:rFonts w:ascii="Times New Roman" w:hAnsi="Times New Roman"/>
          <w:sz w:val="24"/>
          <w:szCs w:val="24"/>
        </w:rPr>
        <w:t>Figure 1: Location map of study area with sampling points.</w:t>
      </w:r>
    </w:p>
    <w:p w14:paraId="288C1067" w14:textId="3AE43988" w:rsidR="00E24A5B" w:rsidRPr="001039B4" w:rsidRDefault="00C05A82" w:rsidP="00DA06FB">
      <w:pPr>
        <w:spacing w:after="0" w:line="360" w:lineRule="auto"/>
        <w:jc w:val="both"/>
        <w:rPr>
          <w:rFonts w:ascii="Times New Roman" w:hAnsi="Times New Roman"/>
          <w:b/>
          <w:color w:val="000000"/>
          <w:sz w:val="28"/>
          <w:szCs w:val="28"/>
        </w:rPr>
      </w:pPr>
      <w:r w:rsidRPr="001039B4">
        <w:rPr>
          <w:rFonts w:ascii="Times New Roman" w:hAnsi="Times New Roman"/>
          <w:b/>
          <w:color w:val="000000"/>
          <w:sz w:val="28"/>
          <w:szCs w:val="28"/>
        </w:rPr>
        <w:t>MATERIALS AND METHODS</w:t>
      </w:r>
    </w:p>
    <w:p w14:paraId="205E1417" w14:textId="6814F2DF" w:rsidR="00E24A5B" w:rsidRPr="00C05A82" w:rsidRDefault="00E24A5B" w:rsidP="00DA06FB">
      <w:pPr>
        <w:spacing w:after="0" w:line="360" w:lineRule="auto"/>
        <w:jc w:val="both"/>
        <w:rPr>
          <w:rFonts w:ascii="Times New Roman" w:hAnsi="Times New Roman"/>
          <w:b/>
          <w:color w:val="000000"/>
          <w:sz w:val="24"/>
          <w:szCs w:val="24"/>
        </w:rPr>
      </w:pPr>
      <w:r w:rsidRPr="00C05A82">
        <w:rPr>
          <w:rFonts w:ascii="Times New Roman" w:hAnsi="Times New Roman"/>
          <w:b/>
          <w:color w:val="000000"/>
          <w:sz w:val="24"/>
          <w:szCs w:val="24"/>
        </w:rPr>
        <w:t>Sampling and Analysis</w:t>
      </w:r>
      <w:r w:rsidR="00C05A82">
        <w:rPr>
          <w:rFonts w:ascii="Times New Roman" w:hAnsi="Times New Roman"/>
          <w:b/>
          <w:color w:val="000000"/>
          <w:sz w:val="24"/>
          <w:szCs w:val="24"/>
        </w:rPr>
        <w:t xml:space="preserve"> of groundwater </w:t>
      </w:r>
    </w:p>
    <w:p w14:paraId="54357392" w14:textId="4D00F182" w:rsidR="00D22F1B" w:rsidRPr="002D7B89" w:rsidRDefault="00DB41B7" w:rsidP="005F7043">
      <w:pPr>
        <w:spacing w:after="0" w:line="240" w:lineRule="auto"/>
        <w:jc w:val="both"/>
        <w:rPr>
          <w:rFonts w:ascii="Times New Roman" w:hAnsi="Times New Roman"/>
          <w:iCs/>
          <w:color w:val="000000"/>
          <w:sz w:val="24"/>
          <w:szCs w:val="24"/>
        </w:rPr>
      </w:pPr>
      <w:r w:rsidRPr="00B607B6">
        <w:rPr>
          <w:rFonts w:ascii="Times New Roman" w:hAnsi="Times New Roman"/>
          <w:iCs/>
          <w:color w:val="000000"/>
          <w:sz w:val="24"/>
          <w:szCs w:val="24"/>
        </w:rPr>
        <w:t>A total of 81 representative groundwater samples were collected</w:t>
      </w:r>
      <w:r>
        <w:rPr>
          <w:rFonts w:ascii="Times New Roman" w:hAnsi="Times New Roman"/>
          <w:iCs/>
          <w:color w:val="000000"/>
          <w:sz w:val="24"/>
          <w:szCs w:val="24"/>
        </w:rPr>
        <w:t xml:space="preserve"> </w:t>
      </w:r>
      <w:r w:rsidRPr="00B607B6">
        <w:rPr>
          <w:rFonts w:ascii="Times New Roman" w:hAnsi="Times New Roman"/>
          <w:iCs/>
          <w:color w:val="000000"/>
          <w:sz w:val="24"/>
          <w:szCs w:val="24"/>
        </w:rPr>
        <w:t>from different bore-wells and dug-wells</w:t>
      </w:r>
      <w:r>
        <w:rPr>
          <w:rFonts w:ascii="Times New Roman" w:hAnsi="Times New Roman"/>
          <w:iCs/>
          <w:color w:val="000000"/>
          <w:sz w:val="24"/>
          <w:szCs w:val="24"/>
        </w:rPr>
        <w:t xml:space="preserve">, </w:t>
      </w:r>
      <w:r w:rsidRPr="00B607B6">
        <w:rPr>
          <w:rFonts w:ascii="Times New Roman" w:hAnsi="Times New Roman"/>
          <w:iCs/>
          <w:color w:val="000000"/>
          <w:sz w:val="24"/>
          <w:szCs w:val="24"/>
        </w:rPr>
        <w:t>which are widely used for drinking with other domestic purposes in pre pre-monsoon season, 2022</w:t>
      </w:r>
      <w:r>
        <w:rPr>
          <w:rFonts w:ascii="Times New Roman" w:hAnsi="Times New Roman"/>
          <w:iCs/>
          <w:color w:val="000000"/>
          <w:sz w:val="24"/>
          <w:szCs w:val="24"/>
        </w:rPr>
        <w:t>.</w:t>
      </w:r>
      <w:r w:rsidRPr="00B607B6">
        <w:rPr>
          <w:rFonts w:ascii="Times New Roman" w:hAnsi="Times New Roman"/>
          <w:iCs/>
          <w:color w:val="000000"/>
          <w:sz w:val="24"/>
          <w:szCs w:val="24"/>
        </w:rPr>
        <w:t xml:space="preserve"> </w:t>
      </w:r>
      <w:r>
        <w:rPr>
          <w:rFonts w:ascii="Times New Roman" w:hAnsi="Times New Roman"/>
          <w:iCs/>
          <w:color w:val="000000"/>
          <w:sz w:val="24"/>
          <w:szCs w:val="24"/>
        </w:rPr>
        <w:t xml:space="preserve">Before sampling, </w:t>
      </w:r>
      <w:r w:rsidRPr="00B607B6">
        <w:rPr>
          <w:rFonts w:ascii="Times New Roman" w:hAnsi="Times New Roman"/>
          <w:iCs/>
          <w:color w:val="000000"/>
          <w:sz w:val="24"/>
          <w:szCs w:val="24"/>
        </w:rPr>
        <w:t xml:space="preserve">500 ml bottles </w:t>
      </w:r>
      <w:r w:rsidR="00234F4D">
        <w:rPr>
          <w:rFonts w:ascii="Times New Roman" w:hAnsi="Times New Roman"/>
          <w:iCs/>
          <w:color w:val="000000"/>
          <w:sz w:val="24"/>
          <w:szCs w:val="24"/>
        </w:rPr>
        <w:t>have</w:t>
      </w:r>
      <w:r>
        <w:rPr>
          <w:rFonts w:ascii="Times New Roman" w:hAnsi="Times New Roman"/>
          <w:iCs/>
          <w:color w:val="000000"/>
          <w:sz w:val="24"/>
          <w:szCs w:val="24"/>
        </w:rPr>
        <w:t xml:space="preserve"> been </w:t>
      </w:r>
      <w:r w:rsidRPr="00B607B6">
        <w:rPr>
          <w:rFonts w:ascii="Times New Roman" w:hAnsi="Times New Roman"/>
          <w:iCs/>
          <w:color w:val="000000"/>
          <w:sz w:val="24"/>
          <w:szCs w:val="24"/>
        </w:rPr>
        <w:t xml:space="preserve">soaked with 1:1 HCl for twenty-four hours and </w:t>
      </w:r>
      <w:r>
        <w:rPr>
          <w:rFonts w:ascii="Times New Roman" w:hAnsi="Times New Roman"/>
          <w:iCs/>
          <w:color w:val="000000"/>
          <w:sz w:val="24"/>
          <w:szCs w:val="24"/>
        </w:rPr>
        <w:t xml:space="preserve">then </w:t>
      </w:r>
      <w:r w:rsidRPr="00B607B6">
        <w:rPr>
          <w:rFonts w:ascii="Times New Roman" w:hAnsi="Times New Roman"/>
          <w:iCs/>
          <w:color w:val="000000"/>
          <w:sz w:val="24"/>
          <w:szCs w:val="24"/>
        </w:rPr>
        <w:t>washed twice with distilled water.</w:t>
      </w:r>
      <w:r w:rsidR="00E24A5B" w:rsidRPr="00DA06FB">
        <w:rPr>
          <w:rFonts w:ascii="Times New Roman" w:hAnsi="Times New Roman"/>
          <w:iCs/>
          <w:color w:val="000000"/>
          <w:sz w:val="24"/>
          <w:szCs w:val="24"/>
        </w:rPr>
        <w:t xml:space="preserve"> For quality determination, groundwater samples were analysed for various physicochemical </w:t>
      </w:r>
      <w:r w:rsidR="00E24A5B" w:rsidRPr="00DA06FB">
        <w:rPr>
          <w:rFonts w:ascii="Times New Roman" w:hAnsi="Times New Roman"/>
          <w:iCs/>
          <w:color w:val="000000"/>
          <w:sz w:val="24"/>
          <w:szCs w:val="24"/>
        </w:rPr>
        <w:lastRenderedPageBreak/>
        <w:t>parameters. The physical parameters are “hydrogen-ion concentration (pH), electrical conductivity (EC), total dissolved solids (TDS), and total hardness (TH) as CaCO</w:t>
      </w:r>
      <w:r w:rsidR="00E24A5B" w:rsidRPr="00DA06FB">
        <w:rPr>
          <w:rFonts w:ascii="Times New Roman" w:hAnsi="Times New Roman"/>
          <w:iCs/>
          <w:color w:val="000000"/>
          <w:sz w:val="24"/>
          <w:szCs w:val="24"/>
          <w:vertAlign w:val="subscript"/>
        </w:rPr>
        <w:t>3</w:t>
      </w:r>
      <w:r w:rsidR="00E24A5B" w:rsidRPr="00DA06FB">
        <w:rPr>
          <w:rFonts w:ascii="Times New Roman" w:hAnsi="Times New Roman"/>
          <w:iCs/>
          <w:color w:val="000000"/>
          <w:sz w:val="24"/>
          <w:szCs w:val="24"/>
        </w:rPr>
        <w:t>” and the chemical parameters are concentration of major cations (Calcium (Ca</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w:t>
      </w:r>
      <w:r>
        <w:rPr>
          <w:rFonts w:ascii="Times New Roman" w:hAnsi="Times New Roman"/>
          <w:iCs/>
          <w:color w:val="000000"/>
          <w:sz w:val="24"/>
          <w:szCs w:val="24"/>
        </w:rPr>
        <w:t xml:space="preserve"> </w:t>
      </w:r>
      <w:r w:rsidR="00E24A5B" w:rsidRPr="00DA06FB">
        <w:rPr>
          <w:rFonts w:ascii="Times New Roman" w:hAnsi="Times New Roman"/>
          <w:iCs/>
          <w:color w:val="000000"/>
          <w:sz w:val="24"/>
          <w:szCs w:val="24"/>
        </w:rPr>
        <w:t>Magnesium (Mg</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 Sodium (Na</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Potassium (K</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with major anions (Bicarbonate (HCO</w:t>
      </w:r>
      <w:r w:rsidR="00E24A5B" w:rsidRPr="00DA06FB">
        <w:rPr>
          <w:rFonts w:ascii="Times New Roman" w:hAnsi="Times New Roman"/>
          <w:iCs/>
          <w:color w:val="000000"/>
          <w:sz w:val="24"/>
          <w:szCs w:val="24"/>
          <w:vertAlign w:val="subscript"/>
        </w:rPr>
        <w:t>3</w:t>
      </w:r>
      <w:r w:rsidR="00E24A5B" w:rsidRPr="00DA06FB">
        <w:rPr>
          <w:rFonts w:ascii="Times New Roman" w:hAnsi="Times New Roman"/>
          <w:iCs/>
          <w:color w:val="000000"/>
          <w:sz w:val="24"/>
          <w:szCs w:val="24"/>
          <w:vertAlign w:val="superscript"/>
        </w:rPr>
        <w:t xml:space="preserve">- </w:t>
      </w:r>
      <w:r w:rsidR="00E24A5B" w:rsidRPr="00DA06FB">
        <w:rPr>
          <w:rFonts w:ascii="Times New Roman" w:hAnsi="Times New Roman"/>
          <w:iCs/>
          <w:color w:val="000000"/>
          <w:sz w:val="24"/>
          <w:szCs w:val="24"/>
        </w:rPr>
        <w:t>), Chloride (Cl</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Sulphate (SO</w:t>
      </w:r>
      <w:r w:rsidR="00E24A5B" w:rsidRPr="00DA06FB">
        <w:rPr>
          <w:rFonts w:ascii="Times New Roman" w:hAnsi="Times New Roman"/>
          <w:iCs/>
          <w:color w:val="000000"/>
          <w:sz w:val="24"/>
          <w:szCs w:val="24"/>
          <w:vertAlign w:val="subscript"/>
        </w:rPr>
        <w:t>4</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 Nitrate (NO</w:t>
      </w:r>
      <w:r w:rsidR="00E24A5B" w:rsidRPr="00DA06FB">
        <w:rPr>
          <w:rFonts w:ascii="Times New Roman" w:hAnsi="Times New Roman"/>
          <w:iCs/>
          <w:color w:val="000000"/>
          <w:sz w:val="24"/>
          <w:szCs w:val="24"/>
          <w:vertAlign w:val="subscript"/>
        </w:rPr>
        <w:t>3</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and Fluoride (F</w:t>
      </w:r>
      <w:r w:rsidR="00E24A5B" w:rsidRPr="007A110F">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 All analyses were performed in the laboratory following standard laboratory procedures suggested by the “American Public Health Association”</w:t>
      </w:r>
      <w:r w:rsidR="00D76624">
        <w:rPr>
          <w:rFonts w:ascii="Times New Roman" w:hAnsi="Times New Roman"/>
          <w:iCs/>
          <w:color w:val="000000"/>
          <w:sz w:val="24"/>
          <w:szCs w:val="24"/>
        </w:rPr>
        <w:t xml:space="preserve"> [18]</w:t>
      </w:r>
      <w:r w:rsidR="00E24A5B" w:rsidRPr="00DA06FB">
        <w:rPr>
          <w:rFonts w:ascii="Times New Roman" w:hAnsi="Times New Roman"/>
          <w:iCs/>
          <w:color w:val="000000"/>
          <w:sz w:val="24"/>
          <w:szCs w:val="24"/>
        </w:rPr>
        <w:t>. The parameters such as pH, electrical conductivity (EC) and temperature were analysed at the field using the water analyser 371 (Systronics), and other chemical parameters were analysed in the laboratory. The parameters like Total hardness (TH), calcium (Ca</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 bicarbonate (HCO</w:t>
      </w:r>
      <w:r w:rsidR="00E24A5B" w:rsidRPr="00DA06FB">
        <w:rPr>
          <w:rFonts w:ascii="Times New Roman" w:hAnsi="Times New Roman"/>
          <w:iCs/>
          <w:color w:val="000000"/>
          <w:sz w:val="24"/>
          <w:szCs w:val="24"/>
          <w:vertAlign w:val="subscript"/>
        </w:rPr>
        <w:t>3</w:t>
      </w:r>
      <w:r w:rsidR="00E24A5B" w:rsidRPr="00E84767">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xml:space="preserve"> ), chloride (Cl</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were analysed in the laboratory using the titration method, sodium (Na</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potassium (K</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using Flame photometer and sulphate (SO</w:t>
      </w:r>
      <w:r w:rsidR="00E24A5B" w:rsidRPr="00DA06FB">
        <w:rPr>
          <w:rFonts w:ascii="Times New Roman" w:hAnsi="Times New Roman"/>
          <w:iCs/>
          <w:color w:val="000000"/>
          <w:sz w:val="24"/>
          <w:szCs w:val="24"/>
          <w:vertAlign w:val="subscript"/>
        </w:rPr>
        <w:t>4</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 using UV Spectrophotometer. The concentration of all the chemical parameters were expressed in milligrams per litre, except pH (no units) and EC μS/cm. The ionic balance error percentage (IBE%) was calculated between all cations and anions concentrations which are within its acceptable limit of ± 5%</w:t>
      </w:r>
      <w:r w:rsidR="00D76624">
        <w:rPr>
          <w:rFonts w:ascii="Times New Roman" w:hAnsi="Times New Roman"/>
          <w:iCs/>
          <w:color w:val="000000"/>
          <w:sz w:val="24"/>
          <w:szCs w:val="24"/>
        </w:rPr>
        <w:t xml:space="preserve"> [19]</w:t>
      </w:r>
      <w:r w:rsidR="001E28F4" w:rsidRPr="00DA06FB">
        <w:rPr>
          <w:rFonts w:ascii="Times New Roman" w:hAnsi="Times New Roman"/>
          <w:iCs/>
          <w:color w:val="000000"/>
          <w:sz w:val="24"/>
          <w:szCs w:val="24"/>
        </w:rPr>
        <w:t xml:space="preserve"> (</w:t>
      </w:r>
      <w:r w:rsidR="00D22F1B" w:rsidRPr="00DA06FB">
        <w:rPr>
          <w:rFonts w:ascii="Times New Roman" w:hAnsi="Times New Roman"/>
          <w:iCs/>
          <w:color w:val="000000"/>
          <w:sz w:val="24"/>
          <w:szCs w:val="24"/>
        </w:rPr>
        <w:t>Eq</w:t>
      </w:r>
      <w:r w:rsidR="00D76624">
        <w:rPr>
          <w:rFonts w:ascii="Times New Roman" w:hAnsi="Times New Roman"/>
          <w:iCs/>
          <w:color w:val="000000"/>
          <w:sz w:val="24"/>
          <w:szCs w:val="24"/>
        </w:rPr>
        <w:t xml:space="preserve">uation </w:t>
      </w:r>
      <w:r w:rsidR="00D22F1B" w:rsidRPr="00DA06FB">
        <w:rPr>
          <w:rFonts w:ascii="Times New Roman" w:hAnsi="Times New Roman"/>
          <w:iCs/>
          <w:color w:val="000000"/>
          <w:sz w:val="24"/>
          <w:szCs w:val="24"/>
        </w:rPr>
        <w:t>1)</w:t>
      </w:r>
      <w:r w:rsidR="00E24A5B" w:rsidRPr="00DA06FB">
        <w:rPr>
          <w:rFonts w:ascii="Times New Roman" w:hAnsi="Times New Roman"/>
          <w:iCs/>
          <w:color w:val="000000"/>
          <w:sz w:val="24"/>
          <w:szCs w:val="24"/>
        </w:rPr>
        <w:t xml:space="preserve">. </w:t>
      </w:r>
    </w:p>
    <w:p w14:paraId="219F913E" w14:textId="77777777" w:rsidR="00D22F1B" w:rsidRPr="00DA06FB" w:rsidRDefault="00D22F1B" w:rsidP="00DA06FB">
      <w:pPr>
        <w:spacing w:after="0" w:line="360" w:lineRule="auto"/>
        <w:ind w:firstLine="720"/>
        <w:jc w:val="both"/>
        <w:rPr>
          <w:rFonts w:ascii="Times New Roman" w:hAnsi="Times New Roman"/>
          <w:iCs/>
          <w:color w:val="000000"/>
          <w:sz w:val="24"/>
          <w:szCs w:val="24"/>
        </w:rPr>
      </w:pPr>
      <w:r w:rsidRPr="00DA06FB">
        <w:rPr>
          <w:rFonts w:ascii="Times New Roman" w:hAnsi="Times New Roman"/>
          <w:iCs/>
          <w:color w:val="000000"/>
          <w:sz w:val="24"/>
          <w:szCs w:val="24"/>
        </w:rPr>
        <w:fldChar w:fldCharType="begin"/>
      </w:r>
      <w:r w:rsidRPr="00DA06FB">
        <w:rPr>
          <w:rFonts w:ascii="Times New Roman" w:hAnsi="Times New Roman"/>
          <w:iCs/>
          <w:color w:val="000000"/>
          <w:sz w:val="24"/>
          <w:szCs w:val="24"/>
        </w:rPr>
        <w:instrText xml:space="preserve"> QUOTE </w:instrText>
      </w:r>
      <w:r w:rsidR="00DA237D">
        <w:rPr>
          <w:rFonts w:ascii="Times New Roman" w:hAnsi="Times New Roman"/>
          <w:noProof/>
          <w:color w:val="000000"/>
          <w:position w:val="-17"/>
        </w:rPr>
        <w:pict w14:anchorId="407F5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3.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72B4&quot;/&gt;&lt;wsp:rsid wsp:val=&quot;0000115C&quot;/&gt;&lt;wsp:rsid wsp:val=&quot;0001110C&quot;/&gt;&lt;wsp:rsid wsp:val=&quot;000127EA&quot;/&gt;&lt;wsp:rsid wsp:val=&quot;00012962&quot;/&gt;&lt;wsp:rsid wsp:val=&quot;00016F31&quot;/&gt;&lt;wsp:rsid wsp:val=&quot;00016FD5&quot;/&gt;&lt;wsp:rsid wsp:val=&quot;00021364&quot;/&gt;&lt;wsp:rsid wsp:val=&quot;00023032&quot;/&gt;&lt;wsp:rsid wsp:val=&quot;000274CF&quot;/&gt;&lt;wsp:rsid wsp:val=&quot;00036772&quot;/&gt;&lt;wsp:rsid wsp:val=&quot;0003693F&quot;/&gt;&lt;wsp:rsid wsp:val=&quot;00036ACD&quot;/&gt;&lt;wsp:rsid wsp:val=&quot;00045A03&quot;/&gt;&lt;wsp:rsid wsp:val=&quot;000468CC&quot;/&gt;&lt;wsp:rsid wsp:val=&quot;000471D6&quot;/&gt;&lt;wsp:rsid wsp:val=&quot;000525E4&quot;/&gt;&lt;wsp:rsid wsp:val=&quot;00052EAC&quot;/&gt;&lt;wsp:rsid wsp:val=&quot;00064DD8&quot;/&gt;&lt;wsp:rsid wsp:val=&quot;00066602&quot;/&gt;&lt;wsp:rsid wsp:val=&quot;00067287&quot;/&gt;&lt;wsp:rsid wsp:val=&quot;0007224F&quot;/&gt;&lt;wsp:rsid wsp:val=&quot;00076A94&quot;/&gt;&lt;wsp:rsid wsp:val=&quot;00080D1A&quot;/&gt;&lt;wsp:rsid wsp:val=&quot;0008210C&quot;/&gt;&lt;wsp:rsid wsp:val=&quot;00082D9D&quot;/&gt;&lt;wsp:rsid wsp:val=&quot;00085B97&quot;/&gt;&lt;wsp:rsid wsp:val=&quot;000907F0&quot;/&gt;&lt;wsp:rsid wsp:val=&quot;00093314&quot;/&gt;&lt;wsp:rsid wsp:val=&quot;000947C3&quot;/&gt;&lt;wsp:rsid wsp:val=&quot;0009562B&quot;/&gt;&lt;wsp:rsid wsp:val=&quot;000974DF&quot;/&gt;&lt;wsp:rsid wsp:val=&quot;000A4083&quot;/&gt;&lt;wsp:rsid wsp:val=&quot;000A429F&quot;/&gt;&lt;wsp:rsid wsp:val=&quot;000B0451&quot;/&gt;&lt;wsp:rsid wsp:val=&quot;000B070C&quot;/&gt;&lt;wsp:rsid wsp:val=&quot;000B08E5&quot;/&gt;&lt;wsp:rsid wsp:val=&quot;000C14F6&quot;/&gt;&lt;wsp:rsid wsp:val=&quot;000C1747&quot;/&gt;&lt;wsp:rsid wsp:val=&quot;000C19E3&quot;/&gt;&lt;wsp:rsid wsp:val=&quot;000C27BD&quot;/&gt;&lt;wsp:rsid wsp:val=&quot;000C3F6A&quot;/&gt;&lt;wsp:rsid wsp:val=&quot;000C40EA&quot;/&gt;&lt;wsp:rsid wsp:val=&quot;000C4E24&quot;/&gt;&lt;wsp:rsid wsp:val=&quot;000D37EA&quot;/&gt;&lt;wsp:rsid wsp:val=&quot;000D6B6C&quot;/&gt;&lt;wsp:rsid wsp:val=&quot;000E0631&quot;/&gt;&lt;wsp:rsid wsp:val=&quot;000E5A41&quot;/&gt;&lt;wsp:rsid wsp:val=&quot;000E7AC9&quot;/&gt;&lt;wsp:rsid wsp:val=&quot;000F068D&quot;/&gt;&lt;wsp:rsid wsp:val=&quot;000F0F74&quot;/&gt;&lt;wsp:rsid wsp:val=&quot;000F2F19&quot;/&gt;&lt;wsp:rsid wsp:val=&quot;000F58EE&quot;/&gt;&lt;wsp:rsid wsp:val=&quot;000F7BFD&quot;/&gt;&lt;wsp:rsid wsp:val=&quot;00101C20&quot;/&gt;&lt;wsp:rsid wsp:val=&quot;0010242A&quot;/&gt;&lt;wsp:rsid wsp:val=&quot;00110C50&quot;/&gt;&lt;wsp:rsid wsp:val=&quot;00112EEF&quot;/&gt;&lt;wsp:rsid wsp:val=&quot;0011361C&quot;/&gt;&lt;wsp:rsid wsp:val=&quot;001153EF&quot;/&gt;&lt;wsp:rsid wsp:val=&quot;00115E21&quot;/&gt;&lt;wsp:rsid wsp:val=&quot;00116488&quot;/&gt;&lt;wsp:rsid wsp:val=&quot;00116520&quot;/&gt;&lt;wsp:rsid wsp:val=&quot;001177D0&quot;/&gt;&lt;wsp:rsid wsp:val=&quot;00120D44&quot;/&gt;&lt;wsp:rsid wsp:val=&quot;00121004&quot;/&gt;&lt;wsp:rsid wsp:val=&quot;00122F06&quot;/&gt;&lt;wsp:rsid wsp:val=&quot;00124CC0&quot;/&gt;&lt;wsp:rsid wsp:val=&quot;00132DEE&quot;/&gt;&lt;wsp:rsid wsp:val=&quot;0013475B&quot;/&gt;&lt;wsp:rsid wsp:val=&quot;001404C9&quot;/&gt;&lt;wsp:rsid wsp:val=&quot;00147D90&quot;/&gt;&lt;wsp:rsid wsp:val=&quot;00147DF4&quot;/&gt;&lt;wsp:rsid wsp:val=&quot;00150F49&quot;/&gt;&lt;wsp:rsid wsp:val=&quot;00152AFB&quot;/&gt;&lt;wsp:rsid wsp:val=&quot;00157EC1&quot;/&gt;&lt;wsp:rsid wsp:val=&quot;00163B30&quot;/&gt;&lt;wsp:rsid wsp:val=&quot;0016479B&quot;/&gt;&lt;wsp:rsid wsp:val=&quot;0016650E&quot;/&gt;&lt;wsp:rsid wsp:val=&quot;001667D9&quot;/&gt;&lt;wsp:rsid wsp:val=&quot;00166BE4&quot;/&gt;&lt;wsp:rsid wsp:val=&quot;00167C2C&quot;/&gt;&lt;wsp:rsid wsp:val=&quot;00173B5E&quot;/&gt;&lt;wsp:rsid wsp:val=&quot;0017505E&quot;/&gt;&lt;wsp:rsid wsp:val=&quot;00175C53&quot;/&gt;&lt;wsp:rsid wsp:val=&quot;0017750A&quot;/&gt;&lt;wsp:rsid wsp:val=&quot;00181686&quot;/&gt;&lt;wsp:rsid wsp:val=&quot;00194B00&quot;/&gt;&lt;wsp:rsid wsp:val=&quot;001A3511&quot;/&gt;&lt;wsp:rsid wsp:val=&quot;001A44AB&quot;/&gt;&lt;wsp:rsid wsp:val=&quot;001A4E3D&quot;/&gt;&lt;wsp:rsid wsp:val=&quot;001B3181&quot;/&gt;&lt;wsp:rsid wsp:val=&quot;001B5F15&quot;/&gt;&lt;wsp:rsid wsp:val=&quot;001B7C5F&quot;/&gt;&lt;wsp:rsid wsp:val=&quot;001C3F3E&quot;/&gt;&lt;wsp:rsid wsp:val=&quot;001D0A95&quot;/&gt;&lt;wsp:rsid wsp:val=&quot;001D0BC3&quot;/&gt;&lt;wsp:rsid wsp:val=&quot;001D1044&quot;/&gt;&lt;wsp:rsid wsp:val=&quot;001D2A88&quot;/&gt;&lt;wsp:rsid wsp:val=&quot;001D4C59&quot;/&gt;&lt;wsp:rsid wsp:val=&quot;001D7EBF&quot;/&gt;&lt;wsp:rsid wsp:val=&quot;001E024F&quot;/&gt;&lt;wsp:rsid wsp:val=&quot;001F6114&quot;/&gt;&lt;wsp:rsid wsp:val=&quot;001F6681&quot;/&gt;&lt;wsp:rsid wsp:val=&quot;002017B3&quot;/&gt;&lt;wsp:rsid wsp:val=&quot;0020556D&quot;/&gt;&lt;wsp:rsid wsp:val=&quot;002069E9&quot;/&gt;&lt;wsp:rsid wsp:val=&quot;00206B11&quot;/&gt;&lt;wsp:rsid wsp:val=&quot;00211979&quot;/&gt;&lt;wsp:rsid wsp:val=&quot;00214486&quot;/&gt;&lt;wsp:rsid wsp:val=&quot;00216D28&quot;/&gt;&lt;wsp:rsid wsp:val=&quot;002175F3&quot;/&gt;&lt;wsp:rsid wsp:val=&quot;00217AD7&quot;/&gt;&lt;wsp:rsid wsp:val=&quot;00217E77&quot;/&gt;&lt;wsp:rsid wsp:val=&quot;00221D0B&quot;/&gt;&lt;wsp:rsid wsp:val=&quot;00223383&quot;/&gt;&lt;wsp:rsid wsp:val=&quot;00224F01&quot;/&gt;&lt;wsp:rsid wsp:val=&quot;0022679E&quot;/&gt;&lt;wsp:rsid wsp:val=&quot;002275A7&quot;/&gt;&lt;wsp:rsid wsp:val=&quot;00230755&quot;/&gt;&lt;wsp:rsid wsp:val=&quot;00234C45&quot;/&gt;&lt;wsp:rsid wsp:val=&quot;002360A2&quot;/&gt;&lt;wsp:rsid wsp:val=&quot;00236F95&quot;/&gt;&lt;wsp:rsid wsp:val=&quot;00243266&quot;/&gt;&lt;wsp:rsid wsp:val=&quot;00244EAE&quot;/&gt;&lt;wsp:rsid wsp:val=&quot;002454CB&quot;/&gt;&lt;wsp:rsid wsp:val=&quot;002470E9&quot;/&gt;&lt;wsp:rsid wsp:val=&quot;002472E2&quot;/&gt;&lt;wsp:rsid wsp:val=&quot;002530C1&quot;/&gt;&lt;wsp:rsid wsp:val=&quot;00254079&quot;/&gt;&lt;wsp:rsid wsp:val=&quot;00256ABB&quot;/&gt;&lt;wsp:rsid wsp:val=&quot;00256B60&quot;/&gt;&lt;wsp:rsid wsp:val=&quot;00256BBE&quot;/&gt;&lt;wsp:rsid wsp:val=&quot;00260048&quot;/&gt;&lt;wsp:rsid wsp:val=&quot;0026028C&quot;/&gt;&lt;wsp:rsid wsp:val=&quot;00262881&quot;/&gt;&lt;wsp:rsid wsp:val=&quot;00263803&quot;/&gt;&lt;wsp:rsid wsp:val=&quot;00264EAF&quot;/&gt;&lt;wsp:rsid wsp:val=&quot;00265232&quot;/&gt;&lt;wsp:rsid wsp:val=&quot;00275B16&quot;/&gt;&lt;wsp:rsid wsp:val=&quot;0027653E&quot;/&gt;&lt;wsp:rsid wsp:val=&quot;00277CBF&quot;/&gt;&lt;wsp:rsid wsp:val=&quot;0028103C&quot;/&gt;&lt;wsp:rsid wsp:val=&quot;00284E2B&quot;/&gt;&lt;wsp:rsid wsp:val=&quot;0029005B&quot;/&gt;&lt;wsp:rsid wsp:val=&quot;00292D77&quot;/&gt;&lt;wsp:rsid wsp:val=&quot;00297C48&quot;/&gt;&lt;wsp:rsid wsp:val=&quot;002A17E2&quot;/&gt;&lt;wsp:rsid wsp:val=&quot;002A31A7&quot;/&gt;&lt;wsp:rsid wsp:val=&quot;002B03D0&quot;/&gt;&lt;wsp:rsid wsp:val=&quot;002B2554&quot;/&gt;&lt;wsp:rsid wsp:val=&quot;002B3B97&quot;/&gt;&lt;wsp:rsid wsp:val=&quot;002C307E&quot;/&gt;&lt;wsp:rsid wsp:val=&quot;002C42A2&quot;/&gt;&lt;wsp:rsid wsp:val=&quot;002C564D&quot;/&gt;&lt;wsp:rsid wsp:val=&quot;002C79A9&quot;/&gt;&lt;wsp:rsid wsp:val=&quot;002D1829&quot;/&gt;&lt;wsp:rsid wsp:val=&quot;002D4557&quot;/&gt;&lt;wsp:rsid wsp:val=&quot;002D7A93&quot;/&gt;&lt;wsp:rsid wsp:val=&quot;002E121F&quot;/&gt;&lt;wsp:rsid wsp:val=&quot;002E2AFD&quot;/&gt;&lt;wsp:rsid wsp:val=&quot;002E34EC&quot;/&gt;&lt;wsp:rsid wsp:val=&quot;002E4889&quot;/&gt;&lt;wsp:rsid wsp:val=&quot;002E5333&quot;/&gt;&lt;wsp:rsid wsp:val=&quot;002F08D3&quot;/&gt;&lt;wsp:rsid wsp:val=&quot;002F302B&quot;/&gt;&lt;wsp:rsid wsp:val=&quot;002F5995&quot;/&gt;&lt;wsp:rsid wsp:val=&quot;002F6108&quot;/&gt;&lt;wsp:rsid wsp:val=&quot;002F726F&quot;/&gt;&lt;wsp:rsid wsp:val=&quot;002F79DD&quot;/&gt;&lt;wsp:rsid wsp:val=&quot;0030192D&quot;/&gt;&lt;wsp:rsid wsp:val=&quot;00301C3B&quot;/&gt;&lt;wsp:rsid wsp:val=&quot;00303DDF&quot;/&gt;&lt;wsp:rsid wsp:val=&quot;0030455F&quot;/&gt;&lt;wsp:rsid wsp:val=&quot;00304BA3&quot;/&gt;&lt;wsp:rsid wsp:val=&quot;00312CA1&quot;/&gt;&lt;wsp:rsid wsp:val=&quot;003163D1&quot;/&gt;&lt;wsp:rsid wsp:val=&quot;0031650A&quot;/&gt;&lt;wsp:rsid wsp:val=&quot;0031661B&quot;/&gt;&lt;wsp:rsid wsp:val=&quot;00317956&quot;/&gt;&lt;wsp:rsid wsp:val=&quot;003203F0&quot;/&gt;&lt;wsp:rsid wsp:val=&quot;00322A9D&quot;/&gt;&lt;wsp:rsid wsp:val=&quot;0032354B&quot;/&gt;&lt;wsp:rsid wsp:val=&quot;0033028B&quot;/&gt;&lt;wsp:rsid wsp:val=&quot;003320A0&quot;/&gt;&lt;wsp:rsid wsp:val=&quot;003323C3&quot;/&gt;&lt;wsp:rsid wsp:val=&quot;003352D2&quot;/&gt;&lt;wsp:rsid wsp:val=&quot;00335B6F&quot;/&gt;&lt;wsp:rsid wsp:val=&quot;003467F4&quot;/&gt;&lt;wsp:rsid wsp:val=&quot;003511B2&quot;/&gt;&lt;wsp:rsid wsp:val=&quot;003523E3&quot;/&gt;&lt;wsp:rsid wsp:val=&quot;003532D7&quot;/&gt;&lt;wsp:rsid wsp:val=&quot;00354D4F&quot;/&gt;&lt;wsp:rsid wsp:val=&quot;00355953&quot;/&gt;&lt;wsp:rsid wsp:val=&quot;00357F0D&quot;/&gt;&lt;wsp:rsid wsp:val=&quot;00363736&quot;/&gt;&lt;wsp:rsid wsp:val=&quot;00363948&quot;/&gt;&lt;wsp:rsid wsp:val=&quot;00363C98&quot;/&gt;&lt;wsp:rsid wsp:val=&quot;00365034&quot;/&gt;&lt;wsp:rsid wsp:val=&quot;00367A9C&quot;/&gt;&lt;wsp:rsid wsp:val=&quot;00372CE6&quot;/&gt;&lt;wsp:rsid wsp:val=&quot;00374D02&quot;/&gt;&lt;wsp:rsid wsp:val=&quot;00376630&quot;/&gt;&lt;wsp:rsid wsp:val=&quot;00376DFD&quot;/&gt;&lt;wsp:rsid wsp:val=&quot;00384672&quot;/&gt;&lt;wsp:rsid wsp:val=&quot;00385305&quot;/&gt;&lt;wsp:rsid wsp:val=&quot;00386455&quot;/&gt;&lt;wsp:rsid wsp:val=&quot;00387B67&quot;/&gt;&lt;wsp:rsid wsp:val=&quot;00390672&quot;/&gt;&lt;wsp:rsid wsp:val=&quot;003929A6&quot;/&gt;&lt;wsp:rsid wsp:val=&quot;00393FF7&quot;/&gt;&lt;wsp:rsid wsp:val=&quot;003A106A&quot;/&gt;&lt;wsp:rsid wsp:val=&quot;003A20CD&quot;/&gt;&lt;wsp:rsid wsp:val=&quot;003A58B5&quot;/&gt;&lt;wsp:rsid wsp:val=&quot;003B62AF&quot;/&gt;&lt;wsp:rsid wsp:val=&quot;003C501B&quot;/&gt;&lt;wsp:rsid wsp:val=&quot;003C5664&quot;/&gt;&lt;wsp:rsid wsp:val=&quot;003C765B&quot;/&gt;&lt;wsp:rsid wsp:val=&quot;003D2AFB&quot;/&gt;&lt;wsp:rsid wsp:val=&quot;003D56F4&quot;/&gt;&lt;wsp:rsid wsp:val=&quot;003E4196&quot;/&gt;&lt;wsp:rsid wsp:val=&quot;003F0D71&quot;/&gt;&lt;wsp:rsid wsp:val=&quot;003F3A13&quot;/&gt;&lt;wsp:rsid wsp:val=&quot;003F7BAB&quot;/&gt;&lt;wsp:rsid wsp:val=&quot;004029E7&quot;/&gt;&lt;wsp:rsid wsp:val=&quot;004050AD&quot;/&gt;&lt;wsp:rsid wsp:val=&quot;00411029&quot;/&gt;&lt;wsp:rsid wsp:val=&quot;004113DE&quot;/&gt;&lt;wsp:rsid wsp:val=&quot;00412BEC&quot;/&gt;&lt;wsp:rsid wsp:val=&quot;0041324A&quot;/&gt;&lt;wsp:rsid wsp:val=&quot;0041699A&quot;/&gt;&lt;wsp:rsid wsp:val=&quot;00420E5F&quot;/&gt;&lt;wsp:rsid wsp:val=&quot;004218CA&quot;/&gt;&lt;wsp:rsid wsp:val=&quot;004225FA&quot;/&gt;&lt;wsp:rsid wsp:val=&quot;00424F6B&quot;/&gt;&lt;wsp:rsid wsp:val=&quot;00430AA5&quot;/&gt;&lt;wsp:rsid wsp:val=&quot;00430C7D&quot;/&gt;&lt;wsp:rsid wsp:val=&quot;00431BCC&quot;/&gt;&lt;wsp:rsid wsp:val=&quot;004328A9&quot;/&gt;&lt;wsp:rsid wsp:val=&quot;00433321&quot;/&gt;&lt;wsp:rsid wsp:val=&quot;00433FD3&quot;/&gt;&lt;wsp:rsid wsp:val=&quot;00435804&quot;/&gt;&lt;wsp:rsid wsp:val=&quot;004368AB&quot;/&gt;&lt;wsp:rsid wsp:val=&quot;0044259E&quot;/&gt;&lt;wsp:rsid wsp:val=&quot;0044352A&quot;/&gt;&lt;wsp:rsid wsp:val=&quot;00444979&quot;/&gt;&lt;wsp:rsid wsp:val=&quot;0045031D&quot;/&gt;&lt;wsp:rsid wsp:val=&quot;004515E9&quot;/&gt;&lt;wsp:rsid wsp:val=&quot;00451EEE&quot;/&gt;&lt;wsp:rsid wsp:val=&quot;00453AE3&quot;/&gt;&lt;wsp:rsid wsp:val=&quot;00456F09&quot;/&gt;&lt;wsp:rsid wsp:val=&quot;00457838&quot;/&gt;&lt;wsp:rsid wsp:val=&quot;004633C1&quot;/&gt;&lt;wsp:rsid wsp:val=&quot;00467FC7&quot;/&gt;&lt;wsp:rsid wsp:val=&quot;0047262A&quot;/&gt;&lt;wsp:rsid wsp:val=&quot;004735AF&quot;/&gt;&lt;wsp:rsid wsp:val=&quot;00476E92&quot;/&gt;&lt;wsp:rsid wsp:val=&quot;00477A65&quot;/&gt;&lt;wsp:rsid wsp:val=&quot;00481DE3&quot;/&gt;&lt;wsp:rsid wsp:val=&quot;00485044&quot;/&gt;&lt;wsp:rsid wsp:val=&quot;00490399&quot;/&gt;&lt;wsp:rsid wsp:val=&quot;00491D70&quot;/&gt;&lt;wsp:rsid wsp:val=&quot;00493E63&quot;/&gt;&lt;wsp:rsid wsp:val=&quot;00495B5F&quot;/&gt;&lt;wsp:rsid wsp:val=&quot;004964BC&quot;/&gt;&lt;wsp:rsid wsp:val=&quot;00496E2E&quot;/&gt;&lt;wsp:rsid wsp:val=&quot;004A01FB&quot;/&gt;&lt;wsp:rsid wsp:val=&quot;004A1453&quot;/&gt;&lt;wsp:rsid wsp:val=&quot;004A44D4&quot;/&gt;&lt;wsp:rsid wsp:val=&quot;004B31F5&quot;/&gt;&lt;wsp:rsid wsp:val=&quot;004B526D&quot;/&gt;&lt;wsp:rsid wsp:val=&quot;004B64C3&quot;/&gt;&lt;wsp:rsid wsp:val=&quot;004B7FC4&quot;/&gt;&lt;wsp:rsid wsp:val=&quot;004C1C62&quot;/&gt;&lt;wsp:rsid wsp:val=&quot;004C7B9A&quot;/&gt;&lt;wsp:rsid wsp:val=&quot;004D2C81&quot;/&gt;&lt;wsp:rsid wsp:val=&quot;004D6E2C&quot;/&gt;&lt;wsp:rsid wsp:val=&quot;004E05D3&quot;/&gt;&lt;wsp:rsid wsp:val=&quot;004E2325&quot;/&gt;&lt;wsp:rsid wsp:val=&quot;004E2B6A&quot;/&gt;&lt;wsp:rsid wsp:val=&quot;004F005F&quot;/&gt;&lt;wsp:rsid wsp:val=&quot;004F442A&quot;/&gt;&lt;wsp:rsid wsp:val=&quot;004F4912&quot;/&gt;&lt;wsp:rsid wsp:val=&quot;004F6327&quot;/&gt;&lt;wsp:rsid wsp:val=&quot;00502B2D&quot;/&gt;&lt;wsp:rsid wsp:val=&quot;0051145A&quot;/&gt;&lt;wsp:rsid wsp:val=&quot;00512862&quot;/&gt;&lt;wsp:rsid wsp:val=&quot;00512EC7&quot;/&gt;&lt;wsp:rsid wsp:val=&quot;005132A4&quot;/&gt;&lt;wsp:rsid wsp:val=&quot;0051360A&quot;/&gt;&lt;wsp:rsid wsp:val=&quot;00522526&quot;/&gt;&lt;wsp:rsid wsp:val=&quot;005225C3&quot;/&gt;&lt;wsp:rsid wsp:val=&quot;00523D23&quot;/&gt;&lt;wsp:rsid wsp:val=&quot;005248E8&quot;/&gt;&lt;wsp:rsid wsp:val=&quot;00524942&quot;/&gt;&lt;wsp:rsid wsp:val=&quot;0052501A&quot;/&gt;&lt;wsp:rsid wsp:val=&quot;0052603A&quot;/&gt;&lt;wsp:rsid wsp:val=&quot;005309DC&quot;/&gt;&lt;wsp:rsid wsp:val=&quot;00531913&quot;/&gt;&lt;wsp:rsid wsp:val=&quot;00532B30&quot;/&gt;&lt;wsp:rsid wsp:val=&quot;00535A08&quot;/&gt;&lt;wsp:rsid wsp:val=&quot;00535FF2&quot;/&gt;&lt;wsp:rsid wsp:val=&quot;00536A23&quot;/&gt;&lt;wsp:rsid wsp:val=&quot;005370D1&quot;/&gt;&lt;wsp:rsid wsp:val=&quot;00537112&quot;/&gt;&lt;wsp:rsid wsp:val=&quot;0055118F&quot;/&gt;&lt;wsp:rsid wsp:val=&quot;00560F59&quot;/&gt;&lt;wsp:rsid wsp:val=&quot;00562874&quot;/&gt;&lt;wsp:rsid wsp:val=&quot;00566277&quot;/&gt;&lt;wsp:rsid wsp:val=&quot;00567D11&quot;/&gt;&lt;wsp:rsid wsp:val=&quot;00573F98&quot;/&gt;&lt;wsp:rsid wsp:val=&quot;00576BA1&quot;/&gt;&lt;wsp:rsid wsp:val=&quot;00581954&quot;/&gt;&lt;wsp:rsid wsp:val=&quot;005825A5&quot;/&gt;&lt;wsp:rsid wsp:val=&quot;005979A0&quot;/&gt;&lt;wsp:rsid wsp:val=&quot;005B4235&quot;/&gt;&lt;wsp:rsid wsp:val=&quot;005B7951&quot;/&gt;&lt;wsp:rsid wsp:val=&quot;005C1F1F&quot;/&gt;&lt;wsp:rsid wsp:val=&quot;005C4BB6&quot;/&gt;&lt;wsp:rsid wsp:val=&quot;005D0767&quot;/&gt;&lt;wsp:rsid wsp:val=&quot;005D122A&quot;/&gt;&lt;wsp:rsid wsp:val=&quot;005D18FC&quot;/&gt;&lt;wsp:rsid wsp:val=&quot;005D729A&quot;/&gt;&lt;wsp:rsid wsp:val=&quot;005E3A27&quot;/&gt;&lt;wsp:rsid wsp:val=&quot;005E6874&quot;/&gt;&lt;wsp:rsid wsp:val=&quot;005F0C99&quot;/&gt;&lt;wsp:rsid wsp:val=&quot;005F1188&quot;/&gt;&lt;wsp:rsid wsp:val=&quot;005F2BD4&quot;/&gt;&lt;wsp:rsid wsp:val=&quot;005F319A&quot;/&gt;&lt;wsp:rsid wsp:val=&quot;005F4582&quot;/&gt;&lt;wsp:rsid wsp:val=&quot;005F72B4&quot;/&gt;&lt;wsp:rsid wsp:val=&quot;00601F37&quot;/&gt;&lt;wsp:rsid wsp:val=&quot;00603066&quot;/&gt;&lt;wsp:rsid wsp:val=&quot;00603E23&quot;/&gt;&lt;wsp:rsid wsp:val=&quot;0060451D&quot;/&gt;&lt;wsp:rsid wsp:val=&quot;0060520D&quot;/&gt;&lt;wsp:rsid wsp:val=&quot;00605DF4&quot;/&gt;&lt;wsp:rsid wsp:val=&quot;00606772&quot;/&gt;&lt;wsp:rsid wsp:val=&quot;00610902&quot;/&gt;&lt;wsp:rsid wsp:val=&quot;0061165F&quot;/&gt;&lt;wsp:rsid wsp:val=&quot;00611B6F&quot;/&gt;&lt;wsp:rsid wsp:val=&quot;0061204A&quot;/&gt;&lt;wsp:rsid wsp:val=&quot;00626B2D&quot;/&gt;&lt;wsp:rsid wsp:val=&quot;0063143D&quot;/&gt;&lt;wsp:rsid wsp:val=&quot;00633C96&quot;/&gt;&lt;wsp:rsid wsp:val=&quot;006342E3&quot;/&gt;&lt;wsp:rsid wsp:val=&quot;00635043&quot;/&gt;&lt;wsp:rsid wsp:val=&quot;006371E7&quot;/&gt;&lt;wsp:rsid wsp:val=&quot;00637F37&quot;/&gt;&lt;wsp:rsid wsp:val=&quot;006402F5&quot;/&gt;&lt;wsp:rsid wsp:val=&quot;006435C4&quot;/&gt;&lt;wsp:rsid wsp:val=&quot;00644E06&quot;/&gt;&lt;wsp:rsid wsp:val=&quot;00647752&quot;/&gt;&lt;wsp:rsid wsp:val=&quot;0065089D&quot;/&gt;&lt;wsp:rsid wsp:val=&quot;00652824&quot;/&gt;&lt;wsp:rsid wsp:val=&quot;00654D85&quot;/&gt;&lt;wsp:rsid wsp:val=&quot;00655A1C&quot;/&gt;&lt;wsp:rsid wsp:val=&quot;00662561&quot;/&gt;&lt;wsp:rsid wsp:val=&quot;0066482B&quot;/&gt;&lt;wsp:rsid wsp:val=&quot;00671590&quot;/&gt;&lt;wsp:rsid wsp:val=&quot;00674A6F&quot;/&gt;&lt;wsp:rsid wsp:val=&quot;00683347&quot;/&gt;&lt;wsp:rsid wsp:val=&quot;006837FA&quot;/&gt;&lt;wsp:rsid wsp:val=&quot;00690ABB&quot;/&gt;&lt;wsp:rsid wsp:val=&quot;00690BB9&quot;/&gt;&lt;wsp:rsid wsp:val=&quot;006933F4&quot;/&gt;&lt;wsp:rsid wsp:val=&quot;00694014&quot;/&gt;&lt;wsp:rsid wsp:val=&quot;00694BA2&quot;/&gt;&lt;wsp:rsid wsp:val=&quot;006A0D87&quot;/&gt;&lt;wsp:rsid wsp:val=&quot;006A0F53&quot;/&gt;&lt;wsp:rsid wsp:val=&quot;006A77CF&quot;/&gt;&lt;wsp:rsid wsp:val=&quot;006B0EC8&quot;/&gt;&lt;wsp:rsid wsp:val=&quot;006B0EF1&quot;/&gt;&lt;wsp:rsid wsp:val=&quot;006B3AB5&quot;/&gt;&lt;wsp:rsid wsp:val=&quot;006C0F8F&quot;/&gt;&lt;wsp:rsid wsp:val=&quot;006C5651&quot;/&gt;&lt;wsp:rsid wsp:val=&quot;006C5670&quot;/&gt;&lt;wsp:rsid wsp:val=&quot;006C5D06&quot;/&gt;&lt;wsp:rsid wsp:val=&quot;006D2672&quot;/&gt;&lt;wsp:rsid wsp:val=&quot;006D7A33&quot;/&gt;&lt;wsp:rsid wsp:val=&quot;006E0286&quot;/&gt;&lt;wsp:rsid wsp:val=&quot;006E1200&quot;/&gt;&lt;wsp:rsid wsp:val=&quot;006E1C0E&quot;/&gt;&lt;wsp:rsid wsp:val=&quot;006E2DC0&quot;/&gt;&lt;wsp:rsid wsp:val=&quot;006E3CE6&quot;/&gt;&lt;wsp:rsid wsp:val=&quot;006E5441&quot;/&gt;&lt;wsp:rsid wsp:val=&quot;006E72EF&quot;/&gt;&lt;wsp:rsid wsp:val=&quot;006F2F45&quot;/&gt;&lt;wsp:rsid wsp:val=&quot;006F370C&quot;/&gt;&lt;wsp:rsid wsp:val=&quot;006F3F0C&quot;/&gt;&lt;wsp:rsid wsp:val=&quot;006F48CD&quot;/&gt;&lt;wsp:rsid wsp:val=&quot;006F5477&quot;/&gt;&lt;wsp:rsid wsp:val=&quot;006F6419&quot;/&gt;&lt;wsp:rsid wsp:val=&quot;006F6AAC&quot;/&gt;&lt;wsp:rsid wsp:val=&quot;00700A28&quot;/&gt;&lt;wsp:rsid wsp:val=&quot;00701951&quot;/&gt;&lt;wsp:rsid wsp:val=&quot;00702670&quot;/&gt;&lt;wsp:rsid wsp:val=&quot;00705AC5&quot;/&gt;&lt;wsp:rsid wsp:val=&quot;00705E5A&quot;/&gt;&lt;wsp:rsid wsp:val=&quot;0071012F&quot;/&gt;&lt;wsp:rsid wsp:val=&quot;007136CE&quot;/&gt;&lt;wsp:rsid wsp:val=&quot;00714480&quot;/&gt;&lt;wsp:rsid wsp:val=&quot;007151F8&quot;/&gt;&lt;wsp:rsid wsp:val=&quot;007167AD&quot;/&gt;&lt;wsp:rsid wsp:val=&quot;00720E4E&quot;/&gt;&lt;wsp:rsid wsp:val=&quot;00722120&quot;/&gt;&lt;wsp:rsid wsp:val=&quot;00722821&quot;/&gt;&lt;wsp:rsid wsp:val=&quot;0072380E&quot;/&gt;&lt;wsp:rsid wsp:val=&quot;007263A3&quot;/&gt;&lt;wsp:rsid wsp:val=&quot;0073274A&quot;/&gt;&lt;wsp:rsid wsp:val=&quot;00732D88&quot;/&gt;&lt;wsp:rsid wsp:val=&quot;00734955&quot;/&gt;&lt;wsp:rsid wsp:val=&quot;00734CEF&quot;/&gt;&lt;wsp:rsid wsp:val=&quot;00735467&quot;/&gt;&lt;wsp:rsid wsp:val=&quot;00736D50&quot;/&gt;&lt;wsp:rsid wsp:val=&quot;00744E28&quot;/&gt;&lt;wsp:rsid wsp:val=&quot;00745FE2&quot;/&gt;&lt;wsp:rsid wsp:val=&quot;00750D63&quot;/&gt;&lt;wsp:rsid wsp:val=&quot;00751318&quot;/&gt;&lt;wsp:rsid wsp:val=&quot;00752A5F&quot;/&gt;&lt;wsp:rsid wsp:val=&quot;00756AFD&quot;/&gt;&lt;wsp:rsid wsp:val=&quot;00756E74&quot;/&gt;&lt;wsp:rsid wsp:val=&quot;007570C8&quot;/&gt;&lt;wsp:rsid wsp:val=&quot;007653AC&quot;/&gt;&lt;wsp:rsid wsp:val=&quot;0077180D&quot;/&gt;&lt;wsp:rsid wsp:val=&quot;00773A46&quot;/&gt;&lt;wsp:rsid wsp:val=&quot;007745F7&quot;/&gt;&lt;wsp:rsid wsp:val=&quot;00775DC8&quot;/&gt;&lt;wsp:rsid wsp:val=&quot;0077725E&quot;/&gt;&lt;wsp:rsid wsp:val=&quot;007826CB&quot;/&gt;&lt;wsp:rsid wsp:val=&quot;007846A5&quot;/&gt;&lt;wsp:rsid wsp:val=&quot;00786450&quot;/&gt;&lt;wsp:rsid wsp:val=&quot;007940B5&quot;/&gt;&lt;wsp:rsid wsp:val=&quot;00794CCC&quot;/&gt;&lt;wsp:rsid wsp:val=&quot;0079547C&quot;/&gt;&lt;wsp:rsid wsp:val=&quot;00795562&quot;/&gt;&lt;wsp:rsid wsp:val=&quot;00796932&quot;/&gt;&lt;wsp:rsid wsp:val=&quot;007A0900&quot;/&gt;&lt;wsp:rsid wsp:val=&quot;007A1E85&quot;/&gt;&lt;wsp:rsid wsp:val=&quot;007A5E50&quot;/&gt;&lt;wsp:rsid wsp:val=&quot;007A7B24&quot;/&gt;&lt;wsp:rsid wsp:val=&quot;007B03C1&quot;/&gt;&lt;wsp:rsid wsp:val=&quot;007B2B4B&quot;/&gt;&lt;wsp:rsid wsp:val=&quot;007C2E4B&quot;/&gt;&lt;wsp:rsid wsp:val=&quot;007C4494&quot;/&gt;&lt;wsp:rsid wsp:val=&quot;007C78CF&quot;/&gt;&lt;wsp:rsid wsp:val=&quot;007D1F7B&quot;/&gt;&lt;wsp:rsid wsp:val=&quot;007D2ECB&quot;/&gt;&lt;wsp:rsid wsp:val=&quot;007D6985&quot;/&gt;&lt;wsp:rsid wsp:val=&quot;007E3E39&quot;/&gt;&lt;wsp:rsid wsp:val=&quot;007F077D&quot;/&gt;&lt;wsp:rsid wsp:val=&quot;00805A46&quot;/&gt;&lt;wsp:rsid wsp:val=&quot;00806C06&quot;/&gt;&lt;wsp:rsid wsp:val=&quot;008077D1&quot;/&gt;&lt;wsp:rsid wsp:val=&quot;00810972&quot;/&gt;&lt;wsp:rsid wsp:val=&quot;008112AC&quot;/&gt;&lt;wsp:rsid wsp:val=&quot;008132D1&quot;/&gt;&lt;wsp:rsid wsp:val=&quot;008137D1&quot;/&gt;&lt;wsp:rsid wsp:val=&quot;00813DC0&quot;/&gt;&lt;wsp:rsid wsp:val=&quot;00814031&quot;/&gt;&lt;wsp:rsid wsp:val=&quot;00814F1F&quot;/&gt;&lt;wsp:rsid wsp:val=&quot;00816D4E&quot;/&gt;&lt;wsp:rsid wsp:val=&quot;00824E1F&quot;/&gt;&lt;wsp:rsid wsp:val=&quot;00831D6F&quot;/&gt;&lt;wsp:rsid wsp:val=&quot;00831F84&quot;/&gt;&lt;wsp:rsid wsp:val=&quot;00833EF5&quot;/&gt;&lt;wsp:rsid wsp:val=&quot;008347F7&quot;/&gt;&lt;wsp:rsid wsp:val=&quot;00835CCC&quot;/&gt;&lt;wsp:rsid wsp:val=&quot;00835EB7&quot;/&gt;&lt;wsp:rsid wsp:val=&quot;008365EB&quot;/&gt;&lt;wsp:rsid wsp:val=&quot;00837821&quot;/&gt;&lt;wsp:rsid wsp:val=&quot;00842E09&quot;/&gt;&lt;wsp:rsid wsp:val=&quot;00842F5D&quot;/&gt;&lt;wsp:rsid wsp:val=&quot;00843532&quot;/&gt;&lt;wsp:rsid wsp:val=&quot;00843717&quot;/&gt;&lt;wsp:rsid wsp:val=&quot;00843AF2&quot;/&gt;&lt;wsp:rsid wsp:val=&quot;00844A31&quot;/&gt;&lt;wsp:rsid wsp:val=&quot;00845C44&quot;/&gt;&lt;wsp:rsid wsp:val=&quot;008532F4&quot;/&gt;&lt;wsp:rsid wsp:val=&quot;0086237A&quot;/&gt;&lt;wsp:rsid wsp:val=&quot;00864B99&quot;/&gt;&lt;wsp:rsid wsp:val=&quot;008673BC&quot;/&gt;&lt;wsp:rsid wsp:val=&quot;008737B8&quot;/&gt;&lt;wsp:rsid wsp:val=&quot;00875D03&quot;/&gt;&lt;wsp:rsid wsp:val=&quot;008803DD&quot;/&gt;&lt;wsp:rsid wsp:val=&quot;0089051D&quot;/&gt;&lt;wsp:rsid wsp:val=&quot;00893DD4&quot;/&gt;&lt;wsp:rsid wsp:val=&quot;008A760E&quot;/&gt;&lt;wsp:rsid wsp:val=&quot;008A7C71&quot;/&gt;&lt;wsp:rsid wsp:val=&quot;008B1873&quot;/&gt;&lt;wsp:rsid wsp:val=&quot;008B59A3&quot;/&gt;&lt;wsp:rsid wsp:val=&quot;008C2518&quot;/&gt;&lt;wsp:rsid wsp:val=&quot;008C3565&quot;/&gt;&lt;wsp:rsid wsp:val=&quot;008C3E07&quot;/&gt;&lt;wsp:rsid wsp:val=&quot;008C78DF&quot;/&gt;&lt;wsp:rsid wsp:val=&quot;008D0AEB&quot;/&gt;&lt;wsp:rsid wsp:val=&quot;008D2F52&quot;/&gt;&lt;wsp:rsid wsp:val=&quot;008D3550&quot;/&gt;&lt;wsp:rsid wsp:val=&quot;008D41B8&quot;/&gt;&lt;wsp:rsid wsp:val=&quot;008D5D27&quot;/&gt;&lt;wsp:rsid wsp:val=&quot;008D65B3&quot;/&gt;&lt;wsp:rsid wsp:val=&quot;008E0408&quot;/&gt;&lt;wsp:rsid wsp:val=&quot;008E1640&quot;/&gt;&lt;wsp:rsid wsp:val=&quot;008E17A2&quot;/&gt;&lt;wsp:rsid wsp:val=&quot;008E196D&quot;/&gt;&lt;wsp:rsid wsp:val=&quot;008E38F0&quot;/&gt;&lt;wsp:rsid wsp:val=&quot;008E720D&quot;/&gt;&lt;wsp:rsid wsp:val=&quot;008E7B56&quot;/&gt;&lt;wsp:rsid wsp:val=&quot;008F6551&quot;/&gt;&lt;wsp:rsid wsp:val=&quot;008F7DC1&quot;/&gt;&lt;wsp:rsid wsp:val=&quot;0090023A&quot;/&gt;&lt;wsp:rsid wsp:val=&quot;0090469C&quot;/&gt;&lt;wsp:rsid wsp:val=&quot;00904754&quot;/&gt;&lt;wsp:rsid wsp:val=&quot;00906C45&quot;/&gt;&lt;wsp:rsid wsp:val=&quot;00911229&quot;/&gt;&lt;wsp:rsid wsp:val=&quot;00913443&quot;/&gt;&lt;wsp:rsid wsp:val=&quot;00914B82&quot;/&gt;&lt;wsp:rsid wsp:val=&quot;00916B61&quot;/&gt;&lt;wsp:rsid wsp:val=&quot;00920702&quot;/&gt;&lt;wsp:rsid wsp:val=&quot;00926A27&quot;/&gt;&lt;wsp:rsid wsp:val=&quot;009328F6&quot;/&gt;&lt;wsp:rsid wsp:val=&quot;00933732&quot;/&gt;&lt;wsp:rsid wsp:val=&quot;00933EE4&quot;/&gt;&lt;wsp:rsid wsp:val=&quot;009344E5&quot;/&gt;&lt;wsp:rsid wsp:val=&quot;00940046&quot;/&gt;&lt;wsp:rsid wsp:val=&quot;00942147&quot;/&gt;&lt;wsp:rsid wsp:val=&quot;0094799F&quot;/&gt;&lt;wsp:rsid wsp:val=&quot;0095234E&quot;/&gt;&lt;wsp:rsid wsp:val=&quot;00954CCD&quot;/&gt;&lt;wsp:rsid wsp:val=&quot;0095552C&quot;/&gt;&lt;wsp:rsid wsp:val=&quot;009567A8&quot;/&gt;&lt;wsp:rsid wsp:val=&quot;00956E86&quot;/&gt;&lt;wsp:rsid wsp:val=&quot;0095744C&quot;/&gt;&lt;wsp:rsid wsp:val=&quot;009618FC&quot;/&gt;&lt;wsp:rsid wsp:val=&quot;00962678&quot;/&gt;&lt;wsp:rsid wsp:val=&quot;00963C26&quot;/&gt;&lt;wsp:rsid wsp:val=&quot;00965914&quot;/&gt;&lt;wsp:rsid wsp:val=&quot;0096714A&quot;/&gt;&lt;wsp:rsid wsp:val=&quot;0097107D&quot;/&gt;&lt;wsp:rsid wsp:val=&quot;009738BA&quot;/&gt;&lt;wsp:rsid wsp:val=&quot;00974EC7&quot;/&gt;&lt;wsp:rsid wsp:val=&quot;009762C9&quot;/&gt;&lt;wsp:rsid wsp:val=&quot;00976A7B&quot;/&gt;&lt;wsp:rsid wsp:val=&quot;0098180C&quot;/&gt;&lt;wsp:rsid wsp:val=&quot;00981AD9&quot;/&gt;&lt;wsp:rsid wsp:val=&quot;00993F24&quot;/&gt;&lt;wsp:rsid wsp:val=&quot;00995180&quot;/&gt;&lt;wsp:rsid wsp:val=&quot;00995459&quot;/&gt;&lt;wsp:rsid wsp:val=&quot;009A0D38&quot;/&gt;&lt;wsp:rsid wsp:val=&quot;009A3E6E&quot;/&gt;&lt;wsp:rsid wsp:val=&quot;009A3ED5&quot;/&gt;&lt;wsp:rsid wsp:val=&quot;009A4AC5&quot;/&gt;&lt;wsp:rsid wsp:val=&quot;009B0938&quot;/&gt;&lt;wsp:rsid wsp:val=&quot;009B50A3&quot;/&gt;&lt;wsp:rsid wsp:val=&quot;009B53C6&quot;/&gt;&lt;wsp:rsid wsp:val=&quot;009B747F&quot;/&gt;&lt;wsp:rsid wsp:val=&quot;009B7486&quot;/&gt;&lt;wsp:rsid wsp:val=&quot;009C7BF3&quot;/&gt;&lt;wsp:rsid wsp:val=&quot;009D2282&quot;/&gt;&lt;wsp:rsid wsp:val=&quot;009D314E&quot;/&gt;&lt;wsp:rsid wsp:val=&quot;009E3D78&quot;/&gt;&lt;wsp:rsid wsp:val=&quot;009E4BC3&quot;/&gt;&lt;wsp:rsid wsp:val=&quot;009E7E92&quot;/&gt;&lt;wsp:rsid wsp:val=&quot;009F446D&quot;/&gt;&lt;wsp:rsid wsp:val=&quot;009F501E&quot;/&gt;&lt;wsp:rsid wsp:val=&quot;009F74E7&quot;/&gt;&lt;wsp:rsid wsp:val=&quot;009F7BD9&quot;/&gt;&lt;wsp:rsid wsp:val=&quot;00A01379&quot;/&gt;&lt;wsp:rsid wsp:val=&quot;00A0160E&quot;/&gt;&lt;wsp:rsid wsp:val=&quot;00A03137&quot;/&gt;&lt;wsp:rsid wsp:val=&quot;00A04C9D&quot;/&gt;&lt;wsp:rsid wsp:val=&quot;00A064C8&quot;/&gt;&lt;wsp:rsid wsp:val=&quot;00A10582&quot;/&gt;&lt;wsp:rsid wsp:val=&quot;00A12207&quot;/&gt;&lt;wsp:rsid wsp:val=&quot;00A137FA&quot;/&gt;&lt;wsp:rsid wsp:val=&quot;00A147C5&quot;/&gt;&lt;wsp:rsid wsp:val=&quot;00A148BB&quot;/&gt;&lt;wsp:rsid wsp:val=&quot;00A14B06&quot;/&gt;&lt;wsp:rsid wsp:val=&quot;00A215D0&quot;/&gt;&lt;wsp:rsid wsp:val=&quot;00A21A25&quot;/&gt;&lt;wsp:rsid wsp:val=&quot;00A21FBA&quot;/&gt;&lt;wsp:rsid wsp:val=&quot;00A23E57&quot;/&gt;&lt;wsp:rsid wsp:val=&quot;00A264AC&quot;/&gt;&lt;wsp:rsid wsp:val=&quot;00A272AC&quot;/&gt;&lt;wsp:rsid wsp:val=&quot;00A27E32&quot;/&gt;&lt;wsp:rsid wsp:val=&quot;00A321D4&quot;/&gt;&lt;wsp:rsid wsp:val=&quot;00A42188&quot;/&gt;&lt;wsp:rsid wsp:val=&quot;00A5123E&quot;/&gt;&lt;wsp:rsid wsp:val=&quot;00A51C7E&quot;/&gt;&lt;wsp:rsid wsp:val=&quot;00A53DB3&quot;/&gt;&lt;wsp:rsid wsp:val=&quot;00A54406&quot;/&gt;&lt;wsp:rsid wsp:val=&quot;00A619D8&quot;/&gt;&lt;wsp:rsid wsp:val=&quot;00A61B38&quot;/&gt;&lt;wsp:rsid wsp:val=&quot;00A63E13&quot;/&gt;&lt;wsp:rsid wsp:val=&quot;00A64F52&quot;/&gt;&lt;wsp:rsid wsp:val=&quot;00A67F93&quot;/&gt;&lt;wsp:rsid wsp:val=&quot;00A70E8D&quot;/&gt;&lt;wsp:rsid wsp:val=&quot;00A70FDC&quot;/&gt;&lt;wsp:rsid wsp:val=&quot;00A718FF&quot;/&gt;&lt;wsp:rsid wsp:val=&quot;00A721A7&quot;/&gt;&lt;wsp:rsid wsp:val=&quot;00A74AAC&quot;/&gt;&lt;wsp:rsid wsp:val=&quot;00A7596C&quot;/&gt;&lt;wsp:rsid wsp:val=&quot;00A767A9&quot;/&gt;&lt;wsp:rsid wsp:val=&quot;00A76C40&quot;/&gt;&lt;wsp:rsid wsp:val=&quot;00A82517&quot;/&gt;&lt;wsp:rsid wsp:val=&quot;00A82B53&quot;/&gt;&lt;wsp:rsid wsp:val=&quot;00A82EB6&quot;/&gt;&lt;wsp:rsid wsp:val=&quot;00A83B4C&quot;/&gt;&lt;wsp:rsid wsp:val=&quot;00A83F2E&quot;/&gt;&lt;wsp:rsid wsp:val=&quot;00A84436&quot;/&gt;&lt;wsp:rsid wsp:val=&quot;00A94009&quot;/&gt;&lt;wsp:rsid wsp:val=&quot;00AA13EC&quot;/&gt;&lt;wsp:rsid wsp:val=&quot;00AA1E85&quot;/&gt;&lt;wsp:rsid wsp:val=&quot;00AA373B&quot;/&gt;&lt;wsp:rsid wsp:val=&quot;00AA46E9&quot;/&gt;&lt;wsp:rsid wsp:val=&quot;00AA5B4B&quot;/&gt;&lt;wsp:rsid wsp:val=&quot;00AB18FD&quot;/&gt;&lt;wsp:rsid wsp:val=&quot;00AC1CCD&quot;/&gt;&lt;wsp:rsid wsp:val=&quot;00AD0607&quot;/&gt;&lt;wsp:rsid wsp:val=&quot;00AD0998&quot;/&gt;&lt;wsp:rsid wsp:val=&quot;00AD35E9&quot;/&gt;&lt;wsp:rsid wsp:val=&quot;00AE0484&quot;/&gt;&lt;wsp:rsid wsp:val=&quot;00AE1968&quot;/&gt;&lt;wsp:rsid wsp:val=&quot;00AE2A91&quot;/&gt;&lt;wsp:rsid wsp:val=&quot;00AE5BF1&quot;/&gt;&lt;wsp:rsid wsp:val=&quot;00AF662D&quot;/&gt;&lt;wsp:rsid wsp:val=&quot;00AF7A57&quot;/&gt;&lt;wsp:rsid wsp:val=&quot;00B002F8&quot;/&gt;&lt;wsp:rsid wsp:val=&quot;00B02200&quot;/&gt;&lt;wsp:rsid wsp:val=&quot;00B02B78&quot;/&gt;&lt;wsp:rsid wsp:val=&quot;00B03D8A&quot;/&gt;&lt;wsp:rsid wsp:val=&quot;00B064D3&quot;/&gt;&lt;wsp:rsid wsp:val=&quot;00B11C6C&quot;/&gt;&lt;wsp:rsid wsp:val=&quot;00B12E0F&quot;/&gt;&lt;wsp:rsid wsp:val=&quot;00B12F92&quot;/&gt;&lt;wsp:rsid wsp:val=&quot;00B15785&quot;/&gt;&lt;wsp:rsid wsp:val=&quot;00B16240&quot;/&gt;&lt;wsp:rsid wsp:val=&quot;00B22FB4&quot;/&gt;&lt;wsp:rsid wsp:val=&quot;00B24C85&quot;/&gt;&lt;wsp:rsid wsp:val=&quot;00B3123E&quot;/&gt;&lt;wsp:rsid wsp:val=&quot;00B32F48&quot;/&gt;&lt;wsp:rsid wsp:val=&quot;00B34343&quot;/&gt;&lt;wsp:rsid wsp:val=&quot;00B378C1&quot;/&gt;&lt;wsp:rsid wsp:val=&quot;00B41050&quot;/&gt;&lt;wsp:rsid wsp:val=&quot;00B41193&quot;/&gt;&lt;wsp:rsid wsp:val=&quot;00B41280&quot;/&gt;&lt;wsp:rsid wsp:val=&quot;00B416D3&quot;/&gt;&lt;wsp:rsid wsp:val=&quot;00B437BB&quot;/&gt;&lt;wsp:rsid wsp:val=&quot;00B43AA5&quot;/&gt;&lt;wsp:rsid wsp:val=&quot;00B513F3&quot;/&gt;&lt;wsp:rsid wsp:val=&quot;00B52AB0&quot;/&gt;&lt;wsp:rsid wsp:val=&quot;00B53990&quot;/&gt;&lt;wsp:rsid wsp:val=&quot;00B56B84&quot;/&gt;&lt;wsp:rsid wsp:val=&quot;00B5744F&quot;/&gt;&lt;wsp:rsid wsp:val=&quot;00B60DAD&quot;/&gt;&lt;wsp:rsid wsp:val=&quot;00B66969&quot;/&gt;&lt;wsp:rsid wsp:val=&quot;00B706CA&quot;/&gt;&lt;wsp:rsid wsp:val=&quot;00B7216E&quot;/&gt;&lt;wsp:rsid wsp:val=&quot;00B74052&quot;/&gt;&lt;wsp:rsid wsp:val=&quot;00B75310&quot;/&gt;&lt;wsp:rsid wsp:val=&quot;00B7796A&quot;/&gt;&lt;wsp:rsid wsp:val=&quot;00B84609&quot;/&gt;&lt;wsp:rsid wsp:val=&quot;00B85556&quot;/&gt;&lt;wsp:rsid wsp:val=&quot;00B86714&quot;/&gt;&lt;wsp:rsid wsp:val=&quot;00B87235&quot;/&gt;&lt;wsp:rsid wsp:val=&quot;00B903DB&quot;/&gt;&lt;wsp:rsid wsp:val=&quot;00B9305B&quot;/&gt;&lt;wsp:rsid wsp:val=&quot;00B9403A&quot;/&gt;&lt;wsp:rsid wsp:val=&quot;00BA5E23&quot;/&gt;&lt;wsp:rsid wsp:val=&quot;00BA64E8&quot;/&gt;&lt;wsp:rsid wsp:val=&quot;00BA7F26&quot;/&gt;&lt;wsp:rsid wsp:val=&quot;00BB32A2&quot;/&gt;&lt;wsp:rsid wsp:val=&quot;00BB5E5C&quot;/&gt;&lt;wsp:rsid wsp:val=&quot;00BC085C&quot;/&gt;&lt;wsp:rsid wsp:val=&quot;00BC5309&quot;/&gt;&lt;wsp:rsid wsp:val=&quot;00BC71A3&quot;/&gt;&lt;wsp:rsid wsp:val=&quot;00BD295D&quot;/&gt;&lt;wsp:rsid wsp:val=&quot;00BD304F&quot;/&gt;&lt;wsp:rsid wsp:val=&quot;00BD3287&quot;/&gt;&lt;wsp:rsid wsp:val=&quot;00BD3EED&quot;/&gt;&lt;wsp:rsid wsp:val=&quot;00BD4EE4&quot;/&gt;&lt;wsp:rsid wsp:val=&quot;00BD6FF1&quot;/&gt;&lt;wsp:rsid wsp:val=&quot;00BE305C&quot;/&gt;&lt;wsp:rsid wsp:val=&quot;00BE3734&quot;/&gt;&lt;wsp:rsid wsp:val=&quot;00BE47E7&quot;/&gt;&lt;wsp:rsid wsp:val=&quot;00BE4AB6&quot;/&gt;&lt;wsp:rsid wsp:val=&quot;00BE5D7D&quot;/&gt;&lt;wsp:rsid wsp:val=&quot;00BF0477&quot;/&gt;&lt;wsp:rsid wsp:val=&quot;00BF1782&quot;/&gt;&lt;wsp:rsid wsp:val=&quot;00BF68EA&quot;/&gt;&lt;wsp:rsid wsp:val=&quot;00BF78CB&quot;/&gt;&lt;wsp:rsid wsp:val=&quot;00BF78D6&quot;/&gt;&lt;wsp:rsid wsp:val=&quot;00C00EFB&quot;/&gt;&lt;wsp:rsid wsp:val=&quot;00C02602&quot;/&gt;&lt;wsp:rsid wsp:val=&quot;00C04D41&quot;/&gt;&lt;wsp:rsid wsp:val=&quot;00C063BF&quot;/&gt;&lt;wsp:rsid wsp:val=&quot;00C07BAB&quot;/&gt;&lt;wsp:rsid wsp:val=&quot;00C10CBA&quot;/&gt;&lt;wsp:rsid wsp:val=&quot;00C13DC3&quot;/&gt;&lt;wsp:rsid wsp:val=&quot;00C1414F&quot;/&gt;&lt;wsp:rsid wsp:val=&quot;00C20620&quot;/&gt;&lt;wsp:rsid wsp:val=&quot;00C20E49&quot;/&gt;&lt;wsp:rsid wsp:val=&quot;00C21065&quot;/&gt;&lt;wsp:rsid wsp:val=&quot;00C21CEF&quot;/&gt;&lt;wsp:rsid wsp:val=&quot;00C22FF5&quot;/&gt;&lt;wsp:rsid wsp:val=&quot;00C2479D&quot;/&gt;&lt;wsp:rsid wsp:val=&quot;00C255BD&quot;/&gt;&lt;wsp:rsid wsp:val=&quot;00C27C4C&quot;/&gt;&lt;wsp:rsid wsp:val=&quot;00C349D4&quot;/&gt;&lt;wsp:rsid wsp:val=&quot;00C3760E&quot;/&gt;&lt;wsp:rsid wsp:val=&quot;00C4018A&quot;/&gt;&lt;wsp:rsid wsp:val=&quot;00C40253&quot;/&gt;&lt;wsp:rsid wsp:val=&quot;00C43E24&quot;/&gt;&lt;wsp:rsid wsp:val=&quot;00C469E1&quot;/&gt;&lt;wsp:rsid wsp:val=&quot;00C522EC&quot;/&gt;&lt;wsp:rsid wsp:val=&quot;00C54DB6&quot;/&gt;&lt;wsp:rsid wsp:val=&quot;00C5785C&quot;/&gt;&lt;wsp:rsid wsp:val=&quot;00C611C5&quot;/&gt;&lt;wsp:rsid wsp:val=&quot;00C64552&quot;/&gt;&lt;wsp:rsid wsp:val=&quot;00C64AD2&quot;/&gt;&lt;wsp:rsid wsp:val=&quot;00C67BB1&quot;/&gt;&lt;wsp:rsid wsp:val=&quot;00C7618D&quot;/&gt;&lt;wsp:rsid wsp:val=&quot;00C8093E&quot;/&gt;&lt;wsp:rsid wsp:val=&quot;00C81E3A&quot;/&gt;&lt;wsp:rsid wsp:val=&quot;00C858F8&quot;/&gt;&lt;wsp:rsid wsp:val=&quot;00C93AD0&quot;/&gt;&lt;wsp:rsid wsp:val=&quot;00C93E20&quot;/&gt;&lt;wsp:rsid wsp:val=&quot;00C94582&quot;/&gt;&lt;wsp:rsid wsp:val=&quot;00C97572&quot;/&gt;&lt;wsp:rsid wsp:val=&quot;00CA09EA&quot;/&gt;&lt;wsp:rsid wsp:val=&quot;00CA2CC1&quot;/&gt;&lt;wsp:rsid wsp:val=&quot;00CA6A7C&quot;/&gt;&lt;wsp:rsid wsp:val=&quot;00CB3264&quot;/&gt;&lt;wsp:rsid wsp:val=&quot;00CB4F02&quot;/&gt;&lt;wsp:rsid wsp:val=&quot;00CB51EE&quot;/&gt;&lt;wsp:rsid wsp:val=&quot;00CB7D1C&quot;/&gt;&lt;wsp:rsid wsp:val=&quot;00CB7ECD&quot;/&gt;&lt;wsp:rsid wsp:val=&quot;00CC44D0&quot;/&gt;&lt;wsp:rsid wsp:val=&quot;00CC7DAC&quot;/&gt;&lt;wsp:rsid wsp:val=&quot;00CD0BDF&quot;/&gt;&lt;wsp:rsid wsp:val=&quot;00CD1CD9&quot;/&gt;&lt;wsp:rsid wsp:val=&quot;00CD4290&quot;/&gt;&lt;wsp:rsid wsp:val=&quot;00CD45BE&quot;/&gt;&lt;wsp:rsid wsp:val=&quot;00CD657E&quot;/&gt;&lt;wsp:rsid wsp:val=&quot;00CE0067&quot;/&gt;&lt;wsp:rsid wsp:val=&quot;00CE2497&quot;/&gt;&lt;wsp:rsid wsp:val=&quot;00CE2EA0&quot;/&gt;&lt;wsp:rsid wsp:val=&quot;00CE3094&quot;/&gt;&lt;wsp:rsid wsp:val=&quot;00CE53E2&quot;/&gt;&lt;wsp:rsid wsp:val=&quot;00CE604F&quot;/&gt;&lt;wsp:rsid wsp:val=&quot;00CF0069&quot;/&gt;&lt;wsp:rsid wsp:val=&quot;00CF78DB&quot;/&gt;&lt;wsp:rsid wsp:val=&quot;00D01070&quot;/&gt;&lt;wsp:rsid wsp:val=&quot;00D01AFE&quot;/&gt;&lt;wsp:rsid wsp:val=&quot;00D01DE1&quot;/&gt;&lt;wsp:rsid wsp:val=&quot;00D01FA1&quot;/&gt;&lt;wsp:rsid wsp:val=&quot;00D03D65&quot;/&gt;&lt;wsp:rsid wsp:val=&quot;00D07165&quot;/&gt;&lt;wsp:rsid wsp:val=&quot;00D11C09&quot;/&gt;&lt;wsp:rsid wsp:val=&quot;00D128A0&quot;/&gt;&lt;wsp:rsid wsp:val=&quot;00D1429F&quot;/&gt;&lt;wsp:rsid wsp:val=&quot;00D17033&quot;/&gt;&lt;wsp:rsid wsp:val=&quot;00D200D3&quot;/&gt;&lt;wsp:rsid wsp:val=&quot;00D253FC&quot;/&gt;&lt;wsp:rsid wsp:val=&quot;00D30C96&quot;/&gt;&lt;wsp:rsid wsp:val=&quot;00D325E8&quot;/&gt;&lt;wsp:rsid wsp:val=&quot;00D360DA&quot;/&gt;&lt;wsp:rsid wsp:val=&quot;00D36855&quot;/&gt;&lt;wsp:rsid wsp:val=&quot;00D371CD&quot;/&gt;&lt;wsp:rsid wsp:val=&quot;00D42209&quot;/&gt;&lt;wsp:rsid wsp:val=&quot;00D43574&quot;/&gt;&lt;wsp:rsid wsp:val=&quot;00D437C3&quot;/&gt;&lt;wsp:rsid wsp:val=&quot;00D43F4F&quot;/&gt;&lt;wsp:rsid wsp:val=&quot;00D43FBA&quot;/&gt;&lt;wsp:rsid wsp:val=&quot;00D4410D&quot;/&gt;&lt;wsp:rsid wsp:val=&quot;00D45A6F&quot;/&gt;&lt;wsp:rsid wsp:val=&quot;00D47BD8&quot;/&gt;&lt;wsp:rsid wsp:val=&quot;00D535D2&quot;/&gt;&lt;wsp:rsid wsp:val=&quot;00D54098&quot;/&gt;&lt;wsp:rsid wsp:val=&quot;00D612D2&quot;/&gt;&lt;wsp:rsid wsp:val=&quot;00D66634&quot;/&gt;&lt;wsp:rsid wsp:val=&quot;00D701DC&quot;/&gt;&lt;wsp:rsid wsp:val=&quot;00D75D00&quot;/&gt;&lt;wsp:rsid wsp:val=&quot;00D7779B&quot;/&gt;&lt;wsp:rsid wsp:val=&quot;00D81402&quot;/&gt;&lt;wsp:rsid wsp:val=&quot;00D90B52&quot;/&gt;&lt;wsp:rsid wsp:val=&quot;00D91458&quot;/&gt;&lt;wsp:rsid wsp:val=&quot;00D91DDB&quot;/&gt;&lt;wsp:rsid wsp:val=&quot;00D92744&quot;/&gt;&lt;wsp:rsid wsp:val=&quot;00D92CA0&quot;/&gt;&lt;wsp:rsid wsp:val=&quot;00D970EB&quot;/&gt;&lt;wsp:rsid wsp:val=&quot;00DA0E6D&quot;/&gt;&lt;wsp:rsid wsp:val=&quot;00DA7395&quot;/&gt;&lt;wsp:rsid wsp:val=&quot;00DB4B69&quot;/&gt;&lt;wsp:rsid wsp:val=&quot;00DB525B&quot;/&gt;&lt;wsp:rsid wsp:val=&quot;00DB594C&quot;/&gt;&lt;wsp:rsid wsp:val=&quot;00DC3233&quot;/&gt;&lt;wsp:rsid wsp:val=&quot;00DC3D85&quot;/&gt;&lt;wsp:rsid wsp:val=&quot;00DC70BB&quot;/&gt;&lt;wsp:rsid wsp:val=&quot;00DD00E9&quot;/&gt;&lt;wsp:rsid wsp:val=&quot;00DD538A&quot;/&gt;&lt;wsp:rsid wsp:val=&quot;00DD5C89&quot;/&gt;&lt;wsp:rsid wsp:val=&quot;00DD6CC6&quot;/&gt;&lt;wsp:rsid wsp:val=&quot;00DE285A&quot;/&gt;&lt;wsp:rsid wsp:val=&quot;00DE349A&quot;/&gt;&lt;wsp:rsid wsp:val=&quot;00DE3F9F&quot;/&gt;&lt;wsp:rsid wsp:val=&quot;00DE6740&quot;/&gt;&lt;wsp:rsid wsp:val=&quot;00DF0372&quot;/&gt;&lt;wsp:rsid wsp:val=&quot;00DF2C83&quot;/&gt;&lt;wsp:rsid wsp:val=&quot;00DF4DA4&quot;/&gt;&lt;wsp:rsid wsp:val=&quot;00DF4E45&quot;/&gt;&lt;wsp:rsid wsp:val=&quot;00DF5E81&quot;/&gt;&lt;wsp:rsid wsp:val=&quot;00E06135&quot;/&gt;&lt;wsp:rsid wsp:val=&quot;00E07BAF&quot;/&gt;&lt;wsp:rsid wsp:val=&quot;00E15946&quot;/&gt;&lt;wsp:rsid wsp:val=&quot;00E220D2&quot;/&gt;&lt;wsp:rsid wsp:val=&quot;00E234CB&quot;/&gt;&lt;wsp:rsid wsp:val=&quot;00E23585&quot;/&gt;&lt;wsp:rsid wsp:val=&quot;00E24FB2&quot;/&gt;&lt;wsp:rsid wsp:val=&quot;00E2586B&quot;/&gt;&lt;wsp:rsid wsp:val=&quot;00E25AE9&quot;/&gt;&lt;wsp:rsid wsp:val=&quot;00E30193&quot;/&gt;&lt;wsp:rsid wsp:val=&quot;00E313B0&quot;/&gt;&lt;wsp:rsid wsp:val=&quot;00E34684&quot;/&gt;&lt;wsp:rsid wsp:val=&quot;00E37790&quot;/&gt;&lt;wsp:rsid wsp:val=&quot;00E40531&quot;/&gt;&lt;wsp:rsid wsp:val=&quot;00E408C1&quot;/&gt;&lt;wsp:rsid wsp:val=&quot;00E43D11&quot;/&gt;&lt;wsp:rsid wsp:val=&quot;00E50240&quot;/&gt;&lt;wsp:rsid wsp:val=&quot;00E50C86&quot;/&gt;&lt;wsp:rsid wsp:val=&quot;00E52101&quot;/&gt;&lt;wsp:rsid wsp:val=&quot;00E53C59&quot;/&gt;&lt;wsp:rsid wsp:val=&quot;00E55059&quot;/&gt;&lt;wsp:rsid wsp:val=&quot;00E551D2&quot;/&gt;&lt;wsp:rsid wsp:val=&quot;00E56B0B&quot;/&gt;&lt;wsp:rsid wsp:val=&quot;00E63341&quot;/&gt;&lt;wsp:rsid wsp:val=&quot;00E64F97&quot;/&gt;&lt;wsp:rsid wsp:val=&quot;00E741D2&quot;/&gt;&lt;wsp:rsid wsp:val=&quot;00E828D3&quot;/&gt;&lt;wsp:rsid wsp:val=&quot;00E85288&quot;/&gt;&lt;wsp:rsid wsp:val=&quot;00E87D29&quot;/&gt;&lt;wsp:rsid wsp:val=&quot;00E92764&quot;/&gt;&lt;wsp:rsid wsp:val=&quot;00E928BC&quot;/&gt;&lt;wsp:rsid wsp:val=&quot;00EA0523&quot;/&gt;&lt;wsp:rsid wsp:val=&quot;00EA14D2&quot;/&gt;&lt;wsp:rsid wsp:val=&quot;00EA185C&quot;/&gt;&lt;wsp:rsid wsp:val=&quot;00EA2475&quot;/&gt;&lt;wsp:rsid wsp:val=&quot;00EA35DE&quot;/&gt;&lt;wsp:rsid wsp:val=&quot;00EA3840&quot;/&gt;&lt;wsp:rsid wsp:val=&quot;00EA6050&quot;/&gt;&lt;wsp:rsid wsp:val=&quot;00EA6BB1&quot;/&gt;&lt;wsp:rsid wsp:val=&quot;00EA7DD6&quot;/&gt;&lt;wsp:rsid wsp:val=&quot;00EA7F1A&quot;/&gt;&lt;wsp:rsid wsp:val=&quot;00EB1736&quot;/&gt;&lt;wsp:rsid wsp:val=&quot;00EB30F8&quot;/&gt;&lt;wsp:rsid wsp:val=&quot;00EB3DEF&quot;/&gt;&lt;wsp:rsid wsp:val=&quot;00EB3E26&quot;/&gt;&lt;wsp:rsid wsp:val=&quot;00EB463C&quot;/&gt;&lt;wsp:rsid wsp:val=&quot;00EB50AA&quot;/&gt;&lt;wsp:rsid wsp:val=&quot;00EC30AF&quot;/&gt;&lt;wsp:rsid wsp:val=&quot;00EC41A7&quot;/&gt;&lt;wsp:rsid wsp:val=&quot;00EC60C5&quot;/&gt;&lt;wsp:rsid wsp:val=&quot;00EC64C6&quot;/&gt;&lt;wsp:rsid wsp:val=&quot;00EC6A62&quot;/&gt;&lt;wsp:rsid wsp:val=&quot;00ED0C21&quot;/&gt;&lt;wsp:rsid wsp:val=&quot;00ED309F&quot;/&gt;&lt;wsp:rsid wsp:val=&quot;00ED5B65&quot;/&gt;&lt;wsp:rsid wsp:val=&quot;00ED5BFA&quot;/&gt;&lt;wsp:rsid wsp:val=&quot;00EE214A&quot;/&gt;&lt;wsp:rsid wsp:val=&quot;00EE31B7&quot;/&gt;&lt;wsp:rsid wsp:val=&quot;00EE42D5&quot;/&gt;&lt;wsp:rsid wsp:val=&quot;00EF0B42&quot;/&gt;&lt;wsp:rsid wsp:val=&quot;00EF3EF4&quot;/&gt;&lt;wsp:rsid wsp:val=&quot;00EF546A&quot;/&gt;&lt;wsp:rsid wsp:val=&quot;00EF7F1B&quot;/&gt;&lt;wsp:rsid wsp:val=&quot;00F03483&quot;/&gt;&lt;wsp:rsid wsp:val=&quot;00F045AD&quot;/&gt;&lt;wsp:rsid wsp:val=&quot;00F04D2E&quot;/&gt;&lt;wsp:rsid wsp:val=&quot;00F04FDA&quot;/&gt;&lt;wsp:rsid wsp:val=&quot;00F0545A&quot;/&gt;&lt;wsp:rsid wsp:val=&quot;00F064C3&quot;/&gt;&lt;wsp:rsid wsp:val=&quot;00F06D38&quot;/&gt;&lt;wsp:rsid wsp:val=&quot;00F07269&quot;/&gt;&lt;wsp:rsid wsp:val=&quot;00F10058&quot;/&gt;&lt;wsp:rsid wsp:val=&quot;00F11827&quot;/&gt;&lt;wsp:rsid wsp:val=&quot;00F1193D&quot;/&gt;&lt;wsp:rsid wsp:val=&quot;00F165E3&quot;/&gt;&lt;wsp:rsid wsp:val=&quot;00F174BD&quot;/&gt;&lt;wsp:rsid wsp:val=&quot;00F20D8D&quot;/&gt;&lt;wsp:rsid wsp:val=&quot;00F2595F&quot;/&gt;&lt;wsp:rsid wsp:val=&quot;00F305EC&quot;/&gt;&lt;wsp:rsid wsp:val=&quot;00F30E1F&quot;/&gt;&lt;wsp:rsid wsp:val=&quot;00F311D0&quot;/&gt;&lt;wsp:rsid wsp:val=&quot;00F33BEC&quot;/&gt;&lt;wsp:rsid wsp:val=&quot;00F35805&quot;/&gt;&lt;wsp:rsid wsp:val=&quot;00F37F72&quot;/&gt;&lt;wsp:rsid wsp:val=&quot;00F414CE&quot;/&gt;&lt;wsp:rsid wsp:val=&quot;00F50C16&quot;/&gt;&lt;wsp:rsid wsp:val=&quot;00F50D6A&quot;/&gt;&lt;wsp:rsid wsp:val=&quot;00F51465&quot;/&gt;&lt;wsp:rsid wsp:val=&quot;00F516B9&quot;/&gt;&lt;wsp:rsid wsp:val=&quot;00F536A2&quot;/&gt;&lt;wsp:rsid wsp:val=&quot;00F54057&quot;/&gt;&lt;wsp:rsid wsp:val=&quot;00F552B0&quot;/&gt;&lt;wsp:rsid wsp:val=&quot;00F56E5D&quot;/&gt;&lt;wsp:rsid wsp:val=&quot;00F608AC&quot;/&gt;&lt;wsp:rsid wsp:val=&quot;00F634D1&quot;/&gt;&lt;wsp:rsid wsp:val=&quot;00F63CB1&quot;/&gt;&lt;wsp:rsid wsp:val=&quot;00F642A7&quot;/&gt;&lt;wsp:rsid wsp:val=&quot;00F65166&quot;/&gt;&lt;wsp:rsid wsp:val=&quot;00F66BAA&quot;/&gt;&lt;wsp:rsid wsp:val=&quot;00F7193E&quot;/&gt;&lt;wsp:rsid wsp:val=&quot;00F73DA4&quot;/&gt;&lt;wsp:rsid wsp:val=&quot;00F77389&quot;/&gt;&lt;wsp:rsid wsp:val=&quot;00F8075F&quot;/&gt;&lt;wsp:rsid wsp:val=&quot;00F80E52&quot;/&gt;&lt;wsp:rsid wsp:val=&quot;00F82566&quot;/&gt;&lt;wsp:rsid wsp:val=&quot;00F83F17&quot;/&gt;&lt;wsp:rsid wsp:val=&quot;00F84C91&quot;/&gt;&lt;wsp:rsid wsp:val=&quot;00F8520D&quot;/&gt;&lt;wsp:rsid wsp:val=&quot;00F86EB5&quot;/&gt;&lt;wsp:rsid wsp:val=&quot;00F91220&quot;/&gt;&lt;wsp:rsid wsp:val=&quot;00F9206B&quot;/&gt;&lt;wsp:rsid wsp:val=&quot;00F921CF&quot;/&gt;&lt;wsp:rsid wsp:val=&quot;00F970FE&quot;/&gt;&lt;wsp:rsid wsp:val=&quot;00F97567&quot;/&gt;&lt;wsp:rsid wsp:val=&quot;00F97757&quot;/&gt;&lt;wsp:rsid wsp:val=&quot;00FA4211&quot;/&gt;&lt;wsp:rsid wsp:val=&quot;00FA5A37&quot;/&gt;&lt;wsp:rsid wsp:val=&quot;00FA65E6&quot;/&gt;&lt;wsp:rsid wsp:val=&quot;00FB2B69&quot;/&gt;&lt;wsp:rsid wsp:val=&quot;00FB446C&quot;/&gt;&lt;wsp:rsid wsp:val=&quot;00FB5012&quot;/&gt;&lt;wsp:rsid wsp:val=&quot;00FC2234&quot;/&gt;&lt;wsp:rsid wsp:val=&quot;00FC2AF1&quot;/&gt;&lt;wsp:rsid wsp:val=&quot;00FC4591&quot;/&gt;&lt;wsp:rsid wsp:val=&quot;00FC5E5A&quot;/&gt;&lt;wsp:rsid wsp:val=&quot;00FC5EB8&quot;/&gt;&lt;wsp:rsid wsp:val=&quot;00FC7F6E&quot;/&gt;&lt;wsp:rsid wsp:val=&quot;00FD24C4&quot;/&gt;&lt;wsp:rsid wsp:val=&quot;00FD3030&quot;/&gt;&lt;wsp:rsid wsp:val=&quot;00FD653D&quot;/&gt;&lt;wsp:rsid wsp:val=&quot;00FD6C54&quot;/&gt;&lt;wsp:rsid wsp:val=&quot;00FE1EE8&quot;/&gt;&lt;wsp:rsid wsp:val=&quot;00FE2D56&quot;/&gt;&lt;wsp:rsid wsp:val=&quot;00FE3B15&quot;/&gt;&lt;wsp:rsid wsp:val=&quot;00FE5AB8&quot;/&gt;&lt;wsp:rsid wsp:val=&quot;00FF279A&quot;/&gt;&lt;wsp:rsid wsp:val=&quot;00FF2F1C&quot;/&gt;&lt;wsp:rsid wsp:val=&quot;00FF3747&quot;/&gt;&lt;wsp:rsid wsp:val=&quot;00FF664A&quot;/&gt;&lt;/wsp:rsids&gt;&lt;/w:docPr&gt;&lt;w:body&gt;&lt;wx:sect&gt;&lt;w:p wsp:rsidR=&quot;002E121F&quot; wsp:rsidRDefault=&quot;002E121F&quot; wsp:rsidP=&quot;002E121F&quot;&gt;&lt;m:oMathPara&gt;&lt;m:oMath&gt;&lt;m:r&gt;&lt;m:rPr&gt;&lt;m:sty m:val=&quot;p&quot;/&gt;&lt;/m:rPr&gt;&lt;w:rPr&gt;&lt;w:rFonts w:ascii=&quot;Cambria Math&quot; w:h-ansi=&quot;Cambria Math&quot;/&gt;&lt;wx:font wx:val=&quot;Cambria Math&quot;/&gt;&lt;w:color w:val=&quot;000000&quot;/&gt;&lt;w:sz w:val=&quot;24&quot;/&gt;&lt;w:sz-cs w:val=&quot;24&quot;/&gt;&lt;/w:rPr&gt;&lt;m:t&gt;IBE%=&lt;/m:t&gt;&lt;/m:r&gt;&lt;m:f&gt;&lt;m:fPr&gt;&lt;m:ctrlPr&gt;&lt;w:rPr&gt;&lt;w:rFonts w:ascii=&quot;Cambria Math&quot; w:h-ansi=&quot;Cambria Math&quot;/&gt;&lt;wx:font wx:val=&quot;Cambria Math&quot;/&gt;&lt;w:i-cs/&gt;&lt;w:color w:val=&quot;000000&quot;/&gt;&lt;w:sz w:val=&quot;24&quot;/&gt;&lt;w:sz-cs w:val=&quot;24&quot;/&gt;&lt;/w:rPr&gt;&lt;/m:ctrlPr&gt;&lt;/m:fPr&gt;&lt;m:num&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C-&lt;/m:t&gt;&lt;/m:r&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A&lt;/m:t&gt;&lt;/m:r&gt;&lt;/m:e&gt;&lt;/m:nary&gt;&lt;/m:e&gt;&lt;/m:nary&gt;&lt;/m:num&gt;&lt;m:den&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C+&lt;/m:t&gt;&lt;/m:r&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A&lt;/m:t&gt;&lt;/m:r&gt;&lt;/m:e&gt;&lt;/m:nary&gt;&lt;/m:e&gt;&lt;/m:nary&gt;&lt;/m:den&gt;&lt;/m:f&gt;&lt;m:r&gt;&lt;m:rPr&gt;&lt;m:sty m:val=&quot;p&quot;/&gt;&lt;/m:rPr&gt;&lt;w:rPr&gt;&lt;w:rFonts w:ascii=&quot;Cambria Math&quot; w:h-ansi=&quot;Cambria Math&quot;/&gt;&lt;wx:font wx:val=&quot;Cambria Math&quot;/&gt;&lt;w:color w:val=&quot;000000&quot;/&gt;&lt;w:sz w:val=&quot;24&quot;/&gt;&lt;w:sz-cs w:val=&quot;24&quot;/&gt;&lt;/w:rPr&gt;&lt;m:t&gt;Ã—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DA06FB">
        <w:rPr>
          <w:rFonts w:ascii="Times New Roman" w:hAnsi="Times New Roman"/>
          <w:iCs/>
          <w:color w:val="000000"/>
          <w:sz w:val="24"/>
          <w:szCs w:val="24"/>
        </w:rPr>
        <w:instrText xml:space="preserve"> </w:instrText>
      </w:r>
      <w:r w:rsidRPr="00DA06FB">
        <w:rPr>
          <w:rFonts w:ascii="Times New Roman" w:hAnsi="Times New Roman"/>
          <w:iCs/>
          <w:color w:val="000000"/>
          <w:sz w:val="24"/>
          <w:szCs w:val="24"/>
        </w:rPr>
        <w:fldChar w:fldCharType="separate"/>
      </w:r>
      <w:r w:rsidR="00DA237D">
        <w:rPr>
          <w:rFonts w:ascii="Times New Roman" w:hAnsi="Times New Roman"/>
          <w:noProof/>
          <w:color w:val="000000"/>
          <w:position w:val="-17"/>
        </w:rPr>
        <w:pict w14:anchorId="5758A5E7">
          <v:shape id="_x0000_i1026" type="#_x0000_t75" style="width:122.25pt;height:23.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72B4&quot;/&gt;&lt;wsp:rsid wsp:val=&quot;0000115C&quot;/&gt;&lt;wsp:rsid wsp:val=&quot;0001110C&quot;/&gt;&lt;wsp:rsid wsp:val=&quot;000127EA&quot;/&gt;&lt;wsp:rsid wsp:val=&quot;00012962&quot;/&gt;&lt;wsp:rsid wsp:val=&quot;00016F31&quot;/&gt;&lt;wsp:rsid wsp:val=&quot;00016FD5&quot;/&gt;&lt;wsp:rsid wsp:val=&quot;00021364&quot;/&gt;&lt;wsp:rsid wsp:val=&quot;00023032&quot;/&gt;&lt;wsp:rsid wsp:val=&quot;000274CF&quot;/&gt;&lt;wsp:rsid wsp:val=&quot;00036772&quot;/&gt;&lt;wsp:rsid wsp:val=&quot;0003693F&quot;/&gt;&lt;wsp:rsid wsp:val=&quot;00036ACD&quot;/&gt;&lt;wsp:rsid wsp:val=&quot;00045A03&quot;/&gt;&lt;wsp:rsid wsp:val=&quot;000468CC&quot;/&gt;&lt;wsp:rsid wsp:val=&quot;000471D6&quot;/&gt;&lt;wsp:rsid wsp:val=&quot;000525E4&quot;/&gt;&lt;wsp:rsid wsp:val=&quot;00052EAC&quot;/&gt;&lt;wsp:rsid wsp:val=&quot;00064DD8&quot;/&gt;&lt;wsp:rsid wsp:val=&quot;00066602&quot;/&gt;&lt;wsp:rsid wsp:val=&quot;00067287&quot;/&gt;&lt;wsp:rsid wsp:val=&quot;0007224F&quot;/&gt;&lt;wsp:rsid wsp:val=&quot;00076A94&quot;/&gt;&lt;wsp:rsid wsp:val=&quot;00080D1A&quot;/&gt;&lt;wsp:rsid wsp:val=&quot;0008210C&quot;/&gt;&lt;wsp:rsid wsp:val=&quot;00082D9D&quot;/&gt;&lt;wsp:rsid wsp:val=&quot;00085B97&quot;/&gt;&lt;wsp:rsid wsp:val=&quot;000907F0&quot;/&gt;&lt;wsp:rsid wsp:val=&quot;00093314&quot;/&gt;&lt;wsp:rsid wsp:val=&quot;000947C3&quot;/&gt;&lt;wsp:rsid wsp:val=&quot;0009562B&quot;/&gt;&lt;wsp:rsid wsp:val=&quot;000974DF&quot;/&gt;&lt;wsp:rsid wsp:val=&quot;000A4083&quot;/&gt;&lt;wsp:rsid wsp:val=&quot;000A429F&quot;/&gt;&lt;wsp:rsid wsp:val=&quot;000B0451&quot;/&gt;&lt;wsp:rsid wsp:val=&quot;000B070C&quot;/&gt;&lt;wsp:rsid wsp:val=&quot;000B08E5&quot;/&gt;&lt;wsp:rsid wsp:val=&quot;000C14F6&quot;/&gt;&lt;wsp:rsid wsp:val=&quot;000C1747&quot;/&gt;&lt;wsp:rsid wsp:val=&quot;000C19E3&quot;/&gt;&lt;wsp:rsid wsp:val=&quot;000C27BD&quot;/&gt;&lt;wsp:rsid wsp:val=&quot;000C3F6A&quot;/&gt;&lt;wsp:rsid wsp:val=&quot;000C40EA&quot;/&gt;&lt;wsp:rsid wsp:val=&quot;000C4E24&quot;/&gt;&lt;wsp:rsid wsp:val=&quot;000D37EA&quot;/&gt;&lt;wsp:rsid wsp:val=&quot;000D6B6C&quot;/&gt;&lt;wsp:rsid wsp:val=&quot;000E0631&quot;/&gt;&lt;wsp:rsid wsp:val=&quot;000E5A41&quot;/&gt;&lt;wsp:rsid wsp:val=&quot;000E7AC9&quot;/&gt;&lt;wsp:rsid wsp:val=&quot;000F068D&quot;/&gt;&lt;wsp:rsid wsp:val=&quot;000F0F74&quot;/&gt;&lt;wsp:rsid wsp:val=&quot;000F2F19&quot;/&gt;&lt;wsp:rsid wsp:val=&quot;000F58EE&quot;/&gt;&lt;wsp:rsid wsp:val=&quot;000F7BFD&quot;/&gt;&lt;wsp:rsid wsp:val=&quot;00101C20&quot;/&gt;&lt;wsp:rsid wsp:val=&quot;0010242A&quot;/&gt;&lt;wsp:rsid wsp:val=&quot;00110C50&quot;/&gt;&lt;wsp:rsid wsp:val=&quot;00112EEF&quot;/&gt;&lt;wsp:rsid wsp:val=&quot;0011361C&quot;/&gt;&lt;wsp:rsid wsp:val=&quot;001153EF&quot;/&gt;&lt;wsp:rsid wsp:val=&quot;00115E21&quot;/&gt;&lt;wsp:rsid wsp:val=&quot;00116488&quot;/&gt;&lt;wsp:rsid wsp:val=&quot;00116520&quot;/&gt;&lt;wsp:rsid wsp:val=&quot;001177D0&quot;/&gt;&lt;wsp:rsid wsp:val=&quot;00120D44&quot;/&gt;&lt;wsp:rsid wsp:val=&quot;00121004&quot;/&gt;&lt;wsp:rsid wsp:val=&quot;00122F06&quot;/&gt;&lt;wsp:rsid wsp:val=&quot;00124CC0&quot;/&gt;&lt;wsp:rsid wsp:val=&quot;00132DEE&quot;/&gt;&lt;wsp:rsid wsp:val=&quot;0013475B&quot;/&gt;&lt;wsp:rsid wsp:val=&quot;001404C9&quot;/&gt;&lt;wsp:rsid wsp:val=&quot;00147D90&quot;/&gt;&lt;wsp:rsid wsp:val=&quot;00147DF4&quot;/&gt;&lt;wsp:rsid wsp:val=&quot;00150F49&quot;/&gt;&lt;wsp:rsid wsp:val=&quot;00152AFB&quot;/&gt;&lt;wsp:rsid wsp:val=&quot;00157EC1&quot;/&gt;&lt;wsp:rsid wsp:val=&quot;00163B30&quot;/&gt;&lt;wsp:rsid wsp:val=&quot;0016479B&quot;/&gt;&lt;wsp:rsid wsp:val=&quot;0016650E&quot;/&gt;&lt;wsp:rsid wsp:val=&quot;001667D9&quot;/&gt;&lt;wsp:rsid wsp:val=&quot;00166BE4&quot;/&gt;&lt;wsp:rsid wsp:val=&quot;00167C2C&quot;/&gt;&lt;wsp:rsid wsp:val=&quot;00173B5E&quot;/&gt;&lt;wsp:rsid wsp:val=&quot;0017505E&quot;/&gt;&lt;wsp:rsid wsp:val=&quot;00175C53&quot;/&gt;&lt;wsp:rsid wsp:val=&quot;0017750A&quot;/&gt;&lt;wsp:rsid wsp:val=&quot;00181686&quot;/&gt;&lt;wsp:rsid wsp:val=&quot;00194B00&quot;/&gt;&lt;wsp:rsid wsp:val=&quot;001A3511&quot;/&gt;&lt;wsp:rsid wsp:val=&quot;001A44AB&quot;/&gt;&lt;wsp:rsid wsp:val=&quot;001A4E3D&quot;/&gt;&lt;wsp:rsid wsp:val=&quot;001B3181&quot;/&gt;&lt;wsp:rsid wsp:val=&quot;001B5F15&quot;/&gt;&lt;wsp:rsid wsp:val=&quot;001B7C5F&quot;/&gt;&lt;wsp:rsid wsp:val=&quot;001C3F3E&quot;/&gt;&lt;wsp:rsid wsp:val=&quot;001D0A95&quot;/&gt;&lt;wsp:rsid wsp:val=&quot;001D0BC3&quot;/&gt;&lt;wsp:rsid wsp:val=&quot;001D1044&quot;/&gt;&lt;wsp:rsid wsp:val=&quot;001D2A88&quot;/&gt;&lt;wsp:rsid wsp:val=&quot;001D4C59&quot;/&gt;&lt;wsp:rsid wsp:val=&quot;001D7EBF&quot;/&gt;&lt;wsp:rsid wsp:val=&quot;001E024F&quot;/&gt;&lt;wsp:rsid wsp:val=&quot;001F6114&quot;/&gt;&lt;wsp:rsid wsp:val=&quot;001F6681&quot;/&gt;&lt;wsp:rsid wsp:val=&quot;002017B3&quot;/&gt;&lt;wsp:rsid wsp:val=&quot;0020556D&quot;/&gt;&lt;wsp:rsid wsp:val=&quot;002069E9&quot;/&gt;&lt;wsp:rsid wsp:val=&quot;00206B11&quot;/&gt;&lt;wsp:rsid wsp:val=&quot;00211979&quot;/&gt;&lt;wsp:rsid wsp:val=&quot;00214486&quot;/&gt;&lt;wsp:rsid wsp:val=&quot;00216D28&quot;/&gt;&lt;wsp:rsid wsp:val=&quot;002175F3&quot;/&gt;&lt;wsp:rsid wsp:val=&quot;00217AD7&quot;/&gt;&lt;wsp:rsid wsp:val=&quot;00217E77&quot;/&gt;&lt;wsp:rsid wsp:val=&quot;00221D0B&quot;/&gt;&lt;wsp:rsid wsp:val=&quot;00223383&quot;/&gt;&lt;wsp:rsid wsp:val=&quot;00224F01&quot;/&gt;&lt;wsp:rsid wsp:val=&quot;0022679E&quot;/&gt;&lt;wsp:rsid wsp:val=&quot;002275A7&quot;/&gt;&lt;wsp:rsid wsp:val=&quot;00230755&quot;/&gt;&lt;wsp:rsid wsp:val=&quot;00234C45&quot;/&gt;&lt;wsp:rsid wsp:val=&quot;002360A2&quot;/&gt;&lt;wsp:rsid wsp:val=&quot;00236F95&quot;/&gt;&lt;wsp:rsid wsp:val=&quot;00243266&quot;/&gt;&lt;wsp:rsid wsp:val=&quot;00244EAE&quot;/&gt;&lt;wsp:rsid wsp:val=&quot;002454CB&quot;/&gt;&lt;wsp:rsid wsp:val=&quot;002470E9&quot;/&gt;&lt;wsp:rsid wsp:val=&quot;002472E2&quot;/&gt;&lt;wsp:rsid wsp:val=&quot;002530C1&quot;/&gt;&lt;wsp:rsid wsp:val=&quot;00254079&quot;/&gt;&lt;wsp:rsid wsp:val=&quot;00256ABB&quot;/&gt;&lt;wsp:rsid wsp:val=&quot;00256B60&quot;/&gt;&lt;wsp:rsid wsp:val=&quot;00256BBE&quot;/&gt;&lt;wsp:rsid wsp:val=&quot;00260048&quot;/&gt;&lt;wsp:rsid wsp:val=&quot;0026028C&quot;/&gt;&lt;wsp:rsid wsp:val=&quot;00262881&quot;/&gt;&lt;wsp:rsid wsp:val=&quot;00263803&quot;/&gt;&lt;wsp:rsid wsp:val=&quot;00264EAF&quot;/&gt;&lt;wsp:rsid wsp:val=&quot;00265232&quot;/&gt;&lt;wsp:rsid wsp:val=&quot;00275B16&quot;/&gt;&lt;wsp:rsid wsp:val=&quot;0027653E&quot;/&gt;&lt;wsp:rsid wsp:val=&quot;00277CBF&quot;/&gt;&lt;wsp:rsid wsp:val=&quot;0028103C&quot;/&gt;&lt;wsp:rsid wsp:val=&quot;00284E2B&quot;/&gt;&lt;wsp:rsid wsp:val=&quot;0029005B&quot;/&gt;&lt;wsp:rsid wsp:val=&quot;00292D77&quot;/&gt;&lt;wsp:rsid wsp:val=&quot;00297C48&quot;/&gt;&lt;wsp:rsid wsp:val=&quot;002A17E2&quot;/&gt;&lt;wsp:rsid wsp:val=&quot;002A31A7&quot;/&gt;&lt;wsp:rsid wsp:val=&quot;002B03D0&quot;/&gt;&lt;wsp:rsid wsp:val=&quot;002B2554&quot;/&gt;&lt;wsp:rsid wsp:val=&quot;002B3B97&quot;/&gt;&lt;wsp:rsid wsp:val=&quot;002C307E&quot;/&gt;&lt;wsp:rsid wsp:val=&quot;002C42A2&quot;/&gt;&lt;wsp:rsid wsp:val=&quot;002C564D&quot;/&gt;&lt;wsp:rsid wsp:val=&quot;002C79A9&quot;/&gt;&lt;wsp:rsid wsp:val=&quot;002D1829&quot;/&gt;&lt;wsp:rsid wsp:val=&quot;002D4557&quot;/&gt;&lt;wsp:rsid wsp:val=&quot;002D7A93&quot;/&gt;&lt;wsp:rsid wsp:val=&quot;002E121F&quot;/&gt;&lt;wsp:rsid wsp:val=&quot;002E2AFD&quot;/&gt;&lt;wsp:rsid wsp:val=&quot;002E34EC&quot;/&gt;&lt;wsp:rsid wsp:val=&quot;002E4889&quot;/&gt;&lt;wsp:rsid wsp:val=&quot;002E5333&quot;/&gt;&lt;wsp:rsid wsp:val=&quot;002F08D3&quot;/&gt;&lt;wsp:rsid wsp:val=&quot;002F302B&quot;/&gt;&lt;wsp:rsid wsp:val=&quot;002F5995&quot;/&gt;&lt;wsp:rsid wsp:val=&quot;002F6108&quot;/&gt;&lt;wsp:rsid wsp:val=&quot;002F726F&quot;/&gt;&lt;wsp:rsid wsp:val=&quot;002F79DD&quot;/&gt;&lt;wsp:rsid wsp:val=&quot;0030192D&quot;/&gt;&lt;wsp:rsid wsp:val=&quot;00301C3B&quot;/&gt;&lt;wsp:rsid wsp:val=&quot;00303DDF&quot;/&gt;&lt;wsp:rsid wsp:val=&quot;0030455F&quot;/&gt;&lt;wsp:rsid wsp:val=&quot;00304BA3&quot;/&gt;&lt;wsp:rsid wsp:val=&quot;00312CA1&quot;/&gt;&lt;wsp:rsid wsp:val=&quot;003163D1&quot;/&gt;&lt;wsp:rsid wsp:val=&quot;0031650A&quot;/&gt;&lt;wsp:rsid wsp:val=&quot;0031661B&quot;/&gt;&lt;wsp:rsid wsp:val=&quot;00317956&quot;/&gt;&lt;wsp:rsid wsp:val=&quot;003203F0&quot;/&gt;&lt;wsp:rsid wsp:val=&quot;00322A9D&quot;/&gt;&lt;wsp:rsid wsp:val=&quot;0032354B&quot;/&gt;&lt;wsp:rsid wsp:val=&quot;0033028B&quot;/&gt;&lt;wsp:rsid wsp:val=&quot;003320A0&quot;/&gt;&lt;wsp:rsid wsp:val=&quot;003323C3&quot;/&gt;&lt;wsp:rsid wsp:val=&quot;003352D2&quot;/&gt;&lt;wsp:rsid wsp:val=&quot;00335B6F&quot;/&gt;&lt;wsp:rsid wsp:val=&quot;003467F4&quot;/&gt;&lt;wsp:rsid wsp:val=&quot;003511B2&quot;/&gt;&lt;wsp:rsid wsp:val=&quot;003523E3&quot;/&gt;&lt;wsp:rsid wsp:val=&quot;003532D7&quot;/&gt;&lt;wsp:rsid wsp:val=&quot;00354D4F&quot;/&gt;&lt;wsp:rsid wsp:val=&quot;00355953&quot;/&gt;&lt;wsp:rsid wsp:val=&quot;00357F0D&quot;/&gt;&lt;wsp:rsid wsp:val=&quot;00363736&quot;/&gt;&lt;wsp:rsid wsp:val=&quot;00363948&quot;/&gt;&lt;wsp:rsid wsp:val=&quot;00363C98&quot;/&gt;&lt;wsp:rsid wsp:val=&quot;00365034&quot;/&gt;&lt;wsp:rsid wsp:val=&quot;00367A9C&quot;/&gt;&lt;wsp:rsid wsp:val=&quot;00372CE6&quot;/&gt;&lt;wsp:rsid wsp:val=&quot;00374D02&quot;/&gt;&lt;wsp:rsid wsp:val=&quot;00376630&quot;/&gt;&lt;wsp:rsid wsp:val=&quot;00376DFD&quot;/&gt;&lt;wsp:rsid wsp:val=&quot;00384672&quot;/&gt;&lt;wsp:rsid wsp:val=&quot;00385305&quot;/&gt;&lt;wsp:rsid wsp:val=&quot;00386455&quot;/&gt;&lt;wsp:rsid wsp:val=&quot;00387B67&quot;/&gt;&lt;wsp:rsid wsp:val=&quot;00390672&quot;/&gt;&lt;wsp:rsid wsp:val=&quot;003929A6&quot;/&gt;&lt;wsp:rsid wsp:val=&quot;00393FF7&quot;/&gt;&lt;wsp:rsid wsp:val=&quot;003A106A&quot;/&gt;&lt;wsp:rsid wsp:val=&quot;003A20CD&quot;/&gt;&lt;wsp:rsid wsp:val=&quot;003A58B5&quot;/&gt;&lt;wsp:rsid wsp:val=&quot;003B62AF&quot;/&gt;&lt;wsp:rsid wsp:val=&quot;003C501B&quot;/&gt;&lt;wsp:rsid wsp:val=&quot;003C5664&quot;/&gt;&lt;wsp:rsid wsp:val=&quot;003C765B&quot;/&gt;&lt;wsp:rsid wsp:val=&quot;003D2AFB&quot;/&gt;&lt;wsp:rsid wsp:val=&quot;003D56F4&quot;/&gt;&lt;wsp:rsid wsp:val=&quot;003E4196&quot;/&gt;&lt;wsp:rsid wsp:val=&quot;003F0D71&quot;/&gt;&lt;wsp:rsid wsp:val=&quot;003F3A13&quot;/&gt;&lt;wsp:rsid wsp:val=&quot;003F7BAB&quot;/&gt;&lt;wsp:rsid wsp:val=&quot;004029E7&quot;/&gt;&lt;wsp:rsid wsp:val=&quot;004050AD&quot;/&gt;&lt;wsp:rsid wsp:val=&quot;00411029&quot;/&gt;&lt;wsp:rsid wsp:val=&quot;004113DE&quot;/&gt;&lt;wsp:rsid wsp:val=&quot;00412BEC&quot;/&gt;&lt;wsp:rsid wsp:val=&quot;0041324A&quot;/&gt;&lt;wsp:rsid wsp:val=&quot;0041699A&quot;/&gt;&lt;wsp:rsid wsp:val=&quot;00420E5F&quot;/&gt;&lt;wsp:rsid wsp:val=&quot;004218CA&quot;/&gt;&lt;wsp:rsid wsp:val=&quot;004225FA&quot;/&gt;&lt;wsp:rsid wsp:val=&quot;00424F6B&quot;/&gt;&lt;wsp:rsid wsp:val=&quot;00430AA5&quot;/&gt;&lt;wsp:rsid wsp:val=&quot;00430C7D&quot;/&gt;&lt;wsp:rsid wsp:val=&quot;00431BCC&quot;/&gt;&lt;wsp:rsid wsp:val=&quot;004328A9&quot;/&gt;&lt;wsp:rsid wsp:val=&quot;00433321&quot;/&gt;&lt;wsp:rsid wsp:val=&quot;00433FD3&quot;/&gt;&lt;wsp:rsid wsp:val=&quot;00435804&quot;/&gt;&lt;wsp:rsid wsp:val=&quot;004368AB&quot;/&gt;&lt;wsp:rsid wsp:val=&quot;0044259E&quot;/&gt;&lt;wsp:rsid wsp:val=&quot;0044352A&quot;/&gt;&lt;wsp:rsid wsp:val=&quot;00444979&quot;/&gt;&lt;wsp:rsid wsp:val=&quot;0045031D&quot;/&gt;&lt;wsp:rsid wsp:val=&quot;004515E9&quot;/&gt;&lt;wsp:rsid wsp:val=&quot;00451EEE&quot;/&gt;&lt;wsp:rsid wsp:val=&quot;00453AE3&quot;/&gt;&lt;wsp:rsid wsp:val=&quot;00456F09&quot;/&gt;&lt;wsp:rsid wsp:val=&quot;00457838&quot;/&gt;&lt;wsp:rsid wsp:val=&quot;004633C1&quot;/&gt;&lt;wsp:rsid wsp:val=&quot;00467FC7&quot;/&gt;&lt;wsp:rsid wsp:val=&quot;0047262A&quot;/&gt;&lt;wsp:rsid wsp:val=&quot;004735AF&quot;/&gt;&lt;wsp:rsid wsp:val=&quot;00476E92&quot;/&gt;&lt;wsp:rsid wsp:val=&quot;00477A65&quot;/&gt;&lt;wsp:rsid wsp:val=&quot;00481DE3&quot;/&gt;&lt;wsp:rsid wsp:val=&quot;00485044&quot;/&gt;&lt;wsp:rsid wsp:val=&quot;00490399&quot;/&gt;&lt;wsp:rsid wsp:val=&quot;00491D70&quot;/&gt;&lt;wsp:rsid wsp:val=&quot;00493E63&quot;/&gt;&lt;wsp:rsid wsp:val=&quot;00495B5F&quot;/&gt;&lt;wsp:rsid wsp:val=&quot;004964BC&quot;/&gt;&lt;wsp:rsid wsp:val=&quot;00496E2E&quot;/&gt;&lt;wsp:rsid wsp:val=&quot;004A01FB&quot;/&gt;&lt;wsp:rsid wsp:val=&quot;004A1453&quot;/&gt;&lt;wsp:rsid wsp:val=&quot;004A44D4&quot;/&gt;&lt;wsp:rsid wsp:val=&quot;004B31F5&quot;/&gt;&lt;wsp:rsid wsp:val=&quot;004B526D&quot;/&gt;&lt;wsp:rsid wsp:val=&quot;004B64C3&quot;/&gt;&lt;wsp:rsid wsp:val=&quot;004B7FC4&quot;/&gt;&lt;wsp:rsid wsp:val=&quot;004C1C62&quot;/&gt;&lt;wsp:rsid wsp:val=&quot;004C7B9A&quot;/&gt;&lt;wsp:rsid wsp:val=&quot;004D2C81&quot;/&gt;&lt;wsp:rsid wsp:val=&quot;004D6E2C&quot;/&gt;&lt;wsp:rsid wsp:val=&quot;004E05D3&quot;/&gt;&lt;wsp:rsid wsp:val=&quot;004E2325&quot;/&gt;&lt;wsp:rsid wsp:val=&quot;004E2B6A&quot;/&gt;&lt;wsp:rsid wsp:val=&quot;004F005F&quot;/&gt;&lt;wsp:rsid wsp:val=&quot;004F442A&quot;/&gt;&lt;wsp:rsid wsp:val=&quot;004F4912&quot;/&gt;&lt;wsp:rsid wsp:val=&quot;004F6327&quot;/&gt;&lt;wsp:rsid wsp:val=&quot;00502B2D&quot;/&gt;&lt;wsp:rsid wsp:val=&quot;0051145A&quot;/&gt;&lt;wsp:rsid wsp:val=&quot;00512862&quot;/&gt;&lt;wsp:rsid wsp:val=&quot;00512EC7&quot;/&gt;&lt;wsp:rsid wsp:val=&quot;005132A4&quot;/&gt;&lt;wsp:rsid wsp:val=&quot;0051360A&quot;/&gt;&lt;wsp:rsid wsp:val=&quot;00522526&quot;/&gt;&lt;wsp:rsid wsp:val=&quot;005225C3&quot;/&gt;&lt;wsp:rsid wsp:val=&quot;00523D23&quot;/&gt;&lt;wsp:rsid wsp:val=&quot;005248E8&quot;/&gt;&lt;wsp:rsid wsp:val=&quot;00524942&quot;/&gt;&lt;wsp:rsid wsp:val=&quot;0052501A&quot;/&gt;&lt;wsp:rsid wsp:val=&quot;0052603A&quot;/&gt;&lt;wsp:rsid wsp:val=&quot;005309DC&quot;/&gt;&lt;wsp:rsid wsp:val=&quot;00531913&quot;/&gt;&lt;wsp:rsid wsp:val=&quot;00532B30&quot;/&gt;&lt;wsp:rsid wsp:val=&quot;00535A08&quot;/&gt;&lt;wsp:rsid wsp:val=&quot;00535FF2&quot;/&gt;&lt;wsp:rsid wsp:val=&quot;00536A23&quot;/&gt;&lt;wsp:rsid wsp:val=&quot;005370D1&quot;/&gt;&lt;wsp:rsid wsp:val=&quot;00537112&quot;/&gt;&lt;wsp:rsid wsp:val=&quot;0055118F&quot;/&gt;&lt;wsp:rsid wsp:val=&quot;00560F59&quot;/&gt;&lt;wsp:rsid wsp:val=&quot;00562874&quot;/&gt;&lt;wsp:rsid wsp:val=&quot;00566277&quot;/&gt;&lt;wsp:rsid wsp:val=&quot;00567D11&quot;/&gt;&lt;wsp:rsid wsp:val=&quot;00573F98&quot;/&gt;&lt;wsp:rsid wsp:val=&quot;00576BA1&quot;/&gt;&lt;wsp:rsid wsp:val=&quot;00581954&quot;/&gt;&lt;wsp:rsid wsp:val=&quot;005825A5&quot;/&gt;&lt;wsp:rsid wsp:val=&quot;005979A0&quot;/&gt;&lt;wsp:rsid wsp:val=&quot;005B4235&quot;/&gt;&lt;wsp:rsid wsp:val=&quot;005B7951&quot;/&gt;&lt;wsp:rsid wsp:val=&quot;005C1F1F&quot;/&gt;&lt;wsp:rsid wsp:val=&quot;005C4BB6&quot;/&gt;&lt;wsp:rsid wsp:val=&quot;005D0767&quot;/&gt;&lt;wsp:rsid wsp:val=&quot;005D122A&quot;/&gt;&lt;wsp:rsid wsp:val=&quot;005D18FC&quot;/&gt;&lt;wsp:rsid wsp:val=&quot;005D729A&quot;/&gt;&lt;wsp:rsid wsp:val=&quot;005E3A27&quot;/&gt;&lt;wsp:rsid wsp:val=&quot;005E6874&quot;/&gt;&lt;wsp:rsid wsp:val=&quot;005F0C99&quot;/&gt;&lt;wsp:rsid wsp:val=&quot;005F1188&quot;/&gt;&lt;wsp:rsid wsp:val=&quot;005F2BD4&quot;/&gt;&lt;wsp:rsid wsp:val=&quot;005F319A&quot;/&gt;&lt;wsp:rsid wsp:val=&quot;005F4582&quot;/&gt;&lt;wsp:rsid wsp:val=&quot;005F72B4&quot;/&gt;&lt;wsp:rsid wsp:val=&quot;00601F37&quot;/&gt;&lt;wsp:rsid wsp:val=&quot;00603066&quot;/&gt;&lt;wsp:rsid wsp:val=&quot;00603E23&quot;/&gt;&lt;wsp:rsid wsp:val=&quot;0060451D&quot;/&gt;&lt;wsp:rsid wsp:val=&quot;0060520D&quot;/&gt;&lt;wsp:rsid wsp:val=&quot;00605DF4&quot;/&gt;&lt;wsp:rsid wsp:val=&quot;00606772&quot;/&gt;&lt;wsp:rsid wsp:val=&quot;00610902&quot;/&gt;&lt;wsp:rsid wsp:val=&quot;0061165F&quot;/&gt;&lt;wsp:rsid wsp:val=&quot;00611B6F&quot;/&gt;&lt;wsp:rsid wsp:val=&quot;0061204A&quot;/&gt;&lt;wsp:rsid wsp:val=&quot;00626B2D&quot;/&gt;&lt;wsp:rsid wsp:val=&quot;0063143D&quot;/&gt;&lt;wsp:rsid wsp:val=&quot;00633C96&quot;/&gt;&lt;wsp:rsid wsp:val=&quot;006342E3&quot;/&gt;&lt;wsp:rsid wsp:val=&quot;00635043&quot;/&gt;&lt;wsp:rsid wsp:val=&quot;006371E7&quot;/&gt;&lt;wsp:rsid wsp:val=&quot;00637F37&quot;/&gt;&lt;wsp:rsid wsp:val=&quot;006402F5&quot;/&gt;&lt;wsp:rsid wsp:val=&quot;006435C4&quot;/&gt;&lt;wsp:rsid wsp:val=&quot;00644E06&quot;/&gt;&lt;wsp:rsid wsp:val=&quot;00647752&quot;/&gt;&lt;wsp:rsid wsp:val=&quot;0065089D&quot;/&gt;&lt;wsp:rsid wsp:val=&quot;00652824&quot;/&gt;&lt;wsp:rsid wsp:val=&quot;00654D85&quot;/&gt;&lt;wsp:rsid wsp:val=&quot;00655A1C&quot;/&gt;&lt;wsp:rsid wsp:val=&quot;00662561&quot;/&gt;&lt;wsp:rsid wsp:val=&quot;0066482B&quot;/&gt;&lt;wsp:rsid wsp:val=&quot;00671590&quot;/&gt;&lt;wsp:rsid wsp:val=&quot;00674A6F&quot;/&gt;&lt;wsp:rsid wsp:val=&quot;00683347&quot;/&gt;&lt;wsp:rsid wsp:val=&quot;006837FA&quot;/&gt;&lt;wsp:rsid wsp:val=&quot;00690ABB&quot;/&gt;&lt;wsp:rsid wsp:val=&quot;00690BB9&quot;/&gt;&lt;wsp:rsid wsp:val=&quot;006933F4&quot;/&gt;&lt;wsp:rsid wsp:val=&quot;00694014&quot;/&gt;&lt;wsp:rsid wsp:val=&quot;00694BA2&quot;/&gt;&lt;wsp:rsid wsp:val=&quot;006A0D87&quot;/&gt;&lt;wsp:rsid wsp:val=&quot;006A0F53&quot;/&gt;&lt;wsp:rsid wsp:val=&quot;006A77CF&quot;/&gt;&lt;wsp:rsid wsp:val=&quot;006B0EC8&quot;/&gt;&lt;wsp:rsid wsp:val=&quot;006B0EF1&quot;/&gt;&lt;wsp:rsid wsp:val=&quot;006B3AB5&quot;/&gt;&lt;wsp:rsid wsp:val=&quot;006C0F8F&quot;/&gt;&lt;wsp:rsid wsp:val=&quot;006C5651&quot;/&gt;&lt;wsp:rsid wsp:val=&quot;006C5670&quot;/&gt;&lt;wsp:rsid wsp:val=&quot;006C5D06&quot;/&gt;&lt;wsp:rsid wsp:val=&quot;006D2672&quot;/&gt;&lt;wsp:rsid wsp:val=&quot;006D7A33&quot;/&gt;&lt;wsp:rsid wsp:val=&quot;006E0286&quot;/&gt;&lt;wsp:rsid wsp:val=&quot;006E1200&quot;/&gt;&lt;wsp:rsid wsp:val=&quot;006E1C0E&quot;/&gt;&lt;wsp:rsid wsp:val=&quot;006E2DC0&quot;/&gt;&lt;wsp:rsid wsp:val=&quot;006E3CE6&quot;/&gt;&lt;wsp:rsid wsp:val=&quot;006E5441&quot;/&gt;&lt;wsp:rsid wsp:val=&quot;006E72EF&quot;/&gt;&lt;wsp:rsid wsp:val=&quot;006F2F45&quot;/&gt;&lt;wsp:rsid wsp:val=&quot;006F370C&quot;/&gt;&lt;wsp:rsid wsp:val=&quot;006F3F0C&quot;/&gt;&lt;wsp:rsid wsp:val=&quot;006F48CD&quot;/&gt;&lt;wsp:rsid wsp:val=&quot;006F5477&quot;/&gt;&lt;wsp:rsid wsp:val=&quot;006F6419&quot;/&gt;&lt;wsp:rsid wsp:val=&quot;006F6AAC&quot;/&gt;&lt;wsp:rsid wsp:val=&quot;00700A28&quot;/&gt;&lt;wsp:rsid wsp:val=&quot;00701951&quot;/&gt;&lt;wsp:rsid wsp:val=&quot;00702670&quot;/&gt;&lt;wsp:rsid wsp:val=&quot;00705AC5&quot;/&gt;&lt;wsp:rsid wsp:val=&quot;00705E5A&quot;/&gt;&lt;wsp:rsid wsp:val=&quot;0071012F&quot;/&gt;&lt;wsp:rsid wsp:val=&quot;007136CE&quot;/&gt;&lt;wsp:rsid wsp:val=&quot;00714480&quot;/&gt;&lt;wsp:rsid wsp:val=&quot;007151F8&quot;/&gt;&lt;wsp:rsid wsp:val=&quot;007167AD&quot;/&gt;&lt;wsp:rsid wsp:val=&quot;00720E4E&quot;/&gt;&lt;wsp:rsid wsp:val=&quot;00722120&quot;/&gt;&lt;wsp:rsid wsp:val=&quot;00722821&quot;/&gt;&lt;wsp:rsid wsp:val=&quot;0072380E&quot;/&gt;&lt;wsp:rsid wsp:val=&quot;007263A3&quot;/&gt;&lt;wsp:rsid wsp:val=&quot;0073274A&quot;/&gt;&lt;wsp:rsid wsp:val=&quot;00732D88&quot;/&gt;&lt;wsp:rsid wsp:val=&quot;00734955&quot;/&gt;&lt;wsp:rsid wsp:val=&quot;00734CEF&quot;/&gt;&lt;wsp:rsid wsp:val=&quot;00735467&quot;/&gt;&lt;wsp:rsid wsp:val=&quot;00736D50&quot;/&gt;&lt;wsp:rsid wsp:val=&quot;00744E28&quot;/&gt;&lt;wsp:rsid wsp:val=&quot;00745FE2&quot;/&gt;&lt;wsp:rsid wsp:val=&quot;00750D63&quot;/&gt;&lt;wsp:rsid wsp:val=&quot;00751318&quot;/&gt;&lt;wsp:rsid wsp:val=&quot;00752A5F&quot;/&gt;&lt;wsp:rsid wsp:val=&quot;00756AFD&quot;/&gt;&lt;wsp:rsid wsp:val=&quot;00756E74&quot;/&gt;&lt;wsp:rsid wsp:val=&quot;007570C8&quot;/&gt;&lt;wsp:rsid wsp:val=&quot;007653AC&quot;/&gt;&lt;wsp:rsid wsp:val=&quot;0077180D&quot;/&gt;&lt;wsp:rsid wsp:val=&quot;00773A46&quot;/&gt;&lt;wsp:rsid wsp:val=&quot;007745F7&quot;/&gt;&lt;wsp:rsid wsp:val=&quot;00775DC8&quot;/&gt;&lt;wsp:rsid wsp:val=&quot;0077725E&quot;/&gt;&lt;wsp:rsid wsp:val=&quot;007826CB&quot;/&gt;&lt;wsp:rsid wsp:val=&quot;007846A5&quot;/&gt;&lt;wsp:rsid wsp:val=&quot;00786450&quot;/&gt;&lt;wsp:rsid wsp:val=&quot;007940B5&quot;/&gt;&lt;wsp:rsid wsp:val=&quot;00794CCC&quot;/&gt;&lt;wsp:rsid wsp:val=&quot;0079547C&quot;/&gt;&lt;wsp:rsid wsp:val=&quot;00795562&quot;/&gt;&lt;wsp:rsid wsp:val=&quot;00796932&quot;/&gt;&lt;wsp:rsid wsp:val=&quot;007A0900&quot;/&gt;&lt;wsp:rsid wsp:val=&quot;007A1E85&quot;/&gt;&lt;wsp:rsid wsp:val=&quot;007A5E50&quot;/&gt;&lt;wsp:rsid wsp:val=&quot;007A7B24&quot;/&gt;&lt;wsp:rsid wsp:val=&quot;007B03C1&quot;/&gt;&lt;wsp:rsid wsp:val=&quot;007B2B4B&quot;/&gt;&lt;wsp:rsid wsp:val=&quot;007C2E4B&quot;/&gt;&lt;wsp:rsid wsp:val=&quot;007C4494&quot;/&gt;&lt;wsp:rsid wsp:val=&quot;007C78CF&quot;/&gt;&lt;wsp:rsid wsp:val=&quot;007D1F7B&quot;/&gt;&lt;wsp:rsid wsp:val=&quot;007D2ECB&quot;/&gt;&lt;wsp:rsid wsp:val=&quot;007D6985&quot;/&gt;&lt;wsp:rsid wsp:val=&quot;007E3E39&quot;/&gt;&lt;wsp:rsid wsp:val=&quot;007F077D&quot;/&gt;&lt;wsp:rsid wsp:val=&quot;00805A46&quot;/&gt;&lt;wsp:rsid wsp:val=&quot;00806C06&quot;/&gt;&lt;wsp:rsid wsp:val=&quot;008077D1&quot;/&gt;&lt;wsp:rsid wsp:val=&quot;00810972&quot;/&gt;&lt;wsp:rsid wsp:val=&quot;008112AC&quot;/&gt;&lt;wsp:rsid wsp:val=&quot;008132D1&quot;/&gt;&lt;wsp:rsid wsp:val=&quot;008137D1&quot;/&gt;&lt;wsp:rsid wsp:val=&quot;00813DC0&quot;/&gt;&lt;wsp:rsid wsp:val=&quot;00814031&quot;/&gt;&lt;wsp:rsid wsp:val=&quot;00814F1F&quot;/&gt;&lt;wsp:rsid wsp:val=&quot;00816D4E&quot;/&gt;&lt;wsp:rsid wsp:val=&quot;00824E1F&quot;/&gt;&lt;wsp:rsid wsp:val=&quot;00831D6F&quot;/&gt;&lt;wsp:rsid wsp:val=&quot;00831F84&quot;/&gt;&lt;wsp:rsid wsp:val=&quot;00833EF5&quot;/&gt;&lt;wsp:rsid wsp:val=&quot;008347F7&quot;/&gt;&lt;wsp:rsid wsp:val=&quot;00835CCC&quot;/&gt;&lt;wsp:rsid wsp:val=&quot;00835EB7&quot;/&gt;&lt;wsp:rsid wsp:val=&quot;008365EB&quot;/&gt;&lt;wsp:rsid wsp:val=&quot;00837821&quot;/&gt;&lt;wsp:rsid wsp:val=&quot;00842E09&quot;/&gt;&lt;wsp:rsid wsp:val=&quot;00842F5D&quot;/&gt;&lt;wsp:rsid wsp:val=&quot;00843532&quot;/&gt;&lt;wsp:rsid wsp:val=&quot;00843717&quot;/&gt;&lt;wsp:rsid wsp:val=&quot;00843AF2&quot;/&gt;&lt;wsp:rsid wsp:val=&quot;00844A31&quot;/&gt;&lt;wsp:rsid wsp:val=&quot;00845C44&quot;/&gt;&lt;wsp:rsid wsp:val=&quot;008532F4&quot;/&gt;&lt;wsp:rsid wsp:val=&quot;0086237A&quot;/&gt;&lt;wsp:rsid wsp:val=&quot;00864B99&quot;/&gt;&lt;wsp:rsid wsp:val=&quot;008673BC&quot;/&gt;&lt;wsp:rsid wsp:val=&quot;008737B8&quot;/&gt;&lt;wsp:rsid wsp:val=&quot;00875D03&quot;/&gt;&lt;wsp:rsid wsp:val=&quot;008803DD&quot;/&gt;&lt;wsp:rsid wsp:val=&quot;0089051D&quot;/&gt;&lt;wsp:rsid wsp:val=&quot;00893DD4&quot;/&gt;&lt;wsp:rsid wsp:val=&quot;008A760E&quot;/&gt;&lt;wsp:rsid wsp:val=&quot;008A7C71&quot;/&gt;&lt;wsp:rsid wsp:val=&quot;008B1873&quot;/&gt;&lt;wsp:rsid wsp:val=&quot;008B59A3&quot;/&gt;&lt;wsp:rsid wsp:val=&quot;008C2518&quot;/&gt;&lt;wsp:rsid wsp:val=&quot;008C3565&quot;/&gt;&lt;wsp:rsid wsp:val=&quot;008C3E07&quot;/&gt;&lt;wsp:rsid wsp:val=&quot;008C78DF&quot;/&gt;&lt;wsp:rsid wsp:val=&quot;008D0AEB&quot;/&gt;&lt;wsp:rsid wsp:val=&quot;008D2F52&quot;/&gt;&lt;wsp:rsid wsp:val=&quot;008D3550&quot;/&gt;&lt;wsp:rsid wsp:val=&quot;008D41B8&quot;/&gt;&lt;wsp:rsid wsp:val=&quot;008D5D27&quot;/&gt;&lt;wsp:rsid wsp:val=&quot;008D65B3&quot;/&gt;&lt;wsp:rsid wsp:val=&quot;008E0408&quot;/&gt;&lt;wsp:rsid wsp:val=&quot;008E1640&quot;/&gt;&lt;wsp:rsid wsp:val=&quot;008E17A2&quot;/&gt;&lt;wsp:rsid wsp:val=&quot;008E196D&quot;/&gt;&lt;wsp:rsid wsp:val=&quot;008E38F0&quot;/&gt;&lt;wsp:rsid wsp:val=&quot;008E720D&quot;/&gt;&lt;wsp:rsid wsp:val=&quot;008E7B56&quot;/&gt;&lt;wsp:rsid wsp:val=&quot;008F6551&quot;/&gt;&lt;wsp:rsid wsp:val=&quot;008F7DC1&quot;/&gt;&lt;wsp:rsid wsp:val=&quot;0090023A&quot;/&gt;&lt;wsp:rsid wsp:val=&quot;0090469C&quot;/&gt;&lt;wsp:rsid wsp:val=&quot;00904754&quot;/&gt;&lt;wsp:rsid wsp:val=&quot;00906C45&quot;/&gt;&lt;wsp:rsid wsp:val=&quot;00911229&quot;/&gt;&lt;wsp:rsid wsp:val=&quot;00913443&quot;/&gt;&lt;wsp:rsid wsp:val=&quot;00914B82&quot;/&gt;&lt;wsp:rsid wsp:val=&quot;00916B61&quot;/&gt;&lt;wsp:rsid wsp:val=&quot;00920702&quot;/&gt;&lt;wsp:rsid wsp:val=&quot;00926A27&quot;/&gt;&lt;wsp:rsid wsp:val=&quot;009328F6&quot;/&gt;&lt;wsp:rsid wsp:val=&quot;00933732&quot;/&gt;&lt;wsp:rsid wsp:val=&quot;00933EE4&quot;/&gt;&lt;wsp:rsid wsp:val=&quot;009344E5&quot;/&gt;&lt;wsp:rsid wsp:val=&quot;00940046&quot;/&gt;&lt;wsp:rsid wsp:val=&quot;00942147&quot;/&gt;&lt;wsp:rsid wsp:val=&quot;0094799F&quot;/&gt;&lt;wsp:rsid wsp:val=&quot;0095234E&quot;/&gt;&lt;wsp:rsid wsp:val=&quot;00954CCD&quot;/&gt;&lt;wsp:rsid wsp:val=&quot;0095552C&quot;/&gt;&lt;wsp:rsid wsp:val=&quot;009567A8&quot;/&gt;&lt;wsp:rsid wsp:val=&quot;00956E86&quot;/&gt;&lt;wsp:rsid wsp:val=&quot;0095744C&quot;/&gt;&lt;wsp:rsid wsp:val=&quot;009618FC&quot;/&gt;&lt;wsp:rsid wsp:val=&quot;00962678&quot;/&gt;&lt;wsp:rsid wsp:val=&quot;00963C26&quot;/&gt;&lt;wsp:rsid wsp:val=&quot;00965914&quot;/&gt;&lt;wsp:rsid wsp:val=&quot;0096714A&quot;/&gt;&lt;wsp:rsid wsp:val=&quot;0097107D&quot;/&gt;&lt;wsp:rsid wsp:val=&quot;009738BA&quot;/&gt;&lt;wsp:rsid wsp:val=&quot;00974EC7&quot;/&gt;&lt;wsp:rsid wsp:val=&quot;009762C9&quot;/&gt;&lt;wsp:rsid wsp:val=&quot;00976A7B&quot;/&gt;&lt;wsp:rsid wsp:val=&quot;0098180C&quot;/&gt;&lt;wsp:rsid wsp:val=&quot;00981AD9&quot;/&gt;&lt;wsp:rsid wsp:val=&quot;00993F24&quot;/&gt;&lt;wsp:rsid wsp:val=&quot;00995180&quot;/&gt;&lt;wsp:rsid wsp:val=&quot;00995459&quot;/&gt;&lt;wsp:rsid wsp:val=&quot;009A0D38&quot;/&gt;&lt;wsp:rsid wsp:val=&quot;009A3E6E&quot;/&gt;&lt;wsp:rsid wsp:val=&quot;009A3ED5&quot;/&gt;&lt;wsp:rsid wsp:val=&quot;009A4AC5&quot;/&gt;&lt;wsp:rsid wsp:val=&quot;009B0938&quot;/&gt;&lt;wsp:rsid wsp:val=&quot;009B50A3&quot;/&gt;&lt;wsp:rsid wsp:val=&quot;009B53C6&quot;/&gt;&lt;wsp:rsid wsp:val=&quot;009B747F&quot;/&gt;&lt;wsp:rsid wsp:val=&quot;009B7486&quot;/&gt;&lt;wsp:rsid wsp:val=&quot;009C7BF3&quot;/&gt;&lt;wsp:rsid wsp:val=&quot;009D2282&quot;/&gt;&lt;wsp:rsid wsp:val=&quot;009D314E&quot;/&gt;&lt;wsp:rsid wsp:val=&quot;009E3D78&quot;/&gt;&lt;wsp:rsid wsp:val=&quot;009E4BC3&quot;/&gt;&lt;wsp:rsid wsp:val=&quot;009E7E92&quot;/&gt;&lt;wsp:rsid wsp:val=&quot;009F446D&quot;/&gt;&lt;wsp:rsid wsp:val=&quot;009F501E&quot;/&gt;&lt;wsp:rsid wsp:val=&quot;009F74E7&quot;/&gt;&lt;wsp:rsid wsp:val=&quot;009F7BD9&quot;/&gt;&lt;wsp:rsid wsp:val=&quot;00A01379&quot;/&gt;&lt;wsp:rsid wsp:val=&quot;00A0160E&quot;/&gt;&lt;wsp:rsid wsp:val=&quot;00A03137&quot;/&gt;&lt;wsp:rsid wsp:val=&quot;00A04C9D&quot;/&gt;&lt;wsp:rsid wsp:val=&quot;00A064C8&quot;/&gt;&lt;wsp:rsid wsp:val=&quot;00A10582&quot;/&gt;&lt;wsp:rsid wsp:val=&quot;00A12207&quot;/&gt;&lt;wsp:rsid wsp:val=&quot;00A137FA&quot;/&gt;&lt;wsp:rsid wsp:val=&quot;00A147C5&quot;/&gt;&lt;wsp:rsid wsp:val=&quot;00A148BB&quot;/&gt;&lt;wsp:rsid wsp:val=&quot;00A14B06&quot;/&gt;&lt;wsp:rsid wsp:val=&quot;00A215D0&quot;/&gt;&lt;wsp:rsid wsp:val=&quot;00A21A25&quot;/&gt;&lt;wsp:rsid wsp:val=&quot;00A21FBA&quot;/&gt;&lt;wsp:rsid wsp:val=&quot;00A23E57&quot;/&gt;&lt;wsp:rsid wsp:val=&quot;00A264AC&quot;/&gt;&lt;wsp:rsid wsp:val=&quot;00A272AC&quot;/&gt;&lt;wsp:rsid wsp:val=&quot;00A27E32&quot;/&gt;&lt;wsp:rsid wsp:val=&quot;00A321D4&quot;/&gt;&lt;wsp:rsid wsp:val=&quot;00A42188&quot;/&gt;&lt;wsp:rsid wsp:val=&quot;00A5123E&quot;/&gt;&lt;wsp:rsid wsp:val=&quot;00A51C7E&quot;/&gt;&lt;wsp:rsid wsp:val=&quot;00A53DB3&quot;/&gt;&lt;wsp:rsid wsp:val=&quot;00A54406&quot;/&gt;&lt;wsp:rsid wsp:val=&quot;00A619D8&quot;/&gt;&lt;wsp:rsid wsp:val=&quot;00A61B38&quot;/&gt;&lt;wsp:rsid wsp:val=&quot;00A63E13&quot;/&gt;&lt;wsp:rsid wsp:val=&quot;00A64F52&quot;/&gt;&lt;wsp:rsid wsp:val=&quot;00A67F93&quot;/&gt;&lt;wsp:rsid wsp:val=&quot;00A70E8D&quot;/&gt;&lt;wsp:rsid wsp:val=&quot;00A70FDC&quot;/&gt;&lt;wsp:rsid wsp:val=&quot;00A718FF&quot;/&gt;&lt;wsp:rsid wsp:val=&quot;00A721A7&quot;/&gt;&lt;wsp:rsid wsp:val=&quot;00A74AAC&quot;/&gt;&lt;wsp:rsid wsp:val=&quot;00A7596C&quot;/&gt;&lt;wsp:rsid wsp:val=&quot;00A767A9&quot;/&gt;&lt;wsp:rsid wsp:val=&quot;00A76C40&quot;/&gt;&lt;wsp:rsid wsp:val=&quot;00A82517&quot;/&gt;&lt;wsp:rsid wsp:val=&quot;00A82B53&quot;/&gt;&lt;wsp:rsid wsp:val=&quot;00A82EB6&quot;/&gt;&lt;wsp:rsid wsp:val=&quot;00A83B4C&quot;/&gt;&lt;wsp:rsid wsp:val=&quot;00A83F2E&quot;/&gt;&lt;wsp:rsid wsp:val=&quot;00A84436&quot;/&gt;&lt;wsp:rsid wsp:val=&quot;00A94009&quot;/&gt;&lt;wsp:rsid wsp:val=&quot;00AA13EC&quot;/&gt;&lt;wsp:rsid wsp:val=&quot;00AA1E85&quot;/&gt;&lt;wsp:rsid wsp:val=&quot;00AA373B&quot;/&gt;&lt;wsp:rsid wsp:val=&quot;00AA46E9&quot;/&gt;&lt;wsp:rsid wsp:val=&quot;00AA5B4B&quot;/&gt;&lt;wsp:rsid wsp:val=&quot;00AB18FD&quot;/&gt;&lt;wsp:rsid wsp:val=&quot;00AC1CCD&quot;/&gt;&lt;wsp:rsid wsp:val=&quot;00AD0607&quot;/&gt;&lt;wsp:rsid wsp:val=&quot;00AD0998&quot;/&gt;&lt;wsp:rsid wsp:val=&quot;00AD35E9&quot;/&gt;&lt;wsp:rsid wsp:val=&quot;00AE0484&quot;/&gt;&lt;wsp:rsid wsp:val=&quot;00AE1968&quot;/&gt;&lt;wsp:rsid wsp:val=&quot;00AE2A91&quot;/&gt;&lt;wsp:rsid wsp:val=&quot;00AE5BF1&quot;/&gt;&lt;wsp:rsid wsp:val=&quot;00AF662D&quot;/&gt;&lt;wsp:rsid wsp:val=&quot;00AF7A57&quot;/&gt;&lt;wsp:rsid wsp:val=&quot;00B002F8&quot;/&gt;&lt;wsp:rsid wsp:val=&quot;00B02200&quot;/&gt;&lt;wsp:rsid wsp:val=&quot;00B02B78&quot;/&gt;&lt;wsp:rsid wsp:val=&quot;00B03D8A&quot;/&gt;&lt;wsp:rsid wsp:val=&quot;00B064D3&quot;/&gt;&lt;wsp:rsid wsp:val=&quot;00B11C6C&quot;/&gt;&lt;wsp:rsid wsp:val=&quot;00B12E0F&quot;/&gt;&lt;wsp:rsid wsp:val=&quot;00B12F92&quot;/&gt;&lt;wsp:rsid wsp:val=&quot;00B15785&quot;/&gt;&lt;wsp:rsid wsp:val=&quot;00B16240&quot;/&gt;&lt;wsp:rsid wsp:val=&quot;00B22FB4&quot;/&gt;&lt;wsp:rsid wsp:val=&quot;00B24C85&quot;/&gt;&lt;wsp:rsid wsp:val=&quot;00B3123E&quot;/&gt;&lt;wsp:rsid wsp:val=&quot;00B32F48&quot;/&gt;&lt;wsp:rsid wsp:val=&quot;00B34343&quot;/&gt;&lt;wsp:rsid wsp:val=&quot;00B378C1&quot;/&gt;&lt;wsp:rsid wsp:val=&quot;00B41050&quot;/&gt;&lt;wsp:rsid wsp:val=&quot;00B41193&quot;/&gt;&lt;wsp:rsid wsp:val=&quot;00B41280&quot;/&gt;&lt;wsp:rsid wsp:val=&quot;00B416D3&quot;/&gt;&lt;wsp:rsid wsp:val=&quot;00B437BB&quot;/&gt;&lt;wsp:rsid wsp:val=&quot;00B43AA5&quot;/&gt;&lt;wsp:rsid wsp:val=&quot;00B513F3&quot;/&gt;&lt;wsp:rsid wsp:val=&quot;00B52AB0&quot;/&gt;&lt;wsp:rsid wsp:val=&quot;00B53990&quot;/&gt;&lt;wsp:rsid wsp:val=&quot;00B56B84&quot;/&gt;&lt;wsp:rsid wsp:val=&quot;00B5744F&quot;/&gt;&lt;wsp:rsid wsp:val=&quot;00B60DAD&quot;/&gt;&lt;wsp:rsid wsp:val=&quot;00B66969&quot;/&gt;&lt;wsp:rsid wsp:val=&quot;00B706CA&quot;/&gt;&lt;wsp:rsid wsp:val=&quot;00B7216E&quot;/&gt;&lt;wsp:rsid wsp:val=&quot;00B74052&quot;/&gt;&lt;wsp:rsid wsp:val=&quot;00B75310&quot;/&gt;&lt;wsp:rsid wsp:val=&quot;00B7796A&quot;/&gt;&lt;wsp:rsid wsp:val=&quot;00B84609&quot;/&gt;&lt;wsp:rsid wsp:val=&quot;00B85556&quot;/&gt;&lt;wsp:rsid wsp:val=&quot;00B86714&quot;/&gt;&lt;wsp:rsid wsp:val=&quot;00B87235&quot;/&gt;&lt;wsp:rsid wsp:val=&quot;00B903DB&quot;/&gt;&lt;wsp:rsid wsp:val=&quot;00B9305B&quot;/&gt;&lt;wsp:rsid wsp:val=&quot;00B9403A&quot;/&gt;&lt;wsp:rsid wsp:val=&quot;00BA5E23&quot;/&gt;&lt;wsp:rsid wsp:val=&quot;00BA64E8&quot;/&gt;&lt;wsp:rsid wsp:val=&quot;00BA7F26&quot;/&gt;&lt;wsp:rsid wsp:val=&quot;00BB32A2&quot;/&gt;&lt;wsp:rsid wsp:val=&quot;00BB5E5C&quot;/&gt;&lt;wsp:rsid wsp:val=&quot;00BC085C&quot;/&gt;&lt;wsp:rsid wsp:val=&quot;00BC5309&quot;/&gt;&lt;wsp:rsid wsp:val=&quot;00BC71A3&quot;/&gt;&lt;wsp:rsid wsp:val=&quot;00BD295D&quot;/&gt;&lt;wsp:rsid wsp:val=&quot;00BD304F&quot;/&gt;&lt;wsp:rsid wsp:val=&quot;00BD3287&quot;/&gt;&lt;wsp:rsid wsp:val=&quot;00BD3EED&quot;/&gt;&lt;wsp:rsid wsp:val=&quot;00BD4EE4&quot;/&gt;&lt;wsp:rsid wsp:val=&quot;00BD6FF1&quot;/&gt;&lt;wsp:rsid wsp:val=&quot;00BE305C&quot;/&gt;&lt;wsp:rsid wsp:val=&quot;00BE3734&quot;/&gt;&lt;wsp:rsid wsp:val=&quot;00BE47E7&quot;/&gt;&lt;wsp:rsid wsp:val=&quot;00BE4AB6&quot;/&gt;&lt;wsp:rsid wsp:val=&quot;00BE5D7D&quot;/&gt;&lt;wsp:rsid wsp:val=&quot;00BF0477&quot;/&gt;&lt;wsp:rsid wsp:val=&quot;00BF1782&quot;/&gt;&lt;wsp:rsid wsp:val=&quot;00BF68EA&quot;/&gt;&lt;wsp:rsid wsp:val=&quot;00BF78CB&quot;/&gt;&lt;wsp:rsid wsp:val=&quot;00BF78D6&quot;/&gt;&lt;wsp:rsid wsp:val=&quot;00C00EFB&quot;/&gt;&lt;wsp:rsid wsp:val=&quot;00C02602&quot;/&gt;&lt;wsp:rsid wsp:val=&quot;00C04D41&quot;/&gt;&lt;wsp:rsid wsp:val=&quot;00C063BF&quot;/&gt;&lt;wsp:rsid wsp:val=&quot;00C07BAB&quot;/&gt;&lt;wsp:rsid wsp:val=&quot;00C10CBA&quot;/&gt;&lt;wsp:rsid wsp:val=&quot;00C13DC3&quot;/&gt;&lt;wsp:rsid wsp:val=&quot;00C1414F&quot;/&gt;&lt;wsp:rsid wsp:val=&quot;00C20620&quot;/&gt;&lt;wsp:rsid wsp:val=&quot;00C20E49&quot;/&gt;&lt;wsp:rsid wsp:val=&quot;00C21065&quot;/&gt;&lt;wsp:rsid wsp:val=&quot;00C21CEF&quot;/&gt;&lt;wsp:rsid wsp:val=&quot;00C22FF5&quot;/&gt;&lt;wsp:rsid wsp:val=&quot;00C2479D&quot;/&gt;&lt;wsp:rsid wsp:val=&quot;00C255BD&quot;/&gt;&lt;wsp:rsid wsp:val=&quot;00C27C4C&quot;/&gt;&lt;wsp:rsid wsp:val=&quot;00C349D4&quot;/&gt;&lt;wsp:rsid wsp:val=&quot;00C3760E&quot;/&gt;&lt;wsp:rsid wsp:val=&quot;00C4018A&quot;/&gt;&lt;wsp:rsid wsp:val=&quot;00C40253&quot;/&gt;&lt;wsp:rsid wsp:val=&quot;00C43E24&quot;/&gt;&lt;wsp:rsid wsp:val=&quot;00C469E1&quot;/&gt;&lt;wsp:rsid wsp:val=&quot;00C522EC&quot;/&gt;&lt;wsp:rsid wsp:val=&quot;00C54DB6&quot;/&gt;&lt;wsp:rsid wsp:val=&quot;00C5785C&quot;/&gt;&lt;wsp:rsid wsp:val=&quot;00C611C5&quot;/&gt;&lt;wsp:rsid wsp:val=&quot;00C64552&quot;/&gt;&lt;wsp:rsid wsp:val=&quot;00C64AD2&quot;/&gt;&lt;wsp:rsid wsp:val=&quot;00C67BB1&quot;/&gt;&lt;wsp:rsid wsp:val=&quot;00C7618D&quot;/&gt;&lt;wsp:rsid wsp:val=&quot;00C8093E&quot;/&gt;&lt;wsp:rsid wsp:val=&quot;00C81E3A&quot;/&gt;&lt;wsp:rsid wsp:val=&quot;00C858F8&quot;/&gt;&lt;wsp:rsid wsp:val=&quot;00C93AD0&quot;/&gt;&lt;wsp:rsid wsp:val=&quot;00C93E20&quot;/&gt;&lt;wsp:rsid wsp:val=&quot;00C94582&quot;/&gt;&lt;wsp:rsid wsp:val=&quot;00C97572&quot;/&gt;&lt;wsp:rsid wsp:val=&quot;00CA09EA&quot;/&gt;&lt;wsp:rsid wsp:val=&quot;00CA2CC1&quot;/&gt;&lt;wsp:rsid wsp:val=&quot;00CA6A7C&quot;/&gt;&lt;wsp:rsid wsp:val=&quot;00CB3264&quot;/&gt;&lt;wsp:rsid wsp:val=&quot;00CB4F02&quot;/&gt;&lt;wsp:rsid wsp:val=&quot;00CB51EE&quot;/&gt;&lt;wsp:rsid wsp:val=&quot;00CB7D1C&quot;/&gt;&lt;wsp:rsid wsp:val=&quot;00CB7ECD&quot;/&gt;&lt;wsp:rsid wsp:val=&quot;00CC44D0&quot;/&gt;&lt;wsp:rsid wsp:val=&quot;00CC7DAC&quot;/&gt;&lt;wsp:rsid wsp:val=&quot;00CD0BDF&quot;/&gt;&lt;wsp:rsid wsp:val=&quot;00CD1CD9&quot;/&gt;&lt;wsp:rsid wsp:val=&quot;00CD4290&quot;/&gt;&lt;wsp:rsid wsp:val=&quot;00CD45BE&quot;/&gt;&lt;wsp:rsid wsp:val=&quot;00CD657E&quot;/&gt;&lt;wsp:rsid wsp:val=&quot;00CE0067&quot;/&gt;&lt;wsp:rsid wsp:val=&quot;00CE2497&quot;/&gt;&lt;wsp:rsid wsp:val=&quot;00CE2EA0&quot;/&gt;&lt;wsp:rsid wsp:val=&quot;00CE3094&quot;/&gt;&lt;wsp:rsid wsp:val=&quot;00CE53E2&quot;/&gt;&lt;wsp:rsid wsp:val=&quot;00CE604F&quot;/&gt;&lt;wsp:rsid wsp:val=&quot;00CF0069&quot;/&gt;&lt;wsp:rsid wsp:val=&quot;00CF78DB&quot;/&gt;&lt;wsp:rsid wsp:val=&quot;00D01070&quot;/&gt;&lt;wsp:rsid wsp:val=&quot;00D01AFE&quot;/&gt;&lt;wsp:rsid wsp:val=&quot;00D01DE1&quot;/&gt;&lt;wsp:rsid wsp:val=&quot;00D01FA1&quot;/&gt;&lt;wsp:rsid wsp:val=&quot;00D03D65&quot;/&gt;&lt;wsp:rsid wsp:val=&quot;00D07165&quot;/&gt;&lt;wsp:rsid wsp:val=&quot;00D11C09&quot;/&gt;&lt;wsp:rsid wsp:val=&quot;00D128A0&quot;/&gt;&lt;wsp:rsid wsp:val=&quot;00D1429F&quot;/&gt;&lt;wsp:rsid wsp:val=&quot;00D17033&quot;/&gt;&lt;wsp:rsid wsp:val=&quot;00D200D3&quot;/&gt;&lt;wsp:rsid wsp:val=&quot;00D253FC&quot;/&gt;&lt;wsp:rsid wsp:val=&quot;00D30C96&quot;/&gt;&lt;wsp:rsid wsp:val=&quot;00D325E8&quot;/&gt;&lt;wsp:rsid wsp:val=&quot;00D360DA&quot;/&gt;&lt;wsp:rsid wsp:val=&quot;00D36855&quot;/&gt;&lt;wsp:rsid wsp:val=&quot;00D371CD&quot;/&gt;&lt;wsp:rsid wsp:val=&quot;00D42209&quot;/&gt;&lt;wsp:rsid wsp:val=&quot;00D43574&quot;/&gt;&lt;wsp:rsid wsp:val=&quot;00D437C3&quot;/&gt;&lt;wsp:rsid wsp:val=&quot;00D43F4F&quot;/&gt;&lt;wsp:rsid wsp:val=&quot;00D43FBA&quot;/&gt;&lt;wsp:rsid wsp:val=&quot;00D4410D&quot;/&gt;&lt;wsp:rsid wsp:val=&quot;00D45A6F&quot;/&gt;&lt;wsp:rsid wsp:val=&quot;00D47BD8&quot;/&gt;&lt;wsp:rsid wsp:val=&quot;00D535D2&quot;/&gt;&lt;wsp:rsid wsp:val=&quot;00D54098&quot;/&gt;&lt;wsp:rsid wsp:val=&quot;00D612D2&quot;/&gt;&lt;wsp:rsid wsp:val=&quot;00D66634&quot;/&gt;&lt;wsp:rsid wsp:val=&quot;00D701DC&quot;/&gt;&lt;wsp:rsid wsp:val=&quot;00D75D00&quot;/&gt;&lt;wsp:rsid wsp:val=&quot;00D7779B&quot;/&gt;&lt;wsp:rsid wsp:val=&quot;00D81402&quot;/&gt;&lt;wsp:rsid wsp:val=&quot;00D90B52&quot;/&gt;&lt;wsp:rsid wsp:val=&quot;00D91458&quot;/&gt;&lt;wsp:rsid wsp:val=&quot;00D91DDB&quot;/&gt;&lt;wsp:rsid wsp:val=&quot;00D92744&quot;/&gt;&lt;wsp:rsid wsp:val=&quot;00D92CA0&quot;/&gt;&lt;wsp:rsid wsp:val=&quot;00D970EB&quot;/&gt;&lt;wsp:rsid wsp:val=&quot;00DA0E6D&quot;/&gt;&lt;wsp:rsid wsp:val=&quot;00DA7395&quot;/&gt;&lt;wsp:rsid wsp:val=&quot;00DB4B69&quot;/&gt;&lt;wsp:rsid wsp:val=&quot;00DB525B&quot;/&gt;&lt;wsp:rsid wsp:val=&quot;00DB594C&quot;/&gt;&lt;wsp:rsid wsp:val=&quot;00DC3233&quot;/&gt;&lt;wsp:rsid wsp:val=&quot;00DC3D85&quot;/&gt;&lt;wsp:rsid wsp:val=&quot;00DC70BB&quot;/&gt;&lt;wsp:rsid wsp:val=&quot;00DD00E9&quot;/&gt;&lt;wsp:rsid wsp:val=&quot;00DD538A&quot;/&gt;&lt;wsp:rsid wsp:val=&quot;00DD5C89&quot;/&gt;&lt;wsp:rsid wsp:val=&quot;00DD6CC6&quot;/&gt;&lt;wsp:rsid wsp:val=&quot;00DE285A&quot;/&gt;&lt;wsp:rsid wsp:val=&quot;00DE349A&quot;/&gt;&lt;wsp:rsid wsp:val=&quot;00DE3F9F&quot;/&gt;&lt;wsp:rsid wsp:val=&quot;00DE6740&quot;/&gt;&lt;wsp:rsid wsp:val=&quot;00DF0372&quot;/&gt;&lt;wsp:rsid wsp:val=&quot;00DF2C83&quot;/&gt;&lt;wsp:rsid wsp:val=&quot;00DF4DA4&quot;/&gt;&lt;wsp:rsid wsp:val=&quot;00DF4E45&quot;/&gt;&lt;wsp:rsid wsp:val=&quot;00DF5E81&quot;/&gt;&lt;wsp:rsid wsp:val=&quot;00E06135&quot;/&gt;&lt;wsp:rsid wsp:val=&quot;00E07BAF&quot;/&gt;&lt;wsp:rsid wsp:val=&quot;00E15946&quot;/&gt;&lt;wsp:rsid wsp:val=&quot;00E220D2&quot;/&gt;&lt;wsp:rsid wsp:val=&quot;00E234CB&quot;/&gt;&lt;wsp:rsid wsp:val=&quot;00E23585&quot;/&gt;&lt;wsp:rsid wsp:val=&quot;00E24FB2&quot;/&gt;&lt;wsp:rsid wsp:val=&quot;00E2586B&quot;/&gt;&lt;wsp:rsid wsp:val=&quot;00E25AE9&quot;/&gt;&lt;wsp:rsid wsp:val=&quot;00E30193&quot;/&gt;&lt;wsp:rsid wsp:val=&quot;00E313B0&quot;/&gt;&lt;wsp:rsid wsp:val=&quot;00E34684&quot;/&gt;&lt;wsp:rsid wsp:val=&quot;00E37790&quot;/&gt;&lt;wsp:rsid wsp:val=&quot;00E40531&quot;/&gt;&lt;wsp:rsid wsp:val=&quot;00E408C1&quot;/&gt;&lt;wsp:rsid wsp:val=&quot;00E43D11&quot;/&gt;&lt;wsp:rsid wsp:val=&quot;00E50240&quot;/&gt;&lt;wsp:rsid wsp:val=&quot;00E50C86&quot;/&gt;&lt;wsp:rsid wsp:val=&quot;00E52101&quot;/&gt;&lt;wsp:rsid wsp:val=&quot;00E53C59&quot;/&gt;&lt;wsp:rsid wsp:val=&quot;00E55059&quot;/&gt;&lt;wsp:rsid wsp:val=&quot;00E551D2&quot;/&gt;&lt;wsp:rsid wsp:val=&quot;00E56B0B&quot;/&gt;&lt;wsp:rsid wsp:val=&quot;00E63341&quot;/&gt;&lt;wsp:rsid wsp:val=&quot;00E64F97&quot;/&gt;&lt;wsp:rsid wsp:val=&quot;00E741D2&quot;/&gt;&lt;wsp:rsid wsp:val=&quot;00E828D3&quot;/&gt;&lt;wsp:rsid wsp:val=&quot;00E85288&quot;/&gt;&lt;wsp:rsid wsp:val=&quot;00E87D29&quot;/&gt;&lt;wsp:rsid wsp:val=&quot;00E92764&quot;/&gt;&lt;wsp:rsid wsp:val=&quot;00E928BC&quot;/&gt;&lt;wsp:rsid wsp:val=&quot;00EA0523&quot;/&gt;&lt;wsp:rsid wsp:val=&quot;00EA14D2&quot;/&gt;&lt;wsp:rsid wsp:val=&quot;00EA185C&quot;/&gt;&lt;wsp:rsid wsp:val=&quot;00EA2475&quot;/&gt;&lt;wsp:rsid wsp:val=&quot;00EA35DE&quot;/&gt;&lt;wsp:rsid wsp:val=&quot;00EA3840&quot;/&gt;&lt;wsp:rsid wsp:val=&quot;00EA6050&quot;/&gt;&lt;wsp:rsid wsp:val=&quot;00EA6BB1&quot;/&gt;&lt;wsp:rsid wsp:val=&quot;00EA7DD6&quot;/&gt;&lt;wsp:rsid wsp:val=&quot;00EA7F1A&quot;/&gt;&lt;wsp:rsid wsp:val=&quot;00EB1736&quot;/&gt;&lt;wsp:rsid wsp:val=&quot;00EB30F8&quot;/&gt;&lt;wsp:rsid wsp:val=&quot;00EB3DEF&quot;/&gt;&lt;wsp:rsid wsp:val=&quot;00EB3E26&quot;/&gt;&lt;wsp:rsid wsp:val=&quot;00EB463C&quot;/&gt;&lt;wsp:rsid wsp:val=&quot;00EB50AA&quot;/&gt;&lt;wsp:rsid wsp:val=&quot;00EC30AF&quot;/&gt;&lt;wsp:rsid wsp:val=&quot;00EC41A7&quot;/&gt;&lt;wsp:rsid wsp:val=&quot;00EC60C5&quot;/&gt;&lt;wsp:rsid wsp:val=&quot;00EC64C6&quot;/&gt;&lt;wsp:rsid wsp:val=&quot;00EC6A62&quot;/&gt;&lt;wsp:rsid wsp:val=&quot;00ED0C21&quot;/&gt;&lt;wsp:rsid wsp:val=&quot;00ED309F&quot;/&gt;&lt;wsp:rsid wsp:val=&quot;00ED5B65&quot;/&gt;&lt;wsp:rsid wsp:val=&quot;00ED5BFA&quot;/&gt;&lt;wsp:rsid wsp:val=&quot;00EE214A&quot;/&gt;&lt;wsp:rsid wsp:val=&quot;00EE31B7&quot;/&gt;&lt;wsp:rsid wsp:val=&quot;00EE42D5&quot;/&gt;&lt;wsp:rsid wsp:val=&quot;00EF0B42&quot;/&gt;&lt;wsp:rsid wsp:val=&quot;00EF3EF4&quot;/&gt;&lt;wsp:rsid wsp:val=&quot;00EF546A&quot;/&gt;&lt;wsp:rsid wsp:val=&quot;00EF7F1B&quot;/&gt;&lt;wsp:rsid wsp:val=&quot;00F03483&quot;/&gt;&lt;wsp:rsid wsp:val=&quot;00F045AD&quot;/&gt;&lt;wsp:rsid wsp:val=&quot;00F04D2E&quot;/&gt;&lt;wsp:rsid wsp:val=&quot;00F04FDA&quot;/&gt;&lt;wsp:rsid wsp:val=&quot;00F0545A&quot;/&gt;&lt;wsp:rsid wsp:val=&quot;00F064C3&quot;/&gt;&lt;wsp:rsid wsp:val=&quot;00F06D38&quot;/&gt;&lt;wsp:rsid wsp:val=&quot;00F07269&quot;/&gt;&lt;wsp:rsid wsp:val=&quot;00F10058&quot;/&gt;&lt;wsp:rsid wsp:val=&quot;00F11827&quot;/&gt;&lt;wsp:rsid wsp:val=&quot;00F1193D&quot;/&gt;&lt;wsp:rsid wsp:val=&quot;00F165E3&quot;/&gt;&lt;wsp:rsid wsp:val=&quot;00F174BD&quot;/&gt;&lt;wsp:rsid wsp:val=&quot;00F20D8D&quot;/&gt;&lt;wsp:rsid wsp:val=&quot;00F2595F&quot;/&gt;&lt;wsp:rsid wsp:val=&quot;00F305EC&quot;/&gt;&lt;wsp:rsid wsp:val=&quot;00F30E1F&quot;/&gt;&lt;wsp:rsid wsp:val=&quot;00F311D0&quot;/&gt;&lt;wsp:rsid wsp:val=&quot;00F33BEC&quot;/&gt;&lt;wsp:rsid wsp:val=&quot;00F35805&quot;/&gt;&lt;wsp:rsid wsp:val=&quot;00F37F72&quot;/&gt;&lt;wsp:rsid wsp:val=&quot;00F414CE&quot;/&gt;&lt;wsp:rsid wsp:val=&quot;00F50C16&quot;/&gt;&lt;wsp:rsid wsp:val=&quot;00F50D6A&quot;/&gt;&lt;wsp:rsid wsp:val=&quot;00F51465&quot;/&gt;&lt;wsp:rsid wsp:val=&quot;00F516B9&quot;/&gt;&lt;wsp:rsid wsp:val=&quot;00F536A2&quot;/&gt;&lt;wsp:rsid wsp:val=&quot;00F54057&quot;/&gt;&lt;wsp:rsid wsp:val=&quot;00F552B0&quot;/&gt;&lt;wsp:rsid wsp:val=&quot;00F56E5D&quot;/&gt;&lt;wsp:rsid wsp:val=&quot;00F608AC&quot;/&gt;&lt;wsp:rsid wsp:val=&quot;00F634D1&quot;/&gt;&lt;wsp:rsid wsp:val=&quot;00F63CB1&quot;/&gt;&lt;wsp:rsid wsp:val=&quot;00F642A7&quot;/&gt;&lt;wsp:rsid wsp:val=&quot;00F65166&quot;/&gt;&lt;wsp:rsid wsp:val=&quot;00F66BAA&quot;/&gt;&lt;wsp:rsid wsp:val=&quot;00F7193E&quot;/&gt;&lt;wsp:rsid wsp:val=&quot;00F73DA4&quot;/&gt;&lt;wsp:rsid wsp:val=&quot;00F77389&quot;/&gt;&lt;wsp:rsid wsp:val=&quot;00F8075F&quot;/&gt;&lt;wsp:rsid wsp:val=&quot;00F80E52&quot;/&gt;&lt;wsp:rsid wsp:val=&quot;00F82566&quot;/&gt;&lt;wsp:rsid wsp:val=&quot;00F83F17&quot;/&gt;&lt;wsp:rsid wsp:val=&quot;00F84C91&quot;/&gt;&lt;wsp:rsid wsp:val=&quot;00F8520D&quot;/&gt;&lt;wsp:rsid wsp:val=&quot;00F86EB5&quot;/&gt;&lt;wsp:rsid wsp:val=&quot;00F91220&quot;/&gt;&lt;wsp:rsid wsp:val=&quot;00F9206B&quot;/&gt;&lt;wsp:rsid wsp:val=&quot;00F921CF&quot;/&gt;&lt;wsp:rsid wsp:val=&quot;00F970FE&quot;/&gt;&lt;wsp:rsid wsp:val=&quot;00F97567&quot;/&gt;&lt;wsp:rsid wsp:val=&quot;00F97757&quot;/&gt;&lt;wsp:rsid wsp:val=&quot;00FA4211&quot;/&gt;&lt;wsp:rsid wsp:val=&quot;00FA5A37&quot;/&gt;&lt;wsp:rsid wsp:val=&quot;00FA65E6&quot;/&gt;&lt;wsp:rsid wsp:val=&quot;00FB2B69&quot;/&gt;&lt;wsp:rsid wsp:val=&quot;00FB446C&quot;/&gt;&lt;wsp:rsid wsp:val=&quot;00FB5012&quot;/&gt;&lt;wsp:rsid wsp:val=&quot;00FC2234&quot;/&gt;&lt;wsp:rsid wsp:val=&quot;00FC2AF1&quot;/&gt;&lt;wsp:rsid wsp:val=&quot;00FC4591&quot;/&gt;&lt;wsp:rsid wsp:val=&quot;00FC5E5A&quot;/&gt;&lt;wsp:rsid wsp:val=&quot;00FC5EB8&quot;/&gt;&lt;wsp:rsid wsp:val=&quot;00FC7F6E&quot;/&gt;&lt;wsp:rsid wsp:val=&quot;00FD24C4&quot;/&gt;&lt;wsp:rsid wsp:val=&quot;00FD3030&quot;/&gt;&lt;wsp:rsid wsp:val=&quot;00FD653D&quot;/&gt;&lt;wsp:rsid wsp:val=&quot;00FD6C54&quot;/&gt;&lt;wsp:rsid wsp:val=&quot;00FE1EE8&quot;/&gt;&lt;wsp:rsid wsp:val=&quot;00FE2D56&quot;/&gt;&lt;wsp:rsid wsp:val=&quot;00FE3B15&quot;/&gt;&lt;wsp:rsid wsp:val=&quot;00FE5AB8&quot;/&gt;&lt;wsp:rsid wsp:val=&quot;00FF279A&quot;/&gt;&lt;wsp:rsid wsp:val=&quot;00FF2F1C&quot;/&gt;&lt;wsp:rsid wsp:val=&quot;00FF3747&quot;/&gt;&lt;wsp:rsid wsp:val=&quot;00FF664A&quot;/&gt;&lt;/wsp:rsids&gt;&lt;/w:docPr&gt;&lt;w:body&gt;&lt;wx:sect&gt;&lt;w:p wsp:rsidR=&quot;002E121F&quot; wsp:rsidRDefault=&quot;002E121F&quot; wsp:rsidP=&quot;002E121F&quot;&gt;&lt;m:oMathPara&gt;&lt;m:oMath&gt;&lt;m:r&gt;&lt;m:rPr&gt;&lt;m:sty m:val=&quot;p&quot;/&gt;&lt;/m:rPr&gt;&lt;w:rPr&gt;&lt;w:rFonts w:ascii=&quot;Cambria Math&quot; w:h-ansi=&quot;Cambria Math&quot;/&gt;&lt;wx:font wx:val=&quot;Cambria Math&quot;/&gt;&lt;w:color w:val=&quot;000000&quot;/&gt;&lt;w:sz w:val=&quot;24&quot;/&gt;&lt;w:sz-cs w:val=&quot;24&quot;/&gt;&lt;/w:rPr&gt;&lt;m:t&gt;IBE%=&lt;/m:t&gt;&lt;/m:r&gt;&lt;m:f&gt;&lt;m:fPr&gt;&lt;m:ctrlPr&gt;&lt;w:rPr&gt;&lt;w:rFonts w:ascii=&quot;Cambria Math&quot; w:h-ansi=&quot;Cambria Math&quot;/&gt;&lt;wx:font wx:val=&quot;Cambria Math&quot;/&gt;&lt;w:i-cs/&gt;&lt;w:color w:val=&quot;000000&quot;/&gt;&lt;w:sz w:val=&quot;24&quot;/&gt;&lt;w:sz-cs w:val=&quot;24&quot;/&gt;&lt;/w:rPr&gt;&lt;/m:ctrlPr&gt;&lt;/m:fPr&gt;&lt;m:num&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C-&lt;/m:t&gt;&lt;/m:r&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A&lt;/m:t&gt;&lt;/m:r&gt;&lt;/m:e&gt;&lt;/m:nary&gt;&lt;/m:e&gt;&lt;/m:nary&gt;&lt;/m:num&gt;&lt;m:den&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C+&lt;/m:t&gt;&lt;/m:r&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A&lt;/m:t&gt;&lt;/m:r&gt;&lt;/m:e&gt;&lt;/m:nary&gt;&lt;/m:e&gt;&lt;/m:nary&gt;&lt;/m:den&gt;&lt;/m:f&gt;&lt;m:r&gt;&lt;m:rPr&gt;&lt;m:sty m:val=&quot;p&quot;/&gt;&lt;/m:rPr&gt;&lt;w:rPr&gt;&lt;w:rFonts w:ascii=&quot;Cambria Math&quot; w:h-ansi=&quot;Cambria Math&quot;/&gt;&lt;wx:font wx:val=&quot;Cambria Math&quot;/&gt;&lt;w:color w:val=&quot;000000&quot;/&gt;&lt;w:sz w:val=&quot;24&quot;/&gt;&lt;w:sz-cs w:val=&quot;24&quot;/&gt;&lt;/w:rPr&gt;&lt;m:t&gt;Ã—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DA06FB">
        <w:rPr>
          <w:rFonts w:ascii="Times New Roman" w:hAnsi="Times New Roman"/>
          <w:iCs/>
          <w:color w:val="000000"/>
          <w:sz w:val="24"/>
          <w:szCs w:val="24"/>
        </w:rPr>
        <w:fldChar w:fldCharType="end"/>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t>(1)</w:t>
      </w:r>
    </w:p>
    <w:p w14:paraId="0193ABE7" w14:textId="77777777" w:rsidR="00D22F1B" w:rsidRPr="00DA06FB" w:rsidRDefault="00D22F1B" w:rsidP="00DA06FB">
      <w:pPr>
        <w:spacing w:after="0" w:line="360" w:lineRule="auto"/>
        <w:ind w:firstLine="720"/>
        <w:jc w:val="both"/>
        <w:rPr>
          <w:rFonts w:ascii="Times New Roman" w:hAnsi="Times New Roman"/>
          <w:iCs/>
          <w:color w:val="000000"/>
        </w:rPr>
      </w:pPr>
      <w:r w:rsidRPr="00DA06FB">
        <w:rPr>
          <w:rFonts w:ascii="Times New Roman" w:hAnsi="Times New Roman"/>
          <w:color w:val="000000"/>
        </w:rPr>
        <w:t>∑TC=total ionic concentration of cation expressed in milliequivalent per litre (meq/l).</w:t>
      </w:r>
    </w:p>
    <w:p w14:paraId="19366F1F" w14:textId="77777777" w:rsidR="00731799" w:rsidRDefault="00D22F1B" w:rsidP="00234F4D">
      <w:pPr>
        <w:spacing w:after="0" w:line="360" w:lineRule="auto"/>
        <w:ind w:firstLine="720"/>
        <w:jc w:val="both"/>
        <w:rPr>
          <w:rFonts w:ascii="Times New Roman" w:hAnsi="Times New Roman"/>
          <w:color w:val="000000"/>
        </w:rPr>
      </w:pPr>
      <w:r w:rsidRPr="00DA06FB">
        <w:rPr>
          <w:rFonts w:ascii="Times New Roman" w:hAnsi="Times New Roman"/>
          <w:color w:val="000000"/>
        </w:rPr>
        <w:t xml:space="preserve">∑TA=total ionic concentration of anion expressed in milliequivalent per litre (meq/l). </w:t>
      </w:r>
    </w:p>
    <w:p w14:paraId="5851C690" w14:textId="77777777" w:rsidR="00234F4D" w:rsidRPr="00DA06FB" w:rsidRDefault="00234F4D" w:rsidP="00234F4D">
      <w:pPr>
        <w:spacing w:after="0" w:line="360" w:lineRule="auto"/>
        <w:ind w:firstLine="720"/>
        <w:jc w:val="both"/>
        <w:rPr>
          <w:rFonts w:ascii="Times New Roman" w:hAnsi="Times New Roman"/>
          <w:color w:val="000000"/>
        </w:rPr>
      </w:pPr>
    </w:p>
    <w:p w14:paraId="543B6089" w14:textId="77777777" w:rsidR="00B66D4F" w:rsidRPr="00C05A82" w:rsidRDefault="00B66D4F" w:rsidP="00DA06FB">
      <w:pPr>
        <w:spacing w:after="0" w:line="360" w:lineRule="auto"/>
        <w:jc w:val="both"/>
        <w:rPr>
          <w:rFonts w:ascii="Times New Roman" w:hAnsi="Times New Roman"/>
          <w:color w:val="000000"/>
          <w:sz w:val="24"/>
          <w:szCs w:val="24"/>
        </w:rPr>
      </w:pPr>
      <w:r w:rsidRPr="00C05A82">
        <w:rPr>
          <w:rFonts w:ascii="Times New Roman" w:hAnsi="Times New Roman"/>
          <w:b/>
          <w:bCs/>
          <w:color w:val="000000"/>
          <w:sz w:val="24"/>
          <w:szCs w:val="24"/>
        </w:rPr>
        <w:t>Graphical Methods for Evaluation of Geochemical Processes</w:t>
      </w:r>
    </w:p>
    <w:p w14:paraId="04F33E51" w14:textId="57551993" w:rsidR="006A3238" w:rsidRPr="00DA06FB" w:rsidRDefault="00E24A5B" w:rsidP="005F7043">
      <w:pPr>
        <w:spacing w:after="0" w:line="24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The geochemical properties of groundwater</w:t>
      </w:r>
      <w:r w:rsidR="001353B3">
        <w:rPr>
          <w:rFonts w:ascii="Times New Roman" w:hAnsi="Times New Roman"/>
          <w:bCs/>
          <w:color w:val="000000"/>
          <w:sz w:val="24"/>
          <w:szCs w:val="24"/>
          <w:shd w:val="clear" w:color="auto" w:fill="FFFFFF"/>
        </w:rPr>
        <w:t xml:space="preserve"> and facies </w:t>
      </w:r>
      <w:r w:rsidR="006E35D3">
        <w:rPr>
          <w:rFonts w:ascii="Times New Roman" w:hAnsi="Times New Roman"/>
          <w:bCs/>
          <w:color w:val="000000"/>
          <w:sz w:val="24"/>
          <w:szCs w:val="24"/>
          <w:shd w:val="clear" w:color="auto" w:fill="FFFFFF"/>
        </w:rPr>
        <w:t>analysis</w:t>
      </w:r>
      <w:r w:rsidR="00043A45" w:rsidRPr="00DA06FB">
        <w:rPr>
          <w:rFonts w:ascii="Times New Roman" w:hAnsi="Times New Roman"/>
          <w:bCs/>
          <w:color w:val="000000"/>
          <w:sz w:val="24"/>
          <w:szCs w:val="24"/>
          <w:shd w:val="clear" w:color="auto" w:fill="FFFFFF"/>
        </w:rPr>
        <w:t xml:space="preserve"> along with its origin at different aquifer </w:t>
      </w:r>
      <w:r w:rsidR="00B66D4F" w:rsidRPr="00DA06FB">
        <w:rPr>
          <w:rFonts w:ascii="Times New Roman" w:hAnsi="Times New Roman"/>
          <w:bCs/>
          <w:color w:val="000000"/>
          <w:sz w:val="24"/>
          <w:szCs w:val="24"/>
          <w:shd w:val="clear" w:color="auto" w:fill="FFFFFF"/>
        </w:rPr>
        <w:t xml:space="preserve">system </w:t>
      </w:r>
      <w:r w:rsidRPr="00DA06FB">
        <w:rPr>
          <w:rFonts w:ascii="Times New Roman" w:hAnsi="Times New Roman"/>
          <w:bCs/>
          <w:color w:val="000000"/>
          <w:sz w:val="24"/>
          <w:szCs w:val="24"/>
          <w:shd w:val="clear" w:color="auto" w:fill="FFFFFF"/>
        </w:rPr>
        <w:t xml:space="preserve">were assessed </w:t>
      </w:r>
      <w:r w:rsidR="00EE1AEC" w:rsidRPr="00DA06FB">
        <w:rPr>
          <w:rFonts w:ascii="Times New Roman" w:hAnsi="Times New Roman"/>
          <w:bCs/>
          <w:color w:val="000000"/>
          <w:sz w:val="24"/>
          <w:szCs w:val="24"/>
          <w:shd w:val="clear" w:color="auto" w:fill="FFFFFF"/>
        </w:rPr>
        <w:t>using</w:t>
      </w:r>
      <w:r w:rsidRPr="00DA06FB">
        <w:rPr>
          <w:rFonts w:ascii="Times New Roman" w:hAnsi="Times New Roman"/>
          <w:bCs/>
          <w:color w:val="000000"/>
          <w:sz w:val="24"/>
          <w:szCs w:val="24"/>
          <w:shd w:val="clear" w:color="auto" w:fill="FFFFFF"/>
        </w:rPr>
        <w:t xml:space="preserve"> Piper-Trilinear,</w:t>
      </w:r>
      <w:r w:rsidR="003E3454">
        <w:rPr>
          <w:rFonts w:ascii="Times New Roman" w:hAnsi="Times New Roman"/>
          <w:bCs/>
          <w:color w:val="000000"/>
          <w:sz w:val="24"/>
          <w:szCs w:val="24"/>
          <w:shd w:val="clear" w:color="auto" w:fill="FFFFFF"/>
        </w:rPr>
        <w:t xml:space="preserve"> </w:t>
      </w:r>
      <w:r w:rsidRPr="00DA06FB">
        <w:rPr>
          <w:rFonts w:ascii="Times New Roman" w:hAnsi="Times New Roman"/>
          <w:bCs/>
          <w:color w:val="000000"/>
          <w:sz w:val="24"/>
          <w:szCs w:val="24"/>
          <w:shd w:val="clear" w:color="auto" w:fill="FFFFFF"/>
        </w:rPr>
        <w:t>Gibbs</w:t>
      </w:r>
      <w:r w:rsidR="00043A45" w:rsidRPr="00DA06FB">
        <w:rPr>
          <w:rFonts w:ascii="Times New Roman" w:hAnsi="Times New Roman"/>
          <w:bCs/>
          <w:color w:val="000000"/>
          <w:sz w:val="24"/>
          <w:szCs w:val="24"/>
          <w:shd w:val="clear" w:color="auto" w:fill="FFFFFF"/>
        </w:rPr>
        <w:t xml:space="preserve"> diagram</w:t>
      </w:r>
      <w:r w:rsidRPr="00DA06FB">
        <w:rPr>
          <w:rFonts w:ascii="Times New Roman" w:hAnsi="Times New Roman"/>
          <w:bCs/>
          <w:color w:val="000000"/>
          <w:sz w:val="24"/>
          <w:szCs w:val="24"/>
          <w:shd w:val="clear" w:color="auto" w:fill="FFFFFF"/>
        </w:rPr>
        <w:t>, and ion-scatter diagrams</w:t>
      </w:r>
      <w:r w:rsidR="000A2273">
        <w:rPr>
          <w:rFonts w:ascii="Times New Roman" w:hAnsi="Times New Roman"/>
          <w:bCs/>
          <w:color w:val="000000"/>
          <w:sz w:val="24"/>
          <w:szCs w:val="24"/>
          <w:shd w:val="clear" w:color="auto" w:fill="FFFFFF"/>
        </w:rPr>
        <w:t xml:space="preserve"> [8][19][20][21][22].</w:t>
      </w:r>
      <w:r w:rsidRPr="00DA06FB">
        <w:rPr>
          <w:rFonts w:ascii="Times New Roman" w:hAnsi="Times New Roman"/>
          <w:bCs/>
          <w:color w:val="000000"/>
          <w:sz w:val="24"/>
          <w:szCs w:val="24"/>
          <w:shd w:val="clear" w:color="auto" w:fill="FFFFFF"/>
        </w:rPr>
        <w:t xml:space="preserve"> </w:t>
      </w:r>
      <w:r w:rsidR="006A3238" w:rsidRPr="00DA06FB">
        <w:rPr>
          <w:rFonts w:ascii="Times New Roman" w:hAnsi="Times New Roman"/>
          <w:bCs/>
          <w:color w:val="000000"/>
          <w:sz w:val="24"/>
          <w:szCs w:val="24"/>
          <w:shd w:val="clear" w:color="auto" w:fill="FFFFFF"/>
        </w:rPr>
        <w:t>For the study of water rock interaction and mechanisms which are controlling the water chemistry, Gibbs (1970) introduced Gibbs scatter diagram</w:t>
      </w:r>
      <w:r w:rsidR="002008EC" w:rsidRPr="00DA06FB">
        <w:rPr>
          <w:rFonts w:ascii="Times New Roman" w:hAnsi="Times New Roman"/>
          <w:bCs/>
          <w:color w:val="000000"/>
          <w:sz w:val="24"/>
          <w:szCs w:val="24"/>
          <w:shd w:val="clear" w:color="auto" w:fill="FFFFFF"/>
        </w:rPr>
        <w:t xml:space="preserve"> </w:t>
      </w:r>
      <w:r w:rsidR="000A2273">
        <w:rPr>
          <w:rFonts w:ascii="Times New Roman" w:hAnsi="Times New Roman"/>
          <w:bCs/>
          <w:color w:val="000000"/>
          <w:sz w:val="24"/>
          <w:szCs w:val="24"/>
          <w:shd w:val="clear" w:color="auto" w:fill="FFFFFF"/>
        </w:rPr>
        <w:t>[19][20].</w:t>
      </w:r>
      <w:r w:rsidR="006A3238" w:rsidRPr="00DA06FB">
        <w:rPr>
          <w:rFonts w:ascii="Times New Roman" w:hAnsi="Times New Roman"/>
          <w:bCs/>
          <w:color w:val="000000"/>
          <w:sz w:val="24"/>
          <w:szCs w:val="24"/>
          <w:shd w:val="clear" w:color="auto" w:fill="FFFFFF"/>
        </w:rPr>
        <w:t xml:space="preserve"> Gibbs ratio</w:t>
      </w:r>
      <w:r w:rsidR="00353FFC">
        <w:rPr>
          <w:rFonts w:ascii="Times New Roman" w:hAnsi="Times New Roman"/>
          <w:bCs/>
          <w:color w:val="000000"/>
          <w:sz w:val="24"/>
          <w:szCs w:val="24"/>
          <w:shd w:val="clear" w:color="auto" w:fill="FFFFFF"/>
        </w:rPr>
        <w:t xml:space="preserve"> </w:t>
      </w:r>
      <w:r w:rsidR="006A3238" w:rsidRPr="00DA06FB">
        <w:rPr>
          <w:rFonts w:ascii="Times New Roman" w:hAnsi="Times New Roman"/>
          <w:bCs/>
          <w:color w:val="000000"/>
          <w:sz w:val="24"/>
          <w:szCs w:val="24"/>
          <w:shd w:val="clear" w:color="auto" w:fill="FFFFFF"/>
        </w:rPr>
        <w:t>for anion</w:t>
      </w:r>
      <w:r w:rsidR="001353B3">
        <w:rPr>
          <w:rFonts w:ascii="Times New Roman" w:hAnsi="Times New Roman"/>
          <w:bCs/>
          <w:color w:val="000000"/>
          <w:sz w:val="24"/>
          <w:szCs w:val="24"/>
          <w:shd w:val="clear" w:color="auto" w:fill="FFFFFF"/>
        </w:rPr>
        <w:t xml:space="preserve"> </w:t>
      </w:r>
      <w:r w:rsidR="006A3238" w:rsidRPr="00DA06FB">
        <w:rPr>
          <w:rFonts w:ascii="Times New Roman" w:hAnsi="Times New Roman"/>
          <w:bCs/>
          <w:color w:val="000000"/>
          <w:sz w:val="24"/>
          <w:szCs w:val="24"/>
          <w:shd w:val="clear" w:color="auto" w:fill="FFFFFF"/>
        </w:rPr>
        <w:t xml:space="preserve">and cation </w:t>
      </w:r>
      <w:r w:rsidR="004A4CF9" w:rsidRPr="00DA06FB">
        <w:rPr>
          <w:rFonts w:ascii="Times New Roman" w:hAnsi="Times New Roman"/>
          <w:bCs/>
          <w:color w:val="000000"/>
          <w:sz w:val="24"/>
          <w:szCs w:val="24"/>
          <w:shd w:val="clear" w:color="auto" w:fill="FFFFFF"/>
        </w:rPr>
        <w:t>was</w:t>
      </w:r>
      <w:r w:rsidR="006A3238" w:rsidRPr="00DA06FB">
        <w:rPr>
          <w:rFonts w:ascii="Times New Roman" w:hAnsi="Times New Roman"/>
          <w:bCs/>
          <w:color w:val="000000"/>
          <w:sz w:val="24"/>
          <w:szCs w:val="24"/>
          <w:shd w:val="clear" w:color="auto" w:fill="FFFFFF"/>
        </w:rPr>
        <w:t xml:space="preserve"> calculated by using the Eq</w:t>
      </w:r>
      <w:r w:rsidR="000A2273">
        <w:rPr>
          <w:rFonts w:ascii="Times New Roman" w:hAnsi="Times New Roman"/>
          <w:bCs/>
          <w:color w:val="000000"/>
          <w:sz w:val="24"/>
          <w:szCs w:val="24"/>
          <w:shd w:val="clear" w:color="auto" w:fill="FFFFFF"/>
        </w:rPr>
        <w:t>uations</w:t>
      </w:r>
      <w:r w:rsidR="006A3238" w:rsidRPr="00DA06FB">
        <w:rPr>
          <w:rFonts w:ascii="Times New Roman" w:hAnsi="Times New Roman"/>
          <w:bCs/>
          <w:color w:val="000000"/>
          <w:sz w:val="24"/>
          <w:szCs w:val="24"/>
          <w:shd w:val="clear" w:color="auto" w:fill="FFFFFF"/>
        </w:rPr>
        <w:t xml:space="preserve"> (2) and (3).</w:t>
      </w:r>
    </w:p>
    <w:p w14:paraId="02AA550A" w14:textId="77777777" w:rsidR="006A3238" w:rsidRPr="00DA06FB" w:rsidRDefault="006A3238" w:rsidP="00DA06FB">
      <w:pPr>
        <w:spacing w:after="0" w:line="36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Gibbs Ratio (1) = 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+HCO</w:t>
      </w:r>
      <w:r w:rsidRPr="00DA06FB">
        <w:rPr>
          <w:rFonts w:ascii="Times New Roman" w:hAnsi="Times New Roman"/>
          <w:bCs/>
          <w:color w:val="000000"/>
          <w:sz w:val="24"/>
          <w:szCs w:val="24"/>
          <w:shd w:val="clear" w:color="auto" w:fill="FFFFFF"/>
          <w:vertAlign w:val="subscript"/>
        </w:rPr>
        <w:t>3</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w:t>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00270687"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(2)</w:t>
      </w:r>
    </w:p>
    <w:p w14:paraId="5B8D092B" w14:textId="77777777" w:rsidR="00CD4CA9" w:rsidRDefault="006A3238" w:rsidP="00DA06FB">
      <w:pPr>
        <w:spacing w:after="0" w:line="36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Gibbs Ratio (2) = (Na</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+K</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 (Na</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+K</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+Ca</w:t>
      </w:r>
      <w:r w:rsidRPr="00DA06FB">
        <w:rPr>
          <w:rFonts w:ascii="Times New Roman" w:hAnsi="Times New Roman"/>
          <w:bCs/>
          <w:color w:val="000000"/>
          <w:sz w:val="24"/>
          <w:szCs w:val="24"/>
          <w:shd w:val="clear" w:color="auto" w:fill="FFFFFF"/>
          <w:vertAlign w:val="superscript"/>
        </w:rPr>
        <w:t>2+</w:t>
      </w:r>
      <w:r w:rsidRPr="00DA06FB">
        <w:rPr>
          <w:rFonts w:ascii="Times New Roman" w:hAnsi="Times New Roman"/>
          <w:bCs/>
          <w:color w:val="000000"/>
          <w:sz w:val="24"/>
          <w:szCs w:val="24"/>
          <w:shd w:val="clear" w:color="auto" w:fill="FFFFFF"/>
        </w:rPr>
        <w:t>)</w:t>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t>(3)</w:t>
      </w:r>
    </w:p>
    <w:p w14:paraId="4CA59ABA" w14:textId="77777777" w:rsidR="00BA2A26" w:rsidRPr="00C05A82" w:rsidRDefault="00BA2A26" w:rsidP="00BA2A26">
      <w:pPr>
        <w:spacing w:after="0" w:line="360" w:lineRule="auto"/>
        <w:jc w:val="both"/>
        <w:rPr>
          <w:rFonts w:ascii="Times New Roman" w:hAnsi="Times New Roman"/>
          <w:bCs/>
          <w:color w:val="000000"/>
          <w:sz w:val="24"/>
          <w:szCs w:val="24"/>
          <w:shd w:val="clear" w:color="auto" w:fill="FFFFFF"/>
        </w:rPr>
      </w:pPr>
      <w:r w:rsidRPr="00C05A82">
        <w:rPr>
          <w:rFonts w:ascii="Times New Roman" w:hAnsi="Times New Roman"/>
          <w:b/>
          <w:color w:val="000000"/>
          <w:sz w:val="24"/>
          <w:szCs w:val="24"/>
          <w:shd w:val="clear" w:color="auto" w:fill="FFFFFF"/>
        </w:rPr>
        <w:t>Ionic ratio</w:t>
      </w:r>
    </w:p>
    <w:p w14:paraId="082DB5D4" w14:textId="2FAE173B" w:rsidR="00BA2A26" w:rsidRPr="00DA06FB" w:rsidRDefault="00BA2A26" w:rsidP="005F7043">
      <w:pPr>
        <w:spacing w:after="0" w:line="240" w:lineRule="auto"/>
        <w:jc w:val="both"/>
        <w:rPr>
          <w:rFonts w:ascii="Times New Roman" w:hAnsi="Times New Roman"/>
          <w:bCs/>
          <w:color w:val="000000"/>
          <w:sz w:val="24"/>
          <w:szCs w:val="24"/>
          <w:shd w:val="clear" w:color="auto" w:fill="FFFFFF"/>
        </w:rPr>
      </w:pPr>
      <w:r w:rsidRPr="00DA06FB">
        <w:rPr>
          <w:rFonts w:ascii="Times New Roman" w:hAnsi="Times New Roman"/>
          <w:iCs/>
          <w:color w:val="000000"/>
          <w:sz w:val="24"/>
          <w:szCs w:val="24"/>
        </w:rPr>
        <w:t xml:space="preserve">By identifying the predominant geochemical processes governing groundwater evolution, ionic ratios like Na⁺/Cl⁻, Ca²⁺/Mg²⁺, HCO₃⁻/Cl⁻, and (Ca²⁺ + Mg²⁺)/HCO₃⁻, chloro-alkaline indices offer further evidence to support the chemometric findings </w:t>
      </w:r>
      <w:r w:rsidR="000A2273">
        <w:rPr>
          <w:rFonts w:ascii="Times New Roman" w:hAnsi="Times New Roman"/>
          <w:iCs/>
          <w:color w:val="000000"/>
          <w:sz w:val="24"/>
          <w:szCs w:val="24"/>
        </w:rPr>
        <w:t>[23][24][25]</w:t>
      </w:r>
      <w:r w:rsidRPr="00DA06FB">
        <w:rPr>
          <w:rFonts w:ascii="Times New Roman" w:hAnsi="Times New Roman"/>
          <w:iCs/>
          <w:color w:val="000000"/>
          <w:sz w:val="24"/>
          <w:szCs w:val="24"/>
        </w:rPr>
        <w:t xml:space="preserve">. </w:t>
      </w:r>
      <w:r>
        <w:rPr>
          <w:rFonts w:ascii="Times New Roman" w:hAnsi="Times New Roman"/>
          <w:iCs/>
          <w:color w:val="000000"/>
          <w:sz w:val="24"/>
          <w:szCs w:val="24"/>
        </w:rPr>
        <w:t xml:space="preserve">The Chloro-alkaline </w:t>
      </w:r>
      <w:r>
        <w:rPr>
          <w:rFonts w:ascii="Times New Roman" w:hAnsi="Times New Roman"/>
          <w:bCs/>
          <w:color w:val="000000"/>
          <w:sz w:val="24"/>
          <w:szCs w:val="24"/>
          <w:shd w:val="clear" w:color="auto" w:fill="FFFFFF"/>
        </w:rPr>
        <w:t>i</w:t>
      </w:r>
      <w:r w:rsidRPr="00DA06FB">
        <w:rPr>
          <w:rFonts w:ascii="Times New Roman" w:hAnsi="Times New Roman"/>
          <w:bCs/>
          <w:color w:val="000000"/>
          <w:sz w:val="24"/>
          <w:szCs w:val="24"/>
          <w:shd w:val="clear" w:color="auto" w:fill="FFFFFF"/>
        </w:rPr>
        <w:t>ndices (CAI-1 &amp; CAI-2) as proposed by Scholler (1977), calculated as given below in Eq</w:t>
      </w:r>
      <w:r w:rsidR="000A2273">
        <w:rPr>
          <w:rFonts w:ascii="Times New Roman" w:hAnsi="Times New Roman"/>
          <w:bCs/>
          <w:color w:val="000000"/>
          <w:sz w:val="24"/>
          <w:szCs w:val="24"/>
          <w:shd w:val="clear" w:color="auto" w:fill="FFFFFF"/>
        </w:rPr>
        <w:t xml:space="preserve">uations </w:t>
      </w:r>
      <w:r w:rsidRPr="00DA06FB">
        <w:rPr>
          <w:rFonts w:ascii="Times New Roman" w:hAnsi="Times New Roman"/>
          <w:bCs/>
          <w:color w:val="000000"/>
          <w:sz w:val="24"/>
          <w:szCs w:val="24"/>
          <w:shd w:val="clear" w:color="auto" w:fill="FFFFFF"/>
        </w:rPr>
        <w:t>4 and 5</w:t>
      </w:r>
      <w:r w:rsidR="000A2273">
        <w:rPr>
          <w:rFonts w:ascii="Times New Roman" w:hAnsi="Times New Roman"/>
          <w:bCs/>
          <w:color w:val="000000"/>
          <w:sz w:val="24"/>
          <w:szCs w:val="24"/>
          <w:shd w:val="clear" w:color="auto" w:fill="FFFFFF"/>
        </w:rPr>
        <w:t xml:space="preserve"> </w:t>
      </w:r>
      <w:r w:rsidRPr="00DA06FB">
        <w:rPr>
          <w:rFonts w:ascii="Times New Roman" w:hAnsi="Times New Roman"/>
          <w:bCs/>
          <w:color w:val="000000"/>
          <w:sz w:val="24"/>
          <w:szCs w:val="24"/>
          <w:shd w:val="clear" w:color="auto" w:fill="FFFFFF"/>
        </w:rPr>
        <w:t>(ions are in meq/l).</w:t>
      </w:r>
    </w:p>
    <w:p w14:paraId="5CA53AD7" w14:textId="77777777" w:rsidR="00BA2A26" w:rsidRPr="00DA06FB" w:rsidRDefault="00BA2A26" w:rsidP="00BA2A26">
      <w:pPr>
        <w:spacing w:after="0" w:line="36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CAI-1= {Cl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 (Na</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+K</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(4)</w:t>
      </w:r>
    </w:p>
    <w:p w14:paraId="49CF261E" w14:textId="77777777" w:rsidR="00BA2A26" w:rsidRPr="00DA06FB" w:rsidRDefault="00BA2A26" w:rsidP="00BA2A26">
      <w:pPr>
        <w:spacing w:after="0" w:line="36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CAI-2= {Cl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 (Na</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+K</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{SO</w:t>
      </w:r>
      <w:r w:rsidRPr="00DA06FB">
        <w:rPr>
          <w:rFonts w:ascii="Times New Roman" w:hAnsi="Times New Roman"/>
          <w:bCs/>
          <w:color w:val="000000"/>
          <w:sz w:val="24"/>
          <w:szCs w:val="24"/>
          <w:shd w:val="clear" w:color="auto" w:fill="FFFFFF"/>
          <w:vertAlign w:val="subscript"/>
        </w:rPr>
        <w:t>4</w:t>
      </w:r>
      <w:r w:rsidRPr="00DA06FB">
        <w:rPr>
          <w:rFonts w:ascii="Times New Roman" w:hAnsi="Times New Roman"/>
          <w:bCs/>
          <w:color w:val="000000"/>
          <w:sz w:val="24"/>
          <w:szCs w:val="24"/>
          <w:shd w:val="clear" w:color="auto" w:fill="FFFFFF"/>
          <w:vertAlign w:val="superscript"/>
        </w:rPr>
        <w:t>2-</w:t>
      </w:r>
      <w:r w:rsidRPr="00DA06FB">
        <w:rPr>
          <w:rFonts w:ascii="Times New Roman" w:hAnsi="Times New Roman"/>
          <w:bCs/>
          <w:color w:val="000000"/>
          <w:sz w:val="24"/>
          <w:szCs w:val="24"/>
          <w:shd w:val="clear" w:color="auto" w:fill="FFFFFF"/>
        </w:rPr>
        <w:t>+ HCO</w:t>
      </w:r>
      <w:r w:rsidRPr="00DA06FB">
        <w:rPr>
          <w:rFonts w:ascii="Times New Roman" w:hAnsi="Times New Roman"/>
          <w:bCs/>
          <w:color w:val="000000"/>
          <w:sz w:val="24"/>
          <w:szCs w:val="24"/>
          <w:shd w:val="clear" w:color="auto" w:fill="FFFFFF"/>
          <w:vertAlign w:val="subscript"/>
        </w:rPr>
        <w:t>3</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+NO</w:t>
      </w:r>
      <w:r w:rsidRPr="00DA06FB">
        <w:rPr>
          <w:rFonts w:ascii="Times New Roman" w:hAnsi="Times New Roman"/>
          <w:bCs/>
          <w:color w:val="000000"/>
          <w:sz w:val="24"/>
          <w:szCs w:val="24"/>
          <w:shd w:val="clear" w:color="auto" w:fill="FFFFFF"/>
          <w:vertAlign w:val="subscript"/>
        </w:rPr>
        <w:t>3</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w:t>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(5)</w:t>
      </w:r>
    </w:p>
    <w:p w14:paraId="60D375C6" w14:textId="171F9CF4" w:rsidR="00C05A82" w:rsidRPr="00C05A82" w:rsidRDefault="00BA2A26" w:rsidP="005F7043">
      <w:pPr>
        <w:spacing w:after="0" w:line="240" w:lineRule="auto"/>
        <w:jc w:val="both"/>
        <w:rPr>
          <w:rFonts w:ascii="Times New Roman" w:hAnsi="Times New Roman"/>
          <w:bCs/>
          <w:color w:val="000000"/>
          <w:sz w:val="24"/>
          <w:szCs w:val="24"/>
          <w:shd w:val="clear" w:color="auto" w:fill="FFFFFF"/>
        </w:rPr>
      </w:pPr>
      <w:r w:rsidRPr="00DA06FB">
        <w:rPr>
          <w:rFonts w:ascii="Times New Roman" w:hAnsi="Times New Roman"/>
          <w:iCs/>
          <w:color w:val="000000"/>
          <w:sz w:val="24"/>
          <w:szCs w:val="24"/>
        </w:rPr>
        <w:t>These indices show the different contributions of silicate weathering, evaporite (gypsum/halite) dissolution, carbonate dissolution, and cation exchange processes along the flow routes. In wells with longer residence times, deeper circulation, or constrained aquifer conditions, the integrated interpretation confirms a progressive</w:t>
      </w:r>
      <w:r w:rsidRPr="00DA06FB">
        <w:rPr>
          <w:rFonts w:ascii="Times New Roman" w:hAnsi="Times New Roman"/>
          <w:color w:val="000000"/>
        </w:rPr>
        <w:t xml:space="preserve"> </w:t>
      </w:r>
      <w:r w:rsidRPr="00DA06FB">
        <w:rPr>
          <w:rFonts w:ascii="Times New Roman" w:hAnsi="Times New Roman"/>
          <w:iCs/>
          <w:color w:val="000000"/>
          <w:sz w:val="24"/>
          <w:szCs w:val="24"/>
        </w:rPr>
        <w:t xml:space="preserve">hydrochemical change from fresh, recharge-zone Ca–HCO₃ facies towards more developed, saline, Na-rich types. </w:t>
      </w:r>
      <w:r w:rsidR="004A4CF9">
        <w:rPr>
          <w:rFonts w:ascii="Times New Roman" w:hAnsi="Times New Roman"/>
          <w:iCs/>
          <w:color w:val="000000"/>
          <w:sz w:val="24"/>
          <w:szCs w:val="24"/>
        </w:rPr>
        <w:t>[</w:t>
      </w:r>
      <w:r w:rsidR="00AD148F">
        <w:rPr>
          <w:rFonts w:ascii="Times New Roman" w:hAnsi="Times New Roman"/>
          <w:iCs/>
          <w:color w:val="000000"/>
          <w:sz w:val="24"/>
          <w:szCs w:val="24"/>
        </w:rPr>
        <w:t>10] [</w:t>
      </w:r>
      <w:r w:rsidR="004A4CF9">
        <w:rPr>
          <w:rFonts w:ascii="Times New Roman" w:hAnsi="Times New Roman"/>
          <w:iCs/>
          <w:color w:val="000000"/>
          <w:sz w:val="24"/>
          <w:szCs w:val="24"/>
        </w:rPr>
        <w:t>26</w:t>
      </w:r>
      <w:r w:rsidR="002C2D64">
        <w:rPr>
          <w:rFonts w:ascii="Times New Roman" w:hAnsi="Times New Roman"/>
          <w:iCs/>
          <w:color w:val="000000"/>
          <w:sz w:val="24"/>
          <w:szCs w:val="24"/>
        </w:rPr>
        <w:t>-29]</w:t>
      </w:r>
      <w:r w:rsidRPr="00DA06FB">
        <w:rPr>
          <w:rFonts w:ascii="Times New Roman" w:hAnsi="Times New Roman"/>
          <w:bCs/>
          <w:color w:val="000000"/>
          <w:sz w:val="24"/>
          <w:szCs w:val="24"/>
          <w:shd w:val="clear" w:color="auto" w:fill="FFFFFF"/>
        </w:rPr>
        <w:t xml:space="preserve"> Both the indices have negative value indicate that base ion exchange process whereas positive value of both CAI represents the reverse ion exchange takes place</w:t>
      </w:r>
      <w:r w:rsidR="00AD148F">
        <w:rPr>
          <w:rFonts w:ascii="Times New Roman" w:hAnsi="Times New Roman"/>
          <w:bCs/>
          <w:color w:val="000000"/>
          <w:sz w:val="24"/>
          <w:szCs w:val="24"/>
          <w:shd w:val="clear" w:color="auto" w:fill="FFFFFF"/>
        </w:rPr>
        <w:t xml:space="preserve"> [30][31].</w:t>
      </w:r>
    </w:p>
    <w:p w14:paraId="73691534" w14:textId="4573FA04" w:rsidR="006A3238" w:rsidRPr="00C05A82" w:rsidRDefault="004A4B9C" w:rsidP="00DA06FB">
      <w:pPr>
        <w:spacing w:after="0" w:line="360" w:lineRule="auto"/>
        <w:jc w:val="both"/>
        <w:rPr>
          <w:rFonts w:ascii="Times New Roman" w:hAnsi="Times New Roman"/>
          <w:b/>
          <w:bCs/>
          <w:color w:val="000000"/>
          <w:sz w:val="24"/>
          <w:szCs w:val="24"/>
        </w:rPr>
      </w:pPr>
      <w:r w:rsidRPr="00C05A82">
        <w:rPr>
          <w:rFonts w:ascii="Times New Roman" w:hAnsi="Times New Roman"/>
          <w:b/>
          <w:bCs/>
          <w:color w:val="000000"/>
          <w:sz w:val="24"/>
          <w:szCs w:val="24"/>
        </w:rPr>
        <w:t>Chemometric analysis</w:t>
      </w:r>
    </w:p>
    <w:p w14:paraId="215F6AF9" w14:textId="2A36CE98" w:rsidR="00597E6B" w:rsidRDefault="006A3238" w:rsidP="005F7043">
      <w:pPr>
        <w:spacing w:line="240" w:lineRule="auto"/>
        <w:jc w:val="both"/>
        <w:rPr>
          <w:rFonts w:ascii="Times New Roman" w:hAnsi="Times New Roman"/>
          <w:color w:val="000000"/>
        </w:rPr>
      </w:pPr>
      <w:r w:rsidRPr="00DA06FB">
        <w:rPr>
          <w:rFonts w:ascii="Times New Roman" w:hAnsi="Times New Roman"/>
          <w:iCs/>
          <w:color w:val="000000"/>
          <w:sz w:val="24"/>
          <w:szCs w:val="24"/>
        </w:rPr>
        <w:t xml:space="preserve">The </w:t>
      </w:r>
      <w:r w:rsidR="004A4B9C" w:rsidRPr="00DA06FB">
        <w:rPr>
          <w:rFonts w:ascii="Times New Roman" w:hAnsi="Times New Roman"/>
          <w:iCs/>
          <w:color w:val="000000"/>
          <w:sz w:val="24"/>
          <w:szCs w:val="24"/>
        </w:rPr>
        <w:t xml:space="preserve">chemometric analysis using </w:t>
      </w:r>
      <w:r w:rsidRPr="00DA06FB">
        <w:rPr>
          <w:rFonts w:ascii="Times New Roman" w:hAnsi="Times New Roman"/>
          <w:iCs/>
          <w:color w:val="000000"/>
          <w:sz w:val="24"/>
          <w:szCs w:val="24"/>
        </w:rPr>
        <w:t>different statistical</w:t>
      </w:r>
      <w:r w:rsidR="004A4B9C" w:rsidRPr="00DA06FB">
        <w:rPr>
          <w:rFonts w:ascii="Times New Roman" w:hAnsi="Times New Roman"/>
          <w:iCs/>
          <w:color w:val="000000"/>
          <w:sz w:val="24"/>
          <w:szCs w:val="24"/>
        </w:rPr>
        <w:t xml:space="preserve"> and mathematical modelling</w:t>
      </w:r>
      <w:r w:rsidRPr="00DA06FB">
        <w:rPr>
          <w:rFonts w:ascii="Times New Roman" w:hAnsi="Times New Roman"/>
          <w:iCs/>
          <w:color w:val="000000"/>
          <w:sz w:val="24"/>
          <w:szCs w:val="24"/>
        </w:rPr>
        <w:t xml:space="preserve"> such as correlation coefficients, PCA, Cluster analysis</w:t>
      </w:r>
      <w:r w:rsidR="004A4B9C" w:rsidRPr="00DA06FB">
        <w:rPr>
          <w:rFonts w:ascii="Times New Roman" w:hAnsi="Times New Roman"/>
          <w:iCs/>
          <w:color w:val="000000"/>
          <w:sz w:val="24"/>
          <w:szCs w:val="24"/>
        </w:rPr>
        <w:t>,</w:t>
      </w:r>
      <w:r w:rsidRPr="00DA06FB">
        <w:rPr>
          <w:rFonts w:ascii="Times New Roman" w:hAnsi="Times New Roman"/>
          <w:iCs/>
          <w:color w:val="000000"/>
          <w:sz w:val="24"/>
          <w:szCs w:val="24"/>
        </w:rPr>
        <w:t xml:space="preserve"> is used to extensive and accurate study of the geochemical processes (geogenic or anthropogenic) and other factors which affects the groundwater chemistry </w:t>
      </w:r>
      <w:r w:rsidR="00AD148F">
        <w:rPr>
          <w:rFonts w:ascii="Times New Roman" w:hAnsi="Times New Roman"/>
          <w:iCs/>
          <w:color w:val="000000"/>
          <w:sz w:val="24"/>
          <w:szCs w:val="24"/>
        </w:rPr>
        <w:t>[32][33][34]</w:t>
      </w:r>
      <w:r w:rsidRPr="00DA06FB">
        <w:rPr>
          <w:rFonts w:ascii="Times New Roman" w:hAnsi="Times New Roman"/>
          <w:iCs/>
          <w:color w:val="000000"/>
          <w:sz w:val="24"/>
          <w:szCs w:val="24"/>
        </w:rPr>
        <w:t>.</w:t>
      </w:r>
      <w:r w:rsidR="00E1290B" w:rsidRPr="00DA06FB">
        <w:rPr>
          <w:rFonts w:ascii="Times New Roman" w:hAnsi="Times New Roman"/>
          <w:color w:val="000000"/>
        </w:rPr>
        <w:t xml:space="preserve"> </w:t>
      </w:r>
      <w:r w:rsidR="006E35D3" w:rsidRPr="006E35D3">
        <w:rPr>
          <w:rFonts w:ascii="Times New Roman" w:hAnsi="Times New Roman"/>
          <w:iCs/>
          <w:color w:val="000000"/>
          <w:sz w:val="24"/>
          <w:szCs w:val="24"/>
        </w:rPr>
        <w:t>The statistics analysis has been done by using SPSS software and XLSTAT and DATATAB statistical calculator</w:t>
      </w:r>
      <w:r w:rsidR="006E35D3" w:rsidRPr="006E35D3">
        <w:rPr>
          <w:rFonts w:ascii="Times New Roman" w:hAnsi="Times New Roman"/>
          <w:color w:val="000000"/>
        </w:rPr>
        <w:t>.</w:t>
      </w:r>
    </w:p>
    <w:p w14:paraId="64978854" w14:textId="77777777" w:rsidR="00E1290B" w:rsidRPr="00C11AFB" w:rsidRDefault="00E1290B" w:rsidP="005F7043">
      <w:pPr>
        <w:spacing w:line="240" w:lineRule="auto"/>
        <w:jc w:val="both"/>
        <w:rPr>
          <w:rFonts w:ascii="Times New Roman" w:hAnsi="Times New Roman"/>
          <w:iCs/>
          <w:sz w:val="24"/>
          <w:szCs w:val="24"/>
        </w:rPr>
      </w:pPr>
      <w:r w:rsidRPr="00C11AFB">
        <w:rPr>
          <w:rFonts w:ascii="Times New Roman" w:hAnsi="Times New Roman"/>
          <w:iCs/>
          <w:sz w:val="24"/>
          <w:szCs w:val="24"/>
        </w:rPr>
        <w:t>Bivariate Coefficient Correlation Analysis</w:t>
      </w:r>
    </w:p>
    <w:p w14:paraId="2455EF5C" w14:textId="77777777" w:rsidR="00234F4D" w:rsidRDefault="00E1290B" w:rsidP="005F7043">
      <w:pPr>
        <w:spacing w:line="240" w:lineRule="auto"/>
        <w:jc w:val="both"/>
        <w:rPr>
          <w:rFonts w:ascii="Times New Roman" w:hAnsi="Times New Roman"/>
          <w:bCs/>
          <w:color w:val="000000"/>
          <w:sz w:val="24"/>
          <w:szCs w:val="24"/>
          <w:lang w:val="en-US"/>
        </w:rPr>
      </w:pPr>
      <w:r w:rsidRPr="00C05A82">
        <w:rPr>
          <w:rFonts w:ascii="Times New Roman" w:hAnsi="Times New Roman"/>
          <w:iCs/>
          <w:sz w:val="24"/>
          <w:szCs w:val="24"/>
        </w:rPr>
        <w:t>The coefficient Correlation Analysis is applied to find the correlation among the two variables, factors or dataset. The correlation is measured by computing Pearson’s Coefficient (r) and tested the significance of the parameters. The relationship among variables is measured by the numerical value of correlation coefficient</w:t>
      </w:r>
      <w:r w:rsidR="009B62EE" w:rsidRPr="00C05A82">
        <w:rPr>
          <w:rFonts w:ascii="Times New Roman" w:hAnsi="Times New Roman"/>
          <w:iCs/>
          <w:sz w:val="24"/>
          <w:szCs w:val="24"/>
        </w:rPr>
        <w:t xml:space="preserve"> (r </w:t>
      </w:r>
      <w:r w:rsidR="009B62EE" w:rsidRPr="00C05A82">
        <w:rPr>
          <w:rFonts w:ascii="Times New Roman" w:hAnsi="Times New Roman"/>
          <w:iCs/>
          <w:sz w:val="24"/>
          <w:szCs w:val="24"/>
        </w:rPr>
        <w:lastRenderedPageBreak/>
        <w:t xml:space="preserve">ranges from +1 to -1). </w:t>
      </w:r>
      <w:r w:rsidRPr="00C05A82">
        <w:rPr>
          <w:rFonts w:ascii="Times New Roman" w:hAnsi="Times New Roman"/>
          <w:iCs/>
          <w:sz w:val="24"/>
          <w:szCs w:val="24"/>
        </w:rPr>
        <w:t>The positive sign indicates that one variable is directly related to the other whereas the negative sign indicates the inversely mutual relationship among them. The value of r is from 0.7 to 0.9 and 0.5 to 0.7 indicates that there is strong and</w:t>
      </w:r>
      <w:r w:rsidR="00107AB2" w:rsidRPr="00C05A82">
        <w:rPr>
          <w:rFonts w:ascii="Times New Roman" w:hAnsi="Times New Roman"/>
          <w:iCs/>
          <w:sz w:val="24"/>
          <w:szCs w:val="24"/>
        </w:rPr>
        <w:t xml:space="preserve"> </w:t>
      </w:r>
      <w:r w:rsidR="00107AB2" w:rsidRPr="00C05A82">
        <w:rPr>
          <w:rFonts w:ascii="Times New Roman" w:hAnsi="Times New Roman"/>
          <w:bCs/>
          <w:sz w:val="24"/>
          <w:szCs w:val="24"/>
          <w:lang w:val="en-US"/>
        </w:rPr>
        <w:t>moderate correlation among the variables respectively</w:t>
      </w:r>
      <w:r w:rsidR="00107AB2" w:rsidRPr="00DA06FB">
        <w:rPr>
          <w:rFonts w:ascii="Times New Roman" w:hAnsi="Times New Roman"/>
          <w:bCs/>
          <w:color w:val="000000"/>
          <w:sz w:val="24"/>
          <w:szCs w:val="24"/>
          <w:lang w:val="en-US"/>
        </w:rPr>
        <w:t>.</w:t>
      </w:r>
    </w:p>
    <w:p w14:paraId="0FCC6508" w14:textId="71D7FFA2" w:rsidR="00597E6B" w:rsidRPr="00C11AFB" w:rsidRDefault="00597E6B" w:rsidP="005F7043">
      <w:pPr>
        <w:spacing w:line="240" w:lineRule="auto"/>
        <w:jc w:val="both"/>
        <w:rPr>
          <w:rFonts w:ascii="Times New Roman" w:hAnsi="Times New Roman"/>
          <w:bCs/>
          <w:color w:val="000000"/>
          <w:sz w:val="24"/>
          <w:szCs w:val="24"/>
          <w:lang w:val="en-US"/>
        </w:rPr>
      </w:pPr>
      <w:r w:rsidRPr="00C11AFB">
        <w:rPr>
          <w:rFonts w:ascii="Times New Roman" w:hAnsi="Times New Roman"/>
          <w:bCs/>
          <w:color w:val="000000"/>
          <w:sz w:val="24"/>
          <w:szCs w:val="24"/>
          <w:lang w:val="en-US"/>
        </w:rPr>
        <w:t>Principal Component Analysis</w:t>
      </w:r>
      <w:r w:rsidR="00C11AFB" w:rsidRPr="00C11AFB">
        <w:rPr>
          <w:rFonts w:ascii="Times New Roman" w:hAnsi="Times New Roman"/>
          <w:bCs/>
          <w:color w:val="000000"/>
          <w:sz w:val="24"/>
          <w:szCs w:val="24"/>
          <w:lang w:val="en-US"/>
        </w:rPr>
        <w:t xml:space="preserve"> of </w:t>
      </w:r>
      <w:r w:rsidR="00C11AFB">
        <w:rPr>
          <w:rFonts w:ascii="Times New Roman" w:hAnsi="Times New Roman"/>
          <w:bCs/>
          <w:color w:val="000000"/>
          <w:sz w:val="24"/>
          <w:szCs w:val="24"/>
          <w:lang w:val="en-US"/>
        </w:rPr>
        <w:t>Physico-</w:t>
      </w:r>
      <w:r w:rsidR="00C11AFB" w:rsidRPr="00C11AFB">
        <w:rPr>
          <w:rFonts w:ascii="Times New Roman" w:hAnsi="Times New Roman"/>
          <w:bCs/>
          <w:color w:val="000000"/>
          <w:sz w:val="24"/>
          <w:szCs w:val="24"/>
          <w:lang w:val="en-US"/>
        </w:rPr>
        <w:t>chemical</w:t>
      </w:r>
      <w:r w:rsidR="00C11AFB">
        <w:rPr>
          <w:rFonts w:ascii="Times New Roman" w:hAnsi="Times New Roman"/>
          <w:bCs/>
          <w:color w:val="000000"/>
          <w:sz w:val="24"/>
          <w:szCs w:val="24"/>
          <w:lang w:val="en-US"/>
        </w:rPr>
        <w:t xml:space="preserve"> parameters</w:t>
      </w:r>
    </w:p>
    <w:p w14:paraId="2F4C97C2" w14:textId="59E620B9" w:rsidR="001A3204" w:rsidRDefault="00107AB2" w:rsidP="005F7043">
      <w:pPr>
        <w:spacing w:line="240" w:lineRule="auto"/>
        <w:jc w:val="both"/>
        <w:rPr>
          <w:rFonts w:ascii="Times New Roman" w:hAnsi="Times New Roman"/>
          <w:color w:val="000000"/>
        </w:rPr>
      </w:pPr>
      <w:r w:rsidRPr="00DA06FB">
        <w:rPr>
          <w:rFonts w:ascii="Times New Roman" w:hAnsi="Times New Roman"/>
          <w:bCs/>
          <w:color w:val="000000"/>
          <w:sz w:val="24"/>
          <w:szCs w:val="24"/>
          <w:lang w:val="en-US"/>
        </w:rPr>
        <w:t xml:space="preserve">The principal component analysis has been used to interpret all the complex variables or parameters and formed a reduced data frame which </w:t>
      </w:r>
      <w:r w:rsidR="00CB7900" w:rsidRPr="00DA06FB">
        <w:rPr>
          <w:rFonts w:ascii="Times New Roman" w:hAnsi="Times New Roman"/>
          <w:bCs/>
          <w:color w:val="000000"/>
          <w:sz w:val="24"/>
          <w:szCs w:val="24"/>
          <w:lang w:val="en-US"/>
        </w:rPr>
        <w:t>explains</w:t>
      </w:r>
      <w:r w:rsidRPr="00DA06FB">
        <w:rPr>
          <w:rFonts w:ascii="Times New Roman" w:hAnsi="Times New Roman"/>
          <w:bCs/>
          <w:color w:val="000000"/>
          <w:sz w:val="24"/>
          <w:szCs w:val="24"/>
          <w:lang w:val="en-US"/>
        </w:rPr>
        <w:t xml:space="preserve"> all the geochemical processes such as aquifer mineralization which affect the water chemistry</w:t>
      </w:r>
      <w:r w:rsidR="00CB7900">
        <w:rPr>
          <w:rFonts w:ascii="Times New Roman" w:hAnsi="Times New Roman"/>
          <w:bCs/>
          <w:color w:val="000000"/>
          <w:sz w:val="24"/>
          <w:szCs w:val="24"/>
          <w:lang w:val="en-US"/>
        </w:rPr>
        <w:t xml:space="preserve"> [35]. </w:t>
      </w:r>
      <w:r w:rsidRPr="00DA06FB">
        <w:rPr>
          <w:rFonts w:ascii="Times New Roman" w:hAnsi="Times New Roman"/>
          <w:bCs/>
          <w:color w:val="000000"/>
          <w:sz w:val="24"/>
          <w:szCs w:val="24"/>
          <w:lang w:val="en-US"/>
        </w:rPr>
        <w:t xml:space="preserve">PCA is performed using the varimax rotation and the principal components are extracted from the analysis using Kaiser </w:t>
      </w:r>
      <w:r w:rsidR="00CB7900" w:rsidRPr="00DA06FB">
        <w:rPr>
          <w:rFonts w:ascii="Times New Roman" w:hAnsi="Times New Roman"/>
          <w:bCs/>
          <w:color w:val="000000"/>
          <w:sz w:val="24"/>
          <w:szCs w:val="24"/>
          <w:lang w:val="en-US"/>
        </w:rPr>
        <w:t>Criterion</w:t>
      </w:r>
      <w:r w:rsidR="00CB7900">
        <w:rPr>
          <w:rFonts w:ascii="Times New Roman" w:hAnsi="Times New Roman"/>
          <w:bCs/>
          <w:color w:val="000000"/>
          <w:sz w:val="24"/>
          <w:szCs w:val="24"/>
          <w:lang w:val="en-US"/>
        </w:rPr>
        <w:t xml:space="preserve"> [36]</w:t>
      </w:r>
      <w:r w:rsidRPr="00DA06FB">
        <w:rPr>
          <w:rFonts w:ascii="Times New Roman" w:hAnsi="Times New Roman"/>
          <w:bCs/>
          <w:color w:val="000000"/>
          <w:sz w:val="24"/>
          <w:szCs w:val="24"/>
          <w:lang w:val="en-US"/>
        </w:rPr>
        <w:t xml:space="preserve"> which is based on eigen values greater or equal to one. The principal components arranged in diminishing order of variance; the greatest variance is the first principal component (PC1). </w:t>
      </w:r>
      <w:r w:rsidR="006A3238" w:rsidRPr="00DA06FB">
        <w:rPr>
          <w:rFonts w:ascii="Times New Roman" w:hAnsi="Times New Roman"/>
          <w:color w:val="000000"/>
        </w:rPr>
        <w:t xml:space="preserve"> </w:t>
      </w:r>
      <w:r w:rsidR="00C44816" w:rsidRPr="00DA06FB">
        <w:rPr>
          <w:rFonts w:ascii="Times New Roman" w:hAnsi="Times New Roman"/>
          <w:iCs/>
          <w:color w:val="000000"/>
          <w:sz w:val="24"/>
          <w:szCs w:val="24"/>
        </w:rPr>
        <w:t xml:space="preserve">Principal component analysis reduces all the parameters or variables to a simpler factor or component that represents all the elements associated with the significant change in water quality in both dimensions </w:t>
      </w:r>
      <w:r w:rsidR="00CB7900">
        <w:rPr>
          <w:rFonts w:ascii="Times New Roman" w:hAnsi="Times New Roman"/>
          <w:iCs/>
          <w:color w:val="000000"/>
          <w:sz w:val="24"/>
          <w:szCs w:val="24"/>
        </w:rPr>
        <w:t xml:space="preserve">[33][37]. </w:t>
      </w:r>
    </w:p>
    <w:p w14:paraId="2866BBA1" w14:textId="563FE959" w:rsidR="00BA2A26" w:rsidRPr="00C11AFB" w:rsidRDefault="00BA2A26" w:rsidP="005F7043">
      <w:pPr>
        <w:spacing w:line="240" w:lineRule="auto"/>
        <w:jc w:val="both"/>
        <w:rPr>
          <w:rFonts w:ascii="Times New Roman" w:hAnsi="Times New Roman"/>
          <w:bCs/>
          <w:color w:val="000000"/>
          <w:sz w:val="24"/>
          <w:szCs w:val="24"/>
          <w:lang w:val="en-US"/>
        </w:rPr>
      </w:pPr>
      <w:r w:rsidRPr="00C11AFB">
        <w:rPr>
          <w:rFonts w:ascii="Times New Roman" w:hAnsi="Times New Roman"/>
          <w:bCs/>
          <w:color w:val="000000"/>
          <w:sz w:val="24"/>
          <w:szCs w:val="24"/>
          <w:lang w:val="en-US"/>
        </w:rPr>
        <w:t>Factor Analysis</w:t>
      </w:r>
      <w:r w:rsidR="00C11AFB">
        <w:rPr>
          <w:rFonts w:ascii="Times New Roman" w:hAnsi="Times New Roman"/>
          <w:bCs/>
          <w:color w:val="000000"/>
          <w:sz w:val="24"/>
          <w:szCs w:val="24"/>
          <w:lang w:val="en-US"/>
        </w:rPr>
        <w:t xml:space="preserve"> of Ionic ratio</w:t>
      </w:r>
    </w:p>
    <w:p w14:paraId="0838D447" w14:textId="3F54C363" w:rsidR="000056BB" w:rsidRDefault="00317E25" w:rsidP="005F7043">
      <w:pPr>
        <w:spacing w:line="240" w:lineRule="auto"/>
        <w:jc w:val="both"/>
        <w:rPr>
          <w:rFonts w:ascii="Times New Roman" w:hAnsi="Times New Roman"/>
          <w:color w:val="000000"/>
          <w:sz w:val="24"/>
          <w:szCs w:val="24"/>
        </w:rPr>
      </w:pPr>
      <w:r w:rsidRPr="00966C35">
        <w:rPr>
          <w:rFonts w:ascii="Times New Roman" w:hAnsi="Times New Roman"/>
          <w:color w:val="000000"/>
          <w:sz w:val="24"/>
          <w:szCs w:val="24"/>
        </w:rPr>
        <w:t>To gain a deeper insight into the geochemical processes influencing groundwater development, a selection of diagnostic ionic ratios was utilized for factor analysis. These ratios were specifically chosen because they are effective indicators of mineral weathering, ion-exchange reactions, salinity sources, and human activities</w:t>
      </w:r>
      <w:r>
        <w:rPr>
          <w:rFonts w:ascii="Times New Roman" w:hAnsi="Times New Roman"/>
          <w:color w:val="000000"/>
          <w:sz w:val="24"/>
          <w:szCs w:val="24"/>
        </w:rPr>
        <w:t xml:space="preserve"> </w:t>
      </w:r>
      <w:r w:rsidR="00CB7900">
        <w:rPr>
          <w:rFonts w:ascii="Times New Roman" w:hAnsi="Times New Roman"/>
          <w:color w:val="000000"/>
          <w:sz w:val="24"/>
          <w:szCs w:val="24"/>
        </w:rPr>
        <w:t>[38]</w:t>
      </w:r>
      <w:r w:rsidRPr="00966C35">
        <w:rPr>
          <w:rFonts w:ascii="Times New Roman" w:hAnsi="Times New Roman"/>
          <w:color w:val="000000"/>
          <w:sz w:val="24"/>
          <w:szCs w:val="24"/>
        </w:rPr>
        <w:t>.</w:t>
      </w:r>
      <w:r>
        <w:rPr>
          <w:rFonts w:ascii="Times New Roman" w:hAnsi="Times New Roman"/>
          <w:color w:val="000000"/>
          <w:sz w:val="24"/>
          <w:szCs w:val="24"/>
        </w:rPr>
        <w:t xml:space="preserve"> </w:t>
      </w:r>
      <w:r w:rsidRPr="002A443E">
        <w:rPr>
          <w:rFonts w:ascii="Times New Roman" w:hAnsi="Times New Roman"/>
          <w:color w:val="000000"/>
          <w:sz w:val="24"/>
          <w:szCs w:val="24"/>
        </w:rPr>
        <w:t>To capture essential hydrogeochemical processes, a range of diagnostic ionic ratios was chosen for factor analysis</w:t>
      </w:r>
      <w:r>
        <w:rPr>
          <w:rFonts w:ascii="Times New Roman" w:hAnsi="Times New Roman"/>
          <w:color w:val="000000"/>
          <w:sz w:val="24"/>
          <w:szCs w:val="24"/>
        </w:rPr>
        <w:t>, r</w:t>
      </w:r>
      <w:r w:rsidRPr="002A443E">
        <w:rPr>
          <w:rFonts w:ascii="Times New Roman" w:hAnsi="Times New Roman"/>
          <w:color w:val="000000"/>
          <w:sz w:val="24"/>
          <w:szCs w:val="24"/>
        </w:rPr>
        <w:t xml:space="preserve">atios </w:t>
      </w:r>
      <w:r>
        <w:rPr>
          <w:rFonts w:ascii="Times New Roman" w:hAnsi="Times New Roman"/>
          <w:color w:val="000000"/>
          <w:sz w:val="24"/>
          <w:szCs w:val="24"/>
        </w:rPr>
        <w:t>are</w:t>
      </w:r>
      <w:r w:rsidRPr="002A443E">
        <w:rPr>
          <w:rFonts w:ascii="Times New Roman" w:hAnsi="Times New Roman"/>
          <w:color w:val="000000"/>
          <w:sz w:val="24"/>
          <w:szCs w:val="24"/>
        </w:rPr>
        <w:t xml:space="preserve"> Ca/Mg, Ca/(HCO₃+SO₄),</w:t>
      </w:r>
      <w:r>
        <w:rPr>
          <w:rFonts w:ascii="Times New Roman" w:hAnsi="Times New Roman"/>
          <w:color w:val="000000"/>
          <w:sz w:val="24"/>
          <w:szCs w:val="24"/>
        </w:rPr>
        <w:t xml:space="preserve"> </w:t>
      </w:r>
      <w:r w:rsidRPr="002A443E">
        <w:rPr>
          <w:rFonts w:ascii="Times New Roman" w:hAnsi="Times New Roman"/>
          <w:color w:val="000000"/>
          <w:sz w:val="24"/>
          <w:szCs w:val="24"/>
        </w:rPr>
        <w:t>Ca+Mg</w:t>
      </w:r>
      <w:r>
        <w:rPr>
          <w:rFonts w:ascii="Times New Roman" w:hAnsi="Times New Roman"/>
          <w:color w:val="000000"/>
          <w:sz w:val="24"/>
          <w:szCs w:val="24"/>
        </w:rPr>
        <w:t xml:space="preserve"> </w:t>
      </w:r>
      <w:r w:rsidRPr="002A443E">
        <w:rPr>
          <w:rFonts w:ascii="Times New Roman" w:hAnsi="Times New Roman"/>
          <w:color w:val="000000"/>
          <w:sz w:val="24"/>
          <w:szCs w:val="24"/>
        </w:rPr>
        <w:t>/HCO₃</w:t>
      </w:r>
      <w:r>
        <w:rPr>
          <w:rFonts w:ascii="Times New Roman" w:hAnsi="Times New Roman"/>
          <w:color w:val="000000"/>
          <w:sz w:val="24"/>
          <w:szCs w:val="24"/>
        </w:rPr>
        <w:t>,</w:t>
      </w:r>
      <w:r w:rsidRPr="002A443E">
        <w:rPr>
          <w:rFonts w:ascii="Times New Roman" w:hAnsi="Times New Roman"/>
          <w:color w:val="000000"/>
          <w:sz w:val="24"/>
          <w:szCs w:val="24"/>
        </w:rPr>
        <w:t xml:space="preserve"> </w:t>
      </w:r>
      <w:r w:rsidRPr="00782488">
        <w:rPr>
          <w:rFonts w:ascii="Times New Roman" w:hAnsi="Times New Roman"/>
          <w:color w:val="000000"/>
          <w:sz w:val="24"/>
          <w:szCs w:val="24"/>
        </w:rPr>
        <w:t>Na/Cl, Na/Ca, (Na+K)/(Ca+Mg), (Na+K)/Cl,</w:t>
      </w:r>
      <w:r>
        <w:rPr>
          <w:rFonts w:ascii="Times New Roman" w:hAnsi="Times New Roman"/>
          <w:color w:val="000000"/>
          <w:sz w:val="24"/>
          <w:szCs w:val="24"/>
        </w:rPr>
        <w:t xml:space="preserve"> </w:t>
      </w:r>
      <w:r w:rsidRPr="00782488">
        <w:rPr>
          <w:rFonts w:ascii="Times New Roman" w:hAnsi="Times New Roman"/>
          <w:color w:val="000000"/>
          <w:sz w:val="24"/>
          <w:szCs w:val="24"/>
        </w:rPr>
        <w:t>Cl/HCO₃</w:t>
      </w:r>
      <w:r>
        <w:rPr>
          <w:rFonts w:ascii="Times New Roman" w:hAnsi="Times New Roman"/>
          <w:color w:val="000000"/>
          <w:sz w:val="24"/>
          <w:szCs w:val="24"/>
        </w:rPr>
        <w:t>,</w:t>
      </w:r>
      <w:r w:rsidRPr="00782488">
        <w:rPr>
          <w:rFonts w:ascii="Times New Roman" w:hAnsi="Times New Roman"/>
          <w:color w:val="000000"/>
          <w:sz w:val="24"/>
          <w:szCs w:val="24"/>
        </w:rPr>
        <w:t xml:space="preserve"> CAI-1</w:t>
      </w:r>
      <w:r>
        <w:rPr>
          <w:rFonts w:ascii="Times New Roman" w:hAnsi="Times New Roman"/>
          <w:color w:val="000000"/>
          <w:sz w:val="24"/>
          <w:szCs w:val="24"/>
        </w:rPr>
        <w:t xml:space="preserve">, </w:t>
      </w:r>
      <w:r w:rsidRPr="00782488">
        <w:rPr>
          <w:rFonts w:ascii="Times New Roman" w:hAnsi="Times New Roman"/>
          <w:color w:val="000000"/>
          <w:sz w:val="24"/>
          <w:szCs w:val="24"/>
        </w:rPr>
        <w:t>CAI-2</w:t>
      </w:r>
      <w:r>
        <w:rPr>
          <w:rFonts w:ascii="Times New Roman" w:hAnsi="Times New Roman"/>
          <w:color w:val="000000"/>
          <w:sz w:val="24"/>
          <w:szCs w:val="24"/>
        </w:rPr>
        <w:t xml:space="preserve">, </w:t>
      </w:r>
      <w:r w:rsidRPr="002A443E">
        <w:rPr>
          <w:rFonts w:ascii="Times New Roman" w:hAnsi="Times New Roman"/>
          <w:color w:val="000000"/>
          <w:sz w:val="24"/>
          <w:szCs w:val="24"/>
        </w:rPr>
        <w:t>SO₄/Cl and NO₃/Cl</w:t>
      </w:r>
      <w:r w:rsidR="000056BB">
        <w:rPr>
          <w:rFonts w:ascii="Times New Roman" w:hAnsi="Times New Roman"/>
          <w:color w:val="000000"/>
          <w:sz w:val="24"/>
          <w:szCs w:val="24"/>
        </w:rPr>
        <w:t xml:space="preserve">. </w:t>
      </w:r>
    </w:p>
    <w:p w14:paraId="07345188" w14:textId="77777777" w:rsidR="00BA2A26" w:rsidRPr="00C11AFB" w:rsidRDefault="00BA2A26" w:rsidP="005F7043">
      <w:pPr>
        <w:spacing w:line="240" w:lineRule="auto"/>
        <w:jc w:val="both"/>
        <w:rPr>
          <w:rFonts w:ascii="Times New Roman" w:hAnsi="Times New Roman"/>
          <w:bCs/>
          <w:color w:val="000000"/>
          <w:sz w:val="24"/>
          <w:szCs w:val="24"/>
          <w:lang w:val="en-US"/>
        </w:rPr>
      </w:pPr>
      <w:r w:rsidRPr="00C11AFB">
        <w:rPr>
          <w:rFonts w:ascii="Times New Roman" w:hAnsi="Times New Roman"/>
          <w:bCs/>
          <w:color w:val="000000"/>
          <w:sz w:val="24"/>
          <w:szCs w:val="24"/>
          <w:lang w:val="en-US"/>
        </w:rPr>
        <w:t>Cluster Analysis</w:t>
      </w:r>
    </w:p>
    <w:p w14:paraId="166354D2" w14:textId="6B0AF2D9" w:rsidR="00CB7900" w:rsidRPr="005F7043" w:rsidRDefault="00BA2A26" w:rsidP="005F7043">
      <w:pPr>
        <w:spacing w:line="240" w:lineRule="auto"/>
        <w:jc w:val="both"/>
        <w:rPr>
          <w:rFonts w:ascii="Times New Roman" w:hAnsi="Times New Roman"/>
          <w:bCs/>
          <w:color w:val="000000"/>
          <w:sz w:val="24"/>
          <w:szCs w:val="24"/>
          <w:lang w:val="en-US"/>
        </w:rPr>
      </w:pPr>
      <w:r>
        <w:rPr>
          <w:rFonts w:ascii="Times New Roman" w:hAnsi="Times New Roman"/>
          <w:bCs/>
          <w:color w:val="000000"/>
          <w:sz w:val="24"/>
          <w:szCs w:val="24"/>
          <w:lang w:val="en-US"/>
        </w:rPr>
        <w:t xml:space="preserve">The classification of variables </w:t>
      </w:r>
      <w:r w:rsidR="00C11AFB">
        <w:rPr>
          <w:rFonts w:ascii="Times New Roman" w:hAnsi="Times New Roman"/>
          <w:bCs/>
          <w:color w:val="000000"/>
          <w:sz w:val="24"/>
          <w:szCs w:val="24"/>
          <w:lang w:val="en-US"/>
        </w:rPr>
        <w:t>has</w:t>
      </w:r>
      <w:r>
        <w:rPr>
          <w:rFonts w:ascii="Times New Roman" w:hAnsi="Times New Roman"/>
          <w:bCs/>
          <w:color w:val="000000"/>
          <w:sz w:val="24"/>
          <w:szCs w:val="24"/>
          <w:lang w:val="en-US"/>
        </w:rPr>
        <w:t xml:space="preserve"> been performed by using </w:t>
      </w:r>
      <w:r w:rsidRPr="00DA06FB">
        <w:rPr>
          <w:rFonts w:ascii="Times New Roman" w:hAnsi="Times New Roman"/>
          <w:bCs/>
          <w:color w:val="000000"/>
          <w:sz w:val="24"/>
          <w:szCs w:val="24"/>
          <w:lang w:val="en-US"/>
        </w:rPr>
        <w:t>Hierarchical cluster analysis</w:t>
      </w:r>
      <w:r>
        <w:rPr>
          <w:rFonts w:ascii="Times New Roman" w:hAnsi="Times New Roman"/>
          <w:bCs/>
          <w:color w:val="000000"/>
          <w:sz w:val="24"/>
          <w:szCs w:val="24"/>
          <w:lang w:val="en-US"/>
        </w:rPr>
        <w:t xml:space="preserve"> of </w:t>
      </w:r>
      <w:r w:rsidRPr="00DA06FB">
        <w:rPr>
          <w:rFonts w:ascii="Times New Roman" w:hAnsi="Times New Roman"/>
          <w:bCs/>
          <w:color w:val="000000"/>
          <w:sz w:val="24"/>
          <w:szCs w:val="24"/>
          <w:lang w:val="en-US"/>
        </w:rPr>
        <w:t>81 groundwater samples</w:t>
      </w:r>
      <w:r>
        <w:rPr>
          <w:rFonts w:ascii="Times New Roman" w:hAnsi="Times New Roman"/>
          <w:bCs/>
          <w:color w:val="000000"/>
          <w:sz w:val="24"/>
          <w:szCs w:val="24"/>
          <w:lang w:val="en-US"/>
        </w:rPr>
        <w:t xml:space="preserve"> and </w:t>
      </w:r>
      <w:r w:rsidRPr="00DA06FB">
        <w:rPr>
          <w:rFonts w:ascii="Times New Roman" w:hAnsi="Times New Roman"/>
          <w:bCs/>
          <w:color w:val="000000"/>
          <w:sz w:val="24"/>
          <w:szCs w:val="24"/>
          <w:lang w:val="en-US"/>
        </w:rPr>
        <w:t xml:space="preserve">13 parameters. The analysis is done by the ward’s method of linkage with squared Euclidean distance as measure of similarity </w:t>
      </w:r>
      <w:r w:rsidR="00CB7900">
        <w:rPr>
          <w:rFonts w:ascii="Times New Roman" w:hAnsi="Times New Roman"/>
          <w:bCs/>
          <w:color w:val="000000"/>
          <w:sz w:val="24"/>
          <w:szCs w:val="24"/>
          <w:lang w:val="en-US"/>
        </w:rPr>
        <w:t>[39]</w:t>
      </w:r>
      <w:r w:rsidRPr="00DA06FB">
        <w:rPr>
          <w:rFonts w:ascii="Times New Roman" w:hAnsi="Times New Roman"/>
          <w:bCs/>
          <w:color w:val="000000"/>
          <w:sz w:val="24"/>
          <w:szCs w:val="24"/>
          <w:lang w:val="en-US"/>
        </w:rPr>
        <w:t xml:space="preserve">. By the method of R-mode cluster analysis, the key geochemical processes affecting the groundwater quality have been highlighted. </w:t>
      </w:r>
    </w:p>
    <w:p w14:paraId="170B6144" w14:textId="612C96F8" w:rsidR="00234F4D" w:rsidRPr="001039B4" w:rsidRDefault="00C11AFB" w:rsidP="00DA06FB">
      <w:pPr>
        <w:spacing w:after="0" w:line="360" w:lineRule="auto"/>
        <w:jc w:val="both"/>
        <w:rPr>
          <w:rFonts w:ascii="Times New Roman" w:hAnsi="Times New Roman"/>
          <w:b/>
          <w:bCs/>
          <w:iCs/>
          <w:color w:val="000000"/>
          <w:sz w:val="28"/>
          <w:szCs w:val="28"/>
        </w:rPr>
      </w:pPr>
      <w:r w:rsidRPr="001039B4">
        <w:rPr>
          <w:rFonts w:ascii="Times New Roman" w:hAnsi="Times New Roman"/>
          <w:b/>
          <w:bCs/>
          <w:iCs/>
          <w:color w:val="000000"/>
          <w:sz w:val="28"/>
          <w:szCs w:val="28"/>
        </w:rPr>
        <w:t>RESULTS AND DISCUSSION</w:t>
      </w:r>
    </w:p>
    <w:p w14:paraId="2A9F31AA" w14:textId="77777777" w:rsidR="00043A45" w:rsidRPr="00C11AFB" w:rsidRDefault="00043A45" w:rsidP="00DA06FB">
      <w:pPr>
        <w:spacing w:after="0" w:line="360" w:lineRule="auto"/>
        <w:jc w:val="both"/>
        <w:rPr>
          <w:rFonts w:ascii="Times New Roman" w:hAnsi="Times New Roman"/>
          <w:b/>
          <w:bCs/>
          <w:iCs/>
          <w:color w:val="000000"/>
          <w:sz w:val="24"/>
          <w:szCs w:val="24"/>
        </w:rPr>
      </w:pPr>
      <w:r w:rsidRPr="00C11AFB">
        <w:rPr>
          <w:rFonts w:ascii="Times New Roman" w:hAnsi="Times New Roman"/>
          <w:b/>
          <w:bCs/>
          <w:iCs/>
          <w:color w:val="000000"/>
          <w:sz w:val="24"/>
          <w:szCs w:val="24"/>
        </w:rPr>
        <w:t xml:space="preserve">Physical Parameters and Ion Concentrations </w:t>
      </w:r>
    </w:p>
    <w:p w14:paraId="3BFF11B0" w14:textId="1556EA2B" w:rsidR="005F7043" w:rsidRPr="005F7043"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 xml:space="preserve">The descriptive statistical summary of all the physical and chemical parameters is presented in Table 1. </w:t>
      </w:r>
      <w:r w:rsidR="005F7043" w:rsidRPr="005F7043">
        <w:rPr>
          <w:rFonts w:ascii="Times New Roman" w:hAnsi="Times New Roman"/>
          <w:iCs/>
          <w:color w:val="000000"/>
          <w:sz w:val="24"/>
          <w:szCs w:val="24"/>
        </w:rPr>
        <w:t>The pH value of the study area is from 6.52 to 8.7 with mean 7.67, which shows the ground water quality is slightly acidic to alkaline. The EC Value of the groundwater of the study area is varying from 390.00 to 2473.00µS/cm with an average of 1323.50µS/cm. The high EC value indicates high mineral content, which is attributed due to nature of aquifers, low runoff, high infiltration and discharged water type and the low value of EC indicates low salt enrichment due to high elevated topography, high runoff, low infiltration, recharge water type [40]. Based on classification 51 samples fall under the Type-I (EC</w:t>
      </w:r>
      <w:bookmarkStart w:id="6" w:name="_Hlk125902577"/>
      <w:r w:rsidR="005F7043" w:rsidRPr="005F7043">
        <w:rPr>
          <w:rFonts w:ascii="Times New Roman" w:hAnsi="Times New Roman"/>
          <w:iCs/>
          <w:color w:val="000000"/>
          <w:sz w:val="24"/>
          <w:szCs w:val="24"/>
        </w:rPr>
        <w:t>&lt;1500µS/</w:t>
      </w:r>
      <w:bookmarkEnd w:id="6"/>
      <w:r w:rsidR="005F7043" w:rsidRPr="005F7043">
        <w:rPr>
          <w:rFonts w:ascii="Times New Roman" w:hAnsi="Times New Roman"/>
          <w:iCs/>
          <w:color w:val="000000"/>
          <w:sz w:val="24"/>
          <w:szCs w:val="24"/>
        </w:rPr>
        <w:t xml:space="preserve">cm; with low salt enrichment), 30 samples fall under Type-II (EC 1500 µS/cm -3000 µS/cm; with medium salt enrichment) and none of the samples fall in Type-III(EC&gt;3000 µS/cm; high salt enrichment) [41]. The TDS Value in the study area are from 253.5 to 1607.45 with an average 860.28 Mg/L. The total hardness value of the study area is from 90.00 to 393.00 with an average 216.58 mg/l. According to sawyer and Macarthy (1967) classification [42], 15 samples are moderately hard,55 samples are hard, 11 samples are very hard. The groundwater of the study area is moderately hard to hard but within permissible limit. The order of abundance of cations and anions of the study area are in order </w:t>
      </w:r>
      <w:bookmarkStart w:id="7" w:name="_Hlk125909436"/>
      <w:r w:rsidR="005F7043" w:rsidRPr="005F7043">
        <w:rPr>
          <w:rFonts w:ascii="Times New Roman" w:hAnsi="Times New Roman"/>
          <w:iCs/>
          <w:color w:val="000000"/>
          <w:sz w:val="24"/>
          <w:szCs w:val="24"/>
        </w:rPr>
        <w:t>as Ca</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&gt; Na</w:t>
      </w:r>
      <w:r w:rsidR="005F7043" w:rsidRPr="005F7043">
        <w:rPr>
          <w:rFonts w:ascii="Times New Roman" w:hAnsi="Times New Roman"/>
          <w:iCs/>
          <w:color w:val="000000"/>
          <w:sz w:val="24"/>
          <w:szCs w:val="24"/>
          <w:vertAlign w:val="superscript"/>
        </w:rPr>
        <w:t>+</w:t>
      </w:r>
      <w:r w:rsidR="005F7043" w:rsidRPr="005F7043">
        <w:rPr>
          <w:rFonts w:ascii="Times New Roman" w:hAnsi="Times New Roman"/>
          <w:iCs/>
          <w:color w:val="000000"/>
          <w:sz w:val="24"/>
          <w:szCs w:val="24"/>
        </w:rPr>
        <w:t>&gt; Mg</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&gt; K</w:t>
      </w:r>
      <w:r w:rsidR="005F7043" w:rsidRPr="005F7043">
        <w:rPr>
          <w:rFonts w:ascii="Times New Roman" w:hAnsi="Times New Roman"/>
          <w:iCs/>
          <w:color w:val="000000"/>
          <w:sz w:val="24"/>
          <w:szCs w:val="24"/>
          <w:vertAlign w:val="superscript"/>
        </w:rPr>
        <w:t>+</w:t>
      </w:r>
      <w:bookmarkEnd w:id="7"/>
      <w:r w:rsidR="005F7043" w:rsidRPr="005F7043">
        <w:rPr>
          <w:rFonts w:ascii="Times New Roman" w:hAnsi="Times New Roman"/>
          <w:iCs/>
          <w:color w:val="000000"/>
          <w:sz w:val="24"/>
          <w:szCs w:val="24"/>
          <w:vertAlign w:val="superscript"/>
        </w:rPr>
        <w:t xml:space="preserve"> </w:t>
      </w:r>
      <w:r w:rsidR="005F7043" w:rsidRPr="005F7043">
        <w:rPr>
          <w:rFonts w:ascii="Times New Roman" w:hAnsi="Times New Roman"/>
          <w:iCs/>
          <w:color w:val="000000"/>
          <w:sz w:val="24"/>
          <w:szCs w:val="24"/>
        </w:rPr>
        <w:t>and</w:t>
      </w:r>
      <w:bookmarkStart w:id="8" w:name="_Hlk125912258"/>
      <w:r w:rsidR="005F7043" w:rsidRPr="005F7043">
        <w:rPr>
          <w:rFonts w:ascii="Times New Roman" w:hAnsi="Times New Roman"/>
          <w:iCs/>
          <w:color w:val="000000"/>
          <w:sz w:val="24"/>
          <w:szCs w:val="24"/>
        </w:rPr>
        <w:t xml:space="preserve"> HCO</w:t>
      </w:r>
      <w:r w:rsidR="005F7043" w:rsidRPr="005F7043">
        <w:rPr>
          <w:rFonts w:ascii="Times New Roman" w:hAnsi="Times New Roman"/>
          <w:iCs/>
          <w:color w:val="000000"/>
          <w:sz w:val="24"/>
          <w:szCs w:val="24"/>
          <w:vertAlign w:val="subscript"/>
        </w:rPr>
        <w:t>3</w:t>
      </w:r>
      <w:r w:rsidR="005F7043" w:rsidRPr="005F7043">
        <w:rPr>
          <w:rFonts w:ascii="Times New Roman" w:hAnsi="Times New Roman"/>
          <w:iCs/>
          <w:color w:val="000000"/>
          <w:sz w:val="24"/>
          <w:szCs w:val="24"/>
          <w:vertAlign w:val="superscript"/>
        </w:rPr>
        <w:t>-</w:t>
      </w:r>
      <w:r w:rsidR="005F7043" w:rsidRPr="005F7043">
        <w:rPr>
          <w:rFonts w:ascii="Times New Roman" w:hAnsi="Times New Roman"/>
          <w:iCs/>
          <w:color w:val="000000"/>
          <w:sz w:val="24"/>
          <w:szCs w:val="24"/>
        </w:rPr>
        <w:t>&gt; Cl</w:t>
      </w:r>
      <w:r w:rsidR="005F7043" w:rsidRPr="005F7043">
        <w:rPr>
          <w:rFonts w:ascii="Times New Roman" w:hAnsi="Times New Roman"/>
          <w:iCs/>
          <w:color w:val="000000"/>
          <w:sz w:val="24"/>
          <w:szCs w:val="24"/>
          <w:vertAlign w:val="superscript"/>
        </w:rPr>
        <w:t xml:space="preserve">- </w:t>
      </w:r>
      <w:r w:rsidR="005F7043" w:rsidRPr="005F7043">
        <w:rPr>
          <w:rFonts w:ascii="Times New Roman" w:hAnsi="Times New Roman"/>
          <w:iCs/>
          <w:color w:val="000000"/>
          <w:sz w:val="24"/>
          <w:szCs w:val="24"/>
        </w:rPr>
        <w:t>&gt; SO</w:t>
      </w:r>
      <w:r w:rsidR="005F7043" w:rsidRPr="005F7043">
        <w:rPr>
          <w:rFonts w:ascii="Times New Roman" w:hAnsi="Times New Roman"/>
          <w:iCs/>
          <w:color w:val="000000"/>
          <w:sz w:val="24"/>
          <w:szCs w:val="24"/>
          <w:vertAlign w:val="subscript"/>
        </w:rPr>
        <w:t>4</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&gt;NO</w:t>
      </w:r>
      <w:r w:rsidR="005F7043" w:rsidRPr="005F7043">
        <w:rPr>
          <w:rFonts w:ascii="Times New Roman" w:hAnsi="Times New Roman"/>
          <w:iCs/>
          <w:color w:val="000000"/>
          <w:sz w:val="24"/>
          <w:szCs w:val="24"/>
          <w:vertAlign w:val="subscript"/>
        </w:rPr>
        <w:t>3</w:t>
      </w:r>
      <w:r w:rsidR="005F7043" w:rsidRPr="005F7043">
        <w:rPr>
          <w:rFonts w:ascii="Times New Roman" w:hAnsi="Times New Roman"/>
          <w:iCs/>
          <w:color w:val="000000"/>
          <w:sz w:val="24"/>
          <w:szCs w:val="24"/>
          <w:vertAlign w:val="superscript"/>
        </w:rPr>
        <w:t>-</w:t>
      </w:r>
      <w:bookmarkEnd w:id="8"/>
      <w:r w:rsidR="005F7043" w:rsidRPr="005F7043">
        <w:rPr>
          <w:rFonts w:ascii="Times New Roman" w:hAnsi="Times New Roman"/>
          <w:iCs/>
          <w:color w:val="000000"/>
          <w:sz w:val="24"/>
          <w:szCs w:val="24"/>
          <w:vertAlign w:val="superscript"/>
        </w:rPr>
        <w:t xml:space="preserve"> </w:t>
      </w:r>
      <w:r w:rsidR="005F7043" w:rsidRPr="005F7043">
        <w:rPr>
          <w:rFonts w:ascii="Times New Roman" w:hAnsi="Times New Roman"/>
          <w:iCs/>
          <w:color w:val="000000"/>
          <w:sz w:val="24"/>
          <w:szCs w:val="24"/>
        </w:rPr>
        <w:t>respectively. The Concentration of Calcium (Ca</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 is the dominant cation (with mean 58.856mg/l) followed by Na</w:t>
      </w:r>
      <w:r w:rsidR="005F7043" w:rsidRPr="005F7043">
        <w:rPr>
          <w:rFonts w:ascii="Times New Roman" w:hAnsi="Times New Roman"/>
          <w:iCs/>
          <w:color w:val="000000"/>
          <w:sz w:val="24"/>
          <w:szCs w:val="24"/>
          <w:vertAlign w:val="superscript"/>
        </w:rPr>
        <w:t>+</w:t>
      </w:r>
      <w:r w:rsidR="005F7043" w:rsidRPr="005F7043">
        <w:rPr>
          <w:rFonts w:ascii="Times New Roman" w:hAnsi="Times New Roman"/>
          <w:iCs/>
          <w:color w:val="000000"/>
          <w:sz w:val="24"/>
          <w:szCs w:val="24"/>
        </w:rPr>
        <w:t>(with avg. 43.369 mg/l), Mg</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(avg. 16.57 mg/l), K</w:t>
      </w:r>
      <w:r w:rsidR="005F7043" w:rsidRPr="005F7043">
        <w:rPr>
          <w:rFonts w:ascii="Times New Roman" w:hAnsi="Times New Roman"/>
          <w:iCs/>
          <w:color w:val="000000"/>
          <w:sz w:val="24"/>
          <w:szCs w:val="24"/>
          <w:vertAlign w:val="superscript"/>
        </w:rPr>
        <w:t>+</w:t>
      </w:r>
      <w:r w:rsidR="005F7043" w:rsidRPr="005F7043">
        <w:rPr>
          <w:rFonts w:ascii="Times New Roman" w:hAnsi="Times New Roman"/>
          <w:iCs/>
          <w:color w:val="000000"/>
          <w:sz w:val="24"/>
          <w:szCs w:val="24"/>
        </w:rPr>
        <w:t>(avg.5.76 mg/l)</w:t>
      </w:r>
    </w:p>
    <w:tbl>
      <w:tblPr>
        <w:tblpPr w:leftFromText="180" w:rightFromText="180" w:vertAnchor="text" w:horzAnchor="margin" w:tblpXSpec="center" w:tblpY="560"/>
        <w:tblW w:w="8620" w:type="dxa"/>
        <w:tblBorders>
          <w:top w:val="single" w:sz="12" w:space="0" w:color="000000"/>
          <w:bottom w:val="single" w:sz="12" w:space="0" w:color="000000"/>
        </w:tblBorders>
        <w:tblLook w:val="04A0" w:firstRow="1" w:lastRow="0" w:firstColumn="1" w:lastColumn="0" w:noHBand="0" w:noVBand="1"/>
      </w:tblPr>
      <w:tblGrid>
        <w:gridCol w:w="1402"/>
        <w:gridCol w:w="1243"/>
        <w:gridCol w:w="1283"/>
        <w:gridCol w:w="1116"/>
        <w:gridCol w:w="1177"/>
        <w:gridCol w:w="1203"/>
        <w:gridCol w:w="1203"/>
        <w:gridCol w:w="1110"/>
      </w:tblGrid>
      <w:tr w:rsidR="0073551B" w:rsidRPr="005F7043" w14:paraId="53B7D798" w14:textId="77777777" w:rsidTr="00B02741">
        <w:trPr>
          <w:trHeight w:val="855"/>
        </w:trPr>
        <w:tc>
          <w:tcPr>
            <w:tcW w:w="1205" w:type="dxa"/>
            <w:tcBorders>
              <w:top w:val="single" w:sz="12" w:space="0" w:color="000000"/>
              <w:bottom w:val="single" w:sz="12" w:space="0" w:color="000000"/>
            </w:tcBorders>
            <w:vAlign w:val="center"/>
            <w:hideMark/>
          </w:tcPr>
          <w:p w14:paraId="32EE9E9B"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Parameters</w:t>
            </w:r>
          </w:p>
        </w:tc>
        <w:tc>
          <w:tcPr>
            <w:tcW w:w="1072" w:type="dxa"/>
            <w:tcBorders>
              <w:top w:val="single" w:sz="12" w:space="0" w:color="000000"/>
              <w:bottom w:val="single" w:sz="12" w:space="0" w:color="000000"/>
            </w:tcBorders>
            <w:noWrap/>
            <w:vAlign w:val="bottom"/>
            <w:hideMark/>
          </w:tcPr>
          <w:p w14:paraId="0747659F"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Minimum</w:t>
            </w:r>
          </w:p>
        </w:tc>
        <w:tc>
          <w:tcPr>
            <w:tcW w:w="1105" w:type="dxa"/>
            <w:tcBorders>
              <w:top w:val="single" w:sz="12" w:space="0" w:color="000000"/>
              <w:bottom w:val="single" w:sz="12" w:space="0" w:color="000000"/>
            </w:tcBorders>
            <w:noWrap/>
            <w:vAlign w:val="bottom"/>
            <w:hideMark/>
          </w:tcPr>
          <w:p w14:paraId="591238E9"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Maximum</w:t>
            </w:r>
          </w:p>
        </w:tc>
        <w:tc>
          <w:tcPr>
            <w:tcW w:w="1060" w:type="dxa"/>
            <w:tcBorders>
              <w:top w:val="single" w:sz="12" w:space="0" w:color="000000"/>
              <w:bottom w:val="single" w:sz="12" w:space="0" w:color="000000"/>
            </w:tcBorders>
            <w:noWrap/>
            <w:vAlign w:val="bottom"/>
            <w:hideMark/>
          </w:tcPr>
          <w:p w14:paraId="2B1E2CAB"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Mean</w:t>
            </w:r>
          </w:p>
        </w:tc>
        <w:tc>
          <w:tcPr>
            <w:tcW w:w="1020" w:type="dxa"/>
            <w:tcBorders>
              <w:top w:val="single" w:sz="12" w:space="0" w:color="000000"/>
              <w:bottom w:val="single" w:sz="12" w:space="0" w:color="000000"/>
            </w:tcBorders>
            <w:vAlign w:val="bottom"/>
            <w:hideMark/>
          </w:tcPr>
          <w:p w14:paraId="3FA476C9"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Standard deviation (n-1)</w:t>
            </w:r>
          </w:p>
        </w:tc>
        <w:tc>
          <w:tcPr>
            <w:tcW w:w="1100" w:type="dxa"/>
            <w:tcBorders>
              <w:top w:val="single" w:sz="12" w:space="0" w:color="000000"/>
              <w:bottom w:val="single" w:sz="12" w:space="0" w:color="000000"/>
            </w:tcBorders>
            <w:vAlign w:val="bottom"/>
            <w:hideMark/>
          </w:tcPr>
          <w:p w14:paraId="236DCE9E"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Skewness (Pearson)</w:t>
            </w:r>
          </w:p>
        </w:tc>
        <w:tc>
          <w:tcPr>
            <w:tcW w:w="1038" w:type="dxa"/>
            <w:tcBorders>
              <w:top w:val="single" w:sz="12" w:space="0" w:color="000000"/>
              <w:bottom w:val="single" w:sz="12" w:space="0" w:color="000000"/>
            </w:tcBorders>
            <w:vAlign w:val="bottom"/>
            <w:hideMark/>
          </w:tcPr>
          <w:p w14:paraId="469C55D2"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Kurtosis (Pearson)</w:t>
            </w:r>
          </w:p>
        </w:tc>
        <w:tc>
          <w:tcPr>
            <w:tcW w:w="1020" w:type="dxa"/>
            <w:tcBorders>
              <w:top w:val="single" w:sz="12" w:space="0" w:color="000000"/>
              <w:bottom w:val="single" w:sz="12" w:space="0" w:color="000000"/>
            </w:tcBorders>
            <w:vAlign w:val="bottom"/>
            <w:hideMark/>
          </w:tcPr>
          <w:p w14:paraId="76952BA2"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Shapiro-Wilk-p</w:t>
            </w:r>
          </w:p>
        </w:tc>
      </w:tr>
      <w:tr w:rsidR="0073551B" w:rsidRPr="005F7043" w14:paraId="72A09D5A" w14:textId="77777777" w:rsidTr="00B02741">
        <w:trPr>
          <w:trHeight w:val="285"/>
        </w:trPr>
        <w:tc>
          <w:tcPr>
            <w:tcW w:w="1205" w:type="dxa"/>
            <w:tcBorders>
              <w:top w:val="single" w:sz="12" w:space="0" w:color="000000"/>
            </w:tcBorders>
            <w:shd w:val="clear" w:color="000000" w:fill="FFFFFF"/>
            <w:vAlign w:val="center"/>
            <w:hideMark/>
          </w:tcPr>
          <w:p w14:paraId="4ED6B1DE"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lastRenderedPageBreak/>
              <w:t>pH</w:t>
            </w:r>
          </w:p>
        </w:tc>
        <w:tc>
          <w:tcPr>
            <w:tcW w:w="1072" w:type="dxa"/>
            <w:tcBorders>
              <w:top w:val="single" w:sz="12" w:space="0" w:color="000000"/>
            </w:tcBorders>
            <w:noWrap/>
            <w:vAlign w:val="bottom"/>
            <w:hideMark/>
          </w:tcPr>
          <w:p w14:paraId="1D726EB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6.520</w:t>
            </w:r>
          </w:p>
        </w:tc>
        <w:tc>
          <w:tcPr>
            <w:tcW w:w="1105" w:type="dxa"/>
            <w:tcBorders>
              <w:top w:val="single" w:sz="12" w:space="0" w:color="000000"/>
            </w:tcBorders>
            <w:noWrap/>
            <w:vAlign w:val="bottom"/>
            <w:hideMark/>
          </w:tcPr>
          <w:p w14:paraId="4A0E068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8.700</w:t>
            </w:r>
          </w:p>
        </w:tc>
        <w:tc>
          <w:tcPr>
            <w:tcW w:w="1060" w:type="dxa"/>
            <w:tcBorders>
              <w:top w:val="single" w:sz="12" w:space="0" w:color="000000"/>
            </w:tcBorders>
            <w:noWrap/>
            <w:vAlign w:val="bottom"/>
            <w:hideMark/>
          </w:tcPr>
          <w:p w14:paraId="171D0452"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7.673</w:t>
            </w:r>
          </w:p>
        </w:tc>
        <w:tc>
          <w:tcPr>
            <w:tcW w:w="1020" w:type="dxa"/>
            <w:tcBorders>
              <w:top w:val="single" w:sz="12" w:space="0" w:color="000000"/>
            </w:tcBorders>
            <w:noWrap/>
            <w:vAlign w:val="bottom"/>
            <w:hideMark/>
          </w:tcPr>
          <w:p w14:paraId="4F3B75C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0.448</w:t>
            </w:r>
          </w:p>
        </w:tc>
        <w:tc>
          <w:tcPr>
            <w:tcW w:w="1100" w:type="dxa"/>
            <w:tcBorders>
              <w:top w:val="single" w:sz="12" w:space="0" w:color="000000"/>
            </w:tcBorders>
            <w:noWrap/>
            <w:vAlign w:val="bottom"/>
            <w:hideMark/>
          </w:tcPr>
          <w:p w14:paraId="3721879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-0.180</w:t>
            </w:r>
          </w:p>
        </w:tc>
        <w:tc>
          <w:tcPr>
            <w:tcW w:w="1038" w:type="dxa"/>
            <w:tcBorders>
              <w:top w:val="single" w:sz="12" w:space="0" w:color="000000"/>
            </w:tcBorders>
            <w:noWrap/>
            <w:vAlign w:val="bottom"/>
            <w:hideMark/>
          </w:tcPr>
          <w:p w14:paraId="1C5C80B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-0.489</w:t>
            </w:r>
          </w:p>
        </w:tc>
        <w:tc>
          <w:tcPr>
            <w:tcW w:w="1020" w:type="dxa"/>
            <w:tcBorders>
              <w:top w:val="single" w:sz="12" w:space="0" w:color="000000"/>
            </w:tcBorders>
            <w:noWrap/>
            <w:vAlign w:val="bottom"/>
            <w:hideMark/>
          </w:tcPr>
          <w:p w14:paraId="23C25E1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0.441</w:t>
            </w:r>
          </w:p>
        </w:tc>
      </w:tr>
      <w:tr w:rsidR="0073551B" w:rsidRPr="005F7043" w14:paraId="5E9532C5" w14:textId="77777777" w:rsidTr="00B02741">
        <w:trPr>
          <w:trHeight w:val="285"/>
        </w:trPr>
        <w:tc>
          <w:tcPr>
            <w:tcW w:w="1205" w:type="dxa"/>
            <w:shd w:val="clear" w:color="000000" w:fill="FFFFFF"/>
            <w:vAlign w:val="center"/>
            <w:hideMark/>
          </w:tcPr>
          <w:p w14:paraId="16C16F59"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EC</w:t>
            </w:r>
          </w:p>
        </w:tc>
        <w:tc>
          <w:tcPr>
            <w:tcW w:w="1072" w:type="dxa"/>
            <w:noWrap/>
            <w:vAlign w:val="bottom"/>
            <w:hideMark/>
          </w:tcPr>
          <w:p w14:paraId="15D9614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390.000</w:t>
            </w:r>
          </w:p>
        </w:tc>
        <w:tc>
          <w:tcPr>
            <w:tcW w:w="1105" w:type="dxa"/>
            <w:noWrap/>
            <w:vAlign w:val="bottom"/>
            <w:hideMark/>
          </w:tcPr>
          <w:p w14:paraId="4F76BB1C"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2473.000</w:t>
            </w:r>
          </w:p>
        </w:tc>
        <w:tc>
          <w:tcPr>
            <w:tcW w:w="1060" w:type="dxa"/>
            <w:noWrap/>
            <w:vAlign w:val="bottom"/>
            <w:hideMark/>
          </w:tcPr>
          <w:p w14:paraId="18F50FD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1328.175</w:t>
            </w:r>
          </w:p>
        </w:tc>
        <w:tc>
          <w:tcPr>
            <w:tcW w:w="1020" w:type="dxa"/>
            <w:noWrap/>
            <w:vAlign w:val="bottom"/>
            <w:hideMark/>
          </w:tcPr>
          <w:p w14:paraId="0C6D8FD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515.152</w:t>
            </w:r>
          </w:p>
        </w:tc>
        <w:tc>
          <w:tcPr>
            <w:tcW w:w="1100" w:type="dxa"/>
            <w:noWrap/>
            <w:vAlign w:val="bottom"/>
            <w:hideMark/>
          </w:tcPr>
          <w:p w14:paraId="6232D6D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0.367</w:t>
            </w:r>
          </w:p>
        </w:tc>
        <w:tc>
          <w:tcPr>
            <w:tcW w:w="1038" w:type="dxa"/>
            <w:noWrap/>
            <w:vAlign w:val="bottom"/>
            <w:hideMark/>
          </w:tcPr>
          <w:p w14:paraId="5368930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-0.521</w:t>
            </w:r>
          </w:p>
        </w:tc>
        <w:tc>
          <w:tcPr>
            <w:tcW w:w="1020" w:type="dxa"/>
            <w:noWrap/>
            <w:vAlign w:val="bottom"/>
            <w:hideMark/>
          </w:tcPr>
          <w:p w14:paraId="6DDD51BA"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0.094</w:t>
            </w:r>
          </w:p>
        </w:tc>
      </w:tr>
      <w:tr w:rsidR="0073551B" w:rsidRPr="005F7043" w14:paraId="271A3B0A" w14:textId="77777777" w:rsidTr="00B02741">
        <w:trPr>
          <w:trHeight w:val="285"/>
        </w:trPr>
        <w:tc>
          <w:tcPr>
            <w:tcW w:w="1205" w:type="dxa"/>
            <w:shd w:val="clear" w:color="000000" w:fill="FFFFFF"/>
            <w:vAlign w:val="center"/>
            <w:hideMark/>
          </w:tcPr>
          <w:p w14:paraId="1CC9A67B"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TDS</w:t>
            </w:r>
          </w:p>
        </w:tc>
        <w:tc>
          <w:tcPr>
            <w:tcW w:w="1072" w:type="dxa"/>
            <w:noWrap/>
            <w:vAlign w:val="bottom"/>
            <w:hideMark/>
          </w:tcPr>
          <w:p w14:paraId="7F047A4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249.600</w:t>
            </w:r>
          </w:p>
        </w:tc>
        <w:tc>
          <w:tcPr>
            <w:tcW w:w="1105" w:type="dxa"/>
            <w:noWrap/>
            <w:vAlign w:val="bottom"/>
            <w:hideMark/>
          </w:tcPr>
          <w:p w14:paraId="69D3B51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1582.720</w:t>
            </w:r>
          </w:p>
        </w:tc>
        <w:tc>
          <w:tcPr>
            <w:tcW w:w="1060" w:type="dxa"/>
            <w:noWrap/>
            <w:vAlign w:val="bottom"/>
            <w:hideMark/>
          </w:tcPr>
          <w:p w14:paraId="79D7B96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850.032</w:t>
            </w:r>
          </w:p>
        </w:tc>
        <w:tc>
          <w:tcPr>
            <w:tcW w:w="1020" w:type="dxa"/>
            <w:noWrap/>
            <w:vAlign w:val="bottom"/>
            <w:hideMark/>
          </w:tcPr>
          <w:p w14:paraId="63EF9FA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329.697</w:t>
            </w:r>
          </w:p>
        </w:tc>
        <w:tc>
          <w:tcPr>
            <w:tcW w:w="1100" w:type="dxa"/>
            <w:noWrap/>
            <w:vAlign w:val="bottom"/>
            <w:hideMark/>
          </w:tcPr>
          <w:p w14:paraId="7ACC5BD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0.367</w:t>
            </w:r>
          </w:p>
        </w:tc>
        <w:tc>
          <w:tcPr>
            <w:tcW w:w="1038" w:type="dxa"/>
            <w:noWrap/>
            <w:vAlign w:val="bottom"/>
            <w:hideMark/>
          </w:tcPr>
          <w:p w14:paraId="0CED7F8A"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-0.521</w:t>
            </w:r>
          </w:p>
        </w:tc>
        <w:tc>
          <w:tcPr>
            <w:tcW w:w="1020" w:type="dxa"/>
            <w:noWrap/>
            <w:vAlign w:val="bottom"/>
            <w:hideMark/>
          </w:tcPr>
          <w:p w14:paraId="0E4278A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0.094</w:t>
            </w:r>
          </w:p>
        </w:tc>
      </w:tr>
      <w:tr w:rsidR="0073551B" w:rsidRPr="005F7043" w14:paraId="1A5701B6" w14:textId="77777777" w:rsidTr="00B02741">
        <w:trPr>
          <w:trHeight w:val="285"/>
        </w:trPr>
        <w:tc>
          <w:tcPr>
            <w:tcW w:w="1205" w:type="dxa"/>
            <w:shd w:val="clear" w:color="000000" w:fill="FFFFFF"/>
            <w:vAlign w:val="center"/>
            <w:hideMark/>
          </w:tcPr>
          <w:p w14:paraId="3457A8DA"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TA</w:t>
            </w:r>
          </w:p>
        </w:tc>
        <w:tc>
          <w:tcPr>
            <w:tcW w:w="1072" w:type="dxa"/>
            <w:noWrap/>
            <w:vAlign w:val="bottom"/>
            <w:hideMark/>
          </w:tcPr>
          <w:p w14:paraId="21F5923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50.000</w:t>
            </w:r>
          </w:p>
        </w:tc>
        <w:tc>
          <w:tcPr>
            <w:tcW w:w="1105" w:type="dxa"/>
            <w:noWrap/>
            <w:vAlign w:val="bottom"/>
            <w:hideMark/>
          </w:tcPr>
          <w:p w14:paraId="64F6BB0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550.000</w:t>
            </w:r>
          </w:p>
        </w:tc>
        <w:tc>
          <w:tcPr>
            <w:tcW w:w="1060" w:type="dxa"/>
            <w:noWrap/>
            <w:vAlign w:val="bottom"/>
            <w:hideMark/>
          </w:tcPr>
          <w:p w14:paraId="6871786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265.679</w:t>
            </w:r>
          </w:p>
        </w:tc>
        <w:tc>
          <w:tcPr>
            <w:tcW w:w="1020" w:type="dxa"/>
            <w:noWrap/>
            <w:vAlign w:val="bottom"/>
            <w:hideMark/>
          </w:tcPr>
          <w:p w14:paraId="6424A2C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115.775</w:t>
            </w:r>
          </w:p>
        </w:tc>
        <w:tc>
          <w:tcPr>
            <w:tcW w:w="1100" w:type="dxa"/>
            <w:noWrap/>
            <w:vAlign w:val="bottom"/>
            <w:hideMark/>
          </w:tcPr>
          <w:p w14:paraId="6C851E8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0.313</w:t>
            </w:r>
          </w:p>
        </w:tc>
        <w:tc>
          <w:tcPr>
            <w:tcW w:w="1038" w:type="dxa"/>
            <w:noWrap/>
            <w:vAlign w:val="bottom"/>
            <w:hideMark/>
          </w:tcPr>
          <w:p w14:paraId="49F02AE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-0.322</w:t>
            </w:r>
          </w:p>
        </w:tc>
        <w:tc>
          <w:tcPr>
            <w:tcW w:w="1020" w:type="dxa"/>
            <w:noWrap/>
            <w:vAlign w:val="bottom"/>
            <w:hideMark/>
          </w:tcPr>
          <w:p w14:paraId="1DA9E8DC"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0.343</w:t>
            </w:r>
          </w:p>
        </w:tc>
      </w:tr>
      <w:tr w:rsidR="0073551B" w:rsidRPr="005F7043" w14:paraId="23FA2C28" w14:textId="77777777" w:rsidTr="00B02741">
        <w:trPr>
          <w:trHeight w:val="285"/>
        </w:trPr>
        <w:tc>
          <w:tcPr>
            <w:tcW w:w="1205" w:type="dxa"/>
            <w:shd w:val="clear" w:color="000000" w:fill="FFFFFF"/>
            <w:vAlign w:val="center"/>
            <w:hideMark/>
          </w:tcPr>
          <w:p w14:paraId="16E96907"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TH</w:t>
            </w:r>
          </w:p>
        </w:tc>
        <w:tc>
          <w:tcPr>
            <w:tcW w:w="1072" w:type="dxa"/>
            <w:noWrap/>
            <w:vAlign w:val="bottom"/>
            <w:hideMark/>
          </w:tcPr>
          <w:p w14:paraId="136EF71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90.000</w:t>
            </w:r>
          </w:p>
        </w:tc>
        <w:tc>
          <w:tcPr>
            <w:tcW w:w="1105" w:type="dxa"/>
            <w:noWrap/>
            <w:vAlign w:val="bottom"/>
            <w:hideMark/>
          </w:tcPr>
          <w:p w14:paraId="2309835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393.000</w:t>
            </w:r>
          </w:p>
        </w:tc>
        <w:tc>
          <w:tcPr>
            <w:tcW w:w="1060" w:type="dxa"/>
            <w:noWrap/>
            <w:vAlign w:val="bottom"/>
            <w:hideMark/>
          </w:tcPr>
          <w:p w14:paraId="3EFFBE7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216.580</w:t>
            </w:r>
          </w:p>
        </w:tc>
        <w:tc>
          <w:tcPr>
            <w:tcW w:w="1020" w:type="dxa"/>
            <w:noWrap/>
            <w:vAlign w:val="bottom"/>
            <w:hideMark/>
          </w:tcPr>
          <w:p w14:paraId="743A1D9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72.918</w:t>
            </w:r>
          </w:p>
        </w:tc>
        <w:tc>
          <w:tcPr>
            <w:tcW w:w="1100" w:type="dxa"/>
            <w:noWrap/>
            <w:vAlign w:val="bottom"/>
            <w:hideMark/>
          </w:tcPr>
          <w:p w14:paraId="748D0AB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0.394</w:t>
            </w:r>
          </w:p>
        </w:tc>
        <w:tc>
          <w:tcPr>
            <w:tcW w:w="1038" w:type="dxa"/>
            <w:noWrap/>
            <w:vAlign w:val="bottom"/>
            <w:hideMark/>
          </w:tcPr>
          <w:p w14:paraId="61E0A31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-0.555</w:t>
            </w:r>
          </w:p>
        </w:tc>
        <w:tc>
          <w:tcPr>
            <w:tcW w:w="1020" w:type="dxa"/>
            <w:noWrap/>
            <w:vAlign w:val="bottom"/>
            <w:hideMark/>
          </w:tcPr>
          <w:p w14:paraId="01DD5B0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0.155</w:t>
            </w:r>
          </w:p>
        </w:tc>
      </w:tr>
      <w:tr w:rsidR="0073551B" w:rsidRPr="005F7043" w14:paraId="2FCB8F7C" w14:textId="77777777" w:rsidTr="00B02741">
        <w:trPr>
          <w:trHeight w:val="285"/>
        </w:trPr>
        <w:tc>
          <w:tcPr>
            <w:tcW w:w="1205" w:type="dxa"/>
            <w:shd w:val="clear" w:color="000000" w:fill="FFFFFF"/>
            <w:vAlign w:val="center"/>
            <w:hideMark/>
          </w:tcPr>
          <w:p w14:paraId="4F7CC3BD"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Ca</w:t>
            </w:r>
            <w:r w:rsidRPr="005F7043">
              <w:rPr>
                <w:rFonts w:ascii="Times New Roman" w:eastAsia="Times New Roman" w:hAnsi="Times New Roman"/>
                <w:b/>
                <w:bCs/>
                <w:color w:val="212529"/>
                <w:sz w:val="24"/>
                <w:szCs w:val="24"/>
                <w:vertAlign w:val="superscript"/>
                <w:lang w:eastAsia="en-IN"/>
              </w:rPr>
              <w:t>2+</w:t>
            </w:r>
          </w:p>
        </w:tc>
        <w:tc>
          <w:tcPr>
            <w:tcW w:w="1072" w:type="dxa"/>
            <w:noWrap/>
            <w:vAlign w:val="bottom"/>
            <w:hideMark/>
          </w:tcPr>
          <w:p w14:paraId="006E05E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13.650</w:t>
            </w:r>
          </w:p>
        </w:tc>
        <w:tc>
          <w:tcPr>
            <w:tcW w:w="1105" w:type="dxa"/>
            <w:noWrap/>
            <w:vAlign w:val="bottom"/>
            <w:hideMark/>
          </w:tcPr>
          <w:p w14:paraId="17E5130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119.000</w:t>
            </w:r>
          </w:p>
        </w:tc>
        <w:tc>
          <w:tcPr>
            <w:tcW w:w="1060" w:type="dxa"/>
            <w:noWrap/>
            <w:vAlign w:val="bottom"/>
            <w:hideMark/>
          </w:tcPr>
          <w:p w14:paraId="4A1808E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58.856</w:t>
            </w:r>
          </w:p>
        </w:tc>
        <w:tc>
          <w:tcPr>
            <w:tcW w:w="1020" w:type="dxa"/>
            <w:noWrap/>
            <w:vAlign w:val="bottom"/>
            <w:hideMark/>
          </w:tcPr>
          <w:p w14:paraId="17195F1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24.609</w:t>
            </w:r>
          </w:p>
        </w:tc>
        <w:tc>
          <w:tcPr>
            <w:tcW w:w="1100" w:type="dxa"/>
            <w:noWrap/>
            <w:vAlign w:val="bottom"/>
            <w:hideMark/>
          </w:tcPr>
          <w:p w14:paraId="4361D21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0.446</w:t>
            </w:r>
          </w:p>
        </w:tc>
        <w:tc>
          <w:tcPr>
            <w:tcW w:w="1038" w:type="dxa"/>
            <w:noWrap/>
            <w:vAlign w:val="bottom"/>
            <w:hideMark/>
          </w:tcPr>
          <w:p w14:paraId="1AC69DC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-0.016</w:t>
            </w:r>
          </w:p>
        </w:tc>
        <w:tc>
          <w:tcPr>
            <w:tcW w:w="1020" w:type="dxa"/>
            <w:noWrap/>
            <w:vAlign w:val="bottom"/>
            <w:hideMark/>
          </w:tcPr>
          <w:p w14:paraId="50A046D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0.085</w:t>
            </w:r>
          </w:p>
        </w:tc>
      </w:tr>
      <w:tr w:rsidR="0073551B" w:rsidRPr="005F7043" w14:paraId="3D03F019" w14:textId="77777777" w:rsidTr="00B02741">
        <w:trPr>
          <w:trHeight w:val="285"/>
        </w:trPr>
        <w:tc>
          <w:tcPr>
            <w:tcW w:w="1205" w:type="dxa"/>
            <w:shd w:val="clear" w:color="000000" w:fill="FFFFFF"/>
            <w:vAlign w:val="center"/>
            <w:hideMark/>
          </w:tcPr>
          <w:p w14:paraId="2F4C63E9"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Mg</w:t>
            </w:r>
            <w:r w:rsidRPr="005F7043">
              <w:rPr>
                <w:rFonts w:ascii="Times New Roman" w:eastAsia="Times New Roman" w:hAnsi="Times New Roman"/>
                <w:b/>
                <w:bCs/>
                <w:color w:val="212529"/>
                <w:sz w:val="24"/>
                <w:szCs w:val="24"/>
                <w:vertAlign w:val="superscript"/>
                <w:lang w:eastAsia="en-IN"/>
              </w:rPr>
              <w:t>2+</w:t>
            </w:r>
          </w:p>
        </w:tc>
        <w:tc>
          <w:tcPr>
            <w:tcW w:w="1072" w:type="dxa"/>
            <w:noWrap/>
            <w:vAlign w:val="bottom"/>
            <w:hideMark/>
          </w:tcPr>
          <w:p w14:paraId="20A1AFA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5.710</w:t>
            </w:r>
          </w:p>
        </w:tc>
        <w:tc>
          <w:tcPr>
            <w:tcW w:w="1105" w:type="dxa"/>
            <w:noWrap/>
            <w:vAlign w:val="bottom"/>
            <w:hideMark/>
          </w:tcPr>
          <w:p w14:paraId="75DC2A2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30.490</w:t>
            </w:r>
          </w:p>
        </w:tc>
        <w:tc>
          <w:tcPr>
            <w:tcW w:w="1060" w:type="dxa"/>
            <w:noWrap/>
            <w:vAlign w:val="bottom"/>
            <w:hideMark/>
          </w:tcPr>
          <w:p w14:paraId="1A49F28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16.577</w:t>
            </w:r>
          </w:p>
        </w:tc>
        <w:tc>
          <w:tcPr>
            <w:tcW w:w="1020" w:type="dxa"/>
            <w:noWrap/>
            <w:vAlign w:val="bottom"/>
            <w:hideMark/>
          </w:tcPr>
          <w:p w14:paraId="21E9451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5.771</w:t>
            </w:r>
          </w:p>
        </w:tc>
        <w:tc>
          <w:tcPr>
            <w:tcW w:w="1100" w:type="dxa"/>
            <w:noWrap/>
            <w:vAlign w:val="bottom"/>
            <w:hideMark/>
          </w:tcPr>
          <w:p w14:paraId="0D0B368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0.462</w:t>
            </w:r>
          </w:p>
        </w:tc>
        <w:tc>
          <w:tcPr>
            <w:tcW w:w="1038" w:type="dxa"/>
            <w:noWrap/>
            <w:vAlign w:val="bottom"/>
            <w:hideMark/>
          </w:tcPr>
          <w:p w14:paraId="0236B57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-0.330</w:t>
            </w:r>
          </w:p>
        </w:tc>
        <w:tc>
          <w:tcPr>
            <w:tcW w:w="1020" w:type="dxa"/>
            <w:noWrap/>
            <w:vAlign w:val="bottom"/>
            <w:hideMark/>
          </w:tcPr>
          <w:p w14:paraId="07DCCF2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0.064</w:t>
            </w:r>
          </w:p>
        </w:tc>
      </w:tr>
      <w:tr w:rsidR="0073551B" w:rsidRPr="005F7043" w14:paraId="36DCA360" w14:textId="77777777" w:rsidTr="00B02741">
        <w:trPr>
          <w:trHeight w:val="285"/>
        </w:trPr>
        <w:tc>
          <w:tcPr>
            <w:tcW w:w="1205" w:type="dxa"/>
            <w:shd w:val="clear" w:color="000000" w:fill="FFFFFF"/>
            <w:vAlign w:val="center"/>
            <w:hideMark/>
          </w:tcPr>
          <w:p w14:paraId="5B1ED340"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Na</w:t>
            </w:r>
            <w:r w:rsidRPr="005F7043">
              <w:rPr>
                <w:rFonts w:ascii="Times New Roman" w:eastAsia="Times New Roman" w:hAnsi="Times New Roman"/>
                <w:b/>
                <w:bCs/>
                <w:color w:val="212529"/>
                <w:sz w:val="24"/>
                <w:szCs w:val="24"/>
                <w:vertAlign w:val="superscript"/>
                <w:lang w:eastAsia="en-IN"/>
              </w:rPr>
              <w:t>+</w:t>
            </w:r>
          </w:p>
        </w:tc>
        <w:tc>
          <w:tcPr>
            <w:tcW w:w="1072" w:type="dxa"/>
            <w:noWrap/>
            <w:vAlign w:val="bottom"/>
            <w:hideMark/>
          </w:tcPr>
          <w:p w14:paraId="489B298C"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9.470</w:t>
            </w:r>
          </w:p>
        </w:tc>
        <w:tc>
          <w:tcPr>
            <w:tcW w:w="1105" w:type="dxa"/>
            <w:noWrap/>
            <w:vAlign w:val="bottom"/>
            <w:hideMark/>
          </w:tcPr>
          <w:p w14:paraId="0395BDE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85.000</w:t>
            </w:r>
          </w:p>
        </w:tc>
        <w:tc>
          <w:tcPr>
            <w:tcW w:w="1060" w:type="dxa"/>
            <w:noWrap/>
            <w:vAlign w:val="bottom"/>
            <w:hideMark/>
          </w:tcPr>
          <w:p w14:paraId="22A2D27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43.369</w:t>
            </w:r>
          </w:p>
        </w:tc>
        <w:tc>
          <w:tcPr>
            <w:tcW w:w="1020" w:type="dxa"/>
            <w:noWrap/>
            <w:vAlign w:val="bottom"/>
            <w:hideMark/>
          </w:tcPr>
          <w:p w14:paraId="5B70AB4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19.417</w:t>
            </w:r>
          </w:p>
        </w:tc>
        <w:tc>
          <w:tcPr>
            <w:tcW w:w="1100" w:type="dxa"/>
            <w:noWrap/>
            <w:vAlign w:val="bottom"/>
            <w:hideMark/>
          </w:tcPr>
          <w:p w14:paraId="0C683F7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0.089</w:t>
            </w:r>
          </w:p>
        </w:tc>
        <w:tc>
          <w:tcPr>
            <w:tcW w:w="1038" w:type="dxa"/>
            <w:noWrap/>
            <w:vAlign w:val="bottom"/>
            <w:hideMark/>
          </w:tcPr>
          <w:p w14:paraId="16570B8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-0.913</w:t>
            </w:r>
          </w:p>
        </w:tc>
        <w:tc>
          <w:tcPr>
            <w:tcW w:w="1020" w:type="dxa"/>
            <w:noWrap/>
            <w:vAlign w:val="bottom"/>
            <w:hideMark/>
          </w:tcPr>
          <w:p w14:paraId="2460F67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0.118</w:t>
            </w:r>
          </w:p>
        </w:tc>
      </w:tr>
      <w:tr w:rsidR="0073551B" w:rsidRPr="005F7043" w14:paraId="7AEDA823" w14:textId="77777777" w:rsidTr="00B02741">
        <w:trPr>
          <w:trHeight w:val="285"/>
        </w:trPr>
        <w:tc>
          <w:tcPr>
            <w:tcW w:w="1205" w:type="dxa"/>
            <w:shd w:val="clear" w:color="000000" w:fill="FFFFFF"/>
            <w:vAlign w:val="center"/>
            <w:hideMark/>
          </w:tcPr>
          <w:p w14:paraId="497479C8"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K</w:t>
            </w:r>
            <w:r w:rsidRPr="005F7043">
              <w:rPr>
                <w:rFonts w:ascii="Times New Roman" w:eastAsia="Times New Roman" w:hAnsi="Times New Roman"/>
                <w:b/>
                <w:bCs/>
                <w:color w:val="212529"/>
                <w:sz w:val="24"/>
                <w:szCs w:val="24"/>
                <w:vertAlign w:val="superscript"/>
                <w:lang w:eastAsia="en-IN"/>
              </w:rPr>
              <w:t>+</w:t>
            </w:r>
          </w:p>
        </w:tc>
        <w:tc>
          <w:tcPr>
            <w:tcW w:w="1072" w:type="dxa"/>
            <w:noWrap/>
            <w:vAlign w:val="bottom"/>
            <w:hideMark/>
          </w:tcPr>
          <w:p w14:paraId="1470DAA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0.470</w:t>
            </w:r>
          </w:p>
        </w:tc>
        <w:tc>
          <w:tcPr>
            <w:tcW w:w="1105" w:type="dxa"/>
            <w:noWrap/>
            <w:vAlign w:val="bottom"/>
            <w:hideMark/>
          </w:tcPr>
          <w:p w14:paraId="488203B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12.360</w:t>
            </w:r>
          </w:p>
        </w:tc>
        <w:tc>
          <w:tcPr>
            <w:tcW w:w="1060" w:type="dxa"/>
            <w:noWrap/>
            <w:vAlign w:val="bottom"/>
            <w:hideMark/>
          </w:tcPr>
          <w:p w14:paraId="3ED4D69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5.769</w:t>
            </w:r>
          </w:p>
        </w:tc>
        <w:tc>
          <w:tcPr>
            <w:tcW w:w="1020" w:type="dxa"/>
            <w:noWrap/>
            <w:vAlign w:val="bottom"/>
            <w:hideMark/>
          </w:tcPr>
          <w:p w14:paraId="06398CF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2.973</w:t>
            </w:r>
          </w:p>
        </w:tc>
        <w:tc>
          <w:tcPr>
            <w:tcW w:w="1100" w:type="dxa"/>
            <w:noWrap/>
            <w:vAlign w:val="bottom"/>
            <w:hideMark/>
          </w:tcPr>
          <w:p w14:paraId="68E2A4D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0.231</w:t>
            </w:r>
          </w:p>
        </w:tc>
        <w:tc>
          <w:tcPr>
            <w:tcW w:w="1038" w:type="dxa"/>
            <w:noWrap/>
            <w:vAlign w:val="bottom"/>
            <w:hideMark/>
          </w:tcPr>
          <w:p w14:paraId="59DAD1A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-0.817</w:t>
            </w:r>
          </w:p>
        </w:tc>
        <w:tc>
          <w:tcPr>
            <w:tcW w:w="1020" w:type="dxa"/>
            <w:noWrap/>
            <w:vAlign w:val="bottom"/>
            <w:hideMark/>
          </w:tcPr>
          <w:p w14:paraId="3AA8DB3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0.052</w:t>
            </w:r>
          </w:p>
        </w:tc>
      </w:tr>
      <w:tr w:rsidR="0073551B" w:rsidRPr="005F7043" w14:paraId="32BCC808" w14:textId="77777777" w:rsidTr="00B02741">
        <w:trPr>
          <w:trHeight w:val="285"/>
        </w:trPr>
        <w:tc>
          <w:tcPr>
            <w:tcW w:w="1205" w:type="dxa"/>
            <w:shd w:val="clear" w:color="000000" w:fill="FFFFFF"/>
            <w:vAlign w:val="center"/>
            <w:hideMark/>
          </w:tcPr>
          <w:p w14:paraId="0A582F8B"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Cl</w:t>
            </w:r>
          </w:p>
        </w:tc>
        <w:tc>
          <w:tcPr>
            <w:tcW w:w="1072" w:type="dxa"/>
            <w:noWrap/>
            <w:vAlign w:val="bottom"/>
            <w:hideMark/>
          </w:tcPr>
          <w:p w14:paraId="74249F7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12.200</w:t>
            </w:r>
          </w:p>
        </w:tc>
        <w:tc>
          <w:tcPr>
            <w:tcW w:w="1105" w:type="dxa"/>
            <w:noWrap/>
            <w:vAlign w:val="bottom"/>
            <w:hideMark/>
          </w:tcPr>
          <w:p w14:paraId="3C068C5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110.650</w:t>
            </w:r>
          </w:p>
        </w:tc>
        <w:tc>
          <w:tcPr>
            <w:tcW w:w="1060" w:type="dxa"/>
            <w:noWrap/>
            <w:vAlign w:val="bottom"/>
            <w:hideMark/>
          </w:tcPr>
          <w:p w14:paraId="6243E0F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60.044</w:t>
            </w:r>
          </w:p>
        </w:tc>
        <w:tc>
          <w:tcPr>
            <w:tcW w:w="1020" w:type="dxa"/>
            <w:noWrap/>
            <w:vAlign w:val="bottom"/>
            <w:hideMark/>
          </w:tcPr>
          <w:p w14:paraId="611A565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23.887</w:t>
            </w:r>
          </w:p>
        </w:tc>
        <w:tc>
          <w:tcPr>
            <w:tcW w:w="1100" w:type="dxa"/>
            <w:noWrap/>
            <w:vAlign w:val="bottom"/>
            <w:hideMark/>
          </w:tcPr>
          <w:p w14:paraId="4A7050E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0.183</w:t>
            </w:r>
          </w:p>
        </w:tc>
        <w:tc>
          <w:tcPr>
            <w:tcW w:w="1038" w:type="dxa"/>
            <w:noWrap/>
            <w:vAlign w:val="bottom"/>
            <w:hideMark/>
          </w:tcPr>
          <w:p w14:paraId="51DC985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-0.646</w:t>
            </w:r>
          </w:p>
        </w:tc>
        <w:tc>
          <w:tcPr>
            <w:tcW w:w="1020" w:type="dxa"/>
            <w:noWrap/>
            <w:vAlign w:val="bottom"/>
            <w:hideMark/>
          </w:tcPr>
          <w:p w14:paraId="16CC3292"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0.271</w:t>
            </w:r>
          </w:p>
        </w:tc>
      </w:tr>
      <w:tr w:rsidR="0073551B" w:rsidRPr="005F7043" w14:paraId="0E826E6A" w14:textId="77777777" w:rsidTr="00B02741">
        <w:trPr>
          <w:trHeight w:val="308"/>
        </w:trPr>
        <w:tc>
          <w:tcPr>
            <w:tcW w:w="1205" w:type="dxa"/>
            <w:shd w:val="clear" w:color="000000" w:fill="FFFFFF"/>
            <w:vAlign w:val="center"/>
            <w:hideMark/>
          </w:tcPr>
          <w:p w14:paraId="0F52AF34"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HCO</w:t>
            </w:r>
            <w:r w:rsidRPr="005F7043">
              <w:rPr>
                <w:rFonts w:ascii="Times New Roman" w:eastAsia="Times New Roman" w:hAnsi="Times New Roman"/>
                <w:b/>
                <w:bCs/>
                <w:color w:val="212529"/>
                <w:sz w:val="24"/>
                <w:szCs w:val="24"/>
                <w:vertAlign w:val="subscript"/>
                <w:lang w:eastAsia="en-IN"/>
              </w:rPr>
              <w:t>3</w:t>
            </w:r>
            <w:r w:rsidRPr="005F7043">
              <w:rPr>
                <w:rFonts w:ascii="Times New Roman" w:eastAsia="Times New Roman" w:hAnsi="Times New Roman"/>
                <w:b/>
                <w:bCs/>
                <w:color w:val="212529"/>
                <w:sz w:val="24"/>
                <w:szCs w:val="24"/>
                <w:vertAlign w:val="superscript"/>
                <w:lang w:eastAsia="en-IN"/>
              </w:rPr>
              <w:t>-</w:t>
            </w:r>
          </w:p>
        </w:tc>
        <w:tc>
          <w:tcPr>
            <w:tcW w:w="1072" w:type="dxa"/>
            <w:noWrap/>
            <w:vAlign w:val="bottom"/>
            <w:hideMark/>
          </w:tcPr>
          <w:p w14:paraId="72181EA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100.540</w:t>
            </w:r>
          </w:p>
        </w:tc>
        <w:tc>
          <w:tcPr>
            <w:tcW w:w="1105" w:type="dxa"/>
            <w:noWrap/>
            <w:vAlign w:val="bottom"/>
            <w:hideMark/>
          </w:tcPr>
          <w:p w14:paraId="225BDDE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312.540</w:t>
            </w:r>
          </w:p>
        </w:tc>
        <w:tc>
          <w:tcPr>
            <w:tcW w:w="1060" w:type="dxa"/>
            <w:noWrap/>
            <w:vAlign w:val="bottom"/>
            <w:hideMark/>
          </w:tcPr>
          <w:p w14:paraId="395DCC6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220.426</w:t>
            </w:r>
          </w:p>
        </w:tc>
        <w:tc>
          <w:tcPr>
            <w:tcW w:w="1020" w:type="dxa"/>
            <w:noWrap/>
            <w:vAlign w:val="bottom"/>
            <w:hideMark/>
          </w:tcPr>
          <w:p w14:paraId="5E775632"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49.597</w:t>
            </w:r>
          </w:p>
        </w:tc>
        <w:tc>
          <w:tcPr>
            <w:tcW w:w="1100" w:type="dxa"/>
            <w:noWrap/>
            <w:vAlign w:val="bottom"/>
            <w:hideMark/>
          </w:tcPr>
          <w:p w14:paraId="2332A0A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-0.193</w:t>
            </w:r>
          </w:p>
        </w:tc>
        <w:tc>
          <w:tcPr>
            <w:tcW w:w="1038" w:type="dxa"/>
            <w:noWrap/>
            <w:vAlign w:val="bottom"/>
            <w:hideMark/>
          </w:tcPr>
          <w:p w14:paraId="6849A3A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-0.785</w:t>
            </w:r>
          </w:p>
        </w:tc>
        <w:tc>
          <w:tcPr>
            <w:tcW w:w="1020" w:type="dxa"/>
            <w:noWrap/>
            <w:vAlign w:val="bottom"/>
            <w:hideMark/>
          </w:tcPr>
          <w:p w14:paraId="6C18CD2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0.137</w:t>
            </w:r>
          </w:p>
        </w:tc>
      </w:tr>
      <w:tr w:rsidR="0073551B" w:rsidRPr="005F7043" w14:paraId="1B5DEA4A" w14:textId="77777777" w:rsidTr="00B02741">
        <w:trPr>
          <w:trHeight w:val="308"/>
        </w:trPr>
        <w:tc>
          <w:tcPr>
            <w:tcW w:w="1205" w:type="dxa"/>
            <w:shd w:val="clear" w:color="000000" w:fill="FFFFFF"/>
            <w:vAlign w:val="center"/>
            <w:hideMark/>
          </w:tcPr>
          <w:p w14:paraId="3CD2A310"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SO</w:t>
            </w:r>
            <w:r w:rsidRPr="005F7043">
              <w:rPr>
                <w:rFonts w:ascii="Times New Roman" w:eastAsia="Times New Roman" w:hAnsi="Times New Roman"/>
                <w:b/>
                <w:bCs/>
                <w:color w:val="212529"/>
                <w:sz w:val="24"/>
                <w:szCs w:val="24"/>
                <w:vertAlign w:val="subscript"/>
                <w:lang w:eastAsia="en-IN"/>
              </w:rPr>
              <w:t>4</w:t>
            </w:r>
            <w:r w:rsidRPr="005F7043">
              <w:rPr>
                <w:rFonts w:ascii="Times New Roman" w:eastAsia="Times New Roman" w:hAnsi="Times New Roman"/>
                <w:b/>
                <w:bCs/>
                <w:color w:val="212529"/>
                <w:sz w:val="24"/>
                <w:szCs w:val="24"/>
                <w:vertAlign w:val="superscript"/>
                <w:lang w:eastAsia="en-IN"/>
              </w:rPr>
              <w:t>2-</w:t>
            </w:r>
          </w:p>
        </w:tc>
        <w:tc>
          <w:tcPr>
            <w:tcW w:w="1072" w:type="dxa"/>
            <w:noWrap/>
            <w:vAlign w:val="bottom"/>
            <w:hideMark/>
          </w:tcPr>
          <w:p w14:paraId="77C66C62"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1.800</w:t>
            </w:r>
          </w:p>
        </w:tc>
        <w:tc>
          <w:tcPr>
            <w:tcW w:w="1105" w:type="dxa"/>
            <w:noWrap/>
            <w:vAlign w:val="bottom"/>
            <w:hideMark/>
          </w:tcPr>
          <w:p w14:paraId="1238E81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77.560</w:t>
            </w:r>
          </w:p>
        </w:tc>
        <w:tc>
          <w:tcPr>
            <w:tcW w:w="1060" w:type="dxa"/>
            <w:noWrap/>
            <w:vAlign w:val="bottom"/>
            <w:hideMark/>
          </w:tcPr>
          <w:p w14:paraId="2C2B560D"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37.491</w:t>
            </w:r>
          </w:p>
        </w:tc>
        <w:tc>
          <w:tcPr>
            <w:tcW w:w="1020" w:type="dxa"/>
            <w:noWrap/>
            <w:vAlign w:val="bottom"/>
            <w:hideMark/>
          </w:tcPr>
          <w:p w14:paraId="1590F8F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18.504</w:t>
            </w:r>
          </w:p>
        </w:tc>
        <w:tc>
          <w:tcPr>
            <w:tcW w:w="1100" w:type="dxa"/>
            <w:noWrap/>
            <w:vAlign w:val="bottom"/>
            <w:hideMark/>
          </w:tcPr>
          <w:p w14:paraId="75AB865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0.251</w:t>
            </w:r>
          </w:p>
        </w:tc>
        <w:tc>
          <w:tcPr>
            <w:tcW w:w="1038" w:type="dxa"/>
            <w:noWrap/>
            <w:vAlign w:val="bottom"/>
            <w:hideMark/>
          </w:tcPr>
          <w:p w14:paraId="504EF3A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-0.513</w:t>
            </w:r>
          </w:p>
        </w:tc>
        <w:tc>
          <w:tcPr>
            <w:tcW w:w="1020" w:type="dxa"/>
            <w:noWrap/>
            <w:vAlign w:val="bottom"/>
            <w:hideMark/>
          </w:tcPr>
          <w:p w14:paraId="7FE550E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0.154</w:t>
            </w:r>
          </w:p>
        </w:tc>
      </w:tr>
      <w:tr w:rsidR="0073551B" w:rsidRPr="005F7043" w14:paraId="45296F9F" w14:textId="77777777" w:rsidTr="00B02741">
        <w:trPr>
          <w:trHeight w:val="285"/>
        </w:trPr>
        <w:tc>
          <w:tcPr>
            <w:tcW w:w="1205" w:type="dxa"/>
            <w:shd w:val="clear" w:color="000000" w:fill="FFFFFF"/>
            <w:vAlign w:val="center"/>
            <w:hideMark/>
          </w:tcPr>
          <w:p w14:paraId="7CF1E53B"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F</w:t>
            </w:r>
          </w:p>
        </w:tc>
        <w:tc>
          <w:tcPr>
            <w:tcW w:w="1072" w:type="dxa"/>
            <w:noWrap/>
            <w:vAlign w:val="bottom"/>
            <w:hideMark/>
          </w:tcPr>
          <w:p w14:paraId="66F40C2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0.050</w:t>
            </w:r>
          </w:p>
        </w:tc>
        <w:tc>
          <w:tcPr>
            <w:tcW w:w="1105" w:type="dxa"/>
            <w:noWrap/>
            <w:vAlign w:val="bottom"/>
            <w:hideMark/>
          </w:tcPr>
          <w:p w14:paraId="3B8340F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1.580</w:t>
            </w:r>
          </w:p>
        </w:tc>
        <w:tc>
          <w:tcPr>
            <w:tcW w:w="1060" w:type="dxa"/>
            <w:noWrap/>
            <w:vAlign w:val="bottom"/>
            <w:hideMark/>
          </w:tcPr>
          <w:p w14:paraId="355FDC7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0.665</w:t>
            </w:r>
          </w:p>
        </w:tc>
        <w:tc>
          <w:tcPr>
            <w:tcW w:w="1020" w:type="dxa"/>
            <w:noWrap/>
            <w:vAlign w:val="bottom"/>
            <w:hideMark/>
          </w:tcPr>
          <w:p w14:paraId="39994C1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0.320</w:t>
            </w:r>
          </w:p>
        </w:tc>
        <w:tc>
          <w:tcPr>
            <w:tcW w:w="1100" w:type="dxa"/>
            <w:noWrap/>
            <w:vAlign w:val="bottom"/>
            <w:hideMark/>
          </w:tcPr>
          <w:p w14:paraId="49091B8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0.402</w:t>
            </w:r>
          </w:p>
        </w:tc>
        <w:tc>
          <w:tcPr>
            <w:tcW w:w="1038" w:type="dxa"/>
            <w:noWrap/>
            <w:vAlign w:val="bottom"/>
            <w:hideMark/>
          </w:tcPr>
          <w:p w14:paraId="7D719F3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-0.229</w:t>
            </w:r>
          </w:p>
        </w:tc>
        <w:tc>
          <w:tcPr>
            <w:tcW w:w="1020" w:type="dxa"/>
            <w:noWrap/>
            <w:vAlign w:val="bottom"/>
            <w:hideMark/>
          </w:tcPr>
          <w:p w14:paraId="0AF71D3D"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0.204</w:t>
            </w:r>
          </w:p>
        </w:tc>
      </w:tr>
      <w:tr w:rsidR="0073551B" w:rsidRPr="005F7043" w14:paraId="74AC0B58" w14:textId="77777777" w:rsidTr="00B02741">
        <w:trPr>
          <w:trHeight w:val="308"/>
        </w:trPr>
        <w:tc>
          <w:tcPr>
            <w:tcW w:w="1205" w:type="dxa"/>
            <w:shd w:val="clear" w:color="000000" w:fill="FFFFFF"/>
            <w:vAlign w:val="center"/>
            <w:hideMark/>
          </w:tcPr>
          <w:p w14:paraId="61AC0505"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NO</w:t>
            </w:r>
            <w:r w:rsidRPr="005F7043">
              <w:rPr>
                <w:rFonts w:ascii="Times New Roman" w:eastAsia="Times New Roman" w:hAnsi="Times New Roman"/>
                <w:b/>
                <w:bCs/>
                <w:color w:val="212529"/>
                <w:sz w:val="24"/>
                <w:szCs w:val="24"/>
                <w:vertAlign w:val="subscript"/>
                <w:lang w:eastAsia="en-IN"/>
              </w:rPr>
              <w:t>3</w:t>
            </w:r>
            <w:r w:rsidRPr="005F7043">
              <w:rPr>
                <w:rFonts w:ascii="Times New Roman" w:eastAsia="Times New Roman" w:hAnsi="Times New Roman"/>
                <w:b/>
                <w:bCs/>
                <w:color w:val="212529"/>
                <w:sz w:val="24"/>
                <w:szCs w:val="24"/>
                <w:vertAlign w:val="superscript"/>
                <w:lang w:eastAsia="en-IN"/>
              </w:rPr>
              <w:t>-</w:t>
            </w:r>
          </w:p>
        </w:tc>
        <w:tc>
          <w:tcPr>
            <w:tcW w:w="1072" w:type="dxa"/>
            <w:noWrap/>
            <w:vAlign w:val="bottom"/>
            <w:hideMark/>
          </w:tcPr>
          <w:p w14:paraId="1F497DFD"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1.230</w:t>
            </w:r>
          </w:p>
        </w:tc>
        <w:tc>
          <w:tcPr>
            <w:tcW w:w="1105" w:type="dxa"/>
            <w:noWrap/>
            <w:vAlign w:val="bottom"/>
            <w:hideMark/>
          </w:tcPr>
          <w:p w14:paraId="61731F5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29.650</w:t>
            </w:r>
          </w:p>
        </w:tc>
        <w:tc>
          <w:tcPr>
            <w:tcW w:w="1060" w:type="dxa"/>
            <w:noWrap/>
            <w:vAlign w:val="bottom"/>
            <w:hideMark/>
          </w:tcPr>
          <w:p w14:paraId="18860A9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13.418</w:t>
            </w:r>
          </w:p>
        </w:tc>
        <w:tc>
          <w:tcPr>
            <w:tcW w:w="1020" w:type="dxa"/>
            <w:noWrap/>
            <w:vAlign w:val="bottom"/>
            <w:hideMark/>
          </w:tcPr>
          <w:p w14:paraId="6950653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6.691</w:t>
            </w:r>
          </w:p>
        </w:tc>
        <w:tc>
          <w:tcPr>
            <w:tcW w:w="1100" w:type="dxa"/>
            <w:noWrap/>
            <w:vAlign w:val="bottom"/>
            <w:hideMark/>
          </w:tcPr>
          <w:p w14:paraId="4C47070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0.425</w:t>
            </w:r>
          </w:p>
        </w:tc>
        <w:tc>
          <w:tcPr>
            <w:tcW w:w="1038" w:type="dxa"/>
            <w:noWrap/>
            <w:vAlign w:val="bottom"/>
            <w:hideMark/>
          </w:tcPr>
          <w:p w14:paraId="5BE6806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-0.277</w:t>
            </w:r>
          </w:p>
        </w:tc>
        <w:tc>
          <w:tcPr>
            <w:tcW w:w="1020" w:type="dxa"/>
            <w:noWrap/>
            <w:vAlign w:val="bottom"/>
            <w:hideMark/>
          </w:tcPr>
          <w:p w14:paraId="34D89A8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0.094</w:t>
            </w:r>
          </w:p>
        </w:tc>
      </w:tr>
    </w:tbl>
    <w:p w14:paraId="7100489D" w14:textId="2AFE5F34" w:rsidR="0073551B" w:rsidRPr="005F7043" w:rsidRDefault="00C11AFB"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Table 1: Descriptive statistical summary of all physical and chemical parameters groundwater</w:t>
      </w:r>
      <w:r w:rsidR="00651FFA" w:rsidRPr="005F7043">
        <w:rPr>
          <w:rFonts w:ascii="Times New Roman" w:hAnsi="Times New Roman"/>
          <w:iCs/>
          <w:color w:val="000000"/>
          <w:sz w:val="24"/>
          <w:szCs w:val="24"/>
        </w:rPr>
        <w:t xml:space="preserve"> in Kaniha block</w:t>
      </w:r>
    </w:p>
    <w:p w14:paraId="2B073B71" w14:textId="77777777" w:rsidR="0073551B" w:rsidRPr="005F7043" w:rsidRDefault="0073551B" w:rsidP="005F7043">
      <w:pPr>
        <w:spacing w:line="240" w:lineRule="auto"/>
        <w:jc w:val="both"/>
        <w:rPr>
          <w:rFonts w:ascii="Times New Roman" w:hAnsi="Times New Roman"/>
          <w:iCs/>
          <w:color w:val="000000"/>
          <w:sz w:val="24"/>
          <w:szCs w:val="24"/>
        </w:rPr>
      </w:pPr>
    </w:p>
    <w:p w14:paraId="513E6A1A" w14:textId="77777777" w:rsidR="001039B4"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The main source of Ca</w:t>
      </w:r>
      <w:r w:rsidRPr="005F7043">
        <w:rPr>
          <w:rFonts w:ascii="Times New Roman" w:hAnsi="Times New Roman"/>
          <w:iCs/>
          <w:color w:val="000000"/>
          <w:sz w:val="24"/>
          <w:szCs w:val="24"/>
          <w:vertAlign w:val="superscript"/>
        </w:rPr>
        <w:t>2+</w:t>
      </w:r>
      <w:r w:rsidRPr="005F7043">
        <w:rPr>
          <w:rFonts w:ascii="Times New Roman" w:hAnsi="Times New Roman"/>
          <w:iCs/>
          <w:color w:val="000000"/>
          <w:sz w:val="24"/>
          <w:szCs w:val="24"/>
        </w:rPr>
        <w:t>is due to calcium bearing minerals present in the rock like plagioclase, amphibole and pyroxene</w:t>
      </w:r>
      <w:r w:rsidR="00CB7900" w:rsidRPr="005F7043">
        <w:rPr>
          <w:rFonts w:ascii="Times New Roman" w:hAnsi="Times New Roman"/>
          <w:iCs/>
          <w:color w:val="000000"/>
          <w:sz w:val="24"/>
          <w:szCs w:val="24"/>
        </w:rPr>
        <w:t xml:space="preserve"> [43]</w:t>
      </w:r>
      <w:r w:rsidRPr="005F7043">
        <w:rPr>
          <w:rFonts w:ascii="Times New Roman" w:hAnsi="Times New Roman"/>
          <w:iCs/>
          <w:color w:val="000000"/>
          <w:sz w:val="24"/>
          <w:szCs w:val="24"/>
        </w:rPr>
        <w:t>. The increase of Na</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xml:space="preserve"> level in the groundwater due to cation exchange from the source rock containing sodium feldspar and clay minerals as well as domestic wastes, septic tank leakage and agricultural practices are responsible for enrichment of Na</w:t>
      </w:r>
      <w:r w:rsidRPr="005F7043">
        <w:rPr>
          <w:rFonts w:ascii="Times New Roman" w:hAnsi="Times New Roman"/>
          <w:iCs/>
          <w:color w:val="000000"/>
          <w:sz w:val="24"/>
          <w:szCs w:val="24"/>
          <w:vertAlign w:val="superscript"/>
        </w:rPr>
        <w:t xml:space="preserve">+ </w:t>
      </w:r>
      <w:r w:rsidRPr="005F7043">
        <w:rPr>
          <w:rFonts w:ascii="Times New Roman" w:hAnsi="Times New Roman"/>
          <w:iCs/>
          <w:color w:val="000000"/>
          <w:sz w:val="24"/>
          <w:szCs w:val="24"/>
        </w:rPr>
        <w:t>in the groundwater chemistry</w:t>
      </w:r>
      <w:r w:rsidR="00CB7900" w:rsidRPr="005F7043">
        <w:rPr>
          <w:rFonts w:ascii="Times New Roman" w:hAnsi="Times New Roman"/>
          <w:iCs/>
          <w:color w:val="000000"/>
          <w:sz w:val="24"/>
          <w:szCs w:val="24"/>
        </w:rPr>
        <w:t xml:space="preserve"> [7]</w:t>
      </w:r>
      <w:r w:rsidRPr="005F7043">
        <w:rPr>
          <w:rFonts w:ascii="Times New Roman" w:hAnsi="Times New Roman"/>
          <w:iCs/>
          <w:color w:val="000000"/>
          <w:sz w:val="24"/>
          <w:szCs w:val="24"/>
        </w:rPr>
        <w:t xml:space="preserve">. </w:t>
      </w:r>
    </w:p>
    <w:p w14:paraId="384116EF" w14:textId="4968B6EC" w:rsidR="00043A45" w:rsidRPr="005F7043"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The Mg</w:t>
      </w:r>
      <w:r w:rsidRPr="005F7043">
        <w:rPr>
          <w:rFonts w:ascii="Times New Roman" w:hAnsi="Times New Roman"/>
          <w:iCs/>
          <w:color w:val="000000"/>
          <w:sz w:val="24"/>
          <w:szCs w:val="24"/>
          <w:vertAlign w:val="superscript"/>
        </w:rPr>
        <w:t>2+</w:t>
      </w:r>
      <w:r w:rsidRPr="005F7043">
        <w:rPr>
          <w:rFonts w:ascii="Times New Roman" w:hAnsi="Times New Roman"/>
          <w:iCs/>
          <w:color w:val="000000"/>
          <w:sz w:val="24"/>
          <w:szCs w:val="24"/>
        </w:rPr>
        <w:t xml:space="preserve"> occurs in the groundwater in association with Ca</w:t>
      </w:r>
      <w:r w:rsidRPr="005F7043">
        <w:rPr>
          <w:rFonts w:ascii="Times New Roman" w:hAnsi="Times New Roman"/>
          <w:iCs/>
          <w:color w:val="000000"/>
          <w:sz w:val="24"/>
          <w:szCs w:val="24"/>
          <w:vertAlign w:val="superscript"/>
        </w:rPr>
        <w:t xml:space="preserve">2+ </w:t>
      </w:r>
      <w:r w:rsidRPr="005F7043">
        <w:rPr>
          <w:rFonts w:ascii="Times New Roman" w:hAnsi="Times New Roman"/>
          <w:iCs/>
          <w:color w:val="000000"/>
          <w:sz w:val="24"/>
          <w:szCs w:val="24"/>
        </w:rPr>
        <w:t>and derived from the weathering of ferromagnesium minerals like biotite, hornblende present in the rock and may be due to anthropogenic sources like mining or industrial activities</w:t>
      </w:r>
      <w:r w:rsidR="00CB7900" w:rsidRPr="005F7043">
        <w:rPr>
          <w:rFonts w:ascii="Times New Roman" w:hAnsi="Times New Roman"/>
          <w:iCs/>
          <w:color w:val="000000"/>
          <w:sz w:val="24"/>
          <w:szCs w:val="24"/>
        </w:rPr>
        <w:t xml:space="preserve"> [19]. </w:t>
      </w:r>
      <w:r w:rsidRPr="005F7043">
        <w:rPr>
          <w:rFonts w:ascii="Times New Roman" w:hAnsi="Times New Roman"/>
          <w:iCs/>
          <w:color w:val="000000"/>
          <w:sz w:val="24"/>
          <w:szCs w:val="24"/>
        </w:rPr>
        <w:t>The concentration of Potassium(K</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in the groundwater due to the application of chemical fertilizer in agriculture rather than source from weathering of potassium feldspar bearing mineral rocks</w:t>
      </w:r>
      <w:r w:rsidR="00CB7900" w:rsidRPr="005F7043">
        <w:rPr>
          <w:rFonts w:ascii="Times New Roman" w:hAnsi="Times New Roman"/>
          <w:iCs/>
          <w:color w:val="000000"/>
          <w:sz w:val="24"/>
          <w:szCs w:val="24"/>
        </w:rPr>
        <w:t xml:space="preserve"> [40].</w:t>
      </w:r>
    </w:p>
    <w:p w14:paraId="63FD9A55" w14:textId="77777777" w:rsidR="001039B4"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Among anions the value of HCO</w:t>
      </w:r>
      <w:r w:rsidRPr="005F7043">
        <w:rPr>
          <w:rFonts w:ascii="Times New Roman" w:hAnsi="Times New Roman"/>
          <w:iCs/>
          <w:color w:val="000000"/>
          <w:sz w:val="24"/>
          <w:szCs w:val="24"/>
          <w:vertAlign w:val="subscript"/>
        </w:rPr>
        <w:t>3</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xml:space="preserve"> having concentration avg. 221.1 mg/L is followed by Cl</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(avg. 60.04 mg/l), SO</w:t>
      </w:r>
      <w:r w:rsidRPr="005F7043">
        <w:rPr>
          <w:rFonts w:ascii="Times New Roman" w:hAnsi="Times New Roman"/>
          <w:iCs/>
          <w:color w:val="000000"/>
          <w:sz w:val="24"/>
          <w:szCs w:val="24"/>
          <w:vertAlign w:val="subscript"/>
        </w:rPr>
        <w:t>4</w:t>
      </w:r>
      <w:r w:rsidRPr="005F7043">
        <w:rPr>
          <w:rFonts w:ascii="Times New Roman" w:hAnsi="Times New Roman"/>
          <w:iCs/>
          <w:color w:val="000000"/>
          <w:sz w:val="24"/>
          <w:szCs w:val="24"/>
          <w:vertAlign w:val="superscript"/>
        </w:rPr>
        <w:t>2-</w:t>
      </w:r>
      <w:r w:rsidRPr="005F7043">
        <w:rPr>
          <w:rFonts w:ascii="Times New Roman" w:hAnsi="Times New Roman"/>
          <w:iCs/>
          <w:color w:val="000000"/>
          <w:sz w:val="24"/>
          <w:szCs w:val="24"/>
        </w:rPr>
        <w:t>(avg. 37.491 mg/l), NO</w:t>
      </w:r>
      <w:r w:rsidRPr="005F7043">
        <w:rPr>
          <w:rFonts w:ascii="Times New Roman" w:hAnsi="Times New Roman"/>
          <w:iCs/>
          <w:color w:val="000000"/>
          <w:sz w:val="24"/>
          <w:szCs w:val="24"/>
          <w:vertAlign w:val="subscript"/>
        </w:rPr>
        <w:t>3</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(avg. 13.418 mg/l), F</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avg.0.665 mg/l) are present in the groundwater. The higher concentration of bicarbonate is due to weathering of silicate rock with content of CO</w:t>
      </w:r>
      <w:r w:rsidRPr="005F7043">
        <w:rPr>
          <w:rFonts w:ascii="Times New Roman" w:hAnsi="Times New Roman"/>
          <w:iCs/>
          <w:color w:val="000000"/>
          <w:sz w:val="24"/>
          <w:szCs w:val="24"/>
          <w:vertAlign w:val="subscript"/>
        </w:rPr>
        <w:t>2</w:t>
      </w:r>
      <w:r w:rsidRPr="005F7043">
        <w:rPr>
          <w:rFonts w:ascii="Times New Roman" w:hAnsi="Times New Roman"/>
          <w:iCs/>
          <w:color w:val="000000"/>
          <w:sz w:val="24"/>
          <w:szCs w:val="24"/>
        </w:rPr>
        <w:t xml:space="preserve"> in the soil</w:t>
      </w:r>
      <w:r w:rsidR="00BD7FA2" w:rsidRPr="005F7043">
        <w:rPr>
          <w:rFonts w:ascii="Times New Roman" w:hAnsi="Times New Roman"/>
          <w:iCs/>
          <w:color w:val="000000"/>
          <w:sz w:val="24"/>
          <w:szCs w:val="24"/>
        </w:rPr>
        <w:t>, which</w:t>
      </w:r>
      <w:r w:rsidRPr="005F7043">
        <w:rPr>
          <w:rFonts w:ascii="Times New Roman" w:hAnsi="Times New Roman"/>
          <w:iCs/>
          <w:color w:val="000000"/>
          <w:sz w:val="24"/>
          <w:szCs w:val="24"/>
        </w:rPr>
        <w:t xml:space="preserve"> produces the water alkaline in nature </w:t>
      </w:r>
      <w:r w:rsidR="00CB7900" w:rsidRPr="005F7043">
        <w:rPr>
          <w:rFonts w:ascii="Times New Roman" w:hAnsi="Times New Roman"/>
          <w:iCs/>
          <w:color w:val="000000"/>
          <w:sz w:val="24"/>
          <w:szCs w:val="24"/>
        </w:rPr>
        <w:t>[40]</w:t>
      </w:r>
      <w:r w:rsidRPr="005F7043">
        <w:rPr>
          <w:rFonts w:ascii="Times New Roman" w:hAnsi="Times New Roman"/>
          <w:iCs/>
          <w:color w:val="000000"/>
          <w:sz w:val="24"/>
          <w:szCs w:val="24"/>
        </w:rPr>
        <w:t xml:space="preserve">. </w:t>
      </w:r>
    </w:p>
    <w:p w14:paraId="64ACD3D0" w14:textId="77777777" w:rsidR="001039B4"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Another important anion presents in the ground water is chloride (Cl</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xml:space="preserve">) which derived from the various sources such as rock weathering, leaching in semi-arid climate with poor drainage condition and from irrigation return flow and may be due to sea water intrusion </w:t>
      </w:r>
      <w:r w:rsidR="00CB7900" w:rsidRPr="005F7043">
        <w:rPr>
          <w:rFonts w:ascii="Times New Roman" w:hAnsi="Times New Roman"/>
          <w:iCs/>
          <w:color w:val="000000"/>
          <w:sz w:val="24"/>
          <w:szCs w:val="24"/>
        </w:rPr>
        <w:t>[19]</w:t>
      </w:r>
      <w:r w:rsidRPr="005F7043">
        <w:rPr>
          <w:rFonts w:ascii="Times New Roman" w:hAnsi="Times New Roman"/>
          <w:iCs/>
          <w:color w:val="000000"/>
          <w:sz w:val="24"/>
          <w:szCs w:val="24"/>
        </w:rPr>
        <w:t>. The sulphate (SO</w:t>
      </w:r>
      <w:r w:rsidRPr="005F7043">
        <w:rPr>
          <w:rFonts w:ascii="Times New Roman" w:hAnsi="Times New Roman"/>
          <w:iCs/>
          <w:color w:val="000000"/>
          <w:sz w:val="24"/>
          <w:szCs w:val="24"/>
          <w:vertAlign w:val="subscript"/>
        </w:rPr>
        <w:t>4</w:t>
      </w:r>
      <w:r w:rsidRPr="005F7043">
        <w:rPr>
          <w:rFonts w:ascii="Times New Roman" w:hAnsi="Times New Roman"/>
          <w:iCs/>
          <w:color w:val="000000"/>
          <w:sz w:val="24"/>
          <w:szCs w:val="24"/>
        </w:rPr>
        <w:t>) present in the groundwater comes from the weathering of sulphate bearing minerals and from the use of gypsum in agricultural field</w:t>
      </w:r>
      <w:r w:rsidR="00CB7900" w:rsidRPr="005F7043">
        <w:rPr>
          <w:rFonts w:ascii="Times New Roman" w:hAnsi="Times New Roman"/>
          <w:iCs/>
          <w:color w:val="000000"/>
          <w:sz w:val="24"/>
          <w:szCs w:val="24"/>
        </w:rPr>
        <w:t xml:space="preserve"> [40]</w:t>
      </w:r>
      <w:r w:rsidRPr="005F7043">
        <w:rPr>
          <w:rFonts w:ascii="Times New Roman" w:hAnsi="Times New Roman"/>
          <w:iCs/>
          <w:color w:val="000000"/>
          <w:sz w:val="24"/>
          <w:szCs w:val="24"/>
        </w:rPr>
        <w:t xml:space="preserve">. </w:t>
      </w:r>
    </w:p>
    <w:p w14:paraId="34198FF0" w14:textId="13169708" w:rsidR="00043A45" w:rsidRPr="005F7043"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 xml:space="preserve">The fluorite content in the groundwater body due to </w:t>
      </w:r>
      <w:r w:rsidRPr="005F7043">
        <w:rPr>
          <w:rFonts w:ascii="Times New Roman" w:hAnsi="Times New Roman"/>
          <w:color w:val="000000"/>
          <w:sz w:val="24"/>
          <w:szCs w:val="24"/>
          <w:shd w:val="clear" w:color="auto" w:fill="FFFFFF"/>
        </w:rPr>
        <w:t xml:space="preserve">the dissolution of fluorine into groundwater from fluorine-containing minerals present in rocks (apatite, biotite, amphibole) and the excessive use of chemical fertilizers, especially phosphate fertilizers along with </w:t>
      </w:r>
      <w:r w:rsidRPr="005F7043">
        <w:rPr>
          <w:rFonts w:ascii="Times New Roman" w:hAnsi="Times New Roman"/>
          <w:iCs/>
          <w:color w:val="000000"/>
          <w:sz w:val="24"/>
          <w:szCs w:val="24"/>
        </w:rPr>
        <w:t>anthropogenic influences, such as fly ash from burning fossil fuels, also contribute to fluoride concentrations</w:t>
      </w:r>
      <w:r w:rsidR="00CB7900" w:rsidRPr="005F7043">
        <w:rPr>
          <w:rFonts w:ascii="Times New Roman" w:hAnsi="Times New Roman"/>
          <w:iCs/>
          <w:color w:val="000000"/>
          <w:sz w:val="24"/>
          <w:szCs w:val="24"/>
        </w:rPr>
        <w:t xml:space="preserve"> [2][44].</w:t>
      </w:r>
    </w:p>
    <w:p w14:paraId="16057DED" w14:textId="77777777" w:rsidR="001039B4" w:rsidRDefault="001039B4" w:rsidP="005F7043">
      <w:pPr>
        <w:spacing w:line="240" w:lineRule="auto"/>
        <w:jc w:val="both"/>
        <w:rPr>
          <w:rFonts w:ascii="Times New Roman" w:hAnsi="Times New Roman"/>
          <w:b/>
          <w:bCs/>
          <w:iCs/>
          <w:color w:val="000000"/>
          <w:sz w:val="24"/>
          <w:szCs w:val="24"/>
        </w:rPr>
      </w:pPr>
    </w:p>
    <w:p w14:paraId="53B3BE1B" w14:textId="5546BE75" w:rsidR="00043A45" w:rsidRPr="005F7043" w:rsidRDefault="00043A45" w:rsidP="005F7043">
      <w:pPr>
        <w:spacing w:line="240" w:lineRule="auto"/>
        <w:jc w:val="both"/>
        <w:rPr>
          <w:rFonts w:ascii="Times New Roman" w:hAnsi="Times New Roman"/>
          <w:b/>
          <w:bCs/>
          <w:iCs/>
          <w:color w:val="000000"/>
          <w:sz w:val="24"/>
          <w:szCs w:val="24"/>
        </w:rPr>
      </w:pPr>
      <w:r w:rsidRPr="005F7043">
        <w:rPr>
          <w:rFonts w:ascii="Times New Roman" w:hAnsi="Times New Roman"/>
          <w:b/>
          <w:bCs/>
          <w:iCs/>
          <w:color w:val="000000"/>
          <w:sz w:val="24"/>
          <w:szCs w:val="24"/>
        </w:rPr>
        <w:t>Hydro-Chemical Facies of Groundwater</w:t>
      </w:r>
    </w:p>
    <w:p w14:paraId="3190FC6F" w14:textId="336940C2" w:rsidR="00555284" w:rsidRPr="005F7043" w:rsidRDefault="00043A45" w:rsidP="005F7043">
      <w:pPr>
        <w:spacing w:line="240" w:lineRule="auto"/>
        <w:jc w:val="both"/>
        <w:rPr>
          <w:rFonts w:ascii="Times New Roman" w:hAnsi="Times New Roman"/>
          <w:color w:val="000000"/>
          <w:sz w:val="24"/>
          <w:szCs w:val="24"/>
        </w:rPr>
      </w:pPr>
      <w:r w:rsidRPr="005F7043">
        <w:rPr>
          <w:rFonts w:ascii="Times New Roman" w:hAnsi="Times New Roman"/>
          <w:iCs/>
          <w:color w:val="000000"/>
          <w:sz w:val="24"/>
          <w:szCs w:val="24"/>
        </w:rPr>
        <w:t>The facies analysis</w:t>
      </w:r>
      <w:r w:rsidR="0057742B" w:rsidRPr="005F7043">
        <w:rPr>
          <w:rFonts w:ascii="Times New Roman" w:hAnsi="Times New Roman"/>
          <w:iCs/>
          <w:color w:val="000000"/>
          <w:sz w:val="24"/>
          <w:szCs w:val="24"/>
        </w:rPr>
        <w:t xml:space="preserve"> of the study area</w:t>
      </w:r>
      <w:r w:rsidRPr="005F7043">
        <w:rPr>
          <w:rFonts w:ascii="Times New Roman" w:hAnsi="Times New Roman"/>
          <w:iCs/>
          <w:color w:val="000000"/>
          <w:sz w:val="24"/>
          <w:szCs w:val="24"/>
        </w:rPr>
        <w:t xml:space="preserve"> is obtained from the piper trilinear diagram (Fig</w:t>
      </w:r>
      <w:r w:rsidR="00CB7900" w:rsidRPr="005F7043">
        <w:rPr>
          <w:rFonts w:ascii="Times New Roman" w:hAnsi="Times New Roman"/>
          <w:iCs/>
          <w:color w:val="000000"/>
          <w:sz w:val="24"/>
          <w:szCs w:val="24"/>
        </w:rPr>
        <w:t>ure</w:t>
      </w:r>
      <w:r w:rsidRPr="005F7043">
        <w:rPr>
          <w:rFonts w:ascii="Times New Roman" w:hAnsi="Times New Roman"/>
          <w:iCs/>
          <w:color w:val="000000"/>
          <w:sz w:val="24"/>
          <w:szCs w:val="24"/>
        </w:rPr>
        <w:t xml:space="preserve"> 2),</w:t>
      </w:r>
      <w:r w:rsidR="0057742B" w:rsidRPr="005F7043">
        <w:rPr>
          <w:rFonts w:ascii="Times New Roman" w:hAnsi="Times New Roman"/>
          <w:iCs/>
          <w:color w:val="000000"/>
          <w:sz w:val="24"/>
          <w:szCs w:val="24"/>
        </w:rPr>
        <w:t xml:space="preserve"> which </w:t>
      </w:r>
      <w:r w:rsidRPr="005F7043">
        <w:rPr>
          <w:rFonts w:ascii="Times New Roman" w:hAnsi="Times New Roman"/>
          <w:iCs/>
          <w:color w:val="000000"/>
          <w:sz w:val="24"/>
          <w:szCs w:val="24"/>
        </w:rPr>
        <w:t>shows that water samples fall in the “</w:t>
      </w:r>
      <w:bookmarkStart w:id="9" w:name="_Hlk211297203"/>
      <w:r w:rsidRPr="005F7043">
        <w:rPr>
          <w:rFonts w:ascii="Times New Roman" w:hAnsi="Times New Roman"/>
          <w:iCs/>
          <w:color w:val="000000"/>
          <w:sz w:val="24"/>
          <w:szCs w:val="24"/>
        </w:rPr>
        <w:t>Ca-HCO</w:t>
      </w:r>
      <w:r w:rsidRPr="005F7043">
        <w:rPr>
          <w:rFonts w:ascii="Times New Roman" w:hAnsi="Times New Roman"/>
          <w:iCs/>
          <w:color w:val="000000"/>
          <w:sz w:val="24"/>
          <w:szCs w:val="24"/>
          <w:vertAlign w:val="subscript"/>
        </w:rPr>
        <w:t>3</w:t>
      </w:r>
      <w:r w:rsidRPr="005F7043">
        <w:rPr>
          <w:rFonts w:ascii="Times New Roman" w:hAnsi="Times New Roman"/>
          <w:iCs/>
          <w:color w:val="000000"/>
          <w:sz w:val="24"/>
          <w:szCs w:val="24"/>
        </w:rPr>
        <w:t>”, Ca-Mg-Cl -SO</w:t>
      </w:r>
      <w:r w:rsidRPr="005F7043">
        <w:rPr>
          <w:rFonts w:ascii="Times New Roman" w:hAnsi="Times New Roman"/>
          <w:iCs/>
          <w:color w:val="000000"/>
          <w:sz w:val="24"/>
          <w:szCs w:val="24"/>
          <w:vertAlign w:val="subscript"/>
        </w:rPr>
        <w:t xml:space="preserve">4 </w:t>
      </w:r>
      <w:bookmarkEnd w:id="9"/>
      <w:r w:rsidRPr="005F7043">
        <w:rPr>
          <w:rFonts w:ascii="Times New Roman" w:hAnsi="Times New Roman"/>
          <w:iCs/>
          <w:color w:val="000000"/>
          <w:sz w:val="24"/>
          <w:szCs w:val="24"/>
        </w:rPr>
        <w:t xml:space="preserve">and mixed type of facies. Dug well samples are </w:t>
      </w:r>
      <w:r w:rsidRPr="005F7043">
        <w:rPr>
          <w:rFonts w:ascii="Times New Roman" w:hAnsi="Times New Roman"/>
          <w:iCs/>
          <w:color w:val="000000"/>
          <w:sz w:val="24"/>
          <w:szCs w:val="24"/>
        </w:rPr>
        <w:lastRenderedPageBreak/>
        <w:t>clustered in the Ca-HCO3 and mixed Ca-Mg-Cl-SO</w:t>
      </w:r>
      <w:r w:rsidRPr="005F7043">
        <w:rPr>
          <w:rFonts w:ascii="Times New Roman" w:hAnsi="Times New Roman"/>
          <w:iCs/>
          <w:color w:val="000000"/>
          <w:sz w:val="24"/>
          <w:szCs w:val="24"/>
          <w:vertAlign w:val="subscript"/>
        </w:rPr>
        <w:t>4</w:t>
      </w:r>
      <w:r w:rsidRPr="005F7043">
        <w:rPr>
          <w:rFonts w:ascii="Times New Roman" w:hAnsi="Times New Roman"/>
          <w:iCs/>
          <w:color w:val="000000"/>
          <w:sz w:val="24"/>
          <w:szCs w:val="24"/>
        </w:rPr>
        <w:t xml:space="preserve"> facies which represent the recent recharge with limited mineralisation.</w:t>
      </w:r>
      <w:r w:rsidRPr="005F7043">
        <w:rPr>
          <w:rFonts w:ascii="Times New Roman" w:hAnsi="Times New Roman"/>
          <w:color w:val="000000"/>
          <w:sz w:val="24"/>
          <w:szCs w:val="24"/>
          <w:shd w:val="clear" w:color="auto" w:fill="FFFFFF"/>
        </w:rPr>
        <w:t xml:space="preserve"> </w:t>
      </w:r>
      <w:r w:rsidRPr="005F7043">
        <w:rPr>
          <w:rFonts w:ascii="Times New Roman" w:hAnsi="Times New Roman"/>
          <w:iCs/>
          <w:color w:val="000000"/>
          <w:sz w:val="24"/>
          <w:szCs w:val="24"/>
        </w:rPr>
        <w:t>The facies Ca-HCO</w:t>
      </w:r>
      <w:r w:rsidRPr="005F7043">
        <w:rPr>
          <w:rFonts w:ascii="Times New Roman" w:hAnsi="Times New Roman"/>
          <w:iCs/>
          <w:color w:val="000000"/>
          <w:sz w:val="24"/>
          <w:szCs w:val="24"/>
          <w:vertAlign w:val="subscript"/>
        </w:rPr>
        <w:t>3</w:t>
      </w:r>
      <w:r w:rsidRPr="005F7043">
        <w:rPr>
          <w:rFonts w:ascii="Times New Roman" w:hAnsi="Times New Roman"/>
          <w:iCs/>
          <w:color w:val="000000"/>
          <w:sz w:val="24"/>
          <w:szCs w:val="24"/>
        </w:rPr>
        <w:t xml:space="preserve"> is thought to be due to rock weathering and cation exchange reactions</w:t>
      </w:r>
      <w:r w:rsidR="00783BF8" w:rsidRPr="005F7043">
        <w:rPr>
          <w:rFonts w:ascii="Times New Roman" w:hAnsi="Times New Roman"/>
          <w:iCs/>
          <w:color w:val="000000"/>
          <w:sz w:val="24"/>
          <w:szCs w:val="24"/>
        </w:rPr>
        <w:t xml:space="preserve"> [23][45]. </w:t>
      </w:r>
      <w:r w:rsidR="00C4738E" w:rsidRPr="005F7043">
        <w:rPr>
          <w:rFonts w:ascii="Times New Roman" w:hAnsi="Times New Roman"/>
          <w:iCs/>
          <w:color w:val="000000"/>
          <w:sz w:val="24"/>
          <w:szCs w:val="24"/>
        </w:rPr>
        <w:t xml:space="preserve">For </w:t>
      </w:r>
      <w:r w:rsidRPr="005F7043">
        <w:rPr>
          <w:rFonts w:ascii="Times New Roman" w:hAnsi="Times New Roman"/>
          <w:color w:val="000000"/>
          <w:sz w:val="24"/>
          <w:szCs w:val="24"/>
        </w:rPr>
        <w:t>An alkaline pH with comparatively greater Ca</w:t>
      </w:r>
      <w:r w:rsidRPr="005F7043">
        <w:rPr>
          <w:rFonts w:ascii="Times New Roman" w:hAnsi="Times New Roman"/>
          <w:color w:val="000000"/>
          <w:sz w:val="24"/>
          <w:szCs w:val="24"/>
          <w:vertAlign w:val="superscript"/>
        </w:rPr>
        <w:t>2+</w:t>
      </w:r>
      <w:r w:rsidRPr="005F7043">
        <w:rPr>
          <w:rFonts w:ascii="Times New Roman" w:hAnsi="Times New Roman"/>
          <w:color w:val="000000"/>
          <w:sz w:val="24"/>
          <w:szCs w:val="24"/>
        </w:rPr>
        <w:t xml:space="preserve"> and Mg</w:t>
      </w:r>
      <w:r w:rsidRPr="005F7043">
        <w:rPr>
          <w:rFonts w:ascii="Times New Roman" w:hAnsi="Times New Roman"/>
          <w:color w:val="000000"/>
          <w:sz w:val="24"/>
          <w:szCs w:val="24"/>
          <w:vertAlign w:val="superscript"/>
        </w:rPr>
        <w:t>2+</w:t>
      </w:r>
      <w:r w:rsidRPr="005F7043">
        <w:rPr>
          <w:rFonts w:ascii="Times New Roman" w:hAnsi="Times New Roman"/>
          <w:color w:val="000000"/>
          <w:sz w:val="24"/>
          <w:szCs w:val="24"/>
        </w:rPr>
        <w:t xml:space="preserve"> concentrations and lower SO</w:t>
      </w:r>
      <w:r w:rsidRPr="005F7043">
        <w:rPr>
          <w:rFonts w:ascii="Times New Roman" w:hAnsi="Times New Roman"/>
          <w:color w:val="000000"/>
          <w:sz w:val="24"/>
          <w:szCs w:val="24"/>
          <w:vertAlign w:val="subscript"/>
        </w:rPr>
        <w:t>4</w:t>
      </w:r>
      <w:r w:rsidRPr="005F7043">
        <w:rPr>
          <w:rFonts w:ascii="Times New Roman" w:hAnsi="Times New Roman"/>
          <w:color w:val="000000"/>
          <w:sz w:val="24"/>
          <w:szCs w:val="24"/>
          <w:vertAlign w:val="superscript"/>
        </w:rPr>
        <w:t xml:space="preserve">2− </w:t>
      </w:r>
      <w:r w:rsidRPr="005F7043">
        <w:rPr>
          <w:rFonts w:ascii="Times New Roman" w:hAnsi="Times New Roman"/>
          <w:color w:val="000000"/>
          <w:sz w:val="24"/>
          <w:szCs w:val="24"/>
        </w:rPr>
        <w:t xml:space="preserve">concentration could have regulated the ion dissolution in the coal-bearing aquifer </w:t>
      </w:r>
      <w:r w:rsidR="00783BF8" w:rsidRPr="005F7043">
        <w:rPr>
          <w:rFonts w:ascii="Times New Roman" w:hAnsi="Times New Roman"/>
          <w:color w:val="000000"/>
          <w:sz w:val="24"/>
          <w:szCs w:val="24"/>
        </w:rPr>
        <w:t>[33]</w:t>
      </w:r>
      <w:r w:rsidR="00555284" w:rsidRPr="005F7043">
        <w:rPr>
          <w:rFonts w:ascii="Times New Roman" w:hAnsi="Times New Roman"/>
          <w:color w:val="000000"/>
          <w:sz w:val="24"/>
          <w:szCs w:val="24"/>
        </w:rPr>
        <w:t>.</w:t>
      </w:r>
      <w:r w:rsidRPr="005F7043">
        <w:rPr>
          <w:rFonts w:ascii="Times New Roman" w:hAnsi="Times New Roman"/>
          <w:iCs/>
          <w:color w:val="000000"/>
          <w:sz w:val="24"/>
          <w:szCs w:val="24"/>
        </w:rPr>
        <w:t xml:space="preserve"> Tube well samples are mostly falling in the Na</w:t>
      </w:r>
      <w:r w:rsidR="00EB412E"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-K-HCO</w:t>
      </w:r>
      <w:r w:rsidRPr="005F7043">
        <w:rPr>
          <w:rFonts w:ascii="Times New Roman" w:hAnsi="Times New Roman"/>
          <w:iCs/>
          <w:color w:val="000000"/>
          <w:sz w:val="24"/>
          <w:szCs w:val="24"/>
          <w:vertAlign w:val="subscript"/>
        </w:rPr>
        <w:t>3</w:t>
      </w:r>
      <w:r w:rsidR="00EB412E"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vertAlign w:val="subscript"/>
        </w:rPr>
        <w:t xml:space="preserve"> </w:t>
      </w:r>
      <w:r w:rsidRPr="005F7043">
        <w:rPr>
          <w:rFonts w:ascii="Times New Roman" w:hAnsi="Times New Roman"/>
          <w:iCs/>
          <w:color w:val="000000"/>
          <w:sz w:val="24"/>
          <w:szCs w:val="24"/>
        </w:rPr>
        <w:t xml:space="preserve">and mixed type of facies which suggested that groundwater influenced by ion exchange, silicate weathering and longer subsurface circulation. </w:t>
      </w:r>
      <w:r w:rsidRPr="005F7043">
        <w:rPr>
          <w:rFonts w:ascii="Times New Roman" w:hAnsi="Times New Roman"/>
          <w:color w:val="000000"/>
          <w:sz w:val="24"/>
          <w:szCs w:val="24"/>
        </w:rPr>
        <w:t xml:space="preserve">Some of the tube well samples are trending towards chloride and sulphide dominant facies which signifies that mineral dissolution or influence of anthropogenic inputs. </w:t>
      </w:r>
    </w:p>
    <w:p w14:paraId="52B8C8C5" w14:textId="15FB09CE" w:rsidR="0073551B" w:rsidRPr="005F7043" w:rsidRDefault="0073551B" w:rsidP="005F7043">
      <w:pPr>
        <w:spacing w:line="240" w:lineRule="auto"/>
        <w:jc w:val="center"/>
        <w:rPr>
          <w:rFonts w:ascii="Times New Roman" w:hAnsi="Times New Roman"/>
          <w:color w:val="000000"/>
          <w:sz w:val="24"/>
          <w:szCs w:val="24"/>
        </w:rPr>
      </w:pPr>
      <w:r w:rsidRPr="005F7043">
        <w:rPr>
          <w:rFonts w:ascii="Times New Roman" w:hAnsi="Times New Roman"/>
          <w:noProof/>
          <w:sz w:val="24"/>
          <w:szCs w:val="24"/>
          <w:lang w:eastAsia="en-IN"/>
        </w:rPr>
        <w:drawing>
          <wp:inline distT="0" distB="0" distL="0" distR="0" wp14:anchorId="5AB3EE50" wp14:editId="392A6F30">
            <wp:extent cx="3678767" cy="2895600"/>
            <wp:effectExtent l="0" t="0" r="0" b="0"/>
            <wp:docPr id="48736519" name="Picture 4873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2592" cy="2914353"/>
                    </a:xfrm>
                    <a:prstGeom prst="rect">
                      <a:avLst/>
                    </a:prstGeom>
                    <a:noFill/>
                    <a:ln>
                      <a:noFill/>
                    </a:ln>
                  </pic:spPr>
                </pic:pic>
              </a:graphicData>
            </a:graphic>
          </wp:inline>
        </w:drawing>
      </w:r>
    </w:p>
    <w:p w14:paraId="5C69BA87" w14:textId="79108537" w:rsidR="0073551B" w:rsidRPr="005F7043" w:rsidRDefault="0073551B" w:rsidP="005F7043">
      <w:pPr>
        <w:spacing w:line="240" w:lineRule="auto"/>
        <w:jc w:val="center"/>
        <w:rPr>
          <w:rFonts w:ascii="Times New Roman" w:hAnsi="Times New Roman"/>
          <w:color w:val="000000"/>
          <w:sz w:val="24"/>
          <w:szCs w:val="24"/>
        </w:rPr>
      </w:pPr>
      <w:r w:rsidRPr="005F7043">
        <w:rPr>
          <w:rFonts w:ascii="Times New Roman" w:hAnsi="Times New Roman"/>
          <w:color w:val="000000"/>
          <w:sz w:val="24"/>
          <w:szCs w:val="24"/>
        </w:rPr>
        <w:t>Figure 2</w:t>
      </w:r>
      <w:r w:rsidR="00651FFA" w:rsidRPr="005F7043">
        <w:rPr>
          <w:rFonts w:ascii="Times New Roman" w:hAnsi="Times New Roman"/>
          <w:color w:val="000000"/>
          <w:sz w:val="24"/>
          <w:szCs w:val="24"/>
        </w:rPr>
        <w:t>:</w:t>
      </w:r>
      <w:r w:rsidRPr="005F7043">
        <w:rPr>
          <w:rFonts w:ascii="Times New Roman" w:hAnsi="Times New Roman"/>
          <w:color w:val="000000"/>
          <w:sz w:val="24"/>
          <w:szCs w:val="24"/>
        </w:rPr>
        <w:t xml:space="preserve"> Piper trilinear diagram showing hydrochemical facies.</w:t>
      </w:r>
    </w:p>
    <w:p w14:paraId="2230F402" w14:textId="77777777" w:rsidR="00043A45" w:rsidRPr="005F7043" w:rsidRDefault="00043A45" w:rsidP="005F7043">
      <w:pPr>
        <w:spacing w:line="240" w:lineRule="auto"/>
        <w:jc w:val="both"/>
        <w:rPr>
          <w:rFonts w:ascii="Times New Roman" w:eastAsia="Times New Roman" w:hAnsi="Times New Roman"/>
          <w:b/>
          <w:bCs/>
          <w:iCs/>
          <w:color w:val="000000"/>
          <w:sz w:val="24"/>
          <w:szCs w:val="24"/>
          <w:lang w:eastAsia="en-IN"/>
        </w:rPr>
      </w:pPr>
      <w:r w:rsidRPr="005F7043">
        <w:rPr>
          <w:rFonts w:ascii="Times New Roman" w:eastAsia="Times New Roman" w:hAnsi="Times New Roman"/>
          <w:b/>
          <w:bCs/>
          <w:iCs/>
          <w:color w:val="000000"/>
          <w:sz w:val="24"/>
          <w:szCs w:val="24"/>
          <w:lang w:eastAsia="en-IN"/>
        </w:rPr>
        <w:t>Gibbs Diagram and Rock-Water interaction</w:t>
      </w:r>
    </w:p>
    <w:p w14:paraId="4B0DC7B8" w14:textId="431AD397" w:rsidR="00043A45" w:rsidRDefault="00043A45" w:rsidP="005F7043">
      <w:pPr>
        <w:spacing w:line="240" w:lineRule="auto"/>
        <w:jc w:val="both"/>
        <w:rPr>
          <w:rFonts w:ascii="Times New Roman" w:eastAsia="Times New Roman" w:hAnsi="Times New Roman"/>
          <w:color w:val="000000"/>
          <w:sz w:val="24"/>
          <w:szCs w:val="24"/>
          <w:lang w:eastAsia="en-IN"/>
        </w:rPr>
      </w:pPr>
      <w:r w:rsidRPr="005F7043">
        <w:rPr>
          <w:rFonts w:ascii="Times New Roman" w:hAnsi="Times New Roman"/>
          <w:color w:val="000000"/>
          <w:sz w:val="24"/>
          <w:szCs w:val="24"/>
          <w:shd w:val="clear" w:color="auto" w:fill="FFFFFF"/>
        </w:rPr>
        <w:t>Gibbs diagrams use the relationship TDS vs. (Na</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 K</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 (Na</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+K</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+Ca</w:t>
      </w:r>
      <w:r w:rsidRPr="005F7043">
        <w:rPr>
          <w:rFonts w:ascii="Times New Roman" w:hAnsi="Times New Roman"/>
          <w:color w:val="000000"/>
          <w:sz w:val="24"/>
          <w:szCs w:val="24"/>
          <w:shd w:val="clear" w:color="auto" w:fill="FFFFFF"/>
          <w:vertAlign w:val="superscript"/>
        </w:rPr>
        <w:t>2+</w:t>
      </w:r>
      <w:r w:rsidRPr="005F7043">
        <w:rPr>
          <w:rFonts w:ascii="Times New Roman" w:hAnsi="Times New Roman"/>
          <w:color w:val="000000"/>
          <w:sz w:val="24"/>
          <w:szCs w:val="24"/>
          <w:shd w:val="clear" w:color="auto" w:fill="FFFFFF"/>
        </w:rPr>
        <w:t>) and TDS vs. (C1</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 / (C1</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+HCO</w:t>
      </w:r>
      <w:r w:rsidRPr="005F7043">
        <w:rPr>
          <w:rFonts w:ascii="Times New Roman" w:hAnsi="Times New Roman"/>
          <w:color w:val="000000"/>
          <w:sz w:val="24"/>
          <w:szCs w:val="24"/>
          <w:shd w:val="clear" w:color="auto" w:fill="FFFFFF"/>
          <w:vertAlign w:val="subscript"/>
        </w:rPr>
        <w:t>3</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 to explain the origin of chemical components in water in relation to precipitation (</w:t>
      </w:r>
      <w:r w:rsidR="00783BF8" w:rsidRPr="005F7043">
        <w:rPr>
          <w:rFonts w:ascii="Times New Roman" w:hAnsi="Times New Roman"/>
          <w:color w:val="000000"/>
          <w:sz w:val="24"/>
          <w:szCs w:val="24"/>
          <w:shd w:val="clear" w:color="auto" w:fill="FFFFFF"/>
        </w:rPr>
        <w:t>atmosphere</w:t>
      </w:r>
      <w:r w:rsidRPr="005F7043">
        <w:rPr>
          <w:rFonts w:ascii="Times New Roman" w:hAnsi="Times New Roman"/>
          <w:color w:val="000000"/>
          <w:sz w:val="24"/>
          <w:szCs w:val="24"/>
          <w:shd w:val="clear" w:color="auto" w:fill="FFFFFF"/>
        </w:rPr>
        <w:t>), rock (lithology), and evaporation (climate) in groundwater systems which</w:t>
      </w:r>
      <w:r w:rsidRPr="005F7043">
        <w:rPr>
          <w:rFonts w:ascii="Times New Roman" w:eastAsia="Times New Roman" w:hAnsi="Times New Roman"/>
          <w:color w:val="000000"/>
          <w:sz w:val="24"/>
          <w:szCs w:val="24"/>
          <w:lang w:eastAsia="en-IN"/>
        </w:rPr>
        <w:t xml:space="preserve"> shown in Fig</w:t>
      </w:r>
      <w:r w:rsidR="00783BF8" w:rsidRPr="005F7043">
        <w:rPr>
          <w:rFonts w:ascii="Times New Roman" w:eastAsia="Times New Roman" w:hAnsi="Times New Roman"/>
          <w:color w:val="000000"/>
          <w:sz w:val="24"/>
          <w:szCs w:val="24"/>
          <w:lang w:eastAsia="en-IN"/>
        </w:rPr>
        <w:t xml:space="preserve">ure </w:t>
      </w:r>
      <w:r w:rsidR="003E3454" w:rsidRPr="005F7043">
        <w:rPr>
          <w:rFonts w:ascii="Times New Roman" w:eastAsia="Times New Roman" w:hAnsi="Times New Roman"/>
          <w:color w:val="000000"/>
          <w:sz w:val="24"/>
          <w:szCs w:val="24"/>
          <w:lang w:eastAsia="en-IN"/>
        </w:rPr>
        <w:t>3</w:t>
      </w:r>
      <w:r w:rsidRPr="005F7043">
        <w:rPr>
          <w:rFonts w:ascii="Times New Roman" w:eastAsia="Times New Roman" w:hAnsi="Times New Roman"/>
          <w:color w:val="000000"/>
          <w:sz w:val="24"/>
          <w:szCs w:val="24"/>
          <w:lang w:eastAsia="en-IN"/>
        </w:rPr>
        <w:t xml:space="preserve">a and </w:t>
      </w:r>
      <w:r w:rsidR="003E3454" w:rsidRPr="005F7043">
        <w:rPr>
          <w:rFonts w:ascii="Times New Roman" w:eastAsia="Times New Roman" w:hAnsi="Times New Roman"/>
          <w:color w:val="000000"/>
          <w:sz w:val="24"/>
          <w:szCs w:val="24"/>
          <w:lang w:eastAsia="en-IN"/>
        </w:rPr>
        <w:t>3</w:t>
      </w:r>
      <w:r w:rsidRPr="005F7043">
        <w:rPr>
          <w:rFonts w:ascii="Times New Roman" w:eastAsia="Times New Roman" w:hAnsi="Times New Roman"/>
          <w:color w:val="000000"/>
          <w:sz w:val="24"/>
          <w:szCs w:val="24"/>
          <w:lang w:eastAsia="en-IN"/>
        </w:rPr>
        <w:t xml:space="preserve">b </w:t>
      </w:r>
      <w:r w:rsidR="00783BF8" w:rsidRPr="005F7043">
        <w:rPr>
          <w:rFonts w:ascii="Times New Roman" w:hAnsi="Times New Roman"/>
          <w:color w:val="000000"/>
          <w:sz w:val="24"/>
          <w:szCs w:val="24"/>
          <w:shd w:val="clear" w:color="auto" w:fill="FFFFFF"/>
        </w:rPr>
        <w:t>[21]</w:t>
      </w:r>
      <w:r w:rsidRPr="005F7043">
        <w:rPr>
          <w:rFonts w:ascii="Times New Roman" w:hAnsi="Times New Roman"/>
          <w:color w:val="000000"/>
          <w:sz w:val="24"/>
          <w:szCs w:val="24"/>
          <w:shd w:val="clear" w:color="auto" w:fill="FFFFFF"/>
        </w:rPr>
        <w:t>.</w:t>
      </w:r>
      <w:r w:rsidRPr="005F7043">
        <w:rPr>
          <w:rFonts w:ascii="Times New Roman" w:eastAsia="Times New Roman" w:hAnsi="Times New Roman"/>
          <w:color w:val="000000"/>
          <w:sz w:val="24"/>
          <w:szCs w:val="24"/>
          <w:lang w:eastAsia="en-IN"/>
        </w:rPr>
        <w:t xml:space="preserve"> According to Gibbs plot, it is found that “all most all the water samples fall in the rock dominance field”, which indicates that the ionic dominance due to weathering of the host rock and ion exchange. Few samples are drifted towards evaporation dominance due to surface exposure and anthropogenic contact.</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4033"/>
      </w:tblGrid>
      <w:tr w:rsidR="00584BCC" w14:paraId="748FA4AA" w14:textId="77777777" w:rsidTr="0023419D">
        <w:trPr>
          <w:trHeight w:val="3251"/>
          <w:jc w:val="center"/>
        </w:trPr>
        <w:tc>
          <w:tcPr>
            <w:tcW w:w="3964" w:type="dxa"/>
          </w:tcPr>
          <w:p w14:paraId="45C1E752" w14:textId="77777777" w:rsidR="00584BCC" w:rsidRPr="0073551B" w:rsidRDefault="00584BCC" w:rsidP="0023419D">
            <w:pPr>
              <w:pStyle w:val="NormalWeb"/>
            </w:pPr>
            <w:r>
              <w:rPr>
                <w:noProof/>
              </w:rPr>
              <w:drawing>
                <wp:inline distT="0" distB="0" distL="0" distR="0" wp14:anchorId="03A2CA89" wp14:editId="3FB5B696">
                  <wp:extent cx="2565797" cy="200025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538" cy="2012522"/>
                          </a:xfrm>
                          <a:prstGeom prst="rect">
                            <a:avLst/>
                          </a:prstGeom>
                          <a:noFill/>
                          <a:ln>
                            <a:noFill/>
                          </a:ln>
                        </pic:spPr>
                      </pic:pic>
                    </a:graphicData>
                  </a:graphic>
                </wp:inline>
              </w:drawing>
            </w:r>
          </w:p>
        </w:tc>
        <w:tc>
          <w:tcPr>
            <w:tcW w:w="3969" w:type="dxa"/>
          </w:tcPr>
          <w:p w14:paraId="3AD410A7" w14:textId="77777777" w:rsidR="00584BCC" w:rsidRDefault="00584BCC" w:rsidP="0023419D">
            <w:pPr>
              <w:pStyle w:val="NormalWeb"/>
            </w:pPr>
            <w:r w:rsidRPr="004D0591">
              <w:rPr>
                <w:noProof/>
              </w:rPr>
              <w:drawing>
                <wp:inline distT="0" distB="0" distL="0" distR="0" wp14:anchorId="22004C8A" wp14:editId="01053458">
                  <wp:extent cx="2424278" cy="2057400"/>
                  <wp:effectExtent l="0" t="0" r="0" b="0"/>
                  <wp:docPr id="700790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617" cy="2098423"/>
                          </a:xfrm>
                          <a:prstGeom prst="rect">
                            <a:avLst/>
                          </a:prstGeom>
                          <a:noFill/>
                          <a:ln>
                            <a:noFill/>
                          </a:ln>
                        </pic:spPr>
                      </pic:pic>
                    </a:graphicData>
                  </a:graphic>
                </wp:inline>
              </w:drawing>
            </w:r>
          </w:p>
        </w:tc>
      </w:tr>
      <w:tr w:rsidR="00584BCC" w:rsidRPr="00651FFA" w14:paraId="68EDBE1A" w14:textId="77777777" w:rsidTr="0023419D">
        <w:trPr>
          <w:trHeight w:val="260"/>
          <w:jc w:val="center"/>
        </w:trPr>
        <w:tc>
          <w:tcPr>
            <w:tcW w:w="7933" w:type="dxa"/>
            <w:gridSpan w:val="2"/>
          </w:tcPr>
          <w:p w14:paraId="1B7EC239" w14:textId="03AF890C" w:rsidR="00584BCC" w:rsidRPr="00651FFA" w:rsidRDefault="00584BCC" w:rsidP="0023419D">
            <w:pPr>
              <w:spacing w:after="0" w:line="240" w:lineRule="auto"/>
              <w:rPr>
                <w:rFonts w:ascii="Times New Roman" w:hAnsi="Times New Roman"/>
                <w:sz w:val="24"/>
                <w:szCs w:val="24"/>
              </w:rPr>
            </w:pPr>
            <w:r w:rsidRPr="00651FFA">
              <w:rPr>
                <w:rFonts w:ascii="Times New Roman" w:hAnsi="Times New Roman"/>
                <w:sz w:val="24"/>
                <w:szCs w:val="24"/>
              </w:rPr>
              <w:t>Figure 3</w:t>
            </w:r>
            <w:r>
              <w:rPr>
                <w:rFonts w:ascii="Times New Roman" w:hAnsi="Times New Roman"/>
                <w:sz w:val="24"/>
                <w:szCs w:val="24"/>
              </w:rPr>
              <w:t xml:space="preserve">: </w:t>
            </w:r>
            <w:r w:rsidRPr="00651FFA">
              <w:rPr>
                <w:rFonts w:ascii="Times New Roman" w:hAnsi="Times New Roman"/>
                <w:sz w:val="24"/>
                <w:szCs w:val="24"/>
              </w:rPr>
              <w:t>(a)Gibbs Diagram (Cation)</w:t>
            </w:r>
            <w:r w:rsidRPr="00651FFA">
              <w:rPr>
                <w:rFonts w:ascii="Times New Roman" w:hAnsi="Times New Roman"/>
                <w:sz w:val="24"/>
                <w:szCs w:val="24"/>
              </w:rPr>
              <w:tab/>
              <w:t>(b) Gibbs Diagram (Anion</w:t>
            </w:r>
            <w:r>
              <w:rPr>
                <w:rFonts w:ascii="Times New Roman" w:hAnsi="Times New Roman"/>
                <w:sz w:val="24"/>
                <w:szCs w:val="24"/>
              </w:rPr>
              <w:t>)</w:t>
            </w:r>
          </w:p>
        </w:tc>
      </w:tr>
    </w:tbl>
    <w:p w14:paraId="1738F2FB" w14:textId="77777777" w:rsidR="006610DC" w:rsidRDefault="006610DC" w:rsidP="005F7043">
      <w:pPr>
        <w:spacing w:line="240" w:lineRule="auto"/>
        <w:jc w:val="both"/>
        <w:rPr>
          <w:rFonts w:ascii="Times New Roman" w:eastAsia="Times New Roman" w:hAnsi="Times New Roman"/>
          <w:color w:val="000000"/>
          <w:sz w:val="24"/>
          <w:szCs w:val="24"/>
          <w:lang w:eastAsia="en-IN"/>
        </w:rPr>
      </w:pPr>
    </w:p>
    <w:p w14:paraId="3EFB927B" w14:textId="77777777" w:rsidR="001039B4" w:rsidRDefault="001039B4" w:rsidP="00DA06FB">
      <w:pPr>
        <w:spacing w:after="0" w:line="360" w:lineRule="auto"/>
        <w:jc w:val="both"/>
        <w:rPr>
          <w:rFonts w:ascii="Times New Roman" w:hAnsi="Times New Roman"/>
          <w:b/>
          <w:color w:val="000000"/>
          <w:sz w:val="24"/>
          <w:szCs w:val="24"/>
          <w:lang w:val="en-US"/>
        </w:rPr>
      </w:pPr>
    </w:p>
    <w:p w14:paraId="6AB3B342" w14:textId="6BBCA464" w:rsidR="00043A45" w:rsidRPr="00651FFA" w:rsidRDefault="00043A45" w:rsidP="00DA06FB">
      <w:pPr>
        <w:spacing w:after="0" w:line="360" w:lineRule="auto"/>
        <w:jc w:val="both"/>
        <w:rPr>
          <w:rFonts w:ascii="Times New Roman" w:hAnsi="Times New Roman"/>
          <w:b/>
          <w:color w:val="000000"/>
          <w:sz w:val="24"/>
          <w:szCs w:val="24"/>
          <w:lang w:val="en-US"/>
        </w:rPr>
      </w:pPr>
      <w:r w:rsidRPr="00651FFA">
        <w:rPr>
          <w:rFonts w:ascii="Times New Roman" w:hAnsi="Times New Roman"/>
          <w:b/>
          <w:color w:val="000000"/>
          <w:sz w:val="24"/>
          <w:szCs w:val="24"/>
          <w:lang w:val="en-US"/>
        </w:rPr>
        <w:t>Ion Exchange Process</w:t>
      </w:r>
    </w:p>
    <w:p w14:paraId="6788C236" w14:textId="77777777" w:rsidR="00584BCC" w:rsidRDefault="00043A45"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lastRenderedPageBreak/>
        <w:t>For further evaluation of the geochemical characteristics and reactions, from the</w:t>
      </w:r>
      <w:r w:rsidR="0057742B">
        <w:rPr>
          <w:rFonts w:ascii="Times New Roman" w:eastAsia="Times New Roman" w:hAnsi="Times New Roman"/>
          <w:color w:val="000000"/>
          <w:sz w:val="24"/>
          <w:szCs w:val="24"/>
          <w:lang w:eastAsia="en-IN"/>
        </w:rPr>
        <w:t xml:space="preserve"> plot</w:t>
      </w:r>
      <w:r w:rsidRPr="00DA06FB">
        <w:rPr>
          <w:rFonts w:ascii="Times New Roman" w:eastAsia="Times New Roman" w:hAnsi="Times New Roman"/>
          <w:color w:val="000000"/>
          <w:sz w:val="24"/>
          <w:szCs w:val="24"/>
          <w:lang w:eastAsia="en-IN"/>
        </w:rPr>
        <w:t xml:space="preserve"> of </w:t>
      </w:r>
      <w:r w:rsidR="00AD6A2E" w:rsidRPr="00DA06FB">
        <w:rPr>
          <w:rFonts w:ascii="Times New Roman" w:eastAsia="Times New Roman" w:hAnsi="Times New Roman"/>
          <w:color w:val="000000"/>
          <w:sz w:val="24"/>
          <w:szCs w:val="24"/>
          <w:lang w:eastAsia="en-IN"/>
        </w:rPr>
        <w:t>“Ca</w:t>
      </w:r>
      <w:r w:rsidR="00AD6A2E" w:rsidRPr="00DA06FB">
        <w:rPr>
          <w:rFonts w:ascii="Times New Roman" w:eastAsia="Times New Roman" w:hAnsi="Times New Roman"/>
          <w:color w:val="000000"/>
          <w:sz w:val="24"/>
          <w:szCs w:val="24"/>
          <w:vertAlign w:val="superscript"/>
          <w:lang w:eastAsia="en-IN"/>
        </w:rPr>
        <w:t>2+</w:t>
      </w:r>
      <w:r w:rsidR="00AD6A2E" w:rsidRPr="00DA06FB">
        <w:rPr>
          <w:rFonts w:ascii="Times New Roman" w:eastAsia="Times New Roman" w:hAnsi="Times New Roman"/>
          <w:color w:val="000000"/>
          <w:sz w:val="24"/>
          <w:szCs w:val="24"/>
          <w:lang w:eastAsia="en-IN"/>
        </w:rPr>
        <w:t>/Na</w:t>
      </w:r>
      <w:r w:rsidR="00AD6A2E" w:rsidRPr="00DA06FB">
        <w:rPr>
          <w:rFonts w:ascii="Times New Roman" w:eastAsia="Times New Roman" w:hAnsi="Times New Roman"/>
          <w:color w:val="000000"/>
          <w:sz w:val="24"/>
          <w:szCs w:val="24"/>
          <w:vertAlign w:val="superscript"/>
          <w:lang w:eastAsia="en-IN"/>
        </w:rPr>
        <w:t>+</w:t>
      </w:r>
      <w:r w:rsidR="00AD6A2E" w:rsidRPr="00DA06FB">
        <w:rPr>
          <w:rFonts w:ascii="Times New Roman" w:eastAsia="Times New Roman" w:hAnsi="Times New Roman"/>
          <w:color w:val="000000"/>
          <w:sz w:val="24"/>
          <w:szCs w:val="24"/>
          <w:lang w:eastAsia="en-IN"/>
        </w:rPr>
        <w:t xml:space="preserve"> vs </w:t>
      </w:r>
      <w:r w:rsidR="00AD6A2E">
        <w:rPr>
          <w:rFonts w:ascii="Times New Roman" w:eastAsia="Times New Roman" w:hAnsi="Times New Roman"/>
          <w:color w:val="000000"/>
          <w:sz w:val="24"/>
          <w:szCs w:val="24"/>
          <w:lang w:eastAsia="en-IN"/>
        </w:rPr>
        <w:t>Mg</w:t>
      </w:r>
      <w:r w:rsidR="00AD6A2E">
        <w:rPr>
          <w:rFonts w:ascii="Times New Roman" w:eastAsia="Times New Roman" w:hAnsi="Times New Roman"/>
          <w:color w:val="000000"/>
          <w:sz w:val="24"/>
          <w:szCs w:val="24"/>
          <w:vertAlign w:val="superscript"/>
          <w:lang w:eastAsia="en-IN"/>
        </w:rPr>
        <w:t>2+</w:t>
      </w:r>
      <w:r w:rsidR="00AD6A2E" w:rsidRPr="00DA06FB">
        <w:rPr>
          <w:rFonts w:ascii="Times New Roman" w:eastAsia="Times New Roman" w:hAnsi="Times New Roman"/>
          <w:color w:val="000000"/>
          <w:sz w:val="24"/>
          <w:szCs w:val="24"/>
          <w:lang w:eastAsia="en-IN"/>
        </w:rPr>
        <w:t>/Na</w:t>
      </w:r>
      <w:r w:rsidR="00AD6A2E" w:rsidRPr="00DA06FB">
        <w:rPr>
          <w:rFonts w:ascii="Times New Roman" w:eastAsia="Times New Roman" w:hAnsi="Times New Roman"/>
          <w:color w:val="000000"/>
          <w:sz w:val="24"/>
          <w:szCs w:val="24"/>
          <w:vertAlign w:val="superscript"/>
          <w:lang w:eastAsia="en-IN"/>
        </w:rPr>
        <w:t>+</w:t>
      </w:r>
      <w:r w:rsidR="00AD6A2E" w:rsidRPr="00DA06FB">
        <w:rPr>
          <w:rFonts w:ascii="Times New Roman" w:eastAsia="Times New Roman" w:hAnsi="Times New Roman"/>
          <w:color w:val="000000"/>
          <w:sz w:val="24"/>
          <w:szCs w:val="24"/>
          <w:lang w:eastAsia="en-IN"/>
        </w:rPr>
        <w:t xml:space="preserve">” </w:t>
      </w:r>
      <w:r w:rsidR="00AD6A2E">
        <w:rPr>
          <w:rFonts w:ascii="Times New Roman" w:eastAsia="Times New Roman" w:hAnsi="Times New Roman"/>
          <w:color w:val="000000"/>
          <w:sz w:val="24"/>
          <w:szCs w:val="24"/>
          <w:lang w:eastAsia="en-IN"/>
        </w:rPr>
        <w:t xml:space="preserve">and </w:t>
      </w:r>
      <w:r w:rsidRPr="00DA06FB">
        <w:rPr>
          <w:rFonts w:ascii="Times New Roman" w:eastAsia="Times New Roman" w:hAnsi="Times New Roman"/>
          <w:color w:val="000000"/>
          <w:sz w:val="24"/>
          <w:szCs w:val="24"/>
          <w:lang w:eastAsia="en-IN"/>
        </w:rPr>
        <w:t>“Ca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vs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w:t>
      </w:r>
      <w:r w:rsidR="00783BF8" w:rsidRPr="00DA06FB">
        <w:rPr>
          <w:rFonts w:ascii="Times New Roman" w:eastAsia="Times New Roman" w:hAnsi="Times New Roman"/>
          <w:color w:val="000000"/>
          <w:sz w:val="24"/>
          <w:szCs w:val="24"/>
          <w:lang w:eastAsia="en-IN"/>
        </w:rPr>
        <w:t>Fig</w:t>
      </w:r>
      <w:r w:rsidR="00783BF8">
        <w:rPr>
          <w:rFonts w:ascii="Times New Roman" w:eastAsia="Times New Roman" w:hAnsi="Times New Roman"/>
          <w:color w:val="000000"/>
          <w:sz w:val="24"/>
          <w:szCs w:val="24"/>
          <w:lang w:eastAsia="en-IN"/>
        </w:rPr>
        <w:t>ure 4</w:t>
      </w:r>
      <w:r w:rsidRPr="00DA06FB">
        <w:rPr>
          <w:rFonts w:ascii="Times New Roman" w:eastAsia="Times New Roman" w:hAnsi="Times New Roman"/>
          <w:color w:val="000000"/>
          <w:sz w:val="24"/>
          <w:szCs w:val="24"/>
          <w:lang w:eastAsia="en-IN"/>
        </w:rPr>
        <w:t>a</w:t>
      </w:r>
      <w:r w:rsidR="00783BF8">
        <w:rPr>
          <w:rFonts w:ascii="Times New Roman" w:eastAsia="Times New Roman" w:hAnsi="Times New Roman"/>
          <w:color w:val="000000"/>
          <w:sz w:val="24"/>
          <w:szCs w:val="24"/>
          <w:lang w:eastAsia="en-IN"/>
        </w:rPr>
        <w:t xml:space="preserve"> and </w:t>
      </w:r>
      <w:r w:rsidR="00385E6F">
        <w:rPr>
          <w:rFonts w:ascii="Times New Roman" w:eastAsia="Times New Roman" w:hAnsi="Times New Roman"/>
          <w:color w:val="000000"/>
          <w:sz w:val="24"/>
          <w:szCs w:val="24"/>
          <w:lang w:eastAsia="en-IN"/>
        </w:rPr>
        <w:t>4b</w:t>
      </w:r>
      <w:r w:rsidRPr="00DA06FB">
        <w:rPr>
          <w:rFonts w:ascii="Times New Roman" w:eastAsia="Times New Roman" w:hAnsi="Times New Roman"/>
          <w:color w:val="000000"/>
          <w:sz w:val="24"/>
          <w:szCs w:val="24"/>
          <w:lang w:eastAsia="en-IN"/>
        </w:rPr>
        <w:t xml:space="preserve">), it is found that </w:t>
      </w:r>
      <w:r w:rsidR="0057742B">
        <w:rPr>
          <w:rFonts w:ascii="Times New Roman" w:eastAsia="Times New Roman" w:hAnsi="Times New Roman"/>
          <w:color w:val="000000"/>
          <w:sz w:val="24"/>
          <w:szCs w:val="24"/>
          <w:lang w:eastAsia="en-IN"/>
        </w:rPr>
        <w:t xml:space="preserve">most of the </w:t>
      </w:r>
      <w:r w:rsidRPr="00DA06FB">
        <w:rPr>
          <w:rFonts w:ascii="Times New Roman" w:eastAsia="Times New Roman" w:hAnsi="Times New Roman"/>
          <w:color w:val="000000"/>
          <w:sz w:val="24"/>
          <w:szCs w:val="24"/>
          <w:lang w:eastAsia="en-IN"/>
        </w:rPr>
        <w:t xml:space="preserve">samples from deep and shallow </w:t>
      </w:r>
      <w:r w:rsidR="005F7043" w:rsidRPr="00DA06FB">
        <w:rPr>
          <w:rFonts w:ascii="Times New Roman" w:eastAsia="Times New Roman" w:hAnsi="Times New Roman"/>
          <w:color w:val="000000"/>
          <w:sz w:val="24"/>
          <w:szCs w:val="24"/>
          <w:lang w:eastAsia="en-IN"/>
        </w:rPr>
        <w:t>aquifers are exhibiting a clear positive trend. The pattern indicates the progressive transitional in geochemical control</w:t>
      </w:r>
      <w:r w:rsidR="005F7043">
        <w:rPr>
          <w:rFonts w:ascii="Times New Roman" w:eastAsia="Times New Roman" w:hAnsi="Times New Roman"/>
          <w:color w:val="000000"/>
          <w:sz w:val="24"/>
          <w:szCs w:val="24"/>
          <w:lang w:eastAsia="en-IN"/>
        </w:rPr>
        <w:t xml:space="preserve">. The </w:t>
      </w:r>
      <w:r w:rsidR="005F7043" w:rsidRPr="00DA06FB">
        <w:rPr>
          <w:rFonts w:ascii="Times New Roman" w:eastAsia="Times New Roman" w:hAnsi="Times New Roman"/>
          <w:color w:val="000000"/>
          <w:sz w:val="24"/>
          <w:szCs w:val="24"/>
          <w:lang w:eastAsia="en-IN"/>
        </w:rPr>
        <w:t>samples are falling in the lower Ca²⁺/Na⁺ and HCO₃⁻/Na⁺ ratio range, indicating comparatively longer groundwater residence times and ion exchange reactions whereas greater ratios, indicating that the hydrochemistry is primarily influenced by the dissolution of silicate and carbonate minerals</w:t>
      </w:r>
      <w:r w:rsidR="005F7043">
        <w:rPr>
          <w:rFonts w:ascii="Times New Roman" w:eastAsia="Times New Roman" w:hAnsi="Times New Roman"/>
          <w:color w:val="000000"/>
          <w:sz w:val="24"/>
          <w:szCs w:val="24"/>
          <w:lang w:eastAsia="en-IN"/>
        </w:rPr>
        <w:t xml:space="preserve"> [46].</w:t>
      </w:r>
      <w:r w:rsidR="005F7043" w:rsidRPr="00DA06FB">
        <w:rPr>
          <w:rFonts w:ascii="Times New Roman" w:eastAsia="Times New Roman" w:hAnsi="Times New Roman"/>
          <w:color w:val="000000"/>
          <w:sz w:val="24"/>
          <w:szCs w:val="24"/>
          <w:lang w:eastAsia="en-IN"/>
        </w:rPr>
        <w:t xml:space="preserve"> </w:t>
      </w:r>
    </w:p>
    <w:p w14:paraId="0DA9F2B6" w14:textId="77777777" w:rsidR="00584BCC" w:rsidRDefault="005F7043"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The detailed study about the mechanism of rock weathering by using the diagram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vs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 xml:space="preserve">- </w:t>
      </w:r>
      <w:r w:rsidRPr="00DA06FB">
        <w:rPr>
          <w:rFonts w:ascii="Times New Roman" w:eastAsia="Times New Roman" w:hAnsi="Times New Roman"/>
          <w:color w:val="000000"/>
          <w:sz w:val="24"/>
          <w:szCs w:val="24"/>
          <w:lang w:eastAsia="en-IN"/>
        </w:rPr>
        <w:t>which is shown in Fig</w:t>
      </w:r>
      <w:r>
        <w:rPr>
          <w:rFonts w:ascii="Times New Roman" w:eastAsia="Times New Roman" w:hAnsi="Times New Roman"/>
          <w:color w:val="000000"/>
          <w:sz w:val="24"/>
          <w:szCs w:val="24"/>
          <w:lang w:eastAsia="en-IN"/>
        </w:rPr>
        <w:t>ure</w:t>
      </w:r>
      <w:r w:rsidRPr="00DA06FB">
        <w:rPr>
          <w:rFonts w:ascii="Times New Roman" w:eastAsia="Times New Roman" w:hAnsi="Times New Roman"/>
          <w:color w:val="000000"/>
          <w:sz w:val="24"/>
          <w:szCs w:val="24"/>
          <w:lang w:eastAsia="en-IN"/>
        </w:rPr>
        <w:t xml:space="preserve"> </w:t>
      </w:r>
      <w:r>
        <w:rPr>
          <w:rFonts w:ascii="Times New Roman" w:eastAsia="Times New Roman" w:hAnsi="Times New Roman"/>
          <w:color w:val="000000"/>
          <w:sz w:val="24"/>
          <w:szCs w:val="24"/>
          <w:lang w:eastAsia="en-IN"/>
        </w:rPr>
        <w:t>4c</w:t>
      </w:r>
      <w:r w:rsidRPr="00DA06FB">
        <w:rPr>
          <w:rFonts w:ascii="Times New Roman" w:eastAsia="Times New Roman" w:hAnsi="Times New Roman"/>
          <w:color w:val="000000"/>
          <w:sz w:val="24"/>
          <w:szCs w:val="24"/>
          <w:lang w:eastAsia="en-IN"/>
        </w:rPr>
        <w:t xml:space="preserve">. All the groundwater sampling points in this diagram fall above the equiline that the dissolution of silicate minerals like feldspars and pyroxenes is mostly responsible for the release of divalent cations </w:t>
      </w:r>
      <w:r>
        <w:rPr>
          <w:rFonts w:ascii="Times New Roman" w:eastAsia="Times New Roman" w:hAnsi="Times New Roman"/>
          <w:color w:val="000000"/>
          <w:sz w:val="24"/>
          <w:szCs w:val="24"/>
          <w:lang w:eastAsia="en-IN"/>
        </w:rPr>
        <w:t xml:space="preserve">[47]. </w:t>
      </w:r>
    </w:p>
    <w:p w14:paraId="2B446706" w14:textId="77777777" w:rsidR="00584BCC" w:rsidRDefault="005F7043"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The scatter plot between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SO</w:t>
      </w:r>
      <w:r w:rsidRPr="00DA06FB">
        <w:rPr>
          <w:rFonts w:ascii="Times New Roman" w:eastAsia="Times New Roman" w:hAnsi="Times New Roman"/>
          <w:color w:val="000000"/>
          <w:sz w:val="24"/>
          <w:szCs w:val="24"/>
          <w:vertAlign w:val="subscript"/>
          <w:lang w:eastAsia="en-IN"/>
        </w:rPr>
        <w:t>4</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and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provide in Fig</w:t>
      </w:r>
      <w:r>
        <w:rPr>
          <w:rFonts w:ascii="Times New Roman" w:eastAsia="Times New Roman" w:hAnsi="Times New Roman"/>
          <w:color w:val="000000"/>
          <w:sz w:val="24"/>
          <w:szCs w:val="24"/>
          <w:lang w:eastAsia="en-IN"/>
        </w:rPr>
        <w:t>ure</w:t>
      </w:r>
      <w:r w:rsidRPr="00DA06FB">
        <w:rPr>
          <w:rFonts w:ascii="Times New Roman" w:eastAsia="Times New Roman" w:hAnsi="Times New Roman"/>
          <w:color w:val="000000"/>
          <w:sz w:val="24"/>
          <w:szCs w:val="24"/>
          <w:lang w:eastAsia="en-IN"/>
        </w:rPr>
        <w:t xml:space="preserve"> </w:t>
      </w:r>
      <w:r>
        <w:rPr>
          <w:rFonts w:ascii="Times New Roman" w:eastAsia="Times New Roman" w:hAnsi="Times New Roman"/>
          <w:color w:val="000000"/>
          <w:sz w:val="24"/>
          <w:szCs w:val="24"/>
          <w:lang w:eastAsia="en-IN"/>
        </w:rPr>
        <w:t>4d</w:t>
      </w:r>
      <w:r w:rsidRPr="00DA06FB">
        <w:rPr>
          <w:rFonts w:ascii="Times New Roman" w:eastAsia="Times New Roman" w:hAnsi="Times New Roman"/>
          <w:color w:val="000000"/>
          <w:sz w:val="24"/>
          <w:szCs w:val="24"/>
          <w:lang w:eastAsia="en-IN"/>
        </w:rPr>
        <w:t xml:space="preserve"> where the sampling points deviate from the theoretical line (1:1) and move towards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SO</w:t>
      </w:r>
      <w:r w:rsidRPr="00DA06FB">
        <w:rPr>
          <w:rFonts w:ascii="Times New Roman" w:eastAsia="Times New Roman" w:hAnsi="Times New Roman"/>
          <w:color w:val="000000"/>
          <w:sz w:val="24"/>
          <w:szCs w:val="24"/>
          <w:vertAlign w:val="subscript"/>
          <w:lang w:eastAsia="en-IN"/>
        </w:rPr>
        <w:t>4</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which indicating the excess of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concentration due to ion exchange process</w:t>
      </w:r>
      <w:r w:rsidRPr="00DA06FB">
        <w:rPr>
          <w:rFonts w:ascii="Times New Roman" w:hAnsi="Times New Roman"/>
          <w:color w:val="000000"/>
          <w:sz w:val="24"/>
          <w:szCs w:val="24"/>
        </w:rPr>
        <w:t xml:space="preserve"> by weathering of Na</w:t>
      </w:r>
      <w:r w:rsidRPr="00DA06FB">
        <w:rPr>
          <w:rFonts w:ascii="Times New Roman" w:hAnsi="Times New Roman"/>
          <w:color w:val="000000"/>
          <w:sz w:val="24"/>
          <w:szCs w:val="24"/>
          <w:vertAlign w:val="superscript"/>
        </w:rPr>
        <w:t>+</w:t>
      </w:r>
      <w:r w:rsidRPr="00DA06FB">
        <w:rPr>
          <w:rFonts w:ascii="Times New Roman" w:hAnsi="Times New Roman"/>
          <w:color w:val="000000"/>
          <w:sz w:val="24"/>
          <w:szCs w:val="24"/>
        </w:rPr>
        <w:t xml:space="preserve"> and K</w:t>
      </w:r>
      <w:r w:rsidRPr="00DA06FB">
        <w:rPr>
          <w:rFonts w:ascii="Times New Roman" w:hAnsi="Times New Roman"/>
          <w:color w:val="000000"/>
          <w:sz w:val="24"/>
          <w:szCs w:val="24"/>
          <w:vertAlign w:val="superscript"/>
        </w:rPr>
        <w:t>+</w:t>
      </w:r>
      <w:r w:rsidRPr="00DA06FB">
        <w:rPr>
          <w:rFonts w:ascii="Times New Roman" w:hAnsi="Times New Roman"/>
          <w:color w:val="000000"/>
          <w:sz w:val="24"/>
          <w:szCs w:val="24"/>
        </w:rPr>
        <w:t xml:space="preserve"> silicates </w:t>
      </w:r>
      <w:r>
        <w:rPr>
          <w:rFonts w:ascii="Times New Roman" w:hAnsi="Times New Roman"/>
          <w:color w:val="000000"/>
          <w:sz w:val="24"/>
          <w:szCs w:val="24"/>
        </w:rPr>
        <w:t>[30][48]</w:t>
      </w:r>
      <w:r w:rsidRPr="00DA06FB">
        <w:rPr>
          <w:rFonts w:ascii="Times New Roman" w:hAnsi="Times New Roman"/>
          <w:color w:val="000000"/>
          <w:sz w:val="24"/>
          <w:szCs w:val="24"/>
        </w:rPr>
        <w:t xml:space="preserve">. </w:t>
      </w:r>
      <w:r w:rsidRPr="00DA06FB">
        <w:rPr>
          <w:rFonts w:ascii="Times New Roman" w:eastAsia="Times New Roman" w:hAnsi="Times New Roman"/>
          <w:color w:val="000000"/>
          <w:sz w:val="24"/>
          <w:szCs w:val="24"/>
          <w:lang w:eastAsia="en-IN"/>
        </w:rPr>
        <w:t>From the scatter diagram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vs 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+K</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which shown in Fig</w:t>
      </w:r>
      <w:r>
        <w:rPr>
          <w:rFonts w:ascii="Times New Roman" w:eastAsia="Times New Roman" w:hAnsi="Times New Roman"/>
          <w:color w:val="000000"/>
          <w:sz w:val="24"/>
          <w:szCs w:val="24"/>
          <w:lang w:eastAsia="en-IN"/>
        </w:rPr>
        <w:t>ure 4e</w:t>
      </w:r>
      <w:r w:rsidRPr="00DA06FB">
        <w:rPr>
          <w:rFonts w:ascii="Times New Roman" w:eastAsia="Times New Roman" w:hAnsi="Times New Roman"/>
          <w:color w:val="000000"/>
          <w:sz w:val="24"/>
          <w:szCs w:val="24"/>
          <w:lang w:eastAsia="en-IN"/>
        </w:rPr>
        <w:t>, the points move towards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so that they have appeared as major contributor and l</w:t>
      </w:r>
      <w:r>
        <w:rPr>
          <w:rFonts w:ascii="Times New Roman" w:eastAsia="Times New Roman" w:hAnsi="Times New Roman"/>
          <w:color w:val="000000"/>
          <w:sz w:val="24"/>
          <w:szCs w:val="24"/>
          <w:lang w:eastAsia="en-IN"/>
        </w:rPr>
        <w:t>ower</w:t>
      </w:r>
      <w:r w:rsidRPr="00DA06FB">
        <w:rPr>
          <w:rFonts w:ascii="Times New Roman" w:eastAsia="Times New Roman" w:hAnsi="Times New Roman"/>
          <w:color w:val="000000"/>
          <w:sz w:val="24"/>
          <w:szCs w:val="24"/>
          <w:lang w:eastAsia="en-IN"/>
        </w:rPr>
        <w:t xml:space="preserve"> 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+K</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due to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exchange reaction. The weathering of sodium feldspar and potassium feldspar which are present in the biotite gneiss, is the prime contributor of 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and K</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in the groundwater </w:t>
      </w:r>
      <w:r>
        <w:rPr>
          <w:rFonts w:ascii="Times New Roman" w:eastAsia="Times New Roman" w:hAnsi="Times New Roman"/>
          <w:color w:val="000000"/>
          <w:sz w:val="24"/>
          <w:szCs w:val="24"/>
          <w:lang w:eastAsia="en-IN"/>
        </w:rPr>
        <w:t xml:space="preserve">[47][49]. </w:t>
      </w:r>
    </w:p>
    <w:p w14:paraId="4B8B6DA5" w14:textId="77777777" w:rsidR="00584BCC" w:rsidRDefault="005F7043"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From the scatter diagram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vs </w:t>
      </w:r>
      <w:r>
        <w:rPr>
          <w:rFonts w:ascii="Times New Roman" w:eastAsia="Times New Roman" w:hAnsi="Times New Roman"/>
          <w:color w:val="000000"/>
          <w:sz w:val="24"/>
          <w:szCs w:val="24"/>
          <w:lang w:eastAsia="en-IN"/>
        </w:rPr>
        <w:t>Total Cation</w:t>
      </w:r>
      <w:r w:rsidRPr="00DA06FB">
        <w:rPr>
          <w:rFonts w:ascii="Times New Roman" w:eastAsia="Times New Roman" w:hAnsi="Times New Roman"/>
          <w:color w:val="000000"/>
          <w:sz w:val="24"/>
          <w:szCs w:val="24"/>
          <w:lang w:eastAsia="en-IN"/>
        </w:rPr>
        <w:t>” which shown in Fig</w:t>
      </w:r>
      <w:r>
        <w:rPr>
          <w:rFonts w:ascii="Times New Roman" w:eastAsia="Times New Roman" w:hAnsi="Times New Roman"/>
          <w:color w:val="000000"/>
          <w:sz w:val="24"/>
          <w:szCs w:val="24"/>
          <w:lang w:eastAsia="en-IN"/>
        </w:rPr>
        <w:t>ure 4f</w:t>
      </w:r>
      <w:r w:rsidRPr="00DA06FB">
        <w:rPr>
          <w:rFonts w:ascii="Times New Roman" w:eastAsia="Times New Roman" w:hAnsi="Times New Roman"/>
          <w:color w:val="000000"/>
          <w:sz w:val="24"/>
          <w:szCs w:val="24"/>
          <w:lang w:eastAsia="en-IN"/>
        </w:rPr>
        <w:t>, some</w:t>
      </w:r>
      <w:r>
        <w:rPr>
          <w:rFonts w:ascii="Times New Roman" w:eastAsia="Times New Roman" w:hAnsi="Times New Roman"/>
          <w:color w:val="000000"/>
          <w:sz w:val="24"/>
          <w:szCs w:val="24"/>
          <w:lang w:eastAsia="en-IN"/>
        </w:rPr>
        <w:t xml:space="preserve"> points lies above and close to line 1:1 which shows </w:t>
      </w:r>
      <w:r w:rsidRPr="00F233E7">
        <w:rPr>
          <w:rFonts w:ascii="Times New Roman" w:eastAsia="Times New Roman" w:hAnsi="Times New Roman"/>
          <w:color w:val="000000"/>
          <w:sz w:val="24"/>
          <w:szCs w:val="24"/>
          <w:lang w:eastAsia="en-IN"/>
        </w:rPr>
        <w:t>dominance of alkaline earth metals in the groundwater over alkalis</w:t>
      </w:r>
      <w:r>
        <w:rPr>
          <w:rFonts w:ascii="Times New Roman" w:eastAsia="Times New Roman" w:hAnsi="Times New Roman"/>
          <w:color w:val="000000"/>
          <w:sz w:val="24"/>
          <w:szCs w:val="24"/>
          <w:lang w:eastAsia="en-IN"/>
        </w:rPr>
        <w:t xml:space="preserve">.  Most of the </w:t>
      </w:r>
      <w:r w:rsidRPr="00DA06FB">
        <w:rPr>
          <w:rFonts w:ascii="Times New Roman" w:eastAsia="Times New Roman" w:hAnsi="Times New Roman"/>
          <w:color w:val="000000"/>
          <w:sz w:val="24"/>
          <w:szCs w:val="24"/>
          <w:lang w:eastAsia="en-IN"/>
        </w:rPr>
        <w:t>points move</w:t>
      </w:r>
      <w:r>
        <w:rPr>
          <w:rFonts w:ascii="Times New Roman" w:eastAsia="Times New Roman" w:hAnsi="Times New Roman"/>
          <w:color w:val="000000"/>
          <w:sz w:val="24"/>
          <w:szCs w:val="24"/>
          <w:lang w:eastAsia="en-IN"/>
        </w:rPr>
        <w:t>d</w:t>
      </w:r>
      <w:r w:rsidRPr="00DA06FB">
        <w:rPr>
          <w:rFonts w:ascii="Times New Roman" w:eastAsia="Times New Roman" w:hAnsi="Times New Roman"/>
          <w:color w:val="000000"/>
          <w:sz w:val="24"/>
          <w:szCs w:val="24"/>
          <w:lang w:eastAsia="en-IN"/>
        </w:rPr>
        <w:t xml:space="preserve"> towards </w:t>
      </w:r>
      <w:r>
        <w:rPr>
          <w:rFonts w:ascii="Times New Roman" w:eastAsia="Times New Roman" w:hAnsi="Times New Roman"/>
          <w:color w:val="000000"/>
          <w:sz w:val="24"/>
          <w:szCs w:val="24"/>
          <w:lang w:eastAsia="en-IN"/>
        </w:rPr>
        <w:t xml:space="preserve">total cation from </w:t>
      </w:r>
      <w:r w:rsidRPr="00DA06FB">
        <w:rPr>
          <w:rFonts w:ascii="Times New Roman" w:eastAsia="Times New Roman" w:hAnsi="Times New Roman"/>
          <w:color w:val="000000"/>
          <w:sz w:val="24"/>
          <w:szCs w:val="24"/>
          <w:lang w:eastAsia="en-IN"/>
        </w:rPr>
        <w:t>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+Mg</w:t>
      </w:r>
      <w:r w:rsidRPr="00DA06FB">
        <w:rPr>
          <w:rFonts w:ascii="Times New Roman" w:eastAsia="Times New Roman" w:hAnsi="Times New Roman"/>
          <w:color w:val="000000"/>
          <w:sz w:val="24"/>
          <w:szCs w:val="24"/>
          <w:vertAlign w:val="superscript"/>
          <w:lang w:eastAsia="en-IN"/>
        </w:rPr>
        <w:t>2+</w:t>
      </w:r>
      <w:r>
        <w:rPr>
          <w:rFonts w:ascii="Times New Roman" w:eastAsia="Times New Roman" w:hAnsi="Times New Roman"/>
          <w:color w:val="000000"/>
          <w:sz w:val="24"/>
          <w:szCs w:val="24"/>
          <w:lang w:eastAsia="en-IN"/>
        </w:rPr>
        <w:t xml:space="preserve"> dominance zone</w:t>
      </w:r>
      <w:r w:rsidRPr="00DA06FB">
        <w:rPr>
          <w:rFonts w:ascii="Times New Roman" w:eastAsia="Times New Roman" w:hAnsi="Times New Roman"/>
          <w:color w:val="000000"/>
          <w:sz w:val="24"/>
          <w:szCs w:val="24"/>
          <w:lang w:eastAsia="en-IN"/>
        </w:rPr>
        <w:t xml:space="preserve">, so that </w:t>
      </w:r>
      <w:r w:rsidRPr="00471599">
        <w:rPr>
          <w:rFonts w:ascii="Times New Roman" w:eastAsia="Times New Roman" w:hAnsi="Times New Roman"/>
          <w:color w:val="000000"/>
          <w:sz w:val="24"/>
          <w:szCs w:val="24"/>
          <w:lang w:eastAsia="en-IN"/>
        </w:rPr>
        <w:t>weathering of carbonate and silicate minerals may release Mg</w:t>
      </w:r>
      <w:r w:rsidRPr="00471599">
        <w:rPr>
          <w:rFonts w:ascii="Times New Roman" w:eastAsia="Times New Roman" w:hAnsi="Times New Roman"/>
          <w:color w:val="000000"/>
          <w:sz w:val="24"/>
          <w:szCs w:val="24"/>
          <w:vertAlign w:val="superscript"/>
          <w:lang w:eastAsia="en-IN"/>
        </w:rPr>
        <w:t>2+</w:t>
      </w:r>
      <w:r w:rsidRPr="00471599">
        <w:rPr>
          <w:rFonts w:ascii="Times New Roman" w:eastAsia="Times New Roman" w:hAnsi="Times New Roman"/>
          <w:color w:val="000000"/>
          <w:sz w:val="24"/>
          <w:szCs w:val="24"/>
          <w:lang w:eastAsia="en-IN"/>
        </w:rPr>
        <w:t xml:space="preserve"> and Ca</w:t>
      </w:r>
      <w:r w:rsidRPr="00471599">
        <w:rPr>
          <w:rFonts w:ascii="Times New Roman" w:eastAsia="Times New Roman" w:hAnsi="Times New Roman"/>
          <w:color w:val="000000"/>
          <w:sz w:val="24"/>
          <w:szCs w:val="24"/>
          <w:vertAlign w:val="superscript"/>
          <w:lang w:eastAsia="en-IN"/>
        </w:rPr>
        <w:t>2+</w:t>
      </w:r>
      <w:r w:rsidRPr="00471599">
        <w:rPr>
          <w:rFonts w:ascii="Times New Roman" w:eastAsia="Times New Roman" w:hAnsi="Times New Roman"/>
          <w:color w:val="000000"/>
          <w:sz w:val="24"/>
          <w:szCs w:val="24"/>
          <w:lang w:eastAsia="en-IN"/>
        </w:rPr>
        <w:t xml:space="preserve"> ions into the system during</w:t>
      </w:r>
      <w:r>
        <w:rPr>
          <w:rFonts w:ascii="Times New Roman" w:eastAsia="Times New Roman" w:hAnsi="Times New Roman"/>
          <w:color w:val="000000"/>
          <w:sz w:val="24"/>
          <w:szCs w:val="24"/>
          <w:lang w:eastAsia="en-IN"/>
        </w:rPr>
        <w:t xml:space="preserve"> rock-water interaction. [45].</w:t>
      </w:r>
      <w:r>
        <w:rPr>
          <w:rFonts w:ascii="Times New Roman" w:hAnsi="Times New Roman"/>
          <w:iCs/>
          <w:color w:val="000000"/>
          <w:sz w:val="24"/>
          <w:szCs w:val="24"/>
        </w:rPr>
        <w:t xml:space="preserve"> </w:t>
      </w:r>
      <w:r>
        <w:rPr>
          <w:rFonts w:ascii="Times New Roman" w:eastAsia="Times New Roman" w:hAnsi="Times New Roman"/>
          <w:color w:val="000000"/>
          <w:sz w:val="24"/>
          <w:szCs w:val="24"/>
          <w:lang w:eastAsia="en-IN"/>
        </w:rPr>
        <w:t xml:space="preserve"> </w:t>
      </w:r>
    </w:p>
    <w:p w14:paraId="20EF6149" w14:textId="7A312CAA" w:rsidR="006610DC" w:rsidRPr="0073551B" w:rsidRDefault="006610DC"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The molar ratio of 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/Cl</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w:t>
      </w:r>
      <w:r>
        <w:rPr>
          <w:rFonts w:ascii="Times New Roman" w:eastAsia="Times New Roman" w:hAnsi="Times New Roman"/>
          <w:color w:val="000000"/>
          <w:sz w:val="24"/>
          <w:szCs w:val="24"/>
          <w:lang w:eastAsia="en-IN"/>
        </w:rPr>
        <w:t>is</w:t>
      </w:r>
      <w:r w:rsidRPr="00DA06FB">
        <w:rPr>
          <w:rFonts w:ascii="Times New Roman" w:eastAsia="Times New Roman" w:hAnsi="Times New Roman"/>
          <w:color w:val="000000"/>
          <w:sz w:val="24"/>
          <w:szCs w:val="24"/>
          <w:lang w:eastAsia="en-IN"/>
        </w:rPr>
        <w:t xml:space="preserve"> ranging between 0.202 to 5.522 with an average 1.394. Most of the samples have ratio more than one, which implies that the cation ion exchange takes place in the aquifer system and ratio less than 1 also indicated that reverse ion exchange process takes place in the aquifer system </w:t>
      </w:r>
      <w:r>
        <w:rPr>
          <w:rFonts w:ascii="Times New Roman" w:eastAsia="Times New Roman" w:hAnsi="Times New Roman"/>
          <w:color w:val="000000"/>
          <w:sz w:val="24"/>
          <w:szCs w:val="24"/>
          <w:lang w:eastAsia="en-IN"/>
        </w:rPr>
        <w:t>[9].</w:t>
      </w:r>
      <w:r w:rsidRPr="00DA06FB">
        <w:rPr>
          <w:rFonts w:ascii="Times New Roman" w:eastAsia="Times New Roman" w:hAnsi="Times New Roman"/>
          <w:color w:val="000000"/>
          <w:sz w:val="24"/>
          <w:szCs w:val="24"/>
          <w:lang w:eastAsia="en-IN"/>
        </w:rPr>
        <w:t xml:space="preserve"> In the Fig</w:t>
      </w:r>
      <w:r>
        <w:rPr>
          <w:rFonts w:ascii="Times New Roman" w:eastAsia="Times New Roman" w:hAnsi="Times New Roman"/>
          <w:color w:val="000000"/>
          <w:sz w:val="24"/>
          <w:szCs w:val="24"/>
          <w:lang w:eastAsia="en-IN"/>
        </w:rPr>
        <w:t>ure 4g</w:t>
      </w:r>
      <w:r w:rsidRPr="00DA06FB">
        <w:rPr>
          <w:rFonts w:ascii="Times New Roman" w:eastAsia="Times New Roman" w:hAnsi="Times New Roman"/>
          <w:color w:val="000000"/>
          <w:sz w:val="24"/>
          <w:szCs w:val="24"/>
          <w:lang w:eastAsia="en-IN"/>
        </w:rPr>
        <w:t xml:space="preserve">, the samples from dug well (Shallow aquifer) are fall above the equiline, which indicated that higher Cl⁻ values, reflecting the influence of surface recharge mixed with minor anthropogenic inputs. </w:t>
      </w:r>
    </w:p>
    <w:p w14:paraId="1A73FD05" w14:textId="77777777" w:rsidR="006610DC" w:rsidRPr="00DA06FB" w:rsidRDefault="006610DC" w:rsidP="006610DC">
      <w:pPr>
        <w:spacing w:line="240" w:lineRule="auto"/>
        <w:jc w:val="both"/>
        <w:rPr>
          <w:rFonts w:ascii="Times New Roman" w:hAnsi="Times New Roman"/>
          <w:b/>
          <w:color w:val="000000"/>
          <w:sz w:val="24"/>
          <w:szCs w:val="24"/>
          <w:lang w:val="en-US"/>
        </w:rPr>
      </w:pPr>
      <w:r w:rsidRPr="00DA06FB">
        <w:rPr>
          <w:rFonts w:ascii="Times New Roman" w:eastAsia="Times New Roman" w:hAnsi="Times New Roman"/>
          <w:color w:val="000000"/>
          <w:sz w:val="24"/>
          <w:szCs w:val="24"/>
          <w:lang w:eastAsia="en-IN"/>
        </w:rPr>
        <w:t>From the Fig</w:t>
      </w:r>
      <w:r>
        <w:rPr>
          <w:rFonts w:ascii="Times New Roman" w:eastAsia="Times New Roman" w:hAnsi="Times New Roman"/>
          <w:color w:val="000000"/>
          <w:sz w:val="24"/>
          <w:szCs w:val="24"/>
          <w:lang w:eastAsia="en-IN"/>
        </w:rPr>
        <w:t>ure</w:t>
      </w:r>
      <w:r w:rsidRPr="00DA06FB">
        <w:rPr>
          <w:rFonts w:ascii="Times New Roman" w:eastAsia="Times New Roman" w:hAnsi="Times New Roman"/>
          <w:color w:val="000000"/>
          <w:sz w:val="24"/>
          <w:szCs w:val="24"/>
          <w:lang w:eastAsia="en-IN"/>
        </w:rPr>
        <w:t xml:space="preserve"> </w:t>
      </w:r>
      <w:r>
        <w:rPr>
          <w:rFonts w:ascii="Times New Roman" w:eastAsia="Times New Roman" w:hAnsi="Times New Roman"/>
          <w:color w:val="000000"/>
          <w:sz w:val="24"/>
          <w:szCs w:val="24"/>
          <w:lang w:eastAsia="en-IN"/>
        </w:rPr>
        <w:t xml:space="preserve">4h, </w:t>
      </w:r>
      <w:r w:rsidRPr="00DA06FB">
        <w:rPr>
          <w:rFonts w:ascii="Times New Roman" w:eastAsia="Times New Roman" w:hAnsi="Times New Roman"/>
          <w:color w:val="000000"/>
          <w:sz w:val="24"/>
          <w:szCs w:val="24"/>
          <w:lang w:eastAsia="en-IN"/>
        </w:rPr>
        <w:t>the Na/Cl ratio exhibits a modest negative connection with EC (R</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 0.0837), suggesting that sodium's proportionate contribution to chloride reduces as salinity rises</w:t>
      </w:r>
      <w:r>
        <w:rPr>
          <w:rFonts w:ascii="Times New Roman" w:eastAsia="Times New Roman" w:hAnsi="Times New Roman"/>
          <w:color w:val="000000"/>
          <w:sz w:val="24"/>
          <w:szCs w:val="24"/>
          <w:lang w:eastAsia="en-IN"/>
        </w:rPr>
        <w:t xml:space="preserve"> s</w:t>
      </w:r>
      <w:r w:rsidRPr="00DA06FB">
        <w:rPr>
          <w:rFonts w:ascii="Times New Roman" w:eastAsia="Times New Roman" w:hAnsi="Times New Roman"/>
          <w:color w:val="000000"/>
          <w:sz w:val="24"/>
          <w:szCs w:val="24"/>
          <w:lang w:eastAsia="en-IN"/>
        </w:rPr>
        <w:t>amples having elevated Na/Cl ratios at lower EC values likely correspond to recharge zones influenced by silicate weathering or initial stages of cation exchange</w:t>
      </w:r>
      <w:r>
        <w:rPr>
          <w:rFonts w:ascii="Times New Roman" w:eastAsia="Times New Roman" w:hAnsi="Times New Roman"/>
          <w:color w:val="000000"/>
          <w:sz w:val="24"/>
          <w:szCs w:val="24"/>
          <w:lang w:eastAsia="en-IN"/>
        </w:rPr>
        <w:t xml:space="preserve"> [9][50].</w:t>
      </w:r>
      <w:r w:rsidRPr="00DA06FB">
        <w:rPr>
          <w:rFonts w:ascii="Times New Roman" w:eastAsia="Times New Roman" w:hAnsi="Times New Roman"/>
          <w:color w:val="000000"/>
          <w:sz w:val="24"/>
          <w:szCs w:val="24"/>
          <w:lang w:eastAsia="en-IN"/>
        </w:rPr>
        <w:t xml:space="preserve"> However,</w:t>
      </w:r>
      <w:r w:rsidRPr="00DA06FB">
        <w:rPr>
          <w:rFonts w:ascii="Times New Roman" w:hAnsi="Times New Roman"/>
          <w:color w:val="000000"/>
        </w:rPr>
        <w:t xml:space="preserve"> s</w:t>
      </w:r>
      <w:r w:rsidRPr="00DA06FB">
        <w:rPr>
          <w:rFonts w:ascii="Times New Roman" w:eastAsia="Times New Roman" w:hAnsi="Times New Roman"/>
          <w:color w:val="000000"/>
          <w:sz w:val="24"/>
          <w:szCs w:val="24"/>
          <w:lang w:eastAsia="en-IN"/>
        </w:rPr>
        <w:t xml:space="preserve">amples with reduced Na/Cl ratios along with higher EC values suggest progressive salinization </w:t>
      </w:r>
      <w:r>
        <w:rPr>
          <w:rFonts w:ascii="Times New Roman" w:eastAsia="Times New Roman" w:hAnsi="Times New Roman"/>
          <w:color w:val="000000"/>
          <w:sz w:val="24"/>
          <w:szCs w:val="24"/>
          <w:lang w:eastAsia="en-IN"/>
        </w:rPr>
        <w:t xml:space="preserve">may be due to evaporation process in shallow aquifer </w:t>
      </w:r>
      <w:r w:rsidRPr="00DA06FB">
        <w:rPr>
          <w:rFonts w:ascii="Times New Roman" w:eastAsia="Times New Roman" w:hAnsi="Times New Roman"/>
          <w:color w:val="000000"/>
          <w:sz w:val="24"/>
          <w:szCs w:val="24"/>
          <w:lang w:eastAsia="en-IN"/>
        </w:rPr>
        <w:t xml:space="preserve">and enhanced ion-exchange reactions occurring in deeper aquifer sections </w:t>
      </w:r>
      <w:r>
        <w:rPr>
          <w:rFonts w:ascii="Times New Roman" w:eastAsia="Times New Roman" w:hAnsi="Times New Roman"/>
          <w:color w:val="000000"/>
          <w:sz w:val="24"/>
          <w:szCs w:val="24"/>
          <w:lang w:eastAsia="en-IN"/>
        </w:rPr>
        <w:t xml:space="preserve">[51][52]. </w:t>
      </w:r>
    </w:p>
    <w:p w14:paraId="6EBE77F0" w14:textId="77777777" w:rsidR="006610DC" w:rsidRDefault="006610DC" w:rsidP="006610D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w:t>
      </w:r>
      <w:r w:rsidRPr="00DA06FB">
        <w:rPr>
          <w:rFonts w:ascii="Times New Roman" w:hAnsi="Times New Roman"/>
          <w:b/>
          <w:color w:val="000000"/>
          <w:sz w:val="24"/>
          <w:szCs w:val="24"/>
          <w:lang w:val="en-US"/>
        </w:rPr>
        <w:t xml:space="preserve"> </w:t>
      </w:r>
      <w:r w:rsidRPr="00DA06FB">
        <w:rPr>
          <w:rFonts w:ascii="Times New Roman" w:hAnsi="Times New Roman"/>
          <w:bCs/>
          <w:color w:val="000000"/>
          <w:sz w:val="24"/>
          <w:szCs w:val="24"/>
          <w:lang w:val="en-US"/>
        </w:rPr>
        <w:t>ion exchange processes are further explained by calculation of chloro</w:t>
      </w:r>
      <w:r>
        <w:rPr>
          <w:rFonts w:ascii="Times New Roman" w:hAnsi="Times New Roman"/>
          <w:bCs/>
          <w:color w:val="000000"/>
          <w:sz w:val="24"/>
          <w:szCs w:val="24"/>
          <w:lang w:val="en-US"/>
        </w:rPr>
        <w:t>-</w:t>
      </w:r>
      <w:r w:rsidRPr="00DA06FB">
        <w:rPr>
          <w:rFonts w:ascii="Times New Roman" w:hAnsi="Times New Roman"/>
          <w:bCs/>
          <w:color w:val="000000"/>
          <w:sz w:val="24"/>
          <w:szCs w:val="24"/>
          <w:lang w:val="en-US"/>
        </w:rPr>
        <w:t>alkaline indices (CAI-1 and CAI-2</w:t>
      </w:r>
      <w:r>
        <w:rPr>
          <w:rFonts w:ascii="Times New Roman" w:hAnsi="Times New Roman"/>
          <w:bCs/>
          <w:color w:val="000000"/>
          <w:sz w:val="24"/>
          <w:szCs w:val="24"/>
          <w:lang w:val="en-US"/>
        </w:rPr>
        <w:t>)</w:t>
      </w:r>
      <w:r w:rsidRPr="00DA06FB">
        <w:rPr>
          <w:rFonts w:ascii="Times New Roman" w:hAnsi="Times New Roman"/>
          <w:bCs/>
          <w:color w:val="000000"/>
          <w:sz w:val="24"/>
          <w:szCs w:val="24"/>
          <w:lang w:val="en-US"/>
        </w:rPr>
        <w:t xml:space="preserve"> in Eq</w:t>
      </w:r>
      <w:r>
        <w:rPr>
          <w:rFonts w:ascii="Times New Roman" w:hAnsi="Times New Roman"/>
          <w:bCs/>
          <w:color w:val="000000"/>
          <w:sz w:val="24"/>
          <w:szCs w:val="24"/>
          <w:lang w:val="en-US"/>
        </w:rPr>
        <w:t xml:space="preserve">uation </w:t>
      </w:r>
      <w:r w:rsidRPr="00DA06FB">
        <w:rPr>
          <w:rFonts w:ascii="Times New Roman" w:hAnsi="Times New Roman"/>
          <w:bCs/>
          <w:color w:val="000000"/>
          <w:sz w:val="24"/>
          <w:szCs w:val="24"/>
          <w:lang w:val="en-US"/>
        </w:rPr>
        <w:t>4 and 5. The values of CAI-1and CAI-2 of the study area, 47 samples have negative value which implies that the ion exchange process takes place where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and Mg</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in water exchanged with Na</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and K</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from the host rock</w:t>
      </w:r>
      <w:r>
        <w:rPr>
          <w:rFonts w:ascii="Times New Roman" w:hAnsi="Times New Roman"/>
          <w:bCs/>
          <w:color w:val="000000"/>
          <w:sz w:val="24"/>
          <w:szCs w:val="24"/>
          <w:lang w:val="en-US"/>
        </w:rPr>
        <w:t xml:space="preserve"> (Figure 4i and 4j)</w:t>
      </w:r>
      <w:r w:rsidRPr="00DA06FB">
        <w:rPr>
          <w:rFonts w:ascii="Times New Roman" w:hAnsi="Times New Roman"/>
          <w:bCs/>
          <w:color w:val="000000"/>
          <w:sz w:val="24"/>
          <w:szCs w:val="24"/>
          <w:lang w:val="en-US"/>
        </w:rPr>
        <w:t>. Whereas 34 samples have positive value which defines that reverse ion exchange process takes place where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and Mg</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in water exchanged with Na</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and K</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from the host rock</w:t>
      </w:r>
      <w:r>
        <w:rPr>
          <w:rFonts w:ascii="Times New Roman" w:hAnsi="Times New Roman"/>
          <w:bCs/>
          <w:color w:val="000000"/>
          <w:sz w:val="24"/>
          <w:szCs w:val="24"/>
          <w:lang w:val="en-US"/>
        </w:rPr>
        <w:t xml:space="preserve"> [31][53]</w:t>
      </w:r>
      <w:r w:rsidRPr="00DA06FB">
        <w:rPr>
          <w:rFonts w:ascii="Times New Roman" w:hAnsi="Times New Roman"/>
          <w:bCs/>
          <w:color w:val="000000"/>
          <w:sz w:val="24"/>
          <w:szCs w:val="24"/>
          <w:lang w:val="en-US"/>
        </w:rPr>
        <w:t xml:space="preserve">. </w:t>
      </w:r>
    </w:p>
    <w:p w14:paraId="009BED82" w14:textId="77777777" w:rsidR="00AB2AF7" w:rsidRPr="00DB1FC2" w:rsidRDefault="00AB2AF7" w:rsidP="00AB2AF7">
      <w:pPr>
        <w:spacing w:line="240" w:lineRule="auto"/>
        <w:jc w:val="both"/>
        <w:rPr>
          <w:rFonts w:ascii="Times New Roman" w:hAnsi="Times New Roman"/>
          <w:b/>
          <w:color w:val="000000"/>
          <w:sz w:val="24"/>
          <w:szCs w:val="24"/>
          <w:lang w:val="en-US"/>
        </w:rPr>
      </w:pPr>
      <w:r w:rsidRPr="00DB1FC2">
        <w:rPr>
          <w:rFonts w:ascii="Times New Roman" w:hAnsi="Times New Roman"/>
          <w:b/>
          <w:color w:val="000000"/>
          <w:sz w:val="24"/>
          <w:szCs w:val="24"/>
          <w:lang w:val="en-US"/>
        </w:rPr>
        <w:t>Chemometric Analysis</w:t>
      </w:r>
    </w:p>
    <w:p w14:paraId="78F34F91" w14:textId="77777777" w:rsidR="00AB2AF7" w:rsidRDefault="00AB2AF7" w:rsidP="00AB2AF7">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 xml:space="preserve">The chemometric analysis refers to various statistical methods for extensive study of ground water quality as well as geochemical evolution. The methods are “bivariate coefficient correlation analysis, multivariate factor analysis, principal component analysis, cluster analysis” for assessment and management of water quality and explore the different geochemical processes affect the water chemistry </w:t>
      </w:r>
      <w:r>
        <w:rPr>
          <w:rFonts w:ascii="Times New Roman" w:hAnsi="Times New Roman"/>
          <w:bCs/>
          <w:color w:val="000000"/>
          <w:sz w:val="24"/>
          <w:szCs w:val="24"/>
          <w:lang w:val="en-US"/>
        </w:rPr>
        <w:t>[32]</w:t>
      </w:r>
      <w:r w:rsidRPr="00DA06FB">
        <w:rPr>
          <w:rFonts w:ascii="Times New Roman" w:hAnsi="Times New Roman"/>
          <w:bCs/>
          <w:color w:val="000000"/>
          <w:sz w:val="24"/>
          <w:szCs w:val="24"/>
          <w:lang w:val="en-US"/>
        </w:rPr>
        <w:t>. These techniques are organized and simplified by the dataset.</w:t>
      </w:r>
    </w:p>
    <w:p w14:paraId="33AF10AF" w14:textId="77777777" w:rsidR="001039B4" w:rsidRDefault="001039B4" w:rsidP="00AB2AF7">
      <w:pPr>
        <w:spacing w:line="240" w:lineRule="auto"/>
        <w:jc w:val="both"/>
        <w:rPr>
          <w:rFonts w:ascii="Times New Roman" w:hAnsi="Times New Roman"/>
          <w:bCs/>
          <w:color w:val="000000"/>
          <w:sz w:val="24"/>
          <w:szCs w:val="24"/>
          <w:lang w:val="en-US"/>
        </w:rPr>
      </w:pPr>
    </w:p>
    <w:p w14:paraId="077E3588" w14:textId="77777777" w:rsidR="001039B4" w:rsidRDefault="001039B4" w:rsidP="00AB2AF7">
      <w:pPr>
        <w:spacing w:line="240" w:lineRule="auto"/>
        <w:jc w:val="both"/>
        <w:rPr>
          <w:rFonts w:ascii="Times New Roman" w:hAnsi="Times New Roman"/>
          <w:bCs/>
          <w:color w:val="000000"/>
          <w:sz w:val="24"/>
          <w:szCs w:val="24"/>
          <w:lang w:val="en-US"/>
        </w:rPr>
      </w:pPr>
    </w:p>
    <w:p w14:paraId="20BB8741" w14:textId="5E1FDD6B" w:rsidR="00AB2AF7" w:rsidRPr="00DB1FC2" w:rsidRDefault="00AB2AF7" w:rsidP="00AB2AF7">
      <w:pPr>
        <w:spacing w:line="240" w:lineRule="auto"/>
        <w:jc w:val="both"/>
        <w:rPr>
          <w:rFonts w:ascii="Times New Roman" w:hAnsi="Times New Roman"/>
          <w:bCs/>
          <w:color w:val="000000"/>
          <w:sz w:val="24"/>
          <w:szCs w:val="24"/>
          <w:lang w:val="en-US"/>
        </w:rPr>
      </w:pPr>
      <w:r w:rsidRPr="00DB1FC2">
        <w:rPr>
          <w:rFonts w:ascii="Times New Roman" w:hAnsi="Times New Roman"/>
          <w:bCs/>
          <w:color w:val="000000"/>
          <w:sz w:val="24"/>
          <w:szCs w:val="24"/>
          <w:lang w:val="en-US"/>
        </w:rPr>
        <w:t>Bivariate Coefficient Correlation Analysis</w:t>
      </w:r>
    </w:p>
    <w:p w14:paraId="4C92BCC6" w14:textId="77777777" w:rsidR="00584BCC" w:rsidRDefault="00AB2AF7"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lastRenderedPageBreak/>
        <w:t>The correlation matrix</w:t>
      </w:r>
      <w:r>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dataset</w:t>
      </w:r>
      <w:r>
        <w:rPr>
          <w:rFonts w:ascii="Times New Roman" w:hAnsi="Times New Roman"/>
          <w:bCs/>
          <w:color w:val="000000"/>
          <w:sz w:val="24"/>
          <w:szCs w:val="24"/>
          <w:lang w:val="en-US"/>
        </w:rPr>
        <w:t xml:space="preserve"> is presented at Table 2.</w:t>
      </w:r>
      <w:r w:rsidRPr="00DA06FB">
        <w:rPr>
          <w:rFonts w:ascii="Times New Roman" w:hAnsi="Times New Roman"/>
          <w:bCs/>
          <w:color w:val="000000"/>
          <w:sz w:val="24"/>
          <w:szCs w:val="24"/>
          <w:lang w:val="en-US"/>
        </w:rPr>
        <w:t xml:space="preserve"> There is a strong correlation(r=1.000) exist among </w:t>
      </w:r>
      <w:r>
        <w:rPr>
          <w:rFonts w:ascii="Times New Roman" w:hAnsi="Times New Roman"/>
          <w:bCs/>
          <w:color w:val="000000"/>
          <w:sz w:val="24"/>
          <w:szCs w:val="24"/>
          <w:lang w:val="en-US"/>
        </w:rPr>
        <w:t xml:space="preserve">Total dissolve solid (TDS) and </w:t>
      </w:r>
      <w:r w:rsidRPr="00DA06FB">
        <w:rPr>
          <w:rFonts w:ascii="Times New Roman" w:hAnsi="Times New Roman"/>
          <w:bCs/>
          <w:color w:val="000000"/>
          <w:sz w:val="24"/>
          <w:szCs w:val="24"/>
          <w:lang w:val="en-US"/>
        </w:rPr>
        <w:t>Electrical conductivity (EC)</w:t>
      </w:r>
      <w:r>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 xml:space="preserve">indicating that groundwater conductivity is directly governed by ionic concentration.  </w:t>
      </w:r>
    </w:p>
    <w:p w14:paraId="008D5BF1" w14:textId="77777777" w:rsidR="00584BCC" w:rsidRDefault="00AB2AF7"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Total hardness (TH) is highly correlated with both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(r=0.926) and Mg</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(r=0.495), suggesting that the dissolution of carbonate </w:t>
      </w:r>
      <w:r>
        <w:rPr>
          <w:rFonts w:ascii="Times New Roman" w:hAnsi="Times New Roman"/>
          <w:bCs/>
          <w:color w:val="000000"/>
          <w:sz w:val="24"/>
          <w:szCs w:val="24"/>
          <w:lang w:val="en-US"/>
        </w:rPr>
        <w:t xml:space="preserve">and </w:t>
      </w:r>
      <w:r w:rsidRPr="00DA06FB">
        <w:rPr>
          <w:rFonts w:ascii="Times New Roman" w:hAnsi="Times New Roman"/>
          <w:bCs/>
          <w:color w:val="000000"/>
          <w:sz w:val="24"/>
          <w:szCs w:val="24"/>
          <w:lang w:val="en-US"/>
        </w:rPr>
        <w:t>silicate</w:t>
      </w:r>
      <w:r>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 xml:space="preserve">minerals is the primary source of groundwater hardness. The significant positive correlations between TH–Cl⁻ (r=0.645) and TH–SO₄²⁻ (r=0.524) indicate that </w:t>
      </w:r>
      <w:r w:rsidR="00584BCC" w:rsidRPr="00DA06FB">
        <w:rPr>
          <w:rFonts w:ascii="Times New Roman" w:hAnsi="Times New Roman"/>
          <w:bCs/>
          <w:color w:val="000000"/>
          <w:sz w:val="24"/>
          <w:szCs w:val="24"/>
          <w:lang w:val="en-US"/>
        </w:rPr>
        <w:t xml:space="preserve">minerals containing sulphate and chloride, possibly enhanced by anthropogenic influences like domestic effluents. </w:t>
      </w:r>
    </w:p>
    <w:p w14:paraId="68AB18DB" w14:textId="77777777" w:rsidR="00584BCC" w:rsidRDefault="00584BCC"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relationship between Ca²⁺–Cl⁻ (r=0.618) and Ca²⁺–SO₄²⁻ (r=0.478) suggests that calcium coexists with chloride and sulphate because of mineral weathering and concentration driven by evaporation</w:t>
      </w:r>
      <w:r>
        <w:rPr>
          <w:rFonts w:ascii="Times New Roman" w:hAnsi="Times New Roman"/>
          <w:bCs/>
          <w:color w:val="000000"/>
          <w:sz w:val="24"/>
          <w:szCs w:val="24"/>
          <w:lang w:val="en-US"/>
        </w:rPr>
        <w:t xml:space="preserve"> [8]</w:t>
      </w:r>
      <w:r w:rsidRPr="00DA06FB">
        <w:rPr>
          <w:rFonts w:ascii="Times New Roman" w:hAnsi="Times New Roman"/>
          <w:bCs/>
          <w:color w:val="000000"/>
          <w:sz w:val="24"/>
          <w:szCs w:val="24"/>
          <w:lang w:val="en-US"/>
        </w:rPr>
        <w:t>. The strong correlation of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Cl</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-NO</w:t>
      </w:r>
      <w:r w:rsidRPr="00DA06FB">
        <w:rPr>
          <w:rFonts w:ascii="Times New Roman" w:hAnsi="Times New Roman"/>
          <w:bCs/>
          <w:color w:val="000000"/>
          <w:sz w:val="24"/>
          <w:szCs w:val="24"/>
          <w:vertAlign w:val="subscript"/>
          <w:lang w:val="en-US"/>
        </w:rPr>
        <w:t>3</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-SO</w:t>
      </w:r>
      <w:r w:rsidRPr="00DA06FB">
        <w:rPr>
          <w:rFonts w:ascii="Times New Roman" w:hAnsi="Times New Roman"/>
          <w:bCs/>
          <w:color w:val="000000"/>
          <w:sz w:val="24"/>
          <w:szCs w:val="24"/>
          <w:vertAlign w:val="subscript"/>
          <w:lang w:val="en-US"/>
        </w:rPr>
        <w:t>4</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indicates the dissolution of plagioclase feldspar, sulphate bearing minerals (Gypsum) which are used as fertilizer </w:t>
      </w:r>
      <w:r>
        <w:rPr>
          <w:rFonts w:ascii="Times New Roman" w:hAnsi="Times New Roman"/>
          <w:bCs/>
          <w:color w:val="000000"/>
          <w:sz w:val="24"/>
          <w:szCs w:val="24"/>
          <w:lang w:val="en-US"/>
        </w:rPr>
        <w:t>[15]</w:t>
      </w:r>
      <w:r w:rsidRPr="00DA06FB">
        <w:rPr>
          <w:rFonts w:ascii="Times New Roman" w:hAnsi="Times New Roman"/>
          <w:bCs/>
          <w:color w:val="000000"/>
          <w:sz w:val="24"/>
          <w:szCs w:val="24"/>
          <w:lang w:val="en-US"/>
        </w:rPr>
        <w:t xml:space="preserve">. The positive correlation of Na⁺–HCO₃⁻ (r =0.520) indicates the occurrence of cation exchange reactions and feldspar weathering, which implies that the enrichment of sodium is a consequence of rock–water interactions rather than the dissolution of halite, given the weak Na⁺–Cl⁻ correlation. </w:t>
      </w:r>
    </w:p>
    <w:p w14:paraId="2B87562F" w14:textId="77777777" w:rsidR="00584BCC" w:rsidRDefault="00584BCC"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 xml:space="preserve">In a similar manner, the Na⁺–K⁺ (r =0.441) correlation illustrates their release from silicate minerals during the weathering process. The NO₃⁻ ion demonstrates significant positive correlations with TH (r =0.633), Ca²⁺ (r =0.576), and Cl⁻ (r =0.477), highlighting the impact of human activities, particularly from agricultural fertilizers and the leaching of organic waste. </w:t>
      </w:r>
    </w:p>
    <w:p w14:paraId="21E097C9" w14:textId="77777777" w:rsidR="00584BCC" w:rsidRDefault="00584BCC"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Additionally, the negative correlation between pH and NO₃⁻ (r =</w:t>
      </w:r>
      <w:r>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–0.406) suggests that a lower pH level increases the mobility of nitrate and the dissolution of minerals within the aquifer system. The weak relationship between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and Mg</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indicates the base ion exchange reaction takes place in aquifer system </w:t>
      </w:r>
      <w:r>
        <w:rPr>
          <w:rFonts w:ascii="Times New Roman" w:hAnsi="Times New Roman"/>
          <w:bCs/>
          <w:color w:val="000000"/>
          <w:sz w:val="24"/>
          <w:szCs w:val="24"/>
          <w:lang w:val="en-US"/>
        </w:rPr>
        <w:t>[2]</w:t>
      </w:r>
      <w:r w:rsidRPr="00DA06FB">
        <w:rPr>
          <w:rFonts w:ascii="Times New Roman" w:hAnsi="Times New Roman"/>
          <w:bCs/>
          <w:color w:val="000000"/>
          <w:sz w:val="24"/>
          <w:szCs w:val="24"/>
          <w:lang w:val="en-US"/>
        </w:rPr>
        <w:t xml:space="preserve">. </w:t>
      </w:r>
    </w:p>
    <w:p w14:paraId="4F181C20" w14:textId="020200AD" w:rsidR="00584BCC" w:rsidRDefault="00584BCC"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strong relationship between Cl- -SO</w:t>
      </w:r>
      <w:r w:rsidRPr="00882CCE">
        <w:rPr>
          <w:rFonts w:ascii="Times New Roman" w:hAnsi="Times New Roman"/>
          <w:bCs/>
          <w:color w:val="000000"/>
          <w:sz w:val="24"/>
          <w:szCs w:val="24"/>
          <w:vertAlign w:val="subscript"/>
          <w:lang w:val="en-US"/>
        </w:rPr>
        <w:t>4</w:t>
      </w:r>
      <w:r w:rsidRPr="00882CCE">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and weak relationship between Cl-HCO</w:t>
      </w:r>
      <w:r w:rsidRPr="00DA06FB">
        <w:rPr>
          <w:rFonts w:ascii="Times New Roman" w:hAnsi="Times New Roman"/>
          <w:bCs/>
          <w:color w:val="000000"/>
          <w:sz w:val="24"/>
          <w:szCs w:val="24"/>
          <w:vertAlign w:val="subscript"/>
          <w:lang w:val="en-US"/>
        </w:rPr>
        <w:t>3</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may be due to anthropogenic sources such as mineral dissolution, irrigation return water flow, drainage waste, septic tank leakage, chemical fertilizer</w:t>
      </w:r>
      <w:r>
        <w:rPr>
          <w:rFonts w:ascii="Times New Roman" w:hAnsi="Times New Roman"/>
          <w:bCs/>
          <w:color w:val="000000"/>
          <w:sz w:val="24"/>
          <w:szCs w:val="24"/>
          <w:lang w:val="en-US"/>
        </w:rPr>
        <w:t xml:space="preserve"> [15]. </w:t>
      </w:r>
      <w:r w:rsidRPr="00DA06FB">
        <w:rPr>
          <w:rFonts w:ascii="Times New Roman" w:hAnsi="Times New Roman"/>
          <w:bCs/>
          <w:color w:val="000000"/>
          <w:sz w:val="24"/>
          <w:szCs w:val="24"/>
          <w:lang w:val="en-US"/>
        </w:rPr>
        <w:t xml:space="preserve">Overall, the correlation findings indicate that the chemistry of groundwater is influenced by a mix of </w:t>
      </w:r>
      <w:r>
        <w:rPr>
          <w:rFonts w:ascii="Times New Roman" w:hAnsi="Times New Roman"/>
          <w:bCs/>
          <w:color w:val="000000"/>
          <w:sz w:val="24"/>
          <w:szCs w:val="24"/>
          <w:lang w:val="en-US"/>
        </w:rPr>
        <w:t xml:space="preserve">geogenic </w:t>
      </w:r>
      <w:r w:rsidRPr="00DA06FB">
        <w:rPr>
          <w:rFonts w:ascii="Times New Roman" w:hAnsi="Times New Roman"/>
          <w:bCs/>
          <w:color w:val="000000"/>
          <w:sz w:val="24"/>
          <w:szCs w:val="24"/>
          <w:lang w:val="en-US"/>
        </w:rPr>
        <w:t>and</w:t>
      </w:r>
      <w:r>
        <w:rPr>
          <w:rFonts w:ascii="Times New Roman" w:hAnsi="Times New Roman"/>
          <w:bCs/>
          <w:color w:val="000000"/>
          <w:sz w:val="24"/>
          <w:szCs w:val="24"/>
          <w:lang w:val="en-US"/>
        </w:rPr>
        <w:t xml:space="preserve"> anthropogenic </w:t>
      </w:r>
      <w:r w:rsidRPr="00DA06FB">
        <w:rPr>
          <w:rFonts w:ascii="Times New Roman" w:hAnsi="Times New Roman"/>
          <w:bCs/>
          <w:color w:val="000000"/>
          <w:sz w:val="24"/>
          <w:szCs w:val="24"/>
          <w:lang w:val="en-US"/>
        </w:rPr>
        <w:t>factors, such as the dissolution of carbonates and silicates, ion exchange processes, and specific instances of anthropogenic contamination.</w:t>
      </w:r>
    </w:p>
    <w:p w14:paraId="6AFBCA45" w14:textId="77777777" w:rsidR="00584BCC" w:rsidRDefault="00584BCC" w:rsidP="00584BCC">
      <w:pPr>
        <w:autoSpaceDE w:val="0"/>
        <w:autoSpaceDN w:val="0"/>
        <w:adjustRightInd w:val="0"/>
        <w:spacing w:line="240" w:lineRule="auto"/>
        <w:jc w:val="both"/>
        <w:rPr>
          <w:rFonts w:ascii="Times New Roman" w:hAnsi="Times New Roman"/>
          <w:sz w:val="24"/>
          <w:szCs w:val="24"/>
          <w:lang w:val="en-US"/>
        </w:rPr>
      </w:pPr>
    </w:p>
    <w:p w14:paraId="2AFF2456" w14:textId="3DB8AE55" w:rsidR="00584BCC" w:rsidRDefault="00584BCC" w:rsidP="00584BCC">
      <w:pPr>
        <w:autoSpaceDE w:val="0"/>
        <w:autoSpaceDN w:val="0"/>
        <w:adjustRightInd w:val="0"/>
        <w:spacing w:line="240" w:lineRule="auto"/>
        <w:jc w:val="both"/>
        <w:rPr>
          <w:rFonts w:ascii="Times New Roman" w:hAnsi="Times New Roman"/>
          <w:sz w:val="24"/>
          <w:szCs w:val="24"/>
          <w:lang w:val="en-US"/>
        </w:rPr>
      </w:pPr>
      <w:r w:rsidRPr="00A9103A">
        <w:rPr>
          <w:rFonts w:ascii="Times New Roman" w:hAnsi="Times New Roman"/>
          <w:sz w:val="24"/>
          <w:szCs w:val="24"/>
          <w:lang w:val="en-US"/>
        </w:rPr>
        <w:t>Table 2: Correlation Matrix of Physio-Chemical parameters</w:t>
      </w:r>
    </w:p>
    <w:p w14:paraId="3F8263D0" w14:textId="588BA051" w:rsidR="00AB2AF7" w:rsidRDefault="00AB2AF7" w:rsidP="00AB2AF7">
      <w:pPr>
        <w:spacing w:line="240" w:lineRule="auto"/>
        <w:jc w:val="both"/>
        <w:rPr>
          <w:rFonts w:ascii="Times New Roman" w:hAnsi="Times New Roman"/>
          <w:bCs/>
          <w:color w:val="000000"/>
          <w:sz w:val="24"/>
          <w:szCs w:val="24"/>
          <w:lang w:val="en-US"/>
        </w:rPr>
      </w:pPr>
    </w:p>
    <w:tbl>
      <w:tblPr>
        <w:tblW w:w="1151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41"/>
        <w:gridCol w:w="741"/>
        <w:gridCol w:w="741"/>
        <w:gridCol w:w="736"/>
        <w:gridCol w:w="774"/>
        <w:gridCol w:w="714"/>
        <w:gridCol w:w="741"/>
        <w:gridCol w:w="741"/>
        <w:gridCol w:w="744"/>
        <w:gridCol w:w="741"/>
        <w:gridCol w:w="889"/>
        <w:gridCol w:w="741"/>
        <w:gridCol w:w="741"/>
        <w:gridCol w:w="741"/>
      </w:tblGrid>
      <w:tr w:rsidR="00584BCC" w:rsidRPr="000A64D0" w14:paraId="36335F15" w14:textId="77777777" w:rsidTr="00584BCC">
        <w:trPr>
          <w:trHeight w:val="414"/>
        </w:trPr>
        <w:tc>
          <w:tcPr>
            <w:tcW w:w="993" w:type="dxa"/>
            <w:shd w:val="clear" w:color="000000" w:fill="FFFFFF"/>
            <w:vAlign w:val="center"/>
            <w:hideMark/>
          </w:tcPr>
          <w:p w14:paraId="2D8C84F4"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Variables</w:t>
            </w:r>
          </w:p>
        </w:tc>
        <w:tc>
          <w:tcPr>
            <w:tcW w:w="741" w:type="dxa"/>
            <w:shd w:val="clear" w:color="000000" w:fill="FFFFFF"/>
            <w:vAlign w:val="center"/>
            <w:hideMark/>
          </w:tcPr>
          <w:p w14:paraId="02D55139"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pH</w:t>
            </w:r>
          </w:p>
        </w:tc>
        <w:tc>
          <w:tcPr>
            <w:tcW w:w="741" w:type="dxa"/>
            <w:shd w:val="clear" w:color="000000" w:fill="FFFFFF"/>
            <w:vAlign w:val="center"/>
            <w:hideMark/>
          </w:tcPr>
          <w:p w14:paraId="4C999D3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EC</w:t>
            </w:r>
          </w:p>
        </w:tc>
        <w:tc>
          <w:tcPr>
            <w:tcW w:w="741" w:type="dxa"/>
            <w:shd w:val="clear" w:color="000000" w:fill="FFFFFF"/>
            <w:vAlign w:val="center"/>
            <w:hideMark/>
          </w:tcPr>
          <w:p w14:paraId="3C3253CE"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TDS</w:t>
            </w:r>
          </w:p>
        </w:tc>
        <w:tc>
          <w:tcPr>
            <w:tcW w:w="736" w:type="dxa"/>
            <w:shd w:val="clear" w:color="000000" w:fill="FFFFFF"/>
            <w:vAlign w:val="center"/>
            <w:hideMark/>
          </w:tcPr>
          <w:p w14:paraId="71C5CF1D"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TA</w:t>
            </w:r>
          </w:p>
        </w:tc>
        <w:tc>
          <w:tcPr>
            <w:tcW w:w="774" w:type="dxa"/>
            <w:shd w:val="clear" w:color="000000" w:fill="FFFFFF"/>
            <w:vAlign w:val="center"/>
            <w:hideMark/>
          </w:tcPr>
          <w:p w14:paraId="4CA77E1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TH</w:t>
            </w:r>
          </w:p>
        </w:tc>
        <w:tc>
          <w:tcPr>
            <w:tcW w:w="714" w:type="dxa"/>
            <w:shd w:val="clear" w:color="000000" w:fill="FFFFFF"/>
            <w:vAlign w:val="center"/>
            <w:hideMark/>
          </w:tcPr>
          <w:p w14:paraId="509D7AF2"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Ca</w:t>
            </w:r>
            <w:r w:rsidRPr="000A64D0">
              <w:rPr>
                <w:rFonts w:ascii="Times New Roman" w:eastAsia="Times New Roman" w:hAnsi="Times New Roman"/>
                <w:b/>
                <w:bCs/>
                <w:sz w:val="18"/>
                <w:szCs w:val="18"/>
                <w:vertAlign w:val="superscript"/>
                <w:lang w:eastAsia="en-IN"/>
              </w:rPr>
              <w:t>2+</w:t>
            </w:r>
          </w:p>
        </w:tc>
        <w:tc>
          <w:tcPr>
            <w:tcW w:w="741" w:type="dxa"/>
            <w:shd w:val="clear" w:color="000000" w:fill="FFFFFF"/>
            <w:vAlign w:val="center"/>
            <w:hideMark/>
          </w:tcPr>
          <w:p w14:paraId="4482650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Mg</w:t>
            </w:r>
            <w:r w:rsidRPr="000A64D0">
              <w:rPr>
                <w:rFonts w:ascii="Times New Roman" w:eastAsia="Times New Roman" w:hAnsi="Times New Roman"/>
                <w:b/>
                <w:bCs/>
                <w:sz w:val="18"/>
                <w:szCs w:val="18"/>
                <w:vertAlign w:val="superscript"/>
                <w:lang w:eastAsia="en-IN"/>
              </w:rPr>
              <w:t>2+</w:t>
            </w:r>
          </w:p>
        </w:tc>
        <w:tc>
          <w:tcPr>
            <w:tcW w:w="741" w:type="dxa"/>
            <w:shd w:val="clear" w:color="000000" w:fill="FFFFFF"/>
            <w:vAlign w:val="center"/>
            <w:hideMark/>
          </w:tcPr>
          <w:p w14:paraId="596B0347"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Na</w:t>
            </w:r>
            <w:r w:rsidRPr="000A64D0">
              <w:rPr>
                <w:rFonts w:ascii="Times New Roman" w:eastAsia="Times New Roman" w:hAnsi="Times New Roman"/>
                <w:b/>
                <w:bCs/>
                <w:sz w:val="18"/>
                <w:szCs w:val="18"/>
                <w:vertAlign w:val="superscript"/>
                <w:lang w:eastAsia="en-IN"/>
              </w:rPr>
              <w:t>+</w:t>
            </w:r>
          </w:p>
        </w:tc>
        <w:tc>
          <w:tcPr>
            <w:tcW w:w="744" w:type="dxa"/>
            <w:shd w:val="clear" w:color="000000" w:fill="FFFFFF"/>
            <w:vAlign w:val="center"/>
            <w:hideMark/>
          </w:tcPr>
          <w:p w14:paraId="7969A20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K</w:t>
            </w:r>
            <w:r w:rsidRPr="000A64D0">
              <w:rPr>
                <w:rFonts w:ascii="Times New Roman" w:eastAsia="Times New Roman" w:hAnsi="Times New Roman"/>
                <w:b/>
                <w:bCs/>
                <w:sz w:val="18"/>
                <w:szCs w:val="18"/>
                <w:vertAlign w:val="superscript"/>
                <w:lang w:eastAsia="en-IN"/>
              </w:rPr>
              <w:t>+</w:t>
            </w:r>
          </w:p>
        </w:tc>
        <w:tc>
          <w:tcPr>
            <w:tcW w:w="741" w:type="dxa"/>
            <w:shd w:val="clear" w:color="000000" w:fill="FFFFFF"/>
            <w:vAlign w:val="bottom"/>
            <w:hideMark/>
          </w:tcPr>
          <w:p w14:paraId="647A655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Cl</w:t>
            </w:r>
            <w:r w:rsidRPr="000A64D0">
              <w:rPr>
                <w:rFonts w:ascii="Times New Roman" w:eastAsia="Times New Roman" w:hAnsi="Times New Roman"/>
                <w:b/>
                <w:bCs/>
                <w:sz w:val="18"/>
                <w:szCs w:val="18"/>
                <w:vertAlign w:val="superscript"/>
                <w:lang w:eastAsia="en-IN"/>
              </w:rPr>
              <w:t>-</w:t>
            </w:r>
          </w:p>
        </w:tc>
        <w:tc>
          <w:tcPr>
            <w:tcW w:w="889" w:type="dxa"/>
            <w:shd w:val="clear" w:color="000000" w:fill="FFFFFF"/>
            <w:vAlign w:val="bottom"/>
            <w:hideMark/>
          </w:tcPr>
          <w:p w14:paraId="468FE493"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HCO</w:t>
            </w:r>
            <w:r w:rsidRPr="000A64D0">
              <w:rPr>
                <w:rFonts w:ascii="Times New Roman" w:eastAsia="Times New Roman" w:hAnsi="Times New Roman"/>
                <w:b/>
                <w:bCs/>
                <w:sz w:val="18"/>
                <w:szCs w:val="18"/>
                <w:vertAlign w:val="subscript"/>
                <w:lang w:eastAsia="en-IN"/>
              </w:rPr>
              <w:t>3</w:t>
            </w:r>
            <w:r w:rsidRPr="000A64D0">
              <w:rPr>
                <w:rFonts w:ascii="Times New Roman" w:eastAsia="Times New Roman" w:hAnsi="Times New Roman"/>
                <w:b/>
                <w:bCs/>
                <w:sz w:val="18"/>
                <w:szCs w:val="18"/>
                <w:vertAlign w:val="superscript"/>
                <w:lang w:eastAsia="en-IN"/>
              </w:rPr>
              <w:t>-</w:t>
            </w:r>
          </w:p>
        </w:tc>
        <w:tc>
          <w:tcPr>
            <w:tcW w:w="741" w:type="dxa"/>
            <w:shd w:val="clear" w:color="000000" w:fill="FFFFFF"/>
            <w:vAlign w:val="bottom"/>
            <w:hideMark/>
          </w:tcPr>
          <w:p w14:paraId="1940A6E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SO</w:t>
            </w:r>
            <w:r w:rsidRPr="000A64D0">
              <w:rPr>
                <w:rFonts w:ascii="Times New Roman" w:eastAsia="Times New Roman" w:hAnsi="Times New Roman"/>
                <w:b/>
                <w:bCs/>
                <w:sz w:val="18"/>
                <w:szCs w:val="18"/>
                <w:vertAlign w:val="subscript"/>
                <w:lang w:eastAsia="en-IN"/>
              </w:rPr>
              <w:t>4</w:t>
            </w:r>
            <w:r w:rsidRPr="000A64D0">
              <w:rPr>
                <w:rFonts w:ascii="Times New Roman" w:eastAsia="Times New Roman" w:hAnsi="Times New Roman"/>
                <w:b/>
                <w:bCs/>
                <w:sz w:val="18"/>
                <w:szCs w:val="18"/>
                <w:vertAlign w:val="superscript"/>
                <w:lang w:eastAsia="en-IN"/>
              </w:rPr>
              <w:t>2-</w:t>
            </w:r>
          </w:p>
        </w:tc>
        <w:tc>
          <w:tcPr>
            <w:tcW w:w="741" w:type="dxa"/>
            <w:shd w:val="clear" w:color="000000" w:fill="FFFFFF"/>
            <w:vAlign w:val="bottom"/>
            <w:hideMark/>
          </w:tcPr>
          <w:p w14:paraId="6050D5E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F</w:t>
            </w:r>
          </w:p>
        </w:tc>
        <w:tc>
          <w:tcPr>
            <w:tcW w:w="741" w:type="dxa"/>
            <w:noWrap/>
            <w:vAlign w:val="bottom"/>
            <w:hideMark/>
          </w:tcPr>
          <w:p w14:paraId="182A9F71" w14:textId="77777777" w:rsidR="00584BCC" w:rsidRPr="000A64D0" w:rsidRDefault="00584BCC" w:rsidP="0023419D">
            <w:pPr>
              <w:spacing w:after="0" w:line="240" w:lineRule="auto"/>
              <w:ind w:left="10" w:hanging="10"/>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NO</w:t>
            </w:r>
            <w:r w:rsidRPr="000A64D0">
              <w:rPr>
                <w:rFonts w:ascii="Times New Roman" w:eastAsia="Times New Roman" w:hAnsi="Times New Roman"/>
                <w:b/>
                <w:bCs/>
                <w:sz w:val="18"/>
                <w:szCs w:val="18"/>
                <w:vertAlign w:val="subscript"/>
                <w:lang w:eastAsia="en-IN"/>
              </w:rPr>
              <w:t>3</w:t>
            </w:r>
            <w:r w:rsidRPr="000A64D0">
              <w:rPr>
                <w:rFonts w:ascii="Times New Roman" w:eastAsia="Times New Roman" w:hAnsi="Times New Roman"/>
                <w:b/>
                <w:bCs/>
                <w:sz w:val="18"/>
                <w:szCs w:val="18"/>
                <w:vertAlign w:val="superscript"/>
                <w:lang w:eastAsia="en-IN"/>
              </w:rPr>
              <w:t>-</w:t>
            </w:r>
          </w:p>
        </w:tc>
      </w:tr>
      <w:tr w:rsidR="00584BCC" w:rsidRPr="000A64D0" w14:paraId="2DCC3DF5" w14:textId="77777777" w:rsidTr="00584BCC">
        <w:trPr>
          <w:trHeight w:val="277"/>
        </w:trPr>
        <w:tc>
          <w:tcPr>
            <w:tcW w:w="993" w:type="dxa"/>
            <w:shd w:val="clear" w:color="000000" w:fill="FFFFFF"/>
            <w:vAlign w:val="center"/>
            <w:hideMark/>
          </w:tcPr>
          <w:p w14:paraId="6BD388D6"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pH</w:t>
            </w:r>
          </w:p>
        </w:tc>
        <w:tc>
          <w:tcPr>
            <w:tcW w:w="741" w:type="dxa"/>
            <w:noWrap/>
            <w:vAlign w:val="bottom"/>
            <w:hideMark/>
          </w:tcPr>
          <w:p w14:paraId="2D355C4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1</w:t>
            </w:r>
          </w:p>
        </w:tc>
        <w:tc>
          <w:tcPr>
            <w:tcW w:w="741" w:type="dxa"/>
            <w:noWrap/>
            <w:vAlign w:val="bottom"/>
          </w:tcPr>
          <w:p w14:paraId="7321BDD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07E090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36" w:type="dxa"/>
            <w:noWrap/>
            <w:vAlign w:val="bottom"/>
          </w:tcPr>
          <w:p w14:paraId="2E2E071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74" w:type="dxa"/>
            <w:noWrap/>
            <w:vAlign w:val="bottom"/>
          </w:tcPr>
          <w:p w14:paraId="36D2252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14" w:type="dxa"/>
            <w:noWrap/>
            <w:vAlign w:val="bottom"/>
          </w:tcPr>
          <w:p w14:paraId="36E89E1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506A0E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A581DC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617C37C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574EC9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21A53D2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5B27514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0E665B1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07C1B86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7AB1FB4F" w14:textId="77777777" w:rsidTr="00584BCC">
        <w:trPr>
          <w:trHeight w:val="268"/>
        </w:trPr>
        <w:tc>
          <w:tcPr>
            <w:tcW w:w="993" w:type="dxa"/>
            <w:shd w:val="clear" w:color="000000" w:fill="FFFFFF"/>
            <w:vAlign w:val="center"/>
            <w:hideMark/>
          </w:tcPr>
          <w:p w14:paraId="0F71A11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EC</w:t>
            </w:r>
          </w:p>
        </w:tc>
        <w:tc>
          <w:tcPr>
            <w:tcW w:w="741" w:type="dxa"/>
            <w:noWrap/>
            <w:vAlign w:val="bottom"/>
            <w:hideMark/>
          </w:tcPr>
          <w:p w14:paraId="153ECFD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-0.207</w:t>
            </w:r>
          </w:p>
        </w:tc>
        <w:tc>
          <w:tcPr>
            <w:tcW w:w="741" w:type="dxa"/>
            <w:noWrap/>
            <w:vAlign w:val="bottom"/>
            <w:hideMark/>
          </w:tcPr>
          <w:p w14:paraId="25B76F8D"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093F39E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36" w:type="dxa"/>
            <w:noWrap/>
            <w:vAlign w:val="bottom"/>
          </w:tcPr>
          <w:p w14:paraId="599D504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74" w:type="dxa"/>
            <w:noWrap/>
            <w:vAlign w:val="bottom"/>
          </w:tcPr>
          <w:p w14:paraId="031D62D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14" w:type="dxa"/>
            <w:noWrap/>
            <w:vAlign w:val="bottom"/>
          </w:tcPr>
          <w:p w14:paraId="1965FB5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8692B8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5B6C2F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7F63368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C30CCE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889" w:type="dxa"/>
            <w:noWrap/>
            <w:vAlign w:val="bottom"/>
          </w:tcPr>
          <w:p w14:paraId="1731F31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246A6A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1B73EF1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9A9306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54C5992C" w14:textId="77777777" w:rsidTr="00584BCC">
        <w:trPr>
          <w:trHeight w:val="271"/>
        </w:trPr>
        <w:tc>
          <w:tcPr>
            <w:tcW w:w="993" w:type="dxa"/>
            <w:shd w:val="clear" w:color="000000" w:fill="FFFFFF"/>
            <w:vAlign w:val="center"/>
            <w:hideMark/>
          </w:tcPr>
          <w:p w14:paraId="1903127E"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TDS</w:t>
            </w:r>
          </w:p>
        </w:tc>
        <w:tc>
          <w:tcPr>
            <w:tcW w:w="741" w:type="dxa"/>
            <w:noWrap/>
            <w:vAlign w:val="bottom"/>
            <w:hideMark/>
          </w:tcPr>
          <w:p w14:paraId="25E92AF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-0.207</w:t>
            </w:r>
          </w:p>
        </w:tc>
        <w:tc>
          <w:tcPr>
            <w:tcW w:w="741" w:type="dxa"/>
            <w:noWrap/>
            <w:vAlign w:val="bottom"/>
            <w:hideMark/>
          </w:tcPr>
          <w:p w14:paraId="7D2117BE"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1.000</w:t>
            </w:r>
          </w:p>
        </w:tc>
        <w:tc>
          <w:tcPr>
            <w:tcW w:w="741" w:type="dxa"/>
            <w:noWrap/>
            <w:vAlign w:val="bottom"/>
            <w:hideMark/>
          </w:tcPr>
          <w:p w14:paraId="7998DD10"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36" w:type="dxa"/>
            <w:noWrap/>
            <w:vAlign w:val="bottom"/>
          </w:tcPr>
          <w:p w14:paraId="7865B78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74" w:type="dxa"/>
            <w:noWrap/>
            <w:vAlign w:val="bottom"/>
          </w:tcPr>
          <w:p w14:paraId="713FAF7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14" w:type="dxa"/>
            <w:noWrap/>
            <w:vAlign w:val="bottom"/>
          </w:tcPr>
          <w:p w14:paraId="333AF27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775C7A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C784EF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2E7B488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A995BCC"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889" w:type="dxa"/>
            <w:noWrap/>
            <w:vAlign w:val="bottom"/>
          </w:tcPr>
          <w:p w14:paraId="7863804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C3CA4C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5D89DAF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0CA2989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31A96FEE" w14:textId="77777777" w:rsidTr="00584BCC">
        <w:trPr>
          <w:trHeight w:val="276"/>
        </w:trPr>
        <w:tc>
          <w:tcPr>
            <w:tcW w:w="993" w:type="dxa"/>
            <w:shd w:val="clear" w:color="000000" w:fill="FFFFFF"/>
            <w:vAlign w:val="center"/>
            <w:hideMark/>
          </w:tcPr>
          <w:p w14:paraId="3B921A8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TA</w:t>
            </w:r>
          </w:p>
        </w:tc>
        <w:tc>
          <w:tcPr>
            <w:tcW w:w="741" w:type="dxa"/>
            <w:noWrap/>
            <w:vAlign w:val="bottom"/>
            <w:hideMark/>
          </w:tcPr>
          <w:p w14:paraId="6F109C4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0.347</w:t>
            </w:r>
          </w:p>
        </w:tc>
        <w:tc>
          <w:tcPr>
            <w:tcW w:w="741" w:type="dxa"/>
            <w:noWrap/>
            <w:vAlign w:val="bottom"/>
            <w:hideMark/>
          </w:tcPr>
          <w:p w14:paraId="6B4978C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0.498</w:t>
            </w:r>
          </w:p>
        </w:tc>
        <w:tc>
          <w:tcPr>
            <w:tcW w:w="741" w:type="dxa"/>
            <w:noWrap/>
            <w:vAlign w:val="bottom"/>
            <w:hideMark/>
          </w:tcPr>
          <w:p w14:paraId="7CAB9B0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0.498</w:t>
            </w:r>
          </w:p>
        </w:tc>
        <w:tc>
          <w:tcPr>
            <w:tcW w:w="736" w:type="dxa"/>
            <w:noWrap/>
            <w:vAlign w:val="bottom"/>
            <w:hideMark/>
          </w:tcPr>
          <w:p w14:paraId="5E680814"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74" w:type="dxa"/>
            <w:noWrap/>
            <w:vAlign w:val="bottom"/>
          </w:tcPr>
          <w:p w14:paraId="580AD6A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14" w:type="dxa"/>
            <w:noWrap/>
            <w:vAlign w:val="bottom"/>
          </w:tcPr>
          <w:p w14:paraId="32DAD53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0333A9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85B538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02A01D04"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5385D40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5025005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68BFA7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314FC7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726AC3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0E18E51D" w14:textId="77777777" w:rsidTr="00584BCC">
        <w:trPr>
          <w:trHeight w:val="297"/>
        </w:trPr>
        <w:tc>
          <w:tcPr>
            <w:tcW w:w="993" w:type="dxa"/>
            <w:shd w:val="clear" w:color="000000" w:fill="FFFFFF"/>
            <w:vAlign w:val="center"/>
            <w:hideMark/>
          </w:tcPr>
          <w:p w14:paraId="4C37CEE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TH</w:t>
            </w:r>
          </w:p>
        </w:tc>
        <w:tc>
          <w:tcPr>
            <w:tcW w:w="741" w:type="dxa"/>
            <w:noWrap/>
            <w:vAlign w:val="bottom"/>
            <w:hideMark/>
          </w:tcPr>
          <w:p w14:paraId="1409852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-0.342</w:t>
            </w:r>
          </w:p>
        </w:tc>
        <w:tc>
          <w:tcPr>
            <w:tcW w:w="741" w:type="dxa"/>
            <w:noWrap/>
            <w:vAlign w:val="bottom"/>
            <w:hideMark/>
          </w:tcPr>
          <w:p w14:paraId="4C451D9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0.449</w:t>
            </w:r>
          </w:p>
        </w:tc>
        <w:tc>
          <w:tcPr>
            <w:tcW w:w="741" w:type="dxa"/>
            <w:noWrap/>
            <w:vAlign w:val="bottom"/>
            <w:hideMark/>
          </w:tcPr>
          <w:p w14:paraId="128C816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0.449</w:t>
            </w:r>
          </w:p>
        </w:tc>
        <w:tc>
          <w:tcPr>
            <w:tcW w:w="736" w:type="dxa"/>
            <w:noWrap/>
            <w:vAlign w:val="bottom"/>
            <w:hideMark/>
          </w:tcPr>
          <w:p w14:paraId="334CD63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0.159</w:t>
            </w:r>
          </w:p>
        </w:tc>
        <w:tc>
          <w:tcPr>
            <w:tcW w:w="774" w:type="dxa"/>
            <w:noWrap/>
            <w:vAlign w:val="bottom"/>
            <w:hideMark/>
          </w:tcPr>
          <w:p w14:paraId="25C38DC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14" w:type="dxa"/>
            <w:noWrap/>
            <w:vAlign w:val="bottom"/>
          </w:tcPr>
          <w:p w14:paraId="5A228D7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A99F25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EF29A7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3C1DB81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5B2C9FAD"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889" w:type="dxa"/>
            <w:noWrap/>
            <w:vAlign w:val="bottom"/>
          </w:tcPr>
          <w:p w14:paraId="59F68EB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2CD8DF1"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02CB4EB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C98699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24C818D0" w14:textId="77777777" w:rsidTr="00584BCC">
        <w:trPr>
          <w:trHeight w:val="242"/>
        </w:trPr>
        <w:tc>
          <w:tcPr>
            <w:tcW w:w="993" w:type="dxa"/>
            <w:shd w:val="clear" w:color="000000" w:fill="FFFFFF"/>
            <w:vAlign w:val="center"/>
            <w:hideMark/>
          </w:tcPr>
          <w:p w14:paraId="6C1A46AD"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Ca</w:t>
            </w:r>
            <w:r w:rsidRPr="000A64D0">
              <w:rPr>
                <w:rFonts w:ascii="Times New Roman" w:eastAsia="Times New Roman" w:hAnsi="Times New Roman"/>
                <w:b/>
                <w:bCs/>
                <w:sz w:val="18"/>
                <w:szCs w:val="18"/>
                <w:vertAlign w:val="superscript"/>
                <w:lang w:eastAsia="en-IN"/>
              </w:rPr>
              <w:t>2+</w:t>
            </w:r>
          </w:p>
        </w:tc>
        <w:tc>
          <w:tcPr>
            <w:tcW w:w="741" w:type="dxa"/>
            <w:noWrap/>
            <w:vAlign w:val="bottom"/>
            <w:hideMark/>
          </w:tcPr>
          <w:p w14:paraId="47163D1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-0.302</w:t>
            </w:r>
          </w:p>
        </w:tc>
        <w:tc>
          <w:tcPr>
            <w:tcW w:w="741" w:type="dxa"/>
            <w:noWrap/>
            <w:vAlign w:val="bottom"/>
            <w:hideMark/>
          </w:tcPr>
          <w:p w14:paraId="3B32073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0.432</w:t>
            </w:r>
          </w:p>
        </w:tc>
        <w:tc>
          <w:tcPr>
            <w:tcW w:w="741" w:type="dxa"/>
            <w:noWrap/>
            <w:vAlign w:val="bottom"/>
            <w:hideMark/>
          </w:tcPr>
          <w:p w14:paraId="094B0EB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0.432</w:t>
            </w:r>
          </w:p>
        </w:tc>
        <w:tc>
          <w:tcPr>
            <w:tcW w:w="736" w:type="dxa"/>
            <w:noWrap/>
            <w:vAlign w:val="bottom"/>
            <w:hideMark/>
          </w:tcPr>
          <w:p w14:paraId="1F7F43A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0.163</w:t>
            </w:r>
          </w:p>
        </w:tc>
        <w:tc>
          <w:tcPr>
            <w:tcW w:w="774" w:type="dxa"/>
            <w:noWrap/>
            <w:vAlign w:val="bottom"/>
            <w:hideMark/>
          </w:tcPr>
          <w:p w14:paraId="7052ABE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0.926</w:t>
            </w:r>
          </w:p>
        </w:tc>
        <w:tc>
          <w:tcPr>
            <w:tcW w:w="714" w:type="dxa"/>
            <w:noWrap/>
            <w:vAlign w:val="bottom"/>
            <w:hideMark/>
          </w:tcPr>
          <w:p w14:paraId="2E9A18D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68B781B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2F8174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62A1074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56A139DC"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889" w:type="dxa"/>
            <w:noWrap/>
            <w:vAlign w:val="bottom"/>
          </w:tcPr>
          <w:p w14:paraId="02358B8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5B37B03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0270CBF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C4E596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5D24F4D5" w14:textId="77777777" w:rsidTr="00584BCC">
        <w:trPr>
          <w:trHeight w:val="273"/>
        </w:trPr>
        <w:tc>
          <w:tcPr>
            <w:tcW w:w="993" w:type="dxa"/>
            <w:shd w:val="clear" w:color="000000" w:fill="FFFFFF"/>
            <w:vAlign w:val="center"/>
            <w:hideMark/>
          </w:tcPr>
          <w:p w14:paraId="2B6CB8FB"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Mg</w:t>
            </w:r>
            <w:r w:rsidRPr="000A64D0">
              <w:rPr>
                <w:rFonts w:ascii="Times New Roman" w:eastAsia="Times New Roman" w:hAnsi="Times New Roman"/>
                <w:b/>
                <w:bCs/>
                <w:sz w:val="18"/>
                <w:szCs w:val="18"/>
                <w:vertAlign w:val="superscript"/>
                <w:lang w:eastAsia="en-IN"/>
              </w:rPr>
              <w:t>2+</w:t>
            </w:r>
          </w:p>
        </w:tc>
        <w:tc>
          <w:tcPr>
            <w:tcW w:w="741" w:type="dxa"/>
            <w:noWrap/>
            <w:vAlign w:val="bottom"/>
            <w:hideMark/>
          </w:tcPr>
          <w:p w14:paraId="050151B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-0.149</w:t>
            </w:r>
          </w:p>
        </w:tc>
        <w:tc>
          <w:tcPr>
            <w:tcW w:w="741" w:type="dxa"/>
            <w:noWrap/>
            <w:vAlign w:val="bottom"/>
            <w:hideMark/>
          </w:tcPr>
          <w:p w14:paraId="1EA8E63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0.240</w:t>
            </w:r>
          </w:p>
        </w:tc>
        <w:tc>
          <w:tcPr>
            <w:tcW w:w="741" w:type="dxa"/>
            <w:noWrap/>
            <w:vAlign w:val="bottom"/>
            <w:hideMark/>
          </w:tcPr>
          <w:p w14:paraId="5093EAA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0.240</w:t>
            </w:r>
          </w:p>
        </w:tc>
        <w:tc>
          <w:tcPr>
            <w:tcW w:w="736" w:type="dxa"/>
            <w:noWrap/>
            <w:vAlign w:val="bottom"/>
            <w:hideMark/>
          </w:tcPr>
          <w:p w14:paraId="559DBE0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0.093</w:t>
            </w:r>
          </w:p>
        </w:tc>
        <w:tc>
          <w:tcPr>
            <w:tcW w:w="774" w:type="dxa"/>
            <w:noWrap/>
            <w:vAlign w:val="bottom"/>
            <w:hideMark/>
          </w:tcPr>
          <w:p w14:paraId="1F8F85E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0.495</w:t>
            </w:r>
          </w:p>
        </w:tc>
        <w:tc>
          <w:tcPr>
            <w:tcW w:w="714" w:type="dxa"/>
            <w:noWrap/>
            <w:vAlign w:val="bottom"/>
            <w:hideMark/>
          </w:tcPr>
          <w:p w14:paraId="600FEE3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0.166</w:t>
            </w:r>
          </w:p>
        </w:tc>
        <w:tc>
          <w:tcPr>
            <w:tcW w:w="741" w:type="dxa"/>
            <w:noWrap/>
            <w:vAlign w:val="bottom"/>
            <w:hideMark/>
          </w:tcPr>
          <w:p w14:paraId="5E31A564"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31A2D42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4EB0D7E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1583BB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60F7EA8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21ECC0B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2AA028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F2EB00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0526F2BE" w14:textId="77777777" w:rsidTr="00584BCC">
        <w:trPr>
          <w:trHeight w:val="278"/>
        </w:trPr>
        <w:tc>
          <w:tcPr>
            <w:tcW w:w="993" w:type="dxa"/>
            <w:shd w:val="clear" w:color="000000" w:fill="FFFFFF"/>
            <w:vAlign w:val="center"/>
            <w:hideMark/>
          </w:tcPr>
          <w:p w14:paraId="6DD170DC"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Na</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16E38DD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0.357</w:t>
            </w:r>
          </w:p>
        </w:tc>
        <w:tc>
          <w:tcPr>
            <w:tcW w:w="741" w:type="dxa"/>
            <w:noWrap/>
            <w:vAlign w:val="bottom"/>
            <w:hideMark/>
          </w:tcPr>
          <w:p w14:paraId="32C4B2B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0.292</w:t>
            </w:r>
          </w:p>
        </w:tc>
        <w:tc>
          <w:tcPr>
            <w:tcW w:w="741" w:type="dxa"/>
            <w:noWrap/>
            <w:vAlign w:val="bottom"/>
            <w:hideMark/>
          </w:tcPr>
          <w:p w14:paraId="3F07FE6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0.292</w:t>
            </w:r>
          </w:p>
        </w:tc>
        <w:tc>
          <w:tcPr>
            <w:tcW w:w="736" w:type="dxa"/>
            <w:noWrap/>
            <w:vAlign w:val="bottom"/>
            <w:hideMark/>
          </w:tcPr>
          <w:p w14:paraId="30B68D0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0.458</w:t>
            </w:r>
          </w:p>
        </w:tc>
        <w:tc>
          <w:tcPr>
            <w:tcW w:w="774" w:type="dxa"/>
            <w:noWrap/>
            <w:vAlign w:val="bottom"/>
            <w:hideMark/>
          </w:tcPr>
          <w:p w14:paraId="664E264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-0.318</w:t>
            </w:r>
          </w:p>
        </w:tc>
        <w:tc>
          <w:tcPr>
            <w:tcW w:w="714" w:type="dxa"/>
            <w:noWrap/>
            <w:vAlign w:val="bottom"/>
            <w:hideMark/>
          </w:tcPr>
          <w:p w14:paraId="5F205E7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-0.286</w:t>
            </w:r>
          </w:p>
        </w:tc>
        <w:tc>
          <w:tcPr>
            <w:tcW w:w="741" w:type="dxa"/>
            <w:noWrap/>
            <w:vAlign w:val="bottom"/>
            <w:hideMark/>
          </w:tcPr>
          <w:p w14:paraId="77D4FD2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-0.125</w:t>
            </w:r>
          </w:p>
        </w:tc>
        <w:tc>
          <w:tcPr>
            <w:tcW w:w="741" w:type="dxa"/>
            <w:noWrap/>
            <w:vAlign w:val="bottom"/>
            <w:hideMark/>
          </w:tcPr>
          <w:p w14:paraId="4100C006"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4" w:type="dxa"/>
            <w:noWrap/>
            <w:vAlign w:val="bottom"/>
          </w:tcPr>
          <w:p w14:paraId="54D36D9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E1FF14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3A7900B2"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4F1C91D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612E10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D4EDAA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684B6BE2" w14:textId="77777777" w:rsidTr="00584BCC">
        <w:trPr>
          <w:trHeight w:val="267"/>
        </w:trPr>
        <w:tc>
          <w:tcPr>
            <w:tcW w:w="993" w:type="dxa"/>
            <w:shd w:val="clear" w:color="000000" w:fill="FFFFFF"/>
            <w:vAlign w:val="center"/>
            <w:hideMark/>
          </w:tcPr>
          <w:p w14:paraId="423B0DC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K</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6E8D8D2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0.370</w:t>
            </w:r>
          </w:p>
        </w:tc>
        <w:tc>
          <w:tcPr>
            <w:tcW w:w="741" w:type="dxa"/>
            <w:noWrap/>
            <w:vAlign w:val="bottom"/>
            <w:hideMark/>
          </w:tcPr>
          <w:p w14:paraId="476DBC0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-0.175</w:t>
            </w:r>
          </w:p>
        </w:tc>
        <w:tc>
          <w:tcPr>
            <w:tcW w:w="741" w:type="dxa"/>
            <w:noWrap/>
            <w:vAlign w:val="bottom"/>
            <w:hideMark/>
          </w:tcPr>
          <w:p w14:paraId="57D454A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-0.175</w:t>
            </w:r>
          </w:p>
        </w:tc>
        <w:tc>
          <w:tcPr>
            <w:tcW w:w="736" w:type="dxa"/>
            <w:noWrap/>
            <w:vAlign w:val="bottom"/>
            <w:hideMark/>
          </w:tcPr>
          <w:p w14:paraId="07C0764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0.059</w:t>
            </w:r>
          </w:p>
        </w:tc>
        <w:tc>
          <w:tcPr>
            <w:tcW w:w="774" w:type="dxa"/>
            <w:noWrap/>
            <w:vAlign w:val="bottom"/>
            <w:hideMark/>
          </w:tcPr>
          <w:p w14:paraId="7D85E23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-0.434</w:t>
            </w:r>
          </w:p>
        </w:tc>
        <w:tc>
          <w:tcPr>
            <w:tcW w:w="714" w:type="dxa"/>
            <w:noWrap/>
            <w:vAlign w:val="bottom"/>
            <w:hideMark/>
          </w:tcPr>
          <w:p w14:paraId="1445790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-0.437</w:t>
            </w:r>
          </w:p>
        </w:tc>
        <w:tc>
          <w:tcPr>
            <w:tcW w:w="741" w:type="dxa"/>
            <w:noWrap/>
            <w:vAlign w:val="bottom"/>
            <w:hideMark/>
          </w:tcPr>
          <w:p w14:paraId="4841025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-0.137</w:t>
            </w:r>
          </w:p>
        </w:tc>
        <w:tc>
          <w:tcPr>
            <w:tcW w:w="741" w:type="dxa"/>
            <w:noWrap/>
            <w:vAlign w:val="bottom"/>
            <w:hideMark/>
          </w:tcPr>
          <w:p w14:paraId="0103CD0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0.441</w:t>
            </w:r>
          </w:p>
        </w:tc>
        <w:tc>
          <w:tcPr>
            <w:tcW w:w="744" w:type="dxa"/>
            <w:noWrap/>
            <w:vAlign w:val="bottom"/>
            <w:hideMark/>
          </w:tcPr>
          <w:p w14:paraId="09DD3DF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079EFDF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79815B1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2902A3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FB0E36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010319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2DC46B7F" w14:textId="77777777" w:rsidTr="00584BCC">
        <w:trPr>
          <w:trHeight w:val="325"/>
        </w:trPr>
        <w:tc>
          <w:tcPr>
            <w:tcW w:w="993" w:type="dxa"/>
            <w:shd w:val="clear" w:color="000000" w:fill="FFFFFF"/>
            <w:vAlign w:val="bottom"/>
            <w:hideMark/>
          </w:tcPr>
          <w:p w14:paraId="3076AAD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Cl</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53860AD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-0.274</w:t>
            </w:r>
          </w:p>
        </w:tc>
        <w:tc>
          <w:tcPr>
            <w:tcW w:w="741" w:type="dxa"/>
            <w:noWrap/>
            <w:vAlign w:val="bottom"/>
            <w:hideMark/>
          </w:tcPr>
          <w:p w14:paraId="585A0403"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0.620</w:t>
            </w:r>
          </w:p>
        </w:tc>
        <w:tc>
          <w:tcPr>
            <w:tcW w:w="741" w:type="dxa"/>
            <w:noWrap/>
            <w:vAlign w:val="bottom"/>
            <w:hideMark/>
          </w:tcPr>
          <w:p w14:paraId="1058CC3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0.620</w:t>
            </w:r>
          </w:p>
        </w:tc>
        <w:tc>
          <w:tcPr>
            <w:tcW w:w="736" w:type="dxa"/>
            <w:noWrap/>
            <w:vAlign w:val="bottom"/>
            <w:hideMark/>
          </w:tcPr>
          <w:p w14:paraId="39A0489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0.268</w:t>
            </w:r>
          </w:p>
        </w:tc>
        <w:tc>
          <w:tcPr>
            <w:tcW w:w="774" w:type="dxa"/>
            <w:noWrap/>
            <w:vAlign w:val="bottom"/>
            <w:hideMark/>
          </w:tcPr>
          <w:p w14:paraId="550E333B"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0.645</w:t>
            </w:r>
          </w:p>
        </w:tc>
        <w:tc>
          <w:tcPr>
            <w:tcW w:w="714" w:type="dxa"/>
            <w:noWrap/>
            <w:vAlign w:val="bottom"/>
            <w:hideMark/>
          </w:tcPr>
          <w:p w14:paraId="1CD03EDE"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0.618</w:t>
            </w:r>
          </w:p>
        </w:tc>
        <w:tc>
          <w:tcPr>
            <w:tcW w:w="741" w:type="dxa"/>
            <w:noWrap/>
            <w:vAlign w:val="bottom"/>
            <w:hideMark/>
          </w:tcPr>
          <w:p w14:paraId="7C089BB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0.330</w:t>
            </w:r>
          </w:p>
        </w:tc>
        <w:tc>
          <w:tcPr>
            <w:tcW w:w="741" w:type="dxa"/>
            <w:noWrap/>
            <w:vAlign w:val="bottom"/>
            <w:hideMark/>
          </w:tcPr>
          <w:p w14:paraId="714AD03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-0.007</w:t>
            </w:r>
          </w:p>
        </w:tc>
        <w:tc>
          <w:tcPr>
            <w:tcW w:w="744" w:type="dxa"/>
            <w:noWrap/>
            <w:vAlign w:val="bottom"/>
            <w:hideMark/>
          </w:tcPr>
          <w:p w14:paraId="5E2296E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-0.369</w:t>
            </w:r>
          </w:p>
        </w:tc>
        <w:tc>
          <w:tcPr>
            <w:tcW w:w="741" w:type="dxa"/>
            <w:noWrap/>
            <w:vAlign w:val="bottom"/>
            <w:hideMark/>
          </w:tcPr>
          <w:p w14:paraId="70035243"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889" w:type="dxa"/>
            <w:noWrap/>
            <w:vAlign w:val="bottom"/>
          </w:tcPr>
          <w:p w14:paraId="4A77BF5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EF42EC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28B2FDF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5C5511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75D9E3A8" w14:textId="77777777" w:rsidTr="00584BCC">
        <w:trPr>
          <w:trHeight w:val="294"/>
        </w:trPr>
        <w:tc>
          <w:tcPr>
            <w:tcW w:w="993" w:type="dxa"/>
            <w:shd w:val="clear" w:color="000000" w:fill="FFFFFF"/>
            <w:vAlign w:val="bottom"/>
            <w:hideMark/>
          </w:tcPr>
          <w:p w14:paraId="635CAB1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HCO</w:t>
            </w:r>
            <w:r w:rsidRPr="000A64D0">
              <w:rPr>
                <w:rFonts w:ascii="Times New Roman" w:eastAsia="Times New Roman" w:hAnsi="Times New Roman"/>
                <w:b/>
                <w:bCs/>
                <w:sz w:val="18"/>
                <w:szCs w:val="18"/>
                <w:vertAlign w:val="subscript"/>
                <w:lang w:eastAsia="en-IN"/>
              </w:rPr>
              <w:t>3</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751CAE4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0.208</w:t>
            </w:r>
          </w:p>
        </w:tc>
        <w:tc>
          <w:tcPr>
            <w:tcW w:w="741" w:type="dxa"/>
            <w:noWrap/>
            <w:vAlign w:val="bottom"/>
            <w:hideMark/>
          </w:tcPr>
          <w:p w14:paraId="6855DB1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0.236</w:t>
            </w:r>
          </w:p>
        </w:tc>
        <w:tc>
          <w:tcPr>
            <w:tcW w:w="741" w:type="dxa"/>
            <w:noWrap/>
            <w:vAlign w:val="bottom"/>
            <w:hideMark/>
          </w:tcPr>
          <w:p w14:paraId="40C2D55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0.236</w:t>
            </w:r>
          </w:p>
        </w:tc>
        <w:tc>
          <w:tcPr>
            <w:tcW w:w="736" w:type="dxa"/>
            <w:noWrap/>
            <w:vAlign w:val="bottom"/>
            <w:hideMark/>
          </w:tcPr>
          <w:p w14:paraId="0D7FA8E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0.353</w:t>
            </w:r>
          </w:p>
        </w:tc>
        <w:tc>
          <w:tcPr>
            <w:tcW w:w="774" w:type="dxa"/>
            <w:noWrap/>
            <w:vAlign w:val="bottom"/>
            <w:hideMark/>
          </w:tcPr>
          <w:p w14:paraId="75804DA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0.366</w:t>
            </w:r>
          </w:p>
        </w:tc>
        <w:tc>
          <w:tcPr>
            <w:tcW w:w="714" w:type="dxa"/>
            <w:noWrap/>
            <w:vAlign w:val="bottom"/>
            <w:hideMark/>
          </w:tcPr>
          <w:p w14:paraId="563023C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0.340</w:t>
            </w:r>
          </w:p>
        </w:tc>
        <w:tc>
          <w:tcPr>
            <w:tcW w:w="741" w:type="dxa"/>
            <w:noWrap/>
            <w:vAlign w:val="bottom"/>
            <w:hideMark/>
          </w:tcPr>
          <w:p w14:paraId="0FD8C1E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0.249</w:t>
            </w:r>
          </w:p>
        </w:tc>
        <w:tc>
          <w:tcPr>
            <w:tcW w:w="741" w:type="dxa"/>
            <w:noWrap/>
            <w:vAlign w:val="bottom"/>
            <w:hideMark/>
          </w:tcPr>
          <w:p w14:paraId="0992F756"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0.520</w:t>
            </w:r>
          </w:p>
        </w:tc>
        <w:tc>
          <w:tcPr>
            <w:tcW w:w="744" w:type="dxa"/>
            <w:noWrap/>
            <w:vAlign w:val="bottom"/>
            <w:hideMark/>
          </w:tcPr>
          <w:p w14:paraId="662757D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0.218</w:t>
            </w:r>
          </w:p>
        </w:tc>
        <w:tc>
          <w:tcPr>
            <w:tcW w:w="741" w:type="dxa"/>
            <w:noWrap/>
            <w:vAlign w:val="bottom"/>
            <w:hideMark/>
          </w:tcPr>
          <w:p w14:paraId="0E6286E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0.061</w:t>
            </w:r>
          </w:p>
        </w:tc>
        <w:tc>
          <w:tcPr>
            <w:tcW w:w="889" w:type="dxa"/>
            <w:noWrap/>
            <w:vAlign w:val="bottom"/>
            <w:hideMark/>
          </w:tcPr>
          <w:p w14:paraId="74DE7960"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15E344D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AD40A5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39CEA6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5096B284" w14:textId="77777777" w:rsidTr="00584BCC">
        <w:trPr>
          <w:trHeight w:val="263"/>
        </w:trPr>
        <w:tc>
          <w:tcPr>
            <w:tcW w:w="993" w:type="dxa"/>
            <w:shd w:val="clear" w:color="000000" w:fill="FFFFFF"/>
            <w:vAlign w:val="bottom"/>
            <w:hideMark/>
          </w:tcPr>
          <w:p w14:paraId="42FFAD9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SO</w:t>
            </w:r>
            <w:r w:rsidRPr="000A64D0">
              <w:rPr>
                <w:rFonts w:ascii="Times New Roman" w:eastAsia="Times New Roman" w:hAnsi="Times New Roman"/>
                <w:b/>
                <w:bCs/>
                <w:sz w:val="18"/>
                <w:szCs w:val="18"/>
                <w:vertAlign w:val="subscript"/>
                <w:lang w:eastAsia="en-IN"/>
              </w:rPr>
              <w:t>4</w:t>
            </w:r>
            <w:r w:rsidRPr="000A64D0">
              <w:rPr>
                <w:rFonts w:ascii="Times New Roman" w:eastAsia="Times New Roman" w:hAnsi="Times New Roman"/>
                <w:b/>
                <w:bCs/>
                <w:sz w:val="18"/>
                <w:szCs w:val="18"/>
                <w:vertAlign w:val="superscript"/>
                <w:lang w:eastAsia="en-IN"/>
              </w:rPr>
              <w:t>2-</w:t>
            </w:r>
          </w:p>
        </w:tc>
        <w:tc>
          <w:tcPr>
            <w:tcW w:w="741" w:type="dxa"/>
            <w:noWrap/>
            <w:vAlign w:val="bottom"/>
            <w:hideMark/>
          </w:tcPr>
          <w:p w14:paraId="65B3B34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-0.230</w:t>
            </w:r>
          </w:p>
        </w:tc>
        <w:tc>
          <w:tcPr>
            <w:tcW w:w="741" w:type="dxa"/>
            <w:noWrap/>
            <w:vAlign w:val="bottom"/>
            <w:hideMark/>
          </w:tcPr>
          <w:p w14:paraId="39F28051"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0.584</w:t>
            </w:r>
          </w:p>
        </w:tc>
        <w:tc>
          <w:tcPr>
            <w:tcW w:w="741" w:type="dxa"/>
            <w:noWrap/>
            <w:vAlign w:val="bottom"/>
            <w:hideMark/>
          </w:tcPr>
          <w:p w14:paraId="27317A1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0.584</w:t>
            </w:r>
          </w:p>
        </w:tc>
        <w:tc>
          <w:tcPr>
            <w:tcW w:w="736" w:type="dxa"/>
            <w:noWrap/>
            <w:vAlign w:val="bottom"/>
            <w:hideMark/>
          </w:tcPr>
          <w:p w14:paraId="3026B0C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0.289</w:t>
            </w:r>
          </w:p>
        </w:tc>
        <w:tc>
          <w:tcPr>
            <w:tcW w:w="774" w:type="dxa"/>
            <w:noWrap/>
            <w:vAlign w:val="bottom"/>
            <w:hideMark/>
          </w:tcPr>
          <w:p w14:paraId="5759BBDB"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0.524</w:t>
            </w:r>
          </w:p>
        </w:tc>
        <w:tc>
          <w:tcPr>
            <w:tcW w:w="714" w:type="dxa"/>
            <w:noWrap/>
            <w:vAlign w:val="bottom"/>
            <w:hideMark/>
          </w:tcPr>
          <w:p w14:paraId="2888A56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0.478</w:t>
            </w:r>
          </w:p>
        </w:tc>
        <w:tc>
          <w:tcPr>
            <w:tcW w:w="741" w:type="dxa"/>
            <w:noWrap/>
            <w:vAlign w:val="bottom"/>
            <w:hideMark/>
          </w:tcPr>
          <w:p w14:paraId="1D3E99B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0.314</w:t>
            </w:r>
          </w:p>
        </w:tc>
        <w:tc>
          <w:tcPr>
            <w:tcW w:w="741" w:type="dxa"/>
            <w:noWrap/>
            <w:vAlign w:val="bottom"/>
            <w:hideMark/>
          </w:tcPr>
          <w:p w14:paraId="059BE2E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0.071</w:t>
            </w:r>
          </w:p>
        </w:tc>
        <w:tc>
          <w:tcPr>
            <w:tcW w:w="744" w:type="dxa"/>
            <w:noWrap/>
            <w:vAlign w:val="bottom"/>
            <w:hideMark/>
          </w:tcPr>
          <w:p w14:paraId="485BFD6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-0.131</w:t>
            </w:r>
          </w:p>
        </w:tc>
        <w:tc>
          <w:tcPr>
            <w:tcW w:w="741" w:type="dxa"/>
            <w:noWrap/>
            <w:vAlign w:val="bottom"/>
            <w:hideMark/>
          </w:tcPr>
          <w:p w14:paraId="0C15113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0.368</w:t>
            </w:r>
          </w:p>
        </w:tc>
        <w:tc>
          <w:tcPr>
            <w:tcW w:w="889" w:type="dxa"/>
            <w:noWrap/>
            <w:vAlign w:val="bottom"/>
            <w:hideMark/>
          </w:tcPr>
          <w:p w14:paraId="1F4238A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0.116</w:t>
            </w:r>
          </w:p>
        </w:tc>
        <w:tc>
          <w:tcPr>
            <w:tcW w:w="741" w:type="dxa"/>
            <w:noWrap/>
            <w:vAlign w:val="bottom"/>
            <w:hideMark/>
          </w:tcPr>
          <w:p w14:paraId="4A8552E9"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77CA9D7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307E2D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0E3BAAF3" w14:textId="77777777" w:rsidTr="00584BCC">
        <w:trPr>
          <w:trHeight w:val="213"/>
        </w:trPr>
        <w:tc>
          <w:tcPr>
            <w:tcW w:w="993" w:type="dxa"/>
            <w:shd w:val="clear" w:color="000000" w:fill="FFFFFF"/>
            <w:vAlign w:val="bottom"/>
            <w:hideMark/>
          </w:tcPr>
          <w:p w14:paraId="404B4C51"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F</w:t>
            </w:r>
          </w:p>
        </w:tc>
        <w:tc>
          <w:tcPr>
            <w:tcW w:w="741" w:type="dxa"/>
            <w:noWrap/>
            <w:vAlign w:val="bottom"/>
            <w:hideMark/>
          </w:tcPr>
          <w:p w14:paraId="23BB9B8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0.159</w:t>
            </w:r>
          </w:p>
        </w:tc>
        <w:tc>
          <w:tcPr>
            <w:tcW w:w="741" w:type="dxa"/>
            <w:noWrap/>
            <w:vAlign w:val="bottom"/>
            <w:hideMark/>
          </w:tcPr>
          <w:p w14:paraId="6F49D37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0.197</w:t>
            </w:r>
          </w:p>
        </w:tc>
        <w:tc>
          <w:tcPr>
            <w:tcW w:w="741" w:type="dxa"/>
            <w:noWrap/>
            <w:vAlign w:val="bottom"/>
            <w:hideMark/>
          </w:tcPr>
          <w:p w14:paraId="7E437FF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0.197</w:t>
            </w:r>
          </w:p>
        </w:tc>
        <w:tc>
          <w:tcPr>
            <w:tcW w:w="736" w:type="dxa"/>
            <w:noWrap/>
            <w:vAlign w:val="bottom"/>
            <w:hideMark/>
          </w:tcPr>
          <w:p w14:paraId="7E91C01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0.126</w:t>
            </w:r>
          </w:p>
        </w:tc>
        <w:tc>
          <w:tcPr>
            <w:tcW w:w="774" w:type="dxa"/>
            <w:noWrap/>
            <w:vAlign w:val="bottom"/>
            <w:hideMark/>
          </w:tcPr>
          <w:p w14:paraId="3882E83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-0.171</w:t>
            </w:r>
          </w:p>
        </w:tc>
        <w:tc>
          <w:tcPr>
            <w:tcW w:w="714" w:type="dxa"/>
            <w:noWrap/>
            <w:vAlign w:val="bottom"/>
            <w:hideMark/>
          </w:tcPr>
          <w:p w14:paraId="1113E9F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-0.190</w:t>
            </w:r>
          </w:p>
        </w:tc>
        <w:tc>
          <w:tcPr>
            <w:tcW w:w="741" w:type="dxa"/>
            <w:noWrap/>
            <w:vAlign w:val="bottom"/>
            <w:hideMark/>
          </w:tcPr>
          <w:p w14:paraId="44045E7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0.028</w:t>
            </w:r>
          </w:p>
        </w:tc>
        <w:tc>
          <w:tcPr>
            <w:tcW w:w="741" w:type="dxa"/>
            <w:noWrap/>
            <w:vAlign w:val="bottom"/>
            <w:hideMark/>
          </w:tcPr>
          <w:p w14:paraId="76A9912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0.271</w:t>
            </w:r>
          </w:p>
        </w:tc>
        <w:tc>
          <w:tcPr>
            <w:tcW w:w="744" w:type="dxa"/>
            <w:noWrap/>
            <w:vAlign w:val="bottom"/>
            <w:hideMark/>
          </w:tcPr>
          <w:p w14:paraId="6231E09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0.037</w:t>
            </w:r>
          </w:p>
        </w:tc>
        <w:tc>
          <w:tcPr>
            <w:tcW w:w="741" w:type="dxa"/>
            <w:noWrap/>
            <w:vAlign w:val="bottom"/>
            <w:hideMark/>
          </w:tcPr>
          <w:p w14:paraId="2E825B9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-0.081</w:t>
            </w:r>
          </w:p>
        </w:tc>
        <w:tc>
          <w:tcPr>
            <w:tcW w:w="889" w:type="dxa"/>
            <w:noWrap/>
            <w:vAlign w:val="bottom"/>
            <w:hideMark/>
          </w:tcPr>
          <w:p w14:paraId="59FFD1E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-0.002</w:t>
            </w:r>
          </w:p>
        </w:tc>
        <w:tc>
          <w:tcPr>
            <w:tcW w:w="741" w:type="dxa"/>
            <w:noWrap/>
            <w:vAlign w:val="bottom"/>
            <w:hideMark/>
          </w:tcPr>
          <w:p w14:paraId="4624209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0.182</w:t>
            </w:r>
          </w:p>
        </w:tc>
        <w:tc>
          <w:tcPr>
            <w:tcW w:w="741" w:type="dxa"/>
            <w:noWrap/>
            <w:vAlign w:val="bottom"/>
            <w:hideMark/>
          </w:tcPr>
          <w:p w14:paraId="73026DD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3F3C7AB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28D5BFA2" w14:textId="77777777" w:rsidTr="00584BCC">
        <w:trPr>
          <w:trHeight w:val="266"/>
        </w:trPr>
        <w:tc>
          <w:tcPr>
            <w:tcW w:w="993" w:type="dxa"/>
            <w:noWrap/>
            <w:vAlign w:val="bottom"/>
            <w:hideMark/>
          </w:tcPr>
          <w:p w14:paraId="2219ED2B"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NO</w:t>
            </w:r>
            <w:r w:rsidRPr="000A64D0">
              <w:rPr>
                <w:rFonts w:ascii="Times New Roman" w:eastAsia="Times New Roman" w:hAnsi="Times New Roman"/>
                <w:b/>
                <w:bCs/>
                <w:sz w:val="18"/>
                <w:szCs w:val="18"/>
                <w:vertAlign w:val="subscript"/>
                <w:lang w:eastAsia="en-IN"/>
              </w:rPr>
              <w:t>3</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57AC49A2" w14:textId="77777777" w:rsidR="00584BCC" w:rsidRPr="006E4CB4" w:rsidRDefault="00584BCC" w:rsidP="0023419D">
            <w:pPr>
              <w:spacing w:after="0" w:line="240" w:lineRule="auto"/>
              <w:ind w:left="10" w:hanging="10"/>
              <w:jc w:val="center"/>
              <w:rPr>
                <w:rFonts w:ascii="Times New Roman" w:eastAsia="Times New Roman" w:hAnsi="Times New Roman"/>
                <w:b/>
                <w:bCs/>
                <w:sz w:val="18"/>
                <w:szCs w:val="18"/>
                <w:lang w:eastAsia="en-IN"/>
              </w:rPr>
            </w:pPr>
            <w:r w:rsidRPr="006E4CB4">
              <w:rPr>
                <w:rFonts w:ascii="Times New Roman" w:eastAsia="Times New Roman" w:hAnsi="Times New Roman"/>
                <w:b/>
                <w:bCs/>
                <w:sz w:val="18"/>
                <w:szCs w:val="18"/>
                <w:lang w:eastAsia="en-IN"/>
              </w:rPr>
              <w:t>-0.406</w:t>
            </w:r>
          </w:p>
        </w:tc>
        <w:tc>
          <w:tcPr>
            <w:tcW w:w="741" w:type="dxa"/>
            <w:noWrap/>
            <w:vAlign w:val="bottom"/>
            <w:hideMark/>
          </w:tcPr>
          <w:p w14:paraId="0791C2D7" w14:textId="77777777" w:rsidR="00584BCC" w:rsidRPr="006E4CB4" w:rsidRDefault="00584BCC" w:rsidP="0023419D">
            <w:pPr>
              <w:spacing w:after="0" w:line="240" w:lineRule="auto"/>
              <w:ind w:left="10" w:hanging="10"/>
              <w:jc w:val="center"/>
              <w:rPr>
                <w:rFonts w:ascii="Times New Roman" w:eastAsia="Times New Roman" w:hAnsi="Times New Roman"/>
                <w:b/>
                <w:bCs/>
                <w:sz w:val="18"/>
                <w:szCs w:val="18"/>
                <w:lang w:eastAsia="en-IN"/>
              </w:rPr>
            </w:pPr>
            <w:r w:rsidRPr="006E4CB4">
              <w:rPr>
                <w:rFonts w:ascii="Times New Roman" w:eastAsia="Times New Roman" w:hAnsi="Times New Roman"/>
                <w:b/>
                <w:bCs/>
                <w:sz w:val="18"/>
                <w:szCs w:val="18"/>
                <w:lang w:eastAsia="en-IN"/>
              </w:rPr>
              <w:t>0.412</w:t>
            </w:r>
          </w:p>
        </w:tc>
        <w:tc>
          <w:tcPr>
            <w:tcW w:w="741" w:type="dxa"/>
            <w:noWrap/>
            <w:vAlign w:val="bottom"/>
            <w:hideMark/>
          </w:tcPr>
          <w:p w14:paraId="7DEC76A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0.412</w:t>
            </w:r>
          </w:p>
        </w:tc>
        <w:tc>
          <w:tcPr>
            <w:tcW w:w="736" w:type="dxa"/>
            <w:noWrap/>
            <w:vAlign w:val="bottom"/>
            <w:hideMark/>
          </w:tcPr>
          <w:p w14:paraId="7391395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0.011</w:t>
            </w:r>
          </w:p>
        </w:tc>
        <w:tc>
          <w:tcPr>
            <w:tcW w:w="774" w:type="dxa"/>
            <w:noWrap/>
            <w:vAlign w:val="bottom"/>
            <w:hideMark/>
          </w:tcPr>
          <w:p w14:paraId="25509F16"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0.633</w:t>
            </w:r>
          </w:p>
        </w:tc>
        <w:tc>
          <w:tcPr>
            <w:tcW w:w="714" w:type="dxa"/>
            <w:noWrap/>
            <w:vAlign w:val="bottom"/>
            <w:hideMark/>
          </w:tcPr>
          <w:p w14:paraId="20F3CD8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0.576</w:t>
            </w:r>
          </w:p>
        </w:tc>
        <w:tc>
          <w:tcPr>
            <w:tcW w:w="741" w:type="dxa"/>
            <w:noWrap/>
            <w:vAlign w:val="bottom"/>
            <w:hideMark/>
          </w:tcPr>
          <w:p w14:paraId="4421B42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0.319</w:t>
            </w:r>
          </w:p>
        </w:tc>
        <w:tc>
          <w:tcPr>
            <w:tcW w:w="741" w:type="dxa"/>
            <w:noWrap/>
            <w:vAlign w:val="bottom"/>
            <w:hideMark/>
          </w:tcPr>
          <w:p w14:paraId="5C080CE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-0.266</w:t>
            </w:r>
          </w:p>
        </w:tc>
        <w:tc>
          <w:tcPr>
            <w:tcW w:w="744" w:type="dxa"/>
            <w:noWrap/>
            <w:vAlign w:val="bottom"/>
            <w:hideMark/>
          </w:tcPr>
          <w:p w14:paraId="3BE425F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-0.474</w:t>
            </w:r>
          </w:p>
        </w:tc>
        <w:tc>
          <w:tcPr>
            <w:tcW w:w="741" w:type="dxa"/>
            <w:noWrap/>
            <w:vAlign w:val="bottom"/>
            <w:hideMark/>
          </w:tcPr>
          <w:p w14:paraId="3A90DD47"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0.477</w:t>
            </w:r>
          </w:p>
        </w:tc>
        <w:tc>
          <w:tcPr>
            <w:tcW w:w="889" w:type="dxa"/>
            <w:noWrap/>
            <w:vAlign w:val="bottom"/>
            <w:hideMark/>
          </w:tcPr>
          <w:p w14:paraId="6285CC4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0.046</w:t>
            </w:r>
          </w:p>
        </w:tc>
        <w:tc>
          <w:tcPr>
            <w:tcW w:w="741" w:type="dxa"/>
            <w:noWrap/>
            <w:vAlign w:val="bottom"/>
            <w:hideMark/>
          </w:tcPr>
          <w:p w14:paraId="41F99CD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0.388</w:t>
            </w:r>
          </w:p>
        </w:tc>
        <w:tc>
          <w:tcPr>
            <w:tcW w:w="741" w:type="dxa"/>
            <w:noWrap/>
            <w:vAlign w:val="bottom"/>
            <w:hideMark/>
          </w:tcPr>
          <w:p w14:paraId="200221D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-0.194</w:t>
            </w:r>
          </w:p>
        </w:tc>
        <w:tc>
          <w:tcPr>
            <w:tcW w:w="741" w:type="dxa"/>
            <w:noWrap/>
            <w:vAlign w:val="bottom"/>
            <w:hideMark/>
          </w:tcPr>
          <w:p w14:paraId="0CDA2BF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r>
    </w:tbl>
    <w:p w14:paraId="5F3FCC46" w14:textId="77777777" w:rsidR="00584BCC" w:rsidRDefault="00584BCC" w:rsidP="00AB2AF7">
      <w:pPr>
        <w:spacing w:line="240" w:lineRule="auto"/>
        <w:jc w:val="both"/>
        <w:rPr>
          <w:rFonts w:ascii="Times New Roman" w:hAnsi="Times New Roman"/>
          <w:bCs/>
          <w:color w:val="000000"/>
          <w:sz w:val="24"/>
          <w:szCs w:val="24"/>
          <w:lang w:val="en-US"/>
        </w:rPr>
      </w:pPr>
    </w:p>
    <w:tbl>
      <w:tblPr>
        <w:tblpPr w:leftFromText="180" w:rightFromText="180" w:vertAnchor="text" w:horzAnchor="margin" w:tblpXSpec="center" w:tblpY="-870"/>
        <w:tblW w:w="9202" w:type="dxa"/>
        <w:tblLayout w:type="fixed"/>
        <w:tblLook w:val="04A0" w:firstRow="1" w:lastRow="0" w:firstColumn="1" w:lastColumn="0" w:noHBand="0" w:noVBand="1"/>
      </w:tblPr>
      <w:tblGrid>
        <w:gridCol w:w="4385"/>
        <w:gridCol w:w="4817"/>
      </w:tblGrid>
      <w:tr w:rsidR="00AB2AF7" w14:paraId="78A89AE3" w14:textId="77777777" w:rsidTr="0023419D">
        <w:trPr>
          <w:trHeight w:val="1426"/>
        </w:trPr>
        <w:tc>
          <w:tcPr>
            <w:tcW w:w="4385" w:type="dxa"/>
          </w:tcPr>
          <w:p w14:paraId="76ACCEB9" w14:textId="77777777" w:rsidR="00AB2AF7" w:rsidRPr="00642054" w:rsidRDefault="00AB2AF7" w:rsidP="0023419D">
            <w:pPr>
              <w:pStyle w:val="NormalWeb"/>
              <w:rPr>
                <w:noProof/>
              </w:rPr>
            </w:pPr>
            <w:r>
              <w:rPr>
                <w:noProof/>
              </w:rPr>
              <w:lastRenderedPageBreak/>
              <w:drawing>
                <wp:inline distT="0" distB="0" distL="0" distR="0" wp14:anchorId="10226B6A" wp14:editId="137F73CA">
                  <wp:extent cx="2731770" cy="2800350"/>
                  <wp:effectExtent l="0" t="0" r="0" b="0"/>
                  <wp:docPr id="747595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876" cy="2825061"/>
                          </a:xfrm>
                          <a:prstGeom prst="rect">
                            <a:avLst/>
                          </a:prstGeom>
                          <a:noFill/>
                          <a:ln>
                            <a:noFill/>
                          </a:ln>
                        </pic:spPr>
                      </pic:pic>
                    </a:graphicData>
                  </a:graphic>
                </wp:inline>
              </w:drawing>
            </w:r>
          </w:p>
        </w:tc>
        <w:tc>
          <w:tcPr>
            <w:tcW w:w="4817" w:type="dxa"/>
          </w:tcPr>
          <w:p w14:paraId="5E8392EE" w14:textId="77777777" w:rsidR="00AB2AF7" w:rsidRDefault="00AB2AF7" w:rsidP="0023419D">
            <w:pPr>
              <w:pStyle w:val="NormalWeb"/>
            </w:pPr>
            <w:r>
              <w:rPr>
                <w:noProof/>
              </w:rPr>
              <w:drawing>
                <wp:inline distT="0" distB="0" distL="0" distR="0" wp14:anchorId="1B89BB4A" wp14:editId="0DE2D47C">
                  <wp:extent cx="2920935" cy="2832100"/>
                  <wp:effectExtent l="0" t="0" r="0" b="6350"/>
                  <wp:docPr id="1704290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935" cy="2832100"/>
                          </a:xfrm>
                          <a:prstGeom prst="rect">
                            <a:avLst/>
                          </a:prstGeom>
                          <a:noFill/>
                          <a:ln>
                            <a:noFill/>
                          </a:ln>
                        </pic:spPr>
                      </pic:pic>
                    </a:graphicData>
                  </a:graphic>
                </wp:inline>
              </w:drawing>
            </w:r>
          </w:p>
        </w:tc>
      </w:tr>
      <w:tr w:rsidR="00AB2AF7" w14:paraId="516E8034" w14:textId="77777777" w:rsidTr="0023419D">
        <w:trPr>
          <w:trHeight w:val="986"/>
        </w:trPr>
        <w:tc>
          <w:tcPr>
            <w:tcW w:w="4385" w:type="dxa"/>
          </w:tcPr>
          <w:p w14:paraId="774ADBEA" w14:textId="77777777" w:rsidR="00AB2AF7" w:rsidRDefault="00AB2AF7" w:rsidP="0023419D">
            <w:pPr>
              <w:pStyle w:val="NormalWeb"/>
            </w:pPr>
            <w:r>
              <w:rPr>
                <w:noProof/>
              </w:rPr>
              <w:drawing>
                <wp:inline distT="0" distB="0" distL="0" distR="0" wp14:anchorId="51FE6147" wp14:editId="26E6BE88">
                  <wp:extent cx="2518761" cy="2241550"/>
                  <wp:effectExtent l="0" t="0" r="0" b="6350"/>
                  <wp:docPr id="1848741836" name="Picture 1848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056" cy="2248042"/>
                          </a:xfrm>
                          <a:prstGeom prst="rect">
                            <a:avLst/>
                          </a:prstGeom>
                          <a:noFill/>
                          <a:ln>
                            <a:noFill/>
                          </a:ln>
                        </pic:spPr>
                      </pic:pic>
                    </a:graphicData>
                  </a:graphic>
                </wp:inline>
              </w:drawing>
            </w:r>
          </w:p>
          <w:p w14:paraId="0DE39E1E" w14:textId="77777777" w:rsidR="00AB2AF7" w:rsidRDefault="00AB2AF7" w:rsidP="0023419D">
            <w:pPr>
              <w:pStyle w:val="NormalWeb"/>
            </w:pPr>
          </w:p>
        </w:tc>
        <w:tc>
          <w:tcPr>
            <w:tcW w:w="4817" w:type="dxa"/>
          </w:tcPr>
          <w:p w14:paraId="70358CFC" w14:textId="77777777" w:rsidR="00AB2AF7" w:rsidRDefault="00AB2AF7" w:rsidP="0023419D">
            <w:pPr>
              <w:pStyle w:val="NormalWeb"/>
            </w:pPr>
            <w:r>
              <w:rPr>
                <w:noProof/>
              </w:rPr>
              <w:drawing>
                <wp:inline distT="0" distB="0" distL="0" distR="0" wp14:anchorId="7D2823CC" wp14:editId="07F23263">
                  <wp:extent cx="2686050" cy="2415990"/>
                  <wp:effectExtent l="0" t="0" r="0" b="3810"/>
                  <wp:docPr id="485099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178" cy="2455681"/>
                          </a:xfrm>
                          <a:prstGeom prst="rect">
                            <a:avLst/>
                          </a:prstGeom>
                          <a:noFill/>
                          <a:ln>
                            <a:noFill/>
                          </a:ln>
                        </pic:spPr>
                      </pic:pic>
                    </a:graphicData>
                  </a:graphic>
                </wp:inline>
              </w:drawing>
            </w:r>
          </w:p>
        </w:tc>
      </w:tr>
      <w:tr w:rsidR="00AB2AF7" w14:paraId="757148C4" w14:textId="77777777" w:rsidTr="0023419D">
        <w:trPr>
          <w:trHeight w:val="78"/>
        </w:trPr>
        <w:tc>
          <w:tcPr>
            <w:tcW w:w="4385" w:type="dxa"/>
          </w:tcPr>
          <w:p w14:paraId="17393105" w14:textId="77777777" w:rsidR="00AB2AF7" w:rsidRDefault="00AB2AF7" w:rsidP="0023419D">
            <w:pPr>
              <w:pStyle w:val="NormalWeb"/>
            </w:pPr>
            <w:r>
              <w:rPr>
                <w:noProof/>
              </w:rPr>
              <w:drawing>
                <wp:inline distT="0" distB="0" distL="0" distR="0" wp14:anchorId="7183BB61" wp14:editId="65B87A03">
                  <wp:extent cx="2563701" cy="2165350"/>
                  <wp:effectExtent l="0" t="0" r="8255" b="6350"/>
                  <wp:docPr id="7835276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959" cy="2176548"/>
                          </a:xfrm>
                          <a:prstGeom prst="rect">
                            <a:avLst/>
                          </a:prstGeom>
                          <a:noFill/>
                          <a:ln>
                            <a:noFill/>
                          </a:ln>
                        </pic:spPr>
                      </pic:pic>
                    </a:graphicData>
                  </a:graphic>
                </wp:inline>
              </w:drawing>
            </w:r>
          </w:p>
        </w:tc>
        <w:tc>
          <w:tcPr>
            <w:tcW w:w="4817" w:type="dxa"/>
          </w:tcPr>
          <w:p w14:paraId="081A5666" w14:textId="77777777" w:rsidR="00AB2AF7" w:rsidRDefault="00AB2AF7" w:rsidP="0023419D">
            <w:pPr>
              <w:pStyle w:val="NormalWeb"/>
            </w:pPr>
            <w:r>
              <w:rPr>
                <w:noProof/>
              </w:rPr>
              <w:drawing>
                <wp:inline distT="0" distB="0" distL="0" distR="0" wp14:anchorId="712DB601" wp14:editId="01AC3A4E">
                  <wp:extent cx="2922261" cy="2127250"/>
                  <wp:effectExtent l="0" t="0" r="0" b="6350"/>
                  <wp:docPr id="6520325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9750" cy="2139981"/>
                          </a:xfrm>
                          <a:prstGeom prst="rect">
                            <a:avLst/>
                          </a:prstGeom>
                          <a:noFill/>
                          <a:ln>
                            <a:noFill/>
                          </a:ln>
                        </pic:spPr>
                      </pic:pic>
                    </a:graphicData>
                  </a:graphic>
                </wp:inline>
              </w:drawing>
            </w:r>
          </w:p>
        </w:tc>
      </w:tr>
      <w:tr w:rsidR="00AB2AF7" w14:paraId="27D926C9" w14:textId="77777777" w:rsidTr="0023419D">
        <w:trPr>
          <w:trHeight w:val="78"/>
        </w:trPr>
        <w:tc>
          <w:tcPr>
            <w:tcW w:w="4385" w:type="dxa"/>
          </w:tcPr>
          <w:p w14:paraId="16016C82" w14:textId="77777777" w:rsidR="00AB2AF7" w:rsidRDefault="00AB2AF7" w:rsidP="0023419D">
            <w:pPr>
              <w:pStyle w:val="NormalWeb"/>
            </w:pPr>
            <w:r>
              <w:rPr>
                <w:noProof/>
              </w:rPr>
              <w:lastRenderedPageBreak/>
              <w:drawing>
                <wp:inline distT="0" distB="0" distL="0" distR="0" wp14:anchorId="47457237" wp14:editId="4E3B8472">
                  <wp:extent cx="2633980" cy="2782570"/>
                  <wp:effectExtent l="0" t="0" r="0" b="0"/>
                  <wp:docPr id="1505077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1963" cy="2791003"/>
                          </a:xfrm>
                          <a:prstGeom prst="rect">
                            <a:avLst/>
                          </a:prstGeom>
                          <a:noFill/>
                        </pic:spPr>
                      </pic:pic>
                    </a:graphicData>
                  </a:graphic>
                </wp:inline>
              </w:drawing>
            </w:r>
          </w:p>
        </w:tc>
        <w:tc>
          <w:tcPr>
            <w:tcW w:w="4817" w:type="dxa"/>
          </w:tcPr>
          <w:p w14:paraId="4FAC80E1" w14:textId="77777777" w:rsidR="00AB2AF7" w:rsidRDefault="00AB2AF7" w:rsidP="0023419D">
            <w:pPr>
              <w:pStyle w:val="NormalWeb"/>
            </w:pPr>
            <w:r w:rsidRPr="00A70B43">
              <w:rPr>
                <w:noProof/>
              </w:rPr>
              <w:drawing>
                <wp:inline distT="0" distB="0" distL="0" distR="0" wp14:anchorId="5C54D970" wp14:editId="3E26773A">
                  <wp:extent cx="2915472" cy="2724150"/>
                  <wp:effectExtent l="0" t="0" r="0" b="0"/>
                  <wp:docPr id="1981995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9890" cy="2737622"/>
                          </a:xfrm>
                          <a:prstGeom prst="rect">
                            <a:avLst/>
                          </a:prstGeom>
                          <a:noFill/>
                          <a:ln>
                            <a:noFill/>
                          </a:ln>
                        </pic:spPr>
                      </pic:pic>
                    </a:graphicData>
                  </a:graphic>
                </wp:inline>
              </w:drawing>
            </w:r>
          </w:p>
        </w:tc>
      </w:tr>
      <w:tr w:rsidR="00AB2AF7" w14:paraId="457EDCE0" w14:textId="77777777" w:rsidTr="0023419D">
        <w:trPr>
          <w:trHeight w:val="78"/>
        </w:trPr>
        <w:tc>
          <w:tcPr>
            <w:tcW w:w="4385" w:type="dxa"/>
          </w:tcPr>
          <w:p w14:paraId="50B1A7D6" w14:textId="77777777" w:rsidR="00AB2AF7" w:rsidRDefault="00AB2AF7" w:rsidP="0023419D">
            <w:pPr>
              <w:pStyle w:val="NormalWeb"/>
            </w:pPr>
            <w:r>
              <w:rPr>
                <w:noProof/>
              </w:rPr>
              <w:drawing>
                <wp:inline distT="0" distB="0" distL="0" distR="0" wp14:anchorId="64B8C83B" wp14:editId="1FE6694F">
                  <wp:extent cx="2658385" cy="2025650"/>
                  <wp:effectExtent l="0" t="0" r="8890" b="0"/>
                  <wp:docPr id="498596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843" cy="2032857"/>
                          </a:xfrm>
                          <a:prstGeom prst="rect">
                            <a:avLst/>
                          </a:prstGeom>
                          <a:noFill/>
                          <a:ln>
                            <a:noFill/>
                          </a:ln>
                        </pic:spPr>
                      </pic:pic>
                    </a:graphicData>
                  </a:graphic>
                </wp:inline>
              </w:drawing>
            </w:r>
          </w:p>
        </w:tc>
        <w:tc>
          <w:tcPr>
            <w:tcW w:w="4817" w:type="dxa"/>
          </w:tcPr>
          <w:p w14:paraId="4A80AD22" w14:textId="77777777" w:rsidR="00AB2AF7" w:rsidRDefault="00AB2AF7" w:rsidP="0023419D">
            <w:pPr>
              <w:pStyle w:val="NormalWeb"/>
            </w:pPr>
            <w:r>
              <w:rPr>
                <w:noProof/>
              </w:rPr>
              <w:drawing>
                <wp:inline distT="0" distB="0" distL="0" distR="0" wp14:anchorId="6562C86D" wp14:editId="19AFD770">
                  <wp:extent cx="2984500" cy="1688340"/>
                  <wp:effectExtent l="0" t="0" r="6350" b="7620"/>
                  <wp:docPr id="1361922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5323" cy="1700120"/>
                          </a:xfrm>
                          <a:prstGeom prst="rect">
                            <a:avLst/>
                          </a:prstGeom>
                          <a:noFill/>
                          <a:ln>
                            <a:noFill/>
                          </a:ln>
                        </pic:spPr>
                      </pic:pic>
                    </a:graphicData>
                  </a:graphic>
                </wp:inline>
              </w:drawing>
            </w:r>
          </w:p>
        </w:tc>
      </w:tr>
      <w:tr w:rsidR="00AB2AF7" w:rsidRPr="00651FFA" w14:paraId="39DDE18B" w14:textId="77777777" w:rsidTr="0023419D">
        <w:trPr>
          <w:trHeight w:val="357"/>
        </w:trPr>
        <w:tc>
          <w:tcPr>
            <w:tcW w:w="9202" w:type="dxa"/>
            <w:gridSpan w:val="2"/>
          </w:tcPr>
          <w:p w14:paraId="16C9A70E" w14:textId="77777777" w:rsidR="001039B4" w:rsidRDefault="001039B4" w:rsidP="0023419D">
            <w:pPr>
              <w:spacing w:after="0" w:line="240" w:lineRule="auto"/>
              <w:jc w:val="both"/>
              <w:rPr>
                <w:rFonts w:ascii="Times New Roman" w:hAnsi="Times New Roman"/>
                <w:sz w:val="24"/>
                <w:szCs w:val="24"/>
              </w:rPr>
            </w:pPr>
          </w:p>
          <w:p w14:paraId="01F343C3" w14:textId="77777777" w:rsidR="001039B4" w:rsidRDefault="001039B4" w:rsidP="0023419D">
            <w:pPr>
              <w:spacing w:after="0" w:line="240" w:lineRule="auto"/>
              <w:jc w:val="both"/>
              <w:rPr>
                <w:rFonts w:ascii="Times New Roman" w:hAnsi="Times New Roman"/>
                <w:sz w:val="24"/>
                <w:szCs w:val="24"/>
              </w:rPr>
            </w:pPr>
          </w:p>
          <w:p w14:paraId="2EEC49F4" w14:textId="511A887F" w:rsidR="00AB2AF7" w:rsidRPr="00651FFA" w:rsidRDefault="00AB2AF7" w:rsidP="0023419D">
            <w:pPr>
              <w:spacing w:after="0" w:line="240" w:lineRule="auto"/>
              <w:jc w:val="both"/>
              <w:rPr>
                <w:rFonts w:ascii="Times New Roman" w:hAnsi="Times New Roman"/>
                <w:sz w:val="24"/>
                <w:szCs w:val="24"/>
              </w:rPr>
            </w:pPr>
            <w:r w:rsidRPr="00651FFA">
              <w:rPr>
                <w:rFonts w:ascii="Times New Roman" w:hAnsi="Times New Roman"/>
                <w:sz w:val="24"/>
                <w:szCs w:val="24"/>
              </w:rPr>
              <w:t>Figure 4: (a) Scatter Diagram of (Ca</w:t>
            </w:r>
            <w:r w:rsidRPr="00651FFA">
              <w:rPr>
                <w:rFonts w:ascii="Times New Roman" w:hAnsi="Times New Roman"/>
                <w:sz w:val="24"/>
                <w:szCs w:val="24"/>
                <w:vertAlign w:val="superscript"/>
              </w:rPr>
              <w:t>2+</w:t>
            </w:r>
            <w:r w:rsidRPr="00651FFA">
              <w:rPr>
                <w:rFonts w:ascii="Times New Roman" w:hAnsi="Times New Roman"/>
                <w:sz w:val="24"/>
                <w:szCs w:val="24"/>
              </w:rPr>
              <w:t>/Na</w:t>
            </w:r>
            <w:r w:rsidRPr="00651FFA">
              <w:rPr>
                <w:rFonts w:ascii="Times New Roman" w:hAnsi="Times New Roman"/>
                <w:sz w:val="24"/>
                <w:szCs w:val="24"/>
                <w:vertAlign w:val="superscript"/>
              </w:rPr>
              <w:t>+</w:t>
            </w:r>
            <w:r w:rsidRPr="00651FFA">
              <w:rPr>
                <w:rFonts w:ascii="Times New Roman" w:hAnsi="Times New Roman"/>
                <w:sz w:val="24"/>
                <w:szCs w:val="24"/>
              </w:rPr>
              <w:t xml:space="preserve"> ) vs (Mg</w:t>
            </w:r>
            <w:r w:rsidRPr="00651FFA">
              <w:rPr>
                <w:rFonts w:ascii="Times New Roman" w:hAnsi="Times New Roman"/>
                <w:sz w:val="24"/>
                <w:szCs w:val="24"/>
                <w:vertAlign w:val="superscript"/>
              </w:rPr>
              <w:t>2+</w:t>
            </w:r>
            <w:r w:rsidRPr="00651FFA">
              <w:rPr>
                <w:rFonts w:ascii="Times New Roman" w:hAnsi="Times New Roman"/>
                <w:sz w:val="24"/>
                <w:szCs w:val="24"/>
              </w:rPr>
              <w:t>/ Na</w:t>
            </w:r>
            <w:r w:rsidRPr="00651FFA">
              <w:rPr>
                <w:rFonts w:ascii="Times New Roman" w:hAnsi="Times New Roman"/>
                <w:sz w:val="24"/>
                <w:szCs w:val="24"/>
                <w:vertAlign w:val="superscript"/>
              </w:rPr>
              <w:t>+</w:t>
            </w:r>
            <w:r w:rsidRPr="00651FFA">
              <w:rPr>
                <w:rFonts w:ascii="Times New Roman" w:hAnsi="Times New Roman"/>
                <w:sz w:val="24"/>
                <w:szCs w:val="24"/>
              </w:rPr>
              <w:t>),</w:t>
            </w:r>
            <w:r w:rsidRPr="00651FFA">
              <w:rPr>
                <w:rFonts w:ascii="Times New Roman" w:hAnsi="Times New Roman"/>
                <w:sz w:val="24"/>
                <w:szCs w:val="24"/>
                <w:vertAlign w:val="superscript"/>
              </w:rPr>
              <w:t xml:space="preserve">  </w:t>
            </w:r>
            <w:r w:rsidRPr="00651FFA">
              <w:rPr>
                <w:rFonts w:ascii="Times New Roman" w:hAnsi="Times New Roman"/>
                <w:sz w:val="24"/>
                <w:szCs w:val="24"/>
              </w:rPr>
              <w:t>(b)  Scatter Diagram of (Ca</w:t>
            </w:r>
            <w:r w:rsidRPr="00651FFA">
              <w:rPr>
                <w:rFonts w:ascii="Times New Roman" w:hAnsi="Times New Roman"/>
                <w:sz w:val="24"/>
                <w:szCs w:val="24"/>
                <w:vertAlign w:val="superscript"/>
              </w:rPr>
              <w:t>2+</w:t>
            </w:r>
            <w:r w:rsidRPr="00651FFA">
              <w:rPr>
                <w:rFonts w:ascii="Times New Roman" w:hAnsi="Times New Roman"/>
                <w:sz w:val="24"/>
                <w:szCs w:val="24"/>
              </w:rPr>
              <w:t>/Na</w:t>
            </w:r>
            <w:r w:rsidRPr="00651FFA">
              <w:rPr>
                <w:rFonts w:ascii="Times New Roman" w:hAnsi="Times New Roman"/>
                <w:sz w:val="24"/>
                <w:szCs w:val="24"/>
                <w:vertAlign w:val="superscript"/>
              </w:rPr>
              <w:t>+</w:t>
            </w:r>
            <w:r w:rsidRPr="00651FFA">
              <w:rPr>
                <w:rFonts w:ascii="Times New Roman" w:hAnsi="Times New Roman"/>
                <w:sz w:val="24"/>
                <w:szCs w:val="24"/>
              </w:rPr>
              <w:t xml:space="preserve"> ) vs (HCO</w:t>
            </w:r>
            <w:r w:rsidRPr="00651FFA">
              <w:rPr>
                <w:rFonts w:ascii="Times New Roman" w:hAnsi="Times New Roman"/>
                <w:sz w:val="24"/>
                <w:szCs w:val="24"/>
                <w:vertAlign w:val="subscript"/>
              </w:rPr>
              <w:t>3</w:t>
            </w:r>
            <w:r w:rsidRPr="00651FFA">
              <w:rPr>
                <w:rFonts w:ascii="Times New Roman" w:hAnsi="Times New Roman"/>
                <w:sz w:val="24"/>
                <w:szCs w:val="24"/>
                <w:vertAlign w:val="superscript"/>
              </w:rPr>
              <w:t>-</w:t>
            </w:r>
            <w:r w:rsidRPr="00651FFA">
              <w:rPr>
                <w:rFonts w:ascii="Times New Roman" w:hAnsi="Times New Roman"/>
                <w:sz w:val="24"/>
                <w:szCs w:val="24"/>
              </w:rPr>
              <w:t>/ Na</w:t>
            </w:r>
            <w:r w:rsidRPr="00651FFA">
              <w:rPr>
                <w:rFonts w:ascii="Times New Roman" w:hAnsi="Times New Roman"/>
                <w:sz w:val="24"/>
                <w:szCs w:val="24"/>
                <w:vertAlign w:val="superscript"/>
              </w:rPr>
              <w:t>+</w:t>
            </w:r>
            <w:r w:rsidRPr="00651FFA">
              <w:rPr>
                <w:rFonts w:ascii="Times New Roman" w:hAnsi="Times New Roman"/>
                <w:sz w:val="24"/>
                <w:szCs w:val="24"/>
              </w:rPr>
              <w:t>),</w:t>
            </w:r>
            <w:r w:rsidRPr="00651FFA">
              <w:rPr>
                <w:rFonts w:ascii="Times New Roman" w:hAnsi="Times New Roman"/>
                <w:sz w:val="24"/>
                <w:szCs w:val="24"/>
                <w:vertAlign w:val="superscript"/>
              </w:rPr>
              <w:t xml:space="preserve">   </w:t>
            </w:r>
            <w:r w:rsidRPr="00651FFA">
              <w:rPr>
                <w:rFonts w:ascii="Times New Roman" w:hAnsi="Times New Roman"/>
                <w:sz w:val="24"/>
                <w:szCs w:val="24"/>
              </w:rPr>
              <w:t>(c) Scatter Diagram (Ca</w:t>
            </w:r>
            <w:r w:rsidRPr="00651FFA">
              <w:rPr>
                <w:rFonts w:ascii="Times New Roman" w:hAnsi="Times New Roman"/>
                <w:sz w:val="24"/>
                <w:szCs w:val="24"/>
                <w:vertAlign w:val="superscript"/>
              </w:rPr>
              <w:t>2+</w:t>
            </w:r>
            <w:r w:rsidRPr="00651FFA">
              <w:rPr>
                <w:rFonts w:ascii="Times New Roman" w:hAnsi="Times New Roman"/>
                <w:sz w:val="24"/>
                <w:szCs w:val="24"/>
              </w:rPr>
              <w:t>+Mg</w:t>
            </w:r>
            <w:r w:rsidRPr="00651FFA">
              <w:rPr>
                <w:rFonts w:ascii="Times New Roman" w:hAnsi="Times New Roman"/>
                <w:sz w:val="24"/>
                <w:szCs w:val="24"/>
                <w:vertAlign w:val="superscript"/>
              </w:rPr>
              <w:t>2+</w:t>
            </w:r>
            <w:r w:rsidRPr="00651FFA">
              <w:rPr>
                <w:rFonts w:ascii="Times New Roman" w:hAnsi="Times New Roman"/>
                <w:sz w:val="24"/>
                <w:szCs w:val="24"/>
              </w:rPr>
              <w:t>) vs (HCO</w:t>
            </w:r>
            <w:r w:rsidRPr="00651FFA">
              <w:rPr>
                <w:rFonts w:ascii="Times New Roman" w:hAnsi="Times New Roman"/>
                <w:sz w:val="24"/>
                <w:szCs w:val="24"/>
                <w:vertAlign w:val="subscript"/>
              </w:rPr>
              <w:t>3</w:t>
            </w:r>
            <w:r w:rsidRPr="00651FFA">
              <w:rPr>
                <w:rFonts w:ascii="Times New Roman" w:hAnsi="Times New Roman"/>
                <w:sz w:val="24"/>
                <w:szCs w:val="24"/>
                <w:vertAlign w:val="superscript"/>
              </w:rPr>
              <w:t>-</w:t>
            </w:r>
            <w:r w:rsidRPr="00651FFA">
              <w:rPr>
                <w:rFonts w:ascii="Times New Roman" w:hAnsi="Times New Roman"/>
                <w:sz w:val="24"/>
                <w:szCs w:val="24"/>
              </w:rPr>
              <w:t>), (d)Scatter Diagram (Ca</w:t>
            </w:r>
            <w:r w:rsidRPr="00651FFA">
              <w:rPr>
                <w:rFonts w:ascii="Times New Roman" w:hAnsi="Times New Roman"/>
                <w:sz w:val="24"/>
                <w:szCs w:val="24"/>
                <w:vertAlign w:val="superscript"/>
              </w:rPr>
              <w:t>2+</w:t>
            </w:r>
            <w:r w:rsidRPr="00651FFA">
              <w:rPr>
                <w:rFonts w:ascii="Times New Roman" w:hAnsi="Times New Roman"/>
                <w:sz w:val="24"/>
                <w:szCs w:val="24"/>
              </w:rPr>
              <w:t>+Mg</w:t>
            </w:r>
            <w:r w:rsidRPr="00651FFA">
              <w:rPr>
                <w:rFonts w:ascii="Times New Roman" w:hAnsi="Times New Roman"/>
                <w:sz w:val="24"/>
                <w:szCs w:val="24"/>
                <w:vertAlign w:val="superscript"/>
              </w:rPr>
              <w:t>2+</w:t>
            </w:r>
            <w:r w:rsidRPr="00651FFA">
              <w:rPr>
                <w:rFonts w:ascii="Times New Roman" w:hAnsi="Times New Roman"/>
                <w:sz w:val="24"/>
                <w:szCs w:val="24"/>
              </w:rPr>
              <w:t>) vs (HCO</w:t>
            </w:r>
            <w:r w:rsidRPr="00651FFA">
              <w:rPr>
                <w:rFonts w:ascii="Times New Roman" w:hAnsi="Times New Roman"/>
                <w:sz w:val="24"/>
                <w:szCs w:val="24"/>
                <w:vertAlign w:val="subscript"/>
              </w:rPr>
              <w:t>3</w:t>
            </w:r>
            <w:r w:rsidRPr="00651FFA">
              <w:rPr>
                <w:rFonts w:ascii="Times New Roman" w:hAnsi="Times New Roman"/>
                <w:sz w:val="24"/>
                <w:szCs w:val="24"/>
              </w:rPr>
              <w:t>-+ SO</w:t>
            </w:r>
            <w:r w:rsidRPr="00651FFA">
              <w:rPr>
                <w:rFonts w:ascii="Times New Roman" w:hAnsi="Times New Roman"/>
                <w:sz w:val="24"/>
                <w:szCs w:val="24"/>
                <w:vertAlign w:val="subscript"/>
              </w:rPr>
              <w:t>4</w:t>
            </w:r>
            <w:r w:rsidRPr="00651FFA">
              <w:rPr>
                <w:rFonts w:ascii="Times New Roman" w:hAnsi="Times New Roman"/>
                <w:sz w:val="24"/>
                <w:szCs w:val="24"/>
                <w:vertAlign w:val="superscript"/>
              </w:rPr>
              <w:t>2-</w:t>
            </w:r>
            <w:r w:rsidRPr="00651FFA">
              <w:rPr>
                <w:rFonts w:ascii="Times New Roman" w:hAnsi="Times New Roman"/>
                <w:sz w:val="24"/>
                <w:szCs w:val="24"/>
              </w:rPr>
              <w:t>), (e)  Scatter Diagram (Ca</w:t>
            </w:r>
            <w:r w:rsidRPr="00651FFA">
              <w:rPr>
                <w:rFonts w:ascii="Times New Roman" w:hAnsi="Times New Roman"/>
                <w:sz w:val="24"/>
                <w:szCs w:val="24"/>
                <w:vertAlign w:val="superscript"/>
              </w:rPr>
              <w:t>2+</w:t>
            </w:r>
            <w:r w:rsidRPr="00651FFA">
              <w:rPr>
                <w:rFonts w:ascii="Times New Roman" w:hAnsi="Times New Roman"/>
                <w:sz w:val="24"/>
                <w:szCs w:val="24"/>
              </w:rPr>
              <w:t xml:space="preserve"> +Mg</w:t>
            </w:r>
            <w:r w:rsidRPr="00651FFA">
              <w:rPr>
                <w:rFonts w:ascii="Times New Roman" w:hAnsi="Times New Roman"/>
                <w:sz w:val="24"/>
                <w:szCs w:val="24"/>
                <w:vertAlign w:val="superscript"/>
              </w:rPr>
              <w:t>2+</w:t>
            </w:r>
            <w:r w:rsidRPr="00651FFA">
              <w:rPr>
                <w:rFonts w:ascii="Times New Roman" w:hAnsi="Times New Roman"/>
                <w:sz w:val="24"/>
                <w:szCs w:val="24"/>
              </w:rPr>
              <w:t>) vs (Na</w:t>
            </w:r>
            <w:r w:rsidRPr="00651FFA">
              <w:rPr>
                <w:rFonts w:ascii="Times New Roman" w:hAnsi="Times New Roman"/>
                <w:sz w:val="24"/>
                <w:szCs w:val="24"/>
                <w:vertAlign w:val="superscript"/>
              </w:rPr>
              <w:t>+</w:t>
            </w:r>
            <w:r w:rsidRPr="00651FFA">
              <w:rPr>
                <w:rFonts w:ascii="Times New Roman" w:hAnsi="Times New Roman"/>
                <w:sz w:val="24"/>
                <w:szCs w:val="24"/>
              </w:rPr>
              <w:t>+K</w:t>
            </w:r>
            <w:r w:rsidRPr="00651FFA">
              <w:rPr>
                <w:rFonts w:ascii="Times New Roman" w:hAnsi="Times New Roman"/>
                <w:sz w:val="24"/>
                <w:szCs w:val="24"/>
                <w:vertAlign w:val="superscript"/>
              </w:rPr>
              <w:t>+</w:t>
            </w:r>
            <w:r w:rsidRPr="00651FFA">
              <w:rPr>
                <w:rFonts w:ascii="Times New Roman" w:hAnsi="Times New Roman"/>
                <w:sz w:val="24"/>
                <w:szCs w:val="24"/>
              </w:rPr>
              <w:t>),(f)  Scatter Diagram (Ca</w:t>
            </w:r>
            <w:r w:rsidRPr="00651FFA">
              <w:rPr>
                <w:rFonts w:ascii="Times New Roman" w:hAnsi="Times New Roman"/>
                <w:sz w:val="24"/>
                <w:szCs w:val="24"/>
                <w:vertAlign w:val="superscript"/>
              </w:rPr>
              <w:t>2+</w:t>
            </w:r>
            <w:r w:rsidRPr="00651FFA">
              <w:rPr>
                <w:rFonts w:ascii="Times New Roman" w:hAnsi="Times New Roman"/>
                <w:sz w:val="24"/>
                <w:szCs w:val="24"/>
              </w:rPr>
              <w:t xml:space="preserve"> +Mg</w:t>
            </w:r>
            <w:r w:rsidRPr="00651FFA">
              <w:rPr>
                <w:rFonts w:ascii="Times New Roman" w:hAnsi="Times New Roman"/>
                <w:sz w:val="24"/>
                <w:szCs w:val="24"/>
                <w:vertAlign w:val="superscript"/>
              </w:rPr>
              <w:t>2+</w:t>
            </w:r>
            <w:r w:rsidRPr="00651FFA">
              <w:rPr>
                <w:rFonts w:ascii="Times New Roman" w:hAnsi="Times New Roman"/>
                <w:sz w:val="24"/>
                <w:szCs w:val="24"/>
              </w:rPr>
              <w:t>) vs Total Cation, (g)  Scatter Diagram  Na</w:t>
            </w:r>
            <w:r w:rsidRPr="00651FFA">
              <w:rPr>
                <w:rFonts w:ascii="Times New Roman" w:hAnsi="Times New Roman"/>
                <w:sz w:val="24"/>
                <w:szCs w:val="24"/>
                <w:vertAlign w:val="superscript"/>
              </w:rPr>
              <w:t>+</w:t>
            </w:r>
            <w:r w:rsidRPr="00651FFA">
              <w:rPr>
                <w:rFonts w:ascii="Times New Roman" w:hAnsi="Times New Roman"/>
                <w:sz w:val="24"/>
                <w:szCs w:val="24"/>
              </w:rPr>
              <w:t xml:space="preserve"> vs Cl</w:t>
            </w:r>
            <w:r w:rsidRPr="00651FFA">
              <w:rPr>
                <w:rFonts w:ascii="Times New Roman" w:hAnsi="Times New Roman"/>
                <w:sz w:val="24"/>
                <w:szCs w:val="24"/>
                <w:vertAlign w:val="superscript"/>
              </w:rPr>
              <w:t xml:space="preserve">-  </w:t>
            </w:r>
            <w:r w:rsidRPr="00651FFA">
              <w:rPr>
                <w:rFonts w:ascii="Times New Roman" w:hAnsi="Times New Roman"/>
                <w:sz w:val="24"/>
                <w:szCs w:val="24"/>
              </w:rPr>
              <w:t>, (h) Scatter Diagram (Na</w:t>
            </w:r>
            <w:r w:rsidRPr="00651FFA">
              <w:rPr>
                <w:rFonts w:ascii="Times New Roman" w:hAnsi="Times New Roman"/>
                <w:sz w:val="24"/>
                <w:szCs w:val="24"/>
                <w:vertAlign w:val="superscript"/>
              </w:rPr>
              <w:t>+</w:t>
            </w:r>
            <w:r w:rsidRPr="00651FFA">
              <w:rPr>
                <w:rFonts w:ascii="Times New Roman" w:hAnsi="Times New Roman"/>
                <w:sz w:val="24"/>
                <w:szCs w:val="24"/>
              </w:rPr>
              <w:t>/Cl</w:t>
            </w:r>
            <w:r w:rsidRPr="00651FFA">
              <w:rPr>
                <w:rFonts w:ascii="Times New Roman" w:hAnsi="Times New Roman"/>
                <w:sz w:val="24"/>
                <w:szCs w:val="24"/>
                <w:vertAlign w:val="superscript"/>
              </w:rPr>
              <w:t>-</w:t>
            </w:r>
            <w:r w:rsidRPr="00651FFA">
              <w:rPr>
                <w:rFonts w:ascii="Times New Roman" w:hAnsi="Times New Roman"/>
                <w:sz w:val="24"/>
                <w:szCs w:val="24"/>
              </w:rPr>
              <w:t>) vs EC, (i) Schoeller’s Diagram (CA1-1 vs CAI-2) (j)Graph of Chloro-Alkaline Indices</w:t>
            </w:r>
          </w:p>
        </w:tc>
      </w:tr>
    </w:tbl>
    <w:p w14:paraId="752BDE41" w14:textId="77777777" w:rsidR="00AB2AF7" w:rsidRPr="00DA06FB" w:rsidRDefault="00AB2AF7" w:rsidP="00AB2AF7">
      <w:pPr>
        <w:spacing w:line="240" w:lineRule="auto"/>
        <w:jc w:val="both"/>
        <w:rPr>
          <w:rFonts w:ascii="Times New Roman" w:hAnsi="Times New Roman"/>
          <w:bCs/>
          <w:color w:val="000000"/>
          <w:sz w:val="24"/>
          <w:szCs w:val="24"/>
          <w:lang w:val="en-US"/>
        </w:rPr>
      </w:pPr>
    </w:p>
    <w:p w14:paraId="56150CE1" w14:textId="77777777" w:rsidR="00AB2AF7" w:rsidRPr="00DA06FB" w:rsidRDefault="00AB2AF7" w:rsidP="006610DC">
      <w:pPr>
        <w:spacing w:line="240" w:lineRule="auto"/>
        <w:jc w:val="both"/>
        <w:rPr>
          <w:rFonts w:ascii="Times New Roman" w:hAnsi="Times New Roman"/>
          <w:bCs/>
          <w:color w:val="000000"/>
          <w:sz w:val="24"/>
          <w:szCs w:val="24"/>
          <w:lang w:val="en-US"/>
        </w:rPr>
      </w:pPr>
    </w:p>
    <w:p w14:paraId="06E6D38C" w14:textId="1C0C2B33" w:rsidR="0073551B" w:rsidRDefault="0073551B" w:rsidP="006610DC">
      <w:pPr>
        <w:spacing w:line="240" w:lineRule="auto"/>
        <w:jc w:val="both"/>
        <w:rPr>
          <w:rFonts w:ascii="Times New Roman" w:eastAsia="Times New Roman" w:hAnsi="Times New Roman"/>
          <w:color w:val="000000"/>
          <w:sz w:val="24"/>
          <w:szCs w:val="24"/>
          <w:lang w:eastAsia="en-IN"/>
        </w:rPr>
      </w:pPr>
    </w:p>
    <w:p w14:paraId="300416F8" w14:textId="77777777" w:rsidR="0073551B" w:rsidRPr="00651FFA" w:rsidRDefault="0073551B" w:rsidP="00DA06FB">
      <w:pPr>
        <w:spacing w:after="0" w:line="360" w:lineRule="auto"/>
        <w:jc w:val="both"/>
        <w:rPr>
          <w:rFonts w:ascii="Times New Roman" w:eastAsia="Times New Roman" w:hAnsi="Times New Roman"/>
          <w:color w:val="000000"/>
          <w:sz w:val="24"/>
          <w:szCs w:val="24"/>
          <w:lang w:eastAsia="en-IN"/>
        </w:rPr>
      </w:pPr>
    </w:p>
    <w:p w14:paraId="49042696" w14:textId="77777777" w:rsidR="0073551B" w:rsidRPr="00651FFA" w:rsidRDefault="0073551B" w:rsidP="00DA06FB">
      <w:pPr>
        <w:spacing w:after="0" w:line="360" w:lineRule="auto"/>
        <w:jc w:val="both"/>
        <w:rPr>
          <w:rFonts w:ascii="Times New Roman" w:eastAsia="Times New Roman" w:hAnsi="Times New Roman"/>
          <w:color w:val="000000"/>
          <w:sz w:val="24"/>
          <w:szCs w:val="24"/>
          <w:lang w:eastAsia="en-IN"/>
        </w:rPr>
      </w:pPr>
    </w:p>
    <w:p w14:paraId="09AEBA6B"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16762F35"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7813A05E"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1CD516FF"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6A260EB7"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55D6E1A4"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6F9A3253"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7C1667B5"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3A7173D3"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02A4F4E6"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773C8443"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23E3040A"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535E90E5"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34327046"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2FD749FC"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74A66512"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20498492"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37AF20C7"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55AD7B52" w14:textId="77777777" w:rsidR="006E4CB4" w:rsidRPr="00DA06FB" w:rsidRDefault="006E4CB4" w:rsidP="006E4CB4">
      <w:pPr>
        <w:spacing w:after="0" w:line="360" w:lineRule="auto"/>
        <w:ind w:left="284"/>
        <w:jc w:val="both"/>
        <w:rPr>
          <w:rFonts w:ascii="Times New Roman" w:hAnsi="Times New Roman"/>
          <w:bCs/>
          <w:color w:val="000000"/>
          <w:sz w:val="24"/>
          <w:szCs w:val="24"/>
          <w:lang w:val="en-US"/>
        </w:rPr>
      </w:pPr>
    </w:p>
    <w:p w14:paraId="4E28DF3D" w14:textId="77777777" w:rsidR="001039B4" w:rsidRDefault="001039B4" w:rsidP="00DA06FB">
      <w:pPr>
        <w:spacing w:after="0" w:line="360" w:lineRule="auto"/>
        <w:jc w:val="both"/>
        <w:rPr>
          <w:rFonts w:ascii="Times New Roman" w:hAnsi="Times New Roman"/>
          <w:bCs/>
          <w:color w:val="000000"/>
          <w:sz w:val="24"/>
          <w:szCs w:val="24"/>
          <w:lang w:val="en-US"/>
        </w:rPr>
      </w:pPr>
    </w:p>
    <w:p w14:paraId="1B7AFB6A" w14:textId="6C7B3839" w:rsidR="002360A2" w:rsidRPr="00DB1FC2" w:rsidRDefault="00EE214A" w:rsidP="00DA06FB">
      <w:pPr>
        <w:spacing w:after="0" w:line="360" w:lineRule="auto"/>
        <w:jc w:val="both"/>
        <w:rPr>
          <w:rFonts w:ascii="Times New Roman" w:hAnsi="Times New Roman"/>
          <w:bCs/>
          <w:color w:val="000000"/>
          <w:sz w:val="24"/>
          <w:szCs w:val="24"/>
          <w:lang w:val="en-US"/>
        </w:rPr>
      </w:pPr>
      <w:r w:rsidRPr="00DB1FC2">
        <w:rPr>
          <w:rFonts w:ascii="Times New Roman" w:hAnsi="Times New Roman"/>
          <w:bCs/>
          <w:color w:val="000000"/>
          <w:sz w:val="24"/>
          <w:szCs w:val="24"/>
          <w:lang w:val="en-US"/>
        </w:rPr>
        <w:t>Principal component analysis</w:t>
      </w:r>
    </w:p>
    <w:p w14:paraId="0E3684F9" w14:textId="77777777" w:rsidR="00584BCC" w:rsidRDefault="001335EA"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principal Component Analysis was carried out using ten physicochemical parameters of groundwater to determine the primary hydrogeochemical processes that are active during the pre-monsoon period. According to Kaiser-Meyer-Olkin (KMO) and Bartlett’s tests, the data set was sufficient for PC</w:t>
      </w:r>
      <w:r w:rsidR="00AA1E5F">
        <w:rPr>
          <w:rFonts w:ascii="Times New Roman" w:hAnsi="Times New Roman"/>
          <w:bCs/>
          <w:color w:val="000000"/>
          <w:sz w:val="24"/>
          <w:szCs w:val="24"/>
          <w:lang w:val="en-US"/>
        </w:rPr>
        <w:t xml:space="preserve">A </w:t>
      </w:r>
      <w:r w:rsidR="000D25F7">
        <w:rPr>
          <w:rFonts w:ascii="Times New Roman" w:hAnsi="Times New Roman"/>
          <w:bCs/>
          <w:color w:val="000000"/>
          <w:sz w:val="24"/>
          <w:szCs w:val="24"/>
          <w:lang w:val="en-US"/>
        </w:rPr>
        <w:t xml:space="preserve">[54]. </w:t>
      </w:r>
      <w:r w:rsidRPr="00DA06FB">
        <w:rPr>
          <w:rFonts w:ascii="Times New Roman" w:hAnsi="Times New Roman"/>
          <w:bCs/>
          <w:color w:val="000000"/>
          <w:sz w:val="24"/>
          <w:szCs w:val="24"/>
          <w:lang w:val="en-US"/>
        </w:rPr>
        <w:t>From Bartlett’s test of sphericity X</w:t>
      </w:r>
      <w:r w:rsidRPr="00882CCE">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value is 570.87(df=45, p&lt;0.001), which confirmed that correlation matrix differs significantly from identity matrix and that intervariable correlations are sufficient for PCA.</w:t>
      </w:r>
      <w:r w:rsidR="00363E7D">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 xml:space="preserve">The Scree plot and the three-dimensional component plot in rotated space </w:t>
      </w:r>
      <w:r w:rsidR="004977BC" w:rsidRPr="00DA06FB">
        <w:rPr>
          <w:rFonts w:ascii="Times New Roman" w:hAnsi="Times New Roman"/>
          <w:bCs/>
          <w:color w:val="000000"/>
          <w:sz w:val="24"/>
          <w:szCs w:val="24"/>
          <w:lang w:val="en-US"/>
        </w:rPr>
        <w:t>are</w:t>
      </w:r>
      <w:r w:rsidRPr="00DA06FB">
        <w:rPr>
          <w:rFonts w:ascii="Times New Roman" w:hAnsi="Times New Roman"/>
          <w:bCs/>
          <w:color w:val="000000"/>
          <w:sz w:val="24"/>
          <w:szCs w:val="24"/>
          <w:lang w:val="en-US"/>
        </w:rPr>
        <w:t xml:space="preserve"> present</w:t>
      </w:r>
      <w:r w:rsidR="004977BC" w:rsidRPr="00DA06FB">
        <w:rPr>
          <w:rFonts w:ascii="Times New Roman" w:hAnsi="Times New Roman"/>
          <w:bCs/>
          <w:color w:val="000000"/>
          <w:sz w:val="24"/>
          <w:szCs w:val="24"/>
          <w:lang w:val="en-US"/>
        </w:rPr>
        <w:t>ed</w:t>
      </w:r>
      <w:r w:rsidRPr="00DA06FB">
        <w:rPr>
          <w:rFonts w:ascii="Times New Roman" w:hAnsi="Times New Roman"/>
          <w:bCs/>
          <w:color w:val="000000"/>
          <w:sz w:val="24"/>
          <w:szCs w:val="24"/>
          <w:lang w:val="en-US"/>
        </w:rPr>
        <w:t xml:space="preserve"> in Fig</w:t>
      </w:r>
      <w:r w:rsidR="001348C9">
        <w:rPr>
          <w:rFonts w:ascii="Times New Roman" w:hAnsi="Times New Roman"/>
          <w:bCs/>
          <w:color w:val="000000"/>
          <w:sz w:val="24"/>
          <w:szCs w:val="24"/>
          <w:lang w:val="en-US"/>
        </w:rPr>
        <w:t>ure</w:t>
      </w:r>
      <w:r w:rsidRPr="00DA06FB">
        <w:rPr>
          <w:rFonts w:ascii="Times New Roman" w:hAnsi="Times New Roman"/>
          <w:bCs/>
          <w:color w:val="000000"/>
          <w:sz w:val="24"/>
          <w:szCs w:val="24"/>
          <w:lang w:val="en-US"/>
        </w:rPr>
        <w:t xml:space="preserve"> </w:t>
      </w:r>
      <w:r w:rsidR="00882CCE">
        <w:rPr>
          <w:rFonts w:ascii="Times New Roman" w:hAnsi="Times New Roman"/>
          <w:bCs/>
          <w:color w:val="000000"/>
          <w:sz w:val="24"/>
          <w:szCs w:val="24"/>
          <w:lang w:val="en-US"/>
        </w:rPr>
        <w:t>5a</w:t>
      </w:r>
      <w:r w:rsidRPr="00DA06FB">
        <w:rPr>
          <w:rFonts w:ascii="Times New Roman" w:hAnsi="Times New Roman"/>
          <w:bCs/>
          <w:color w:val="000000"/>
          <w:sz w:val="24"/>
          <w:szCs w:val="24"/>
          <w:lang w:val="en-US"/>
        </w:rPr>
        <w:t xml:space="preserve"> an</w:t>
      </w:r>
      <w:r w:rsidR="001348C9">
        <w:rPr>
          <w:rFonts w:ascii="Times New Roman" w:hAnsi="Times New Roman"/>
          <w:bCs/>
          <w:color w:val="000000"/>
          <w:sz w:val="24"/>
          <w:szCs w:val="24"/>
          <w:lang w:val="en-US"/>
        </w:rPr>
        <w:t xml:space="preserve">d </w:t>
      </w:r>
      <w:r w:rsidR="00882CCE">
        <w:rPr>
          <w:rFonts w:ascii="Times New Roman" w:hAnsi="Times New Roman"/>
          <w:bCs/>
          <w:color w:val="000000"/>
          <w:sz w:val="24"/>
          <w:szCs w:val="24"/>
          <w:lang w:val="en-US"/>
        </w:rPr>
        <w:t>5b</w:t>
      </w:r>
      <w:r w:rsidRPr="00DA06FB">
        <w:rPr>
          <w:rFonts w:ascii="Times New Roman" w:hAnsi="Times New Roman"/>
          <w:bCs/>
          <w:color w:val="000000"/>
          <w:sz w:val="24"/>
          <w:szCs w:val="24"/>
          <w:lang w:val="en-US"/>
        </w:rPr>
        <w:t xml:space="preserve"> respectively. </w:t>
      </w:r>
    </w:p>
    <w:p w14:paraId="72C99270" w14:textId="0F01F790" w:rsidR="00DB1FC2" w:rsidRDefault="001335EA"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result showed that three components have eigenvalue greater than</w:t>
      </w:r>
      <w:r w:rsidR="009D28F6">
        <w:rPr>
          <w:rFonts w:ascii="Times New Roman" w:hAnsi="Times New Roman"/>
          <w:bCs/>
          <w:color w:val="000000"/>
          <w:sz w:val="24"/>
          <w:szCs w:val="24"/>
          <w:lang w:val="en-US"/>
        </w:rPr>
        <w:t xml:space="preserve"> </w:t>
      </w:r>
      <w:r w:rsidR="00882CCE">
        <w:rPr>
          <w:rFonts w:ascii="Times New Roman" w:hAnsi="Times New Roman"/>
          <w:bCs/>
          <w:color w:val="000000"/>
          <w:sz w:val="24"/>
          <w:szCs w:val="24"/>
          <w:lang w:val="en-US"/>
        </w:rPr>
        <w:t>1</w:t>
      </w:r>
      <w:r w:rsidR="009D28F6">
        <w:rPr>
          <w:rFonts w:ascii="Times New Roman" w:hAnsi="Times New Roman"/>
          <w:bCs/>
          <w:color w:val="000000"/>
          <w:sz w:val="24"/>
          <w:szCs w:val="24"/>
          <w:lang w:val="en-US"/>
        </w:rPr>
        <w:t>,</w:t>
      </w:r>
      <w:r w:rsidR="00882CCE">
        <w:rPr>
          <w:rFonts w:ascii="Times New Roman" w:hAnsi="Times New Roman"/>
          <w:bCs/>
          <w:color w:val="000000"/>
          <w:sz w:val="24"/>
          <w:szCs w:val="24"/>
          <w:lang w:val="en-US"/>
        </w:rPr>
        <w:t xml:space="preserve"> </w:t>
      </w:r>
      <w:r w:rsidR="009D28F6">
        <w:rPr>
          <w:rFonts w:ascii="Times New Roman" w:hAnsi="Times New Roman"/>
          <w:bCs/>
          <w:color w:val="000000"/>
          <w:sz w:val="24"/>
          <w:szCs w:val="24"/>
          <w:lang w:val="en-US"/>
        </w:rPr>
        <w:t>whose</w:t>
      </w:r>
      <w:r w:rsidRPr="00DA06FB">
        <w:rPr>
          <w:rFonts w:ascii="Times New Roman" w:hAnsi="Times New Roman"/>
          <w:bCs/>
          <w:color w:val="000000"/>
          <w:sz w:val="24"/>
          <w:szCs w:val="24"/>
          <w:lang w:val="en-US"/>
        </w:rPr>
        <w:t xml:space="preserve"> cumulative variance </w:t>
      </w:r>
      <w:r w:rsidR="009D28F6">
        <w:rPr>
          <w:rFonts w:ascii="Times New Roman" w:hAnsi="Times New Roman"/>
          <w:bCs/>
          <w:color w:val="000000"/>
          <w:sz w:val="24"/>
          <w:szCs w:val="24"/>
          <w:lang w:val="en-US"/>
        </w:rPr>
        <w:t xml:space="preserve">is </w:t>
      </w:r>
      <w:r w:rsidRPr="00DA06FB">
        <w:rPr>
          <w:rFonts w:ascii="Times New Roman" w:hAnsi="Times New Roman"/>
          <w:bCs/>
          <w:color w:val="000000"/>
          <w:sz w:val="24"/>
          <w:szCs w:val="24"/>
          <w:lang w:val="en-US"/>
        </w:rPr>
        <w:t>73.72% of the total variance</w:t>
      </w:r>
      <w:r w:rsidR="009D28F6">
        <w:rPr>
          <w:rFonts w:ascii="Times New Roman" w:hAnsi="Times New Roman"/>
          <w:bCs/>
          <w:color w:val="000000"/>
          <w:sz w:val="24"/>
          <w:szCs w:val="24"/>
          <w:lang w:val="en-US"/>
        </w:rPr>
        <w:t xml:space="preserve"> </w:t>
      </w:r>
      <w:r w:rsidR="00070FA5">
        <w:rPr>
          <w:rFonts w:ascii="Times New Roman" w:hAnsi="Times New Roman"/>
          <w:bCs/>
          <w:color w:val="000000"/>
          <w:sz w:val="24"/>
          <w:szCs w:val="24"/>
          <w:lang w:val="en-US"/>
        </w:rPr>
        <w:t xml:space="preserve">and </w:t>
      </w:r>
      <w:r w:rsidRPr="00DA06FB">
        <w:rPr>
          <w:rFonts w:ascii="Times New Roman" w:hAnsi="Times New Roman"/>
          <w:bCs/>
          <w:color w:val="000000"/>
          <w:sz w:val="24"/>
          <w:szCs w:val="24"/>
          <w:lang w:val="en-US"/>
        </w:rPr>
        <w:t xml:space="preserve">three components describe </w:t>
      </w:r>
      <w:r w:rsidR="00070FA5" w:rsidRPr="00070FA5">
        <w:rPr>
          <w:rFonts w:ascii="Times New Roman" w:hAnsi="Times New Roman"/>
          <w:bCs/>
          <w:color w:val="000000"/>
          <w:sz w:val="24"/>
          <w:szCs w:val="24"/>
          <w:lang w:val="en-US"/>
        </w:rPr>
        <w:t xml:space="preserve">the different attributes to signify the water chemistry </w:t>
      </w:r>
      <w:r w:rsidR="00070FA5">
        <w:rPr>
          <w:rFonts w:ascii="Times New Roman" w:hAnsi="Times New Roman"/>
          <w:bCs/>
          <w:color w:val="000000"/>
          <w:sz w:val="24"/>
          <w:szCs w:val="24"/>
          <w:lang w:val="en-US"/>
        </w:rPr>
        <w:t>(Table 3)</w:t>
      </w:r>
      <w:r w:rsidRPr="00DA06FB">
        <w:rPr>
          <w:rFonts w:ascii="Times New Roman" w:hAnsi="Times New Roman"/>
          <w:bCs/>
          <w:color w:val="000000"/>
          <w:sz w:val="24"/>
          <w:szCs w:val="24"/>
          <w:lang w:val="en-US"/>
        </w:rPr>
        <w:t xml:space="preserve">. The first component has </w:t>
      </w:r>
      <w:r w:rsidR="004977BC" w:rsidRPr="00DA06FB">
        <w:rPr>
          <w:rFonts w:ascii="Times New Roman" w:hAnsi="Times New Roman"/>
          <w:bCs/>
          <w:color w:val="000000"/>
          <w:sz w:val="24"/>
          <w:szCs w:val="24"/>
          <w:lang w:val="en-US"/>
        </w:rPr>
        <w:t>a variance of</w:t>
      </w:r>
      <w:r w:rsidRPr="00DA06FB">
        <w:rPr>
          <w:rFonts w:ascii="Times New Roman" w:hAnsi="Times New Roman"/>
          <w:bCs/>
          <w:color w:val="000000"/>
          <w:sz w:val="24"/>
          <w:szCs w:val="24"/>
          <w:lang w:val="en-US"/>
        </w:rPr>
        <w:t xml:space="preserve"> 40.80 % and contains large positive loading of TH (0.931),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(0.903), Cl</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(0.770), SO</w:t>
      </w:r>
      <w:r w:rsidRPr="00DA06FB">
        <w:rPr>
          <w:rFonts w:ascii="Times New Roman" w:hAnsi="Times New Roman"/>
          <w:bCs/>
          <w:color w:val="000000"/>
          <w:sz w:val="24"/>
          <w:szCs w:val="24"/>
          <w:vertAlign w:val="subscript"/>
          <w:lang w:val="en-US"/>
        </w:rPr>
        <w:t>4</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(0.630), TDS (0.668) and NO</w:t>
      </w:r>
      <w:r w:rsidRPr="00DA06FB">
        <w:rPr>
          <w:rFonts w:ascii="Times New Roman" w:hAnsi="Times New Roman"/>
          <w:bCs/>
          <w:color w:val="000000"/>
          <w:sz w:val="24"/>
          <w:szCs w:val="24"/>
          <w:vertAlign w:val="subscript"/>
          <w:lang w:val="en-US"/>
        </w:rPr>
        <w:t>3</w:t>
      </w:r>
      <w:r w:rsidR="00CC4F87"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(0.746).</w:t>
      </w:r>
      <w:r w:rsidR="00CC4F87" w:rsidRPr="00DA06FB">
        <w:rPr>
          <w:rFonts w:ascii="Times New Roman" w:hAnsi="Times New Roman"/>
          <w:bCs/>
          <w:color w:val="000000"/>
          <w:sz w:val="24"/>
          <w:szCs w:val="24"/>
          <w:lang w:val="en-US"/>
        </w:rPr>
        <w:t xml:space="preserve"> </w:t>
      </w:r>
    </w:p>
    <w:p w14:paraId="2446CE58" w14:textId="77777777" w:rsidR="001039B4" w:rsidRDefault="001039B4" w:rsidP="00DA06FB">
      <w:pPr>
        <w:spacing w:after="0" w:line="360" w:lineRule="auto"/>
        <w:jc w:val="both"/>
        <w:rPr>
          <w:rFonts w:ascii="Times New Roman" w:hAnsi="Times New Roman"/>
          <w:bCs/>
          <w:color w:val="000000"/>
          <w:sz w:val="24"/>
          <w:szCs w:val="24"/>
          <w:lang w:val="en-US"/>
        </w:rPr>
      </w:pPr>
    </w:p>
    <w:p w14:paraId="3FA8934B" w14:textId="77777777" w:rsidR="001039B4" w:rsidRDefault="001039B4" w:rsidP="00DA06FB">
      <w:pPr>
        <w:spacing w:after="0" w:line="360" w:lineRule="auto"/>
        <w:jc w:val="both"/>
        <w:rPr>
          <w:rFonts w:ascii="Times New Roman" w:hAnsi="Times New Roman"/>
          <w:bCs/>
          <w:color w:val="000000"/>
          <w:sz w:val="24"/>
          <w:szCs w:val="24"/>
          <w:lang w:val="en-US"/>
        </w:rPr>
      </w:pPr>
    </w:p>
    <w:p w14:paraId="214B389E" w14:textId="77777777" w:rsidR="001039B4" w:rsidRDefault="001039B4" w:rsidP="00DA06FB">
      <w:pPr>
        <w:spacing w:after="0" w:line="360" w:lineRule="auto"/>
        <w:jc w:val="both"/>
        <w:rPr>
          <w:rFonts w:ascii="Times New Roman" w:hAnsi="Times New Roman"/>
          <w:bCs/>
          <w:color w:val="000000"/>
          <w:sz w:val="24"/>
          <w:szCs w:val="24"/>
          <w:lang w:val="en-US"/>
        </w:rPr>
      </w:pPr>
    </w:p>
    <w:p w14:paraId="3D0B7EDC" w14:textId="412771F2" w:rsidR="00677311" w:rsidRPr="00A9103A" w:rsidRDefault="00677311" w:rsidP="00DA06FB">
      <w:pPr>
        <w:spacing w:after="0" w:line="360" w:lineRule="auto"/>
        <w:jc w:val="both"/>
        <w:rPr>
          <w:rFonts w:ascii="Times New Roman" w:hAnsi="Times New Roman"/>
          <w:bCs/>
          <w:color w:val="000000"/>
          <w:sz w:val="24"/>
          <w:szCs w:val="24"/>
          <w:lang w:val="en-US"/>
        </w:rPr>
      </w:pPr>
      <w:r w:rsidRPr="00A9103A">
        <w:rPr>
          <w:rFonts w:ascii="Times New Roman" w:hAnsi="Times New Roman"/>
          <w:bCs/>
          <w:color w:val="000000"/>
          <w:sz w:val="24"/>
          <w:szCs w:val="24"/>
          <w:lang w:val="en-US"/>
        </w:rPr>
        <w:lastRenderedPageBreak/>
        <w:t>Table 3</w:t>
      </w:r>
      <w:r w:rsidR="00DB1FC2" w:rsidRPr="00A9103A">
        <w:rPr>
          <w:rFonts w:ascii="Times New Roman" w:hAnsi="Times New Roman"/>
          <w:bCs/>
          <w:color w:val="000000"/>
          <w:sz w:val="24"/>
          <w:szCs w:val="24"/>
          <w:lang w:val="en-US"/>
        </w:rPr>
        <w:t>:</w:t>
      </w:r>
      <w:r w:rsidRPr="00A9103A">
        <w:rPr>
          <w:rFonts w:ascii="Times New Roman" w:hAnsi="Times New Roman"/>
          <w:bCs/>
          <w:color w:val="000000"/>
          <w:sz w:val="24"/>
          <w:szCs w:val="24"/>
          <w:lang w:val="en-US"/>
        </w:rPr>
        <w:t xml:space="preserve"> </w:t>
      </w:r>
      <w:r w:rsidR="00DB1FC2" w:rsidRPr="00A9103A">
        <w:rPr>
          <w:rFonts w:ascii="Times New Roman" w:hAnsi="Times New Roman"/>
          <w:bCs/>
          <w:color w:val="000000"/>
          <w:sz w:val="24"/>
          <w:szCs w:val="24"/>
          <w:lang w:val="en-US"/>
        </w:rPr>
        <w:t>P</w:t>
      </w:r>
      <w:r w:rsidRPr="00A9103A">
        <w:rPr>
          <w:rFonts w:ascii="Times New Roman" w:hAnsi="Times New Roman"/>
          <w:bCs/>
          <w:color w:val="000000"/>
          <w:sz w:val="24"/>
          <w:szCs w:val="24"/>
          <w:lang w:val="en-US"/>
        </w:rPr>
        <w:t>rincipal component analysis</w:t>
      </w:r>
      <w:r w:rsidR="00DB1FC2" w:rsidRPr="00A9103A">
        <w:rPr>
          <w:rFonts w:ascii="Times New Roman" w:hAnsi="Times New Roman"/>
          <w:bCs/>
          <w:color w:val="000000"/>
          <w:sz w:val="24"/>
          <w:szCs w:val="24"/>
          <w:lang w:val="en-US"/>
        </w:rPr>
        <w:t xml:space="preserve"> of the parameters</w:t>
      </w:r>
      <w:r w:rsidRPr="00A9103A">
        <w:rPr>
          <w:rFonts w:ascii="Times New Roman" w:hAnsi="Times New Roman"/>
          <w:bCs/>
          <w:color w:val="000000"/>
          <w:sz w:val="24"/>
          <w:szCs w:val="24"/>
          <w:lang w:val="en-US"/>
        </w:rPr>
        <w:t xml:space="preserve"> for the </w:t>
      </w:r>
      <w:r w:rsidR="00DB1FC2" w:rsidRPr="00A9103A">
        <w:rPr>
          <w:rFonts w:ascii="Times New Roman" w:hAnsi="Times New Roman"/>
          <w:bCs/>
          <w:color w:val="000000"/>
          <w:sz w:val="24"/>
          <w:szCs w:val="24"/>
          <w:lang w:val="en-US"/>
        </w:rPr>
        <w:t>groundwater studied</w:t>
      </w:r>
    </w:p>
    <w:tbl>
      <w:tblPr>
        <w:tblpPr w:leftFromText="180" w:rightFromText="180" w:vertAnchor="text" w:horzAnchor="margin" w:tblpXSpec="center" w:tblpY="51"/>
        <w:tblOverlap w:val="never"/>
        <w:tblW w:w="615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71"/>
        <w:gridCol w:w="1433"/>
        <w:gridCol w:w="1588"/>
        <w:gridCol w:w="1566"/>
      </w:tblGrid>
      <w:tr w:rsidR="00677311" w:rsidRPr="00A9103A" w14:paraId="2604CF2E" w14:textId="77777777" w:rsidTr="00A9103A">
        <w:trPr>
          <w:cantSplit/>
          <w:trHeight w:val="447"/>
        </w:trPr>
        <w:tc>
          <w:tcPr>
            <w:tcW w:w="1571" w:type="dxa"/>
            <w:tcBorders>
              <w:top w:val="single" w:sz="4" w:space="0" w:color="auto"/>
              <w:bottom w:val="single" w:sz="4" w:space="0" w:color="auto"/>
            </w:tcBorders>
            <w:shd w:val="clear" w:color="auto" w:fill="FFFFFF"/>
          </w:tcPr>
          <w:p w14:paraId="5558C60B" w14:textId="77777777" w:rsidR="00677311" w:rsidRPr="00A9103A" w:rsidRDefault="00677311" w:rsidP="000C38CE">
            <w:pPr>
              <w:ind w:left="714"/>
              <w:jc w:val="center"/>
              <w:rPr>
                <w:rFonts w:ascii="Times New Roman" w:hAnsi="Times New Roman"/>
                <w:sz w:val="24"/>
                <w:szCs w:val="24"/>
              </w:rPr>
            </w:pPr>
            <w:bookmarkStart w:id="10" w:name="_Hlk215683363"/>
            <w:r w:rsidRPr="00A9103A">
              <w:rPr>
                <w:rFonts w:ascii="Times New Roman" w:hAnsi="Times New Roman"/>
                <w:sz w:val="24"/>
                <w:szCs w:val="24"/>
              </w:rPr>
              <w:t>Variable</w:t>
            </w:r>
          </w:p>
        </w:tc>
        <w:tc>
          <w:tcPr>
            <w:tcW w:w="1433" w:type="dxa"/>
            <w:tcBorders>
              <w:top w:val="single" w:sz="4" w:space="0" w:color="auto"/>
              <w:bottom w:val="single" w:sz="4" w:space="0" w:color="auto"/>
            </w:tcBorders>
            <w:shd w:val="clear" w:color="auto" w:fill="FFFFFF"/>
          </w:tcPr>
          <w:p w14:paraId="49B27328" w14:textId="77777777" w:rsidR="00677311" w:rsidRPr="00A9103A" w:rsidRDefault="00677311" w:rsidP="000C38CE">
            <w:pPr>
              <w:ind w:left="714"/>
              <w:jc w:val="center"/>
              <w:rPr>
                <w:rFonts w:ascii="Times New Roman" w:hAnsi="Times New Roman"/>
                <w:sz w:val="24"/>
                <w:szCs w:val="24"/>
              </w:rPr>
            </w:pPr>
            <w:r w:rsidRPr="00A9103A">
              <w:rPr>
                <w:rFonts w:ascii="Times New Roman" w:hAnsi="Times New Roman"/>
                <w:sz w:val="24"/>
                <w:szCs w:val="24"/>
              </w:rPr>
              <w:t>PC1</w:t>
            </w:r>
          </w:p>
        </w:tc>
        <w:tc>
          <w:tcPr>
            <w:tcW w:w="1588" w:type="dxa"/>
            <w:tcBorders>
              <w:top w:val="single" w:sz="4" w:space="0" w:color="auto"/>
              <w:bottom w:val="single" w:sz="4" w:space="0" w:color="auto"/>
            </w:tcBorders>
            <w:shd w:val="clear" w:color="auto" w:fill="FFFFFF"/>
          </w:tcPr>
          <w:p w14:paraId="5DF8933B" w14:textId="77777777" w:rsidR="00677311" w:rsidRPr="00A9103A" w:rsidRDefault="00677311" w:rsidP="000C38CE">
            <w:pPr>
              <w:ind w:left="714"/>
              <w:jc w:val="center"/>
              <w:rPr>
                <w:rFonts w:ascii="Times New Roman" w:hAnsi="Times New Roman"/>
                <w:sz w:val="24"/>
                <w:szCs w:val="24"/>
              </w:rPr>
            </w:pPr>
            <w:r w:rsidRPr="00A9103A">
              <w:rPr>
                <w:rFonts w:ascii="Times New Roman" w:hAnsi="Times New Roman"/>
                <w:sz w:val="24"/>
                <w:szCs w:val="24"/>
              </w:rPr>
              <w:t>PC2</w:t>
            </w:r>
          </w:p>
        </w:tc>
        <w:tc>
          <w:tcPr>
            <w:tcW w:w="1566" w:type="dxa"/>
            <w:tcBorders>
              <w:top w:val="single" w:sz="4" w:space="0" w:color="auto"/>
              <w:bottom w:val="single" w:sz="4" w:space="0" w:color="auto"/>
            </w:tcBorders>
            <w:shd w:val="clear" w:color="auto" w:fill="FFFFFF"/>
          </w:tcPr>
          <w:p w14:paraId="24352623" w14:textId="77777777" w:rsidR="00677311" w:rsidRPr="00A9103A" w:rsidRDefault="00677311" w:rsidP="000C38CE">
            <w:pPr>
              <w:ind w:left="714"/>
              <w:jc w:val="center"/>
              <w:rPr>
                <w:rFonts w:ascii="Times New Roman" w:hAnsi="Times New Roman"/>
                <w:sz w:val="24"/>
                <w:szCs w:val="24"/>
              </w:rPr>
            </w:pPr>
            <w:r w:rsidRPr="00A9103A">
              <w:rPr>
                <w:rFonts w:ascii="Times New Roman" w:hAnsi="Times New Roman"/>
                <w:sz w:val="24"/>
                <w:szCs w:val="24"/>
              </w:rPr>
              <w:t>PC3</w:t>
            </w:r>
          </w:p>
        </w:tc>
      </w:tr>
      <w:tr w:rsidR="00677311" w:rsidRPr="00A9103A" w14:paraId="2F1823A8" w14:textId="77777777" w:rsidTr="00A9103A">
        <w:trPr>
          <w:cantSplit/>
          <w:trHeight w:val="262"/>
        </w:trPr>
        <w:tc>
          <w:tcPr>
            <w:tcW w:w="1571" w:type="dxa"/>
            <w:tcBorders>
              <w:top w:val="single" w:sz="4" w:space="0" w:color="auto"/>
            </w:tcBorders>
            <w:shd w:val="clear" w:color="auto" w:fill="FFFFFF"/>
            <w:vAlign w:val="center"/>
          </w:tcPr>
          <w:p w14:paraId="218CCF9C"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TDS</w:t>
            </w:r>
          </w:p>
        </w:tc>
        <w:tc>
          <w:tcPr>
            <w:tcW w:w="1433" w:type="dxa"/>
            <w:tcBorders>
              <w:top w:val="single" w:sz="4" w:space="0" w:color="auto"/>
            </w:tcBorders>
            <w:shd w:val="clear" w:color="auto" w:fill="FFFFFF"/>
            <w:vAlign w:val="center"/>
          </w:tcPr>
          <w:p w14:paraId="32055A7B"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.668</w:t>
            </w:r>
          </w:p>
        </w:tc>
        <w:tc>
          <w:tcPr>
            <w:tcW w:w="1588" w:type="dxa"/>
            <w:tcBorders>
              <w:top w:val="single" w:sz="4" w:space="0" w:color="auto"/>
            </w:tcBorders>
            <w:shd w:val="clear" w:color="auto" w:fill="FFFFFF"/>
            <w:vAlign w:val="center"/>
          </w:tcPr>
          <w:p w14:paraId="126CED1D"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.218</w:t>
            </w:r>
          </w:p>
        </w:tc>
        <w:tc>
          <w:tcPr>
            <w:tcW w:w="1566" w:type="dxa"/>
            <w:tcBorders>
              <w:top w:val="single" w:sz="4" w:space="0" w:color="auto"/>
            </w:tcBorders>
            <w:shd w:val="clear" w:color="auto" w:fill="FFFFFF"/>
            <w:vAlign w:val="center"/>
          </w:tcPr>
          <w:p w14:paraId="77D12F7F"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.532</w:t>
            </w:r>
          </w:p>
        </w:tc>
      </w:tr>
      <w:tr w:rsidR="00677311" w:rsidRPr="00A9103A" w14:paraId="487BD9E6" w14:textId="77777777" w:rsidTr="00A9103A">
        <w:trPr>
          <w:cantSplit/>
          <w:trHeight w:val="272"/>
        </w:trPr>
        <w:tc>
          <w:tcPr>
            <w:tcW w:w="1571" w:type="dxa"/>
            <w:shd w:val="clear" w:color="auto" w:fill="FFFFFF"/>
            <w:vAlign w:val="center"/>
          </w:tcPr>
          <w:p w14:paraId="4C1CBC12"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TH</w:t>
            </w:r>
          </w:p>
        </w:tc>
        <w:tc>
          <w:tcPr>
            <w:tcW w:w="1433" w:type="dxa"/>
            <w:shd w:val="clear" w:color="auto" w:fill="FFFFFF"/>
            <w:vAlign w:val="center"/>
          </w:tcPr>
          <w:p w14:paraId="0567E8CB"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.931</w:t>
            </w:r>
          </w:p>
        </w:tc>
        <w:tc>
          <w:tcPr>
            <w:tcW w:w="1588" w:type="dxa"/>
            <w:shd w:val="clear" w:color="auto" w:fill="FFFFFF"/>
            <w:vAlign w:val="center"/>
          </w:tcPr>
          <w:p w14:paraId="7E5A569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.010</w:t>
            </w:r>
          </w:p>
        </w:tc>
        <w:tc>
          <w:tcPr>
            <w:tcW w:w="1566" w:type="dxa"/>
            <w:shd w:val="clear" w:color="auto" w:fill="FFFFFF"/>
            <w:vAlign w:val="center"/>
          </w:tcPr>
          <w:p w14:paraId="6AB8A41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-.200</w:t>
            </w:r>
          </w:p>
        </w:tc>
      </w:tr>
      <w:tr w:rsidR="00677311" w:rsidRPr="00A9103A" w14:paraId="431D4727" w14:textId="77777777" w:rsidTr="00A9103A">
        <w:trPr>
          <w:cantSplit/>
          <w:trHeight w:val="272"/>
        </w:trPr>
        <w:tc>
          <w:tcPr>
            <w:tcW w:w="1571" w:type="dxa"/>
            <w:shd w:val="clear" w:color="auto" w:fill="FFFFFF"/>
            <w:vAlign w:val="center"/>
          </w:tcPr>
          <w:p w14:paraId="52633AB3"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Ca</w:t>
            </w:r>
            <w:r w:rsidRPr="00A9103A">
              <w:rPr>
                <w:rFonts w:ascii="Times New Roman" w:hAnsi="Times New Roman"/>
                <w:sz w:val="24"/>
                <w:szCs w:val="24"/>
                <w:vertAlign w:val="superscript"/>
              </w:rPr>
              <w:t>2+</w:t>
            </w:r>
          </w:p>
        </w:tc>
        <w:tc>
          <w:tcPr>
            <w:tcW w:w="1433" w:type="dxa"/>
            <w:shd w:val="clear" w:color="auto" w:fill="FFFFFF"/>
            <w:vAlign w:val="center"/>
          </w:tcPr>
          <w:p w14:paraId="43CFBF51"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.903</w:t>
            </w:r>
          </w:p>
        </w:tc>
        <w:tc>
          <w:tcPr>
            <w:tcW w:w="1588" w:type="dxa"/>
            <w:shd w:val="clear" w:color="auto" w:fill="FFFFFF"/>
            <w:vAlign w:val="center"/>
          </w:tcPr>
          <w:p w14:paraId="13EB5B8C"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.016</w:t>
            </w:r>
          </w:p>
        </w:tc>
        <w:tc>
          <w:tcPr>
            <w:tcW w:w="1566" w:type="dxa"/>
            <w:shd w:val="clear" w:color="auto" w:fill="FFFFFF"/>
            <w:vAlign w:val="center"/>
          </w:tcPr>
          <w:p w14:paraId="4723CA8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-.219</w:t>
            </w:r>
          </w:p>
        </w:tc>
      </w:tr>
      <w:tr w:rsidR="00677311" w:rsidRPr="00A9103A" w14:paraId="2C188F35" w14:textId="77777777" w:rsidTr="00A9103A">
        <w:trPr>
          <w:cantSplit/>
          <w:trHeight w:val="262"/>
        </w:trPr>
        <w:tc>
          <w:tcPr>
            <w:tcW w:w="1571" w:type="dxa"/>
            <w:shd w:val="clear" w:color="auto" w:fill="FFFFFF"/>
            <w:vAlign w:val="center"/>
          </w:tcPr>
          <w:p w14:paraId="553F8027"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Na</w:t>
            </w:r>
            <w:r w:rsidRPr="00A9103A">
              <w:rPr>
                <w:rFonts w:ascii="Times New Roman" w:hAnsi="Times New Roman"/>
                <w:sz w:val="24"/>
                <w:szCs w:val="24"/>
                <w:vertAlign w:val="superscript"/>
              </w:rPr>
              <w:t>+</w:t>
            </w:r>
          </w:p>
        </w:tc>
        <w:tc>
          <w:tcPr>
            <w:tcW w:w="1433" w:type="dxa"/>
            <w:shd w:val="clear" w:color="auto" w:fill="FFFFFF"/>
            <w:vAlign w:val="center"/>
          </w:tcPr>
          <w:p w14:paraId="002441F9"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-.168</w:t>
            </w:r>
          </w:p>
        </w:tc>
        <w:tc>
          <w:tcPr>
            <w:tcW w:w="1588" w:type="dxa"/>
            <w:shd w:val="clear" w:color="auto" w:fill="FFFFFF"/>
            <w:vAlign w:val="center"/>
          </w:tcPr>
          <w:p w14:paraId="0A038CDB"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.788</w:t>
            </w:r>
          </w:p>
        </w:tc>
        <w:tc>
          <w:tcPr>
            <w:tcW w:w="1566" w:type="dxa"/>
            <w:shd w:val="clear" w:color="auto" w:fill="FFFFFF"/>
            <w:vAlign w:val="center"/>
          </w:tcPr>
          <w:p w14:paraId="453F6528"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.422</w:t>
            </w:r>
          </w:p>
        </w:tc>
      </w:tr>
      <w:tr w:rsidR="00677311" w:rsidRPr="00A9103A" w14:paraId="762BEF45" w14:textId="77777777" w:rsidTr="00A9103A">
        <w:trPr>
          <w:cantSplit/>
          <w:trHeight w:val="272"/>
        </w:trPr>
        <w:tc>
          <w:tcPr>
            <w:tcW w:w="1571" w:type="dxa"/>
            <w:shd w:val="clear" w:color="auto" w:fill="FFFFFF"/>
            <w:vAlign w:val="center"/>
          </w:tcPr>
          <w:p w14:paraId="453AAD1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K</w:t>
            </w:r>
            <w:r w:rsidRPr="00A9103A">
              <w:rPr>
                <w:rFonts w:ascii="Times New Roman" w:hAnsi="Times New Roman"/>
                <w:sz w:val="24"/>
                <w:szCs w:val="24"/>
                <w:vertAlign w:val="superscript"/>
              </w:rPr>
              <w:t>+</w:t>
            </w:r>
          </w:p>
        </w:tc>
        <w:tc>
          <w:tcPr>
            <w:tcW w:w="1433" w:type="dxa"/>
            <w:shd w:val="clear" w:color="auto" w:fill="FFFFFF"/>
            <w:vAlign w:val="center"/>
          </w:tcPr>
          <w:p w14:paraId="770EEDBF"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-.505</w:t>
            </w:r>
          </w:p>
        </w:tc>
        <w:tc>
          <w:tcPr>
            <w:tcW w:w="1588" w:type="dxa"/>
            <w:shd w:val="clear" w:color="auto" w:fill="FFFFFF"/>
            <w:vAlign w:val="center"/>
          </w:tcPr>
          <w:p w14:paraId="12C3A08A"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.610</w:t>
            </w:r>
          </w:p>
        </w:tc>
        <w:tc>
          <w:tcPr>
            <w:tcW w:w="1566" w:type="dxa"/>
            <w:shd w:val="clear" w:color="auto" w:fill="FFFFFF"/>
            <w:vAlign w:val="center"/>
          </w:tcPr>
          <w:p w14:paraId="75F29430"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.014</w:t>
            </w:r>
          </w:p>
        </w:tc>
      </w:tr>
      <w:tr w:rsidR="00677311" w:rsidRPr="00A9103A" w14:paraId="2C8A5578" w14:textId="77777777" w:rsidTr="00A9103A">
        <w:trPr>
          <w:cantSplit/>
          <w:trHeight w:val="262"/>
        </w:trPr>
        <w:tc>
          <w:tcPr>
            <w:tcW w:w="1571" w:type="dxa"/>
            <w:shd w:val="clear" w:color="auto" w:fill="FFFFFF"/>
            <w:vAlign w:val="center"/>
          </w:tcPr>
          <w:p w14:paraId="0E871165"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Cl</w:t>
            </w:r>
            <w:r w:rsidRPr="00A9103A">
              <w:rPr>
                <w:rFonts w:ascii="Times New Roman" w:hAnsi="Times New Roman"/>
                <w:sz w:val="24"/>
                <w:szCs w:val="24"/>
                <w:vertAlign w:val="superscript"/>
              </w:rPr>
              <w:t>-</w:t>
            </w:r>
          </w:p>
        </w:tc>
        <w:tc>
          <w:tcPr>
            <w:tcW w:w="1433" w:type="dxa"/>
            <w:shd w:val="clear" w:color="auto" w:fill="FFFFFF"/>
            <w:vAlign w:val="center"/>
          </w:tcPr>
          <w:p w14:paraId="6EB315BF"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.770</w:t>
            </w:r>
          </w:p>
        </w:tc>
        <w:tc>
          <w:tcPr>
            <w:tcW w:w="1588" w:type="dxa"/>
            <w:shd w:val="clear" w:color="auto" w:fill="FFFFFF"/>
            <w:vAlign w:val="center"/>
          </w:tcPr>
          <w:p w14:paraId="67563A38"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-.037</w:t>
            </w:r>
          </w:p>
        </w:tc>
        <w:tc>
          <w:tcPr>
            <w:tcW w:w="1566" w:type="dxa"/>
            <w:shd w:val="clear" w:color="auto" w:fill="FFFFFF"/>
            <w:vAlign w:val="center"/>
          </w:tcPr>
          <w:p w14:paraId="72045DAB"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.144</w:t>
            </w:r>
          </w:p>
        </w:tc>
      </w:tr>
      <w:tr w:rsidR="00677311" w:rsidRPr="00A9103A" w14:paraId="03A8D761" w14:textId="77777777" w:rsidTr="00A9103A">
        <w:trPr>
          <w:cantSplit/>
          <w:trHeight w:val="272"/>
        </w:trPr>
        <w:tc>
          <w:tcPr>
            <w:tcW w:w="1571" w:type="dxa"/>
            <w:shd w:val="clear" w:color="auto" w:fill="FFFFFF"/>
            <w:vAlign w:val="center"/>
          </w:tcPr>
          <w:p w14:paraId="51FDA93F"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HCO</w:t>
            </w:r>
            <w:r w:rsidRPr="00A9103A">
              <w:rPr>
                <w:rFonts w:ascii="Times New Roman" w:hAnsi="Times New Roman"/>
                <w:sz w:val="24"/>
                <w:szCs w:val="24"/>
                <w:vertAlign w:val="subscript"/>
              </w:rPr>
              <w:t>3</w:t>
            </w:r>
            <w:r w:rsidRPr="00A9103A">
              <w:rPr>
                <w:rFonts w:ascii="Times New Roman" w:hAnsi="Times New Roman"/>
                <w:sz w:val="24"/>
                <w:szCs w:val="24"/>
                <w:vertAlign w:val="superscript"/>
              </w:rPr>
              <w:t>-</w:t>
            </w:r>
          </w:p>
        </w:tc>
        <w:tc>
          <w:tcPr>
            <w:tcW w:w="1433" w:type="dxa"/>
            <w:shd w:val="clear" w:color="auto" w:fill="FFFFFF"/>
            <w:vAlign w:val="center"/>
          </w:tcPr>
          <w:p w14:paraId="0B52A8C3"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.300</w:t>
            </w:r>
          </w:p>
        </w:tc>
        <w:tc>
          <w:tcPr>
            <w:tcW w:w="1588" w:type="dxa"/>
            <w:shd w:val="clear" w:color="auto" w:fill="FFFFFF"/>
            <w:vAlign w:val="center"/>
          </w:tcPr>
          <w:p w14:paraId="7D20F044"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.855</w:t>
            </w:r>
          </w:p>
        </w:tc>
        <w:tc>
          <w:tcPr>
            <w:tcW w:w="1566" w:type="dxa"/>
            <w:shd w:val="clear" w:color="auto" w:fill="FFFFFF"/>
            <w:vAlign w:val="center"/>
          </w:tcPr>
          <w:p w14:paraId="73AE6014"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-.163</w:t>
            </w:r>
          </w:p>
        </w:tc>
      </w:tr>
      <w:tr w:rsidR="00677311" w:rsidRPr="00A9103A" w14:paraId="786B4838" w14:textId="77777777" w:rsidTr="00A9103A">
        <w:trPr>
          <w:cantSplit/>
          <w:trHeight w:val="272"/>
        </w:trPr>
        <w:tc>
          <w:tcPr>
            <w:tcW w:w="1571" w:type="dxa"/>
            <w:shd w:val="clear" w:color="auto" w:fill="FFFFFF"/>
            <w:vAlign w:val="center"/>
          </w:tcPr>
          <w:p w14:paraId="7F5B5E4E"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SO</w:t>
            </w:r>
            <w:r w:rsidRPr="00A9103A">
              <w:rPr>
                <w:rFonts w:ascii="Times New Roman" w:hAnsi="Times New Roman"/>
                <w:sz w:val="24"/>
                <w:szCs w:val="24"/>
                <w:vertAlign w:val="subscript"/>
              </w:rPr>
              <w:t>4</w:t>
            </w:r>
            <w:r w:rsidRPr="00A9103A">
              <w:rPr>
                <w:rFonts w:ascii="Times New Roman" w:hAnsi="Times New Roman"/>
                <w:sz w:val="24"/>
                <w:szCs w:val="24"/>
                <w:vertAlign w:val="superscript"/>
              </w:rPr>
              <w:t>2-</w:t>
            </w:r>
          </w:p>
        </w:tc>
        <w:tc>
          <w:tcPr>
            <w:tcW w:w="1433" w:type="dxa"/>
            <w:shd w:val="clear" w:color="auto" w:fill="FFFFFF"/>
            <w:vAlign w:val="center"/>
          </w:tcPr>
          <w:p w14:paraId="6F3DCDC5"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.630</w:t>
            </w:r>
          </w:p>
        </w:tc>
        <w:tc>
          <w:tcPr>
            <w:tcW w:w="1588" w:type="dxa"/>
            <w:shd w:val="clear" w:color="auto" w:fill="FFFFFF"/>
            <w:vAlign w:val="center"/>
          </w:tcPr>
          <w:p w14:paraId="310BED1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.069</w:t>
            </w:r>
          </w:p>
        </w:tc>
        <w:tc>
          <w:tcPr>
            <w:tcW w:w="1566" w:type="dxa"/>
            <w:shd w:val="clear" w:color="auto" w:fill="FFFFFF"/>
            <w:vAlign w:val="center"/>
          </w:tcPr>
          <w:p w14:paraId="31933BD6"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.448</w:t>
            </w:r>
          </w:p>
        </w:tc>
      </w:tr>
      <w:tr w:rsidR="00677311" w:rsidRPr="00A9103A" w14:paraId="4EF88512" w14:textId="77777777" w:rsidTr="00A9103A">
        <w:trPr>
          <w:cantSplit/>
          <w:trHeight w:val="262"/>
        </w:trPr>
        <w:tc>
          <w:tcPr>
            <w:tcW w:w="1571" w:type="dxa"/>
            <w:shd w:val="clear" w:color="auto" w:fill="FFFFFF"/>
            <w:vAlign w:val="center"/>
          </w:tcPr>
          <w:p w14:paraId="46BE977C" w14:textId="77777777" w:rsidR="00677311" w:rsidRPr="00A9103A" w:rsidRDefault="00677311" w:rsidP="00677311">
            <w:pPr>
              <w:spacing w:after="0" w:line="240" w:lineRule="auto"/>
              <w:ind w:left="714"/>
              <w:jc w:val="center"/>
              <w:rPr>
                <w:rFonts w:ascii="Times New Roman" w:hAnsi="Times New Roman"/>
                <w:sz w:val="24"/>
                <w:szCs w:val="24"/>
                <w:vertAlign w:val="superscript"/>
              </w:rPr>
            </w:pPr>
            <w:r w:rsidRPr="00A9103A">
              <w:rPr>
                <w:rFonts w:ascii="Times New Roman" w:hAnsi="Times New Roman"/>
                <w:sz w:val="24"/>
                <w:szCs w:val="24"/>
              </w:rPr>
              <w:t>F</w:t>
            </w:r>
            <w:r w:rsidRPr="00A9103A">
              <w:rPr>
                <w:rFonts w:ascii="Times New Roman" w:hAnsi="Times New Roman"/>
                <w:sz w:val="24"/>
                <w:szCs w:val="24"/>
                <w:vertAlign w:val="superscript"/>
              </w:rPr>
              <w:t>-</w:t>
            </w:r>
          </w:p>
        </w:tc>
        <w:tc>
          <w:tcPr>
            <w:tcW w:w="1433" w:type="dxa"/>
            <w:shd w:val="clear" w:color="auto" w:fill="FFFFFF"/>
            <w:vAlign w:val="center"/>
          </w:tcPr>
          <w:p w14:paraId="18C655BA"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-.133</w:t>
            </w:r>
          </w:p>
        </w:tc>
        <w:tc>
          <w:tcPr>
            <w:tcW w:w="1588" w:type="dxa"/>
            <w:shd w:val="clear" w:color="auto" w:fill="FFFFFF"/>
            <w:vAlign w:val="center"/>
          </w:tcPr>
          <w:p w14:paraId="0BD386B5"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.011</w:t>
            </w:r>
          </w:p>
        </w:tc>
        <w:tc>
          <w:tcPr>
            <w:tcW w:w="1566" w:type="dxa"/>
            <w:shd w:val="clear" w:color="auto" w:fill="FFFFFF"/>
            <w:vAlign w:val="center"/>
          </w:tcPr>
          <w:p w14:paraId="4CE381D4"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.818</w:t>
            </w:r>
          </w:p>
        </w:tc>
      </w:tr>
      <w:tr w:rsidR="00677311" w:rsidRPr="00A9103A" w14:paraId="075A7831" w14:textId="77777777" w:rsidTr="00A9103A">
        <w:trPr>
          <w:cantSplit/>
          <w:trHeight w:val="217"/>
        </w:trPr>
        <w:tc>
          <w:tcPr>
            <w:tcW w:w="1571" w:type="dxa"/>
            <w:shd w:val="clear" w:color="auto" w:fill="FFFFFF"/>
            <w:vAlign w:val="center"/>
          </w:tcPr>
          <w:p w14:paraId="2F15E253" w14:textId="77777777" w:rsidR="00677311" w:rsidRPr="00A9103A" w:rsidRDefault="00677311" w:rsidP="00677311">
            <w:pPr>
              <w:spacing w:line="240" w:lineRule="auto"/>
              <w:ind w:left="714"/>
              <w:jc w:val="center"/>
              <w:rPr>
                <w:rFonts w:ascii="Times New Roman" w:hAnsi="Times New Roman"/>
                <w:sz w:val="24"/>
                <w:szCs w:val="24"/>
                <w:vertAlign w:val="superscript"/>
              </w:rPr>
            </w:pPr>
            <w:r w:rsidRPr="00A9103A">
              <w:rPr>
                <w:rFonts w:ascii="Times New Roman" w:hAnsi="Times New Roman"/>
                <w:sz w:val="24"/>
                <w:szCs w:val="24"/>
              </w:rPr>
              <w:t>NO</w:t>
            </w:r>
            <w:r w:rsidRPr="00A9103A">
              <w:rPr>
                <w:rFonts w:ascii="Times New Roman" w:hAnsi="Times New Roman"/>
                <w:sz w:val="24"/>
                <w:szCs w:val="24"/>
                <w:vertAlign w:val="subscript"/>
              </w:rPr>
              <w:t>3</w:t>
            </w:r>
            <w:r w:rsidRPr="00A9103A">
              <w:rPr>
                <w:rFonts w:ascii="Times New Roman" w:hAnsi="Times New Roman"/>
                <w:sz w:val="24"/>
                <w:szCs w:val="24"/>
                <w:vertAlign w:val="superscript"/>
              </w:rPr>
              <w:t>-</w:t>
            </w:r>
          </w:p>
        </w:tc>
        <w:tc>
          <w:tcPr>
            <w:tcW w:w="1433" w:type="dxa"/>
            <w:shd w:val="clear" w:color="auto" w:fill="FFFFFF"/>
            <w:vAlign w:val="center"/>
          </w:tcPr>
          <w:p w14:paraId="75985B5F"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.746</w:t>
            </w:r>
          </w:p>
        </w:tc>
        <w:tc>
          <w:tcPr>
            <w:tcW w:w="1588" w:type="dxa"/>
            <w:shd w:val="clear" w:color="auto" w:fill="FFFFFF"/>
            <w:vAlign w:val="center"/>
          </w:tcPr>
          <w:p w14:paraId="70F647D1" w14:textId="77777777" w:rsidR="00677311" w:rsidRPr="00A9103A" w:rsidRDefault="00677311" w:rsidP="00677311">
            <w:pPr>
              <w:spacing w:line="240" w:lineRule="auto"/>
              <w:ind w:left="714"/>
              <w:jc w:val="center"/>
              <w:rPr>
                <w:rFonts w:ascii="Times New Roman" w:hAnsi="Times New Roman"/>
                <w:sz w:val="24"/>
                <w:szCs w:val="24"/>
              </w:rPr>
            </w:pPr>
            <w:r w:rsidRPr="00A9103A">
              <w:rPr>
                <w:rFonts w:ascii="Times New Roman" w:hAnsi="Times New Roman"/>
                <w:sz w:val="24"/>
                <w:szCs w:val="24"/>
              </w:rPr>
              <w:t>-.228</w:t>
            </w:r>
          </w:p>
        </w:tc>
        <w:tc>
          <w:tcPr>
            <w:tcW w:w="1566" w:type="dxa"/>
            <w:shd w:val="clear" w:color="auto" w:fill="FFFFFF"/>
            <w:vAlign w:val="center"/>
          </w:tcPr>
          <w:p w14:paraId="332E03F4" w14:textId="77777777" w:rsidR="00677311" w:rsidRPr="00A9103A" w:rsidRDefault="00677311" w:rsidP="00677311">
            <w:pPr>
              <w:spacing w:line="240" w:lineRule="auto"/>
              <w:ind w:left="714"/>
              <w:jc w:val="center"/>
              <w:rPr>
                <w:rFonts w:ascii="Times New Roman" w:hAnsi="Times New Roman"/>
                <w:sz w:val="24"/>
                <w:szCs w:val="24"/>
              </w:rPr>
            </w:pPr>
            <w:r w:rsidRPr="00A9103A">
              <w:rPr>
                <w:rFonts w:ascii="Times New Roman" w:hAnsi="Times New Roman"/>
                <w:sz w:val="24"/>
                <w:szCs w:val="24"/>
              </w:rPr>
              <w:t>-.086</w:t>
            </w:r>
          </w:p>
        </w:tc>
      </w:tr>
      <w:tr w:rsidR="00677311" w:rsidRPr="00A9103A" w14:paraId="4E4DBF7A" w14:textId="77777777" w:rsidTr="00A9103A">
        <w:trPr>
          <w:cantSplit/>
          <w:trHeight w:val="227"/>
        </w:trPr>
        <w:tc>
          <w:tcPr>
            <w:tcW w:w="1571" w:type="dxa"/>
            <w:shd w:val="clear" w:color="auto" w:fill="FFFFFF"/>
            <w:vAlign w:val="center"/>
          </w:tcPr>
          <w:p w14:paraId="34C1AD65" w14:textId="77777777" w:rsidR="00677311" w:rsidRPr="00A9103A" w:rsidRDefault="00677311" w:rsidP="00677311">
            <w:pPr>
              <w:spacing w:line="240" w:lineRule="auto"/>
              <w:jc w:val="center"/>
              <w:rPr>
                <w:rFonts w:ascii="Times New Roman" w:hAnsi="Times New Roman"/>
                <w:b/>
                <w:bCs/>
                <w:sz w:val="24"/>
                <w:szCs w:val="24"/>
              </w:rPr>
            </w:pPr>
            <w:r w:rsidRPr="00A9103A">
              <w:rPr>
                <w:rFonts w:ascii="Times New Roman" w:hAnsi="Times New Roman"/>
                <w:b/>
                <w:bCs/>
                <w:sz w:val="24"/>
                <w:szCs w:val="24"/>
              </w:rPr>
              <w:t>Eigen value</w:t>
            </w:r>
          </w:p>
        </w:tc>
        <w:tc>
          <w:tcPr>
            <w:tcW w:w="1433" w:type="dxa"/>
            <w:shd w:val="clear" w:color="auto" w:fill="FFFFFF"/>
            <w:vAlign w:val="center"/>
          </w:tcPr>
          <w:p w14:paraId="0525BB02"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4.080</w:t>
            </w:r>
          </w:p>
        </w:tc>
        <w:tc>
          <w:tcPr>
            <w:tcW w:w="1588" w:type="dxa"/>
            <w:shd w:val="clear" w:color="auto" w:fill="FFFFFF"/>
            <w:vAlign w:val="center"/>
          </w:tcPr>
          <w:p w14:paraId="138401DD"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2.055</w:t>
            </w:r>
          </w:p>
        </w:tc>
        <w:tc>
          <w:tcPr>
            <w:tcW w:w="1566" w:type="dxa"/>
            <w:shd w:val="clear" w:color="auto" w:fill="FFFFFF"/>
            <w:vAlign w:val="center"/>
          </w:tcPr>
          <w:p w14:paraId="4A482F5C"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1.236</w:t>
            </w:r>
          </w:p>
        </w:tc>
      </w:tr>
      <w:tr w:rsidR="00677311" w:rsidRPr="00A9103A" w14:paraId="1AD5EA66" w14:textId="77777777" w:rsidTr="00A9103A">
        <w:trPr>
          <w:cantSplit/>
          <w:trHeight w:val="227"/>
        </w:trPr>
        <w:tc>
          <w:tcPr>
            <w:tcW w:w="1571" w:type="dxa"/>
            <w:shd w:val="clear" w:color="auto" w:fill="FFFFFF"/>
            <w:vAlign w:val="center"/>
          </w:tcPr>
          <w:p w14:paraId="17B78A1B" w14:textId="77777777" w:rsidR="00677311" w:rsidRPr="00A9103A" w:rsidRDefault="00677311" w:rsidP="00677311">
            <w:pPr>
              <w:spacing w:line="240" w:lineRule="auto"/>
              <w:jc w:val="center"/>
              <w:rPr>
                <w:rFonts w:ascii="Times New Roman" w:hAnsi="Times New Roman"/>
                <w:b/>
                <w:bCs/>
                <w:sz w:val="24"/>
                <w:szCs w:val="24"/>
              </w:rPr>
            </w:pPr>
            <w:r w:rsidRPr="00A9103A">
              <w:rPr>
                <w:rFonts w:ascii="Times New Roman" w:hAnsi="Times New Roman"/>
                <w:b/>
                <w:bCs/>
                <w:sz w:val="24"/>
                <w:szCs w:val="24"/>
              </w:rPr>
              <w:t>Variance%</w:t>
            </w:r>
          </w:p>
        </w:tc>
        <w:tc>
          <w:tcPr>
            <w:tcW w:w="1433" w:type="dxa"/>
            <w:shd w:val="clear" w:color="auto" w:fill="FFFFFF"/>
            <w:vAlign w:val="center"/>
          </w:tcPr>
          <w:p w14:paraId="7739FF07"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40.801</w:t>
            </w:r>
          </w:p>
        </w:tc>
        <w:tc>
          <w:tcPr>
            <w:tcW w:w="1588" w:type="dxa"/>
            <w:shd w:val="clear" w:color="auto" w:fill="FFFFFF"/>
            <w:vAlign w:val="center"/>
          </w:tcPr>
          <w:p w14:paraId="06F9ABDA"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20.553</w:t>
            </w:r>
          </w:p>
        </w:tc>
        <w:tc>
          <w:tcPr>
            <w:tcW w:w="1566" w:type="dxa"/>
            <w:shd w:val="clear" w:color="auto" w:fill="FFFFFF"/>
            <w:vAlign w:val="center"/>
          </w:tcPr>
          <w:p w14:paraId="33428ADC"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12.361</w:t>
            </w:r>
          </w:p>
        </w:tc>
      </w:tr>
      <w:tr w:rsidR="00677311" w:rsidRPr="00A9103A" w14:paraId="2C0D2961" w14:textId="77777777" w:rsidTr="00A9103A">
        <w:trPr>
          <w:cantSplit/>
          <w:trHeight w:val="227"/>
        </w:trPr>
        <w:tc>
          <w:tcPr>
            <w:tcW w:w="1571" w:type="dxa"/>
            <w:shd w:val="clear" w:color="auto" w:fill="FFFFFF"/>
            <w:vAlign w:val="center"/>
          </w:tcPr>
          <w:p w14:paraId="1B8E01AE" w14:textId="77777777" w:rsidR="00677311" w:rsidRPr="00A9103A" w:rsidRDefault="00677311" w:rsidP="00677311">
            <w:pPr>
              <w:spacing w:line="240" w:lineRule="auto"/>
              <w:jc w:val="center"/>
              <w:rPr>
                <w:rFonts w:ascii="Times New Roman" w:hAnsi="Times New Roman"/>
                <w:b/>
                <w:bCs/>
                <w:sz w:val="24"/>
                <w:szCs w:val="24"/>
              </w:rPr>
            </w:pPr>
            <w:r w:rsidRPr="00A9103A">
              <w:rPr>
                <w:rFonts w:ascii="Times New Roman" w:hAnsi="Times New Roman"/>
                <w:b/>
                <w:bCs/>
                <w:sz w:val="24"/>
                <w:szCs w:val="24"/>
              </w:rPr>
              <w:t>Cumulative %</w:t>
            </w:r>
          </w:p>
        </w:tc>
        <w:tc>
          <w:tcPr>
            <w:tcW w:w="1433" w:type="dxa"/>
            <w:shd w:val="clear" w:color="auto" w:fill="FFFFFF"/>
            <w:vAlign w:val="center"/>
          </w:tcPr>
          <w:p w14:paraId="31E333A6"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40.801</w:t>
            </w:r>
          </w:p>
        </w:tc>
        <w:tc>
          <w:tcPr>
            <w:tcW w:w="1588" w:type="dxa"/>
            <w:shd w:val="clear" w:color="auto" w:fill="FFFFFF"/>
            <w:vAlign w:val="center"/>
          </w:tcPr>
          <w:p w14:paraId="74412D0F"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61.354</w:t>
            </w:r>
          </w:p>
        </w:tc>
        <w:tc>
          <w:tcPr>
            <w:tcW w:w="1566" w:type="dxa"/>
            <w:shd w:val="clear" w:color="auto" w:fill="FFFFFF"/>
            <w:vAlign w:val="center"/>
          </w:tcPr>
          <w:p w14:paraId="036A9CC7"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73.715</w:t>
            </w:r>
          </w:p>
        </w:tc>
      </w:tr>
      <w:bookmarkEnd w:id="10"/>
    </w:tbl>
    <w:p w14:paraId="34765ECA"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05F0C87A"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5EBC47FC"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5C2AE2B4"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07D4B18E"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3EB9CF73"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48FDFD0E"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512E2671"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75385091"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066CFEDC"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228C140A" w14:textId="77777777" w:rsidR="00677311" w:rsidRDefault="00677311" w:rsidP="00DA06FB">
      <w:pPr>
        <w:spacing w:after="0" w:line="360" w:lineRule="auto"/>
        <w:jc w:val="both"/>
        <w:rPr>
          <w:rFonts w:ascii="Times New Roman" w:hAnsi="Times New Roman"/>
          <w:bCs/>
          <w:color w:val="000000"/>
          <w:sz w:val="24"/>
          <w:szCs w:val="24"/>
          <w:lang w:val="en-US"/>
        </w:rPr>
      </w:pPr>
    </w:p>
    <w:p w14:paraId="43224532" w14:textId="77777777" w:rsidR="00A9103A" w:rsidRDefault="00A9103A" w:rsidP="00DA06FB">
      <w:pPr>
        <w:spacing w:after="0" w:line="360" w:lineRule="auto"/>
        <w:jc w:val="both"/>
        <w:rPr>
          <w:rFonts w:ascii="Times New Roman" w:hAnsi="Times New Roman"/>
          <w:bCs/>
          <w:color w:val="000000"/>
          <w:sz w:val="24"/>
          <w:szCs w:val="24"/>
          <w:lang w:val="en-US"/>
        </w:rPr>
      </w:pPr>
    </w:p>
    <w:p w14:paraId="61977D64" w14:textId="77777777" w:rsidR="001039B4" w:rsidRPr="00A9103A" w:rsidRDefault="001039B4" w:rsidP="00DA06FB">
      <w:pPr>
        <w:spacing w:after="0" w:line="360" w:lineRule="auto"/>
        <w:jc w:val="both"/>
        <w:rPr>
          <w:rFonts w:ascii="Times New Roman" w:hAnsi="Times New Roman"/>
          <w:bCs/>
          <w:color w:val="000000"/>
          <w:sz w:val="24"/>
          <w:szCs w:val="24"/>
          <w:lang w:val="en-US"/>
        </w:rPr>
      </w:pPr>
    </w:p>
    <w:tbl>
      <w:tblPr>
        <w:tblW w:w="9498" w:type="dxa"/>
        <w:tblInd w:w="567" w:type="dxa"/>
        <w:tblLook w:val="04A0" w:firstRow="1" w:lastRow="0" w:firstColumn="1" w:lastColumn="0" w:noHBand="0" w:noVBand="1"/>
      </w:tblPr>
      <w:tblGrid>
        <w:gridCol w:w="4753"/>
        <w:gridCol w:w="5592"/>
      </w:tblGrid>
      <w:tr w:rsidR="00677311" w14:paraId="65891136" w14:textId="77777777" w:rsidTr="000C38CE">
        <w:trPr>
          <w:trHeight w:val="4052"/>
        </w:trPr>
        <w:tc>
          <w:tcPr>
            <w:tcW w:w="5082" w:type="dxa"/>
          </w:tcPr>
          <w:p w14:paraId="04F08049" w14:textId="77777777" w:rsidR="00677311" w:rsidRDefault="00677311" w:rsidP="000C38CE">
            <w:pPr>
              <w:pStyle w:val="NormalWeb"/>
              <w:ind w:left="463" w:hanging="463"/>
              <w:jc w:val="center"/>
            </w:pPr>
            <w:r w:rsidRPr="00AC13CF">
              <w:rPr>
                <w:noProof/>
              </w:rPr>
              <w:drawing>
                <wp:inline distT="0" distB="0" distL="0" distR="0" wp14:anchorId="5666292B" wp14:editId="73726641">
                  <wp:extent cx="2914650" cy="3416300"/>
                  <wp:effectExtent l="38100" t="38100" r="38100" b="31750"/>
                  <wp:docPr id="4103802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3416300"/>
                          </a:xfrm>
                          <a:prstGeom prst="rect">
                            <a:avLst/>
                          </a:prstGeom>
                          <a:noFill/>
                          <a:ln w="22225">
                            <a:solidFill>
                              <a:schemeClr val="tx1"/>
                            </a:solidFill>
                          </a:ln>
                        </pic:spPr>
                      </pic:pic>
                    </a:graphicData>
                  </a:graphic>
                </wp:inline>
              </w:drawing>
            </w:r>
          </w:p>
        </w:tc>
        <w:tc>
          <w:tcPr>
            <w:tcW w:w="4416" w:type="dxa"/>
          </w:tcPr>
          <w:p w14:paraId="19762C2A" w14:textId="77777777" w:rsidR="00677311" w:rsidRDefault="00677311" w:rsidP="000C38CE">
            <w:pPr>
              <w:pStyle w:val="NormalWeb"/>
            </w:pPr>
            <w:r w:rsidRPr="00AC13CF">
              <w:rPr>
                <w:noProof/>
              </w:rPr>
              <w:drawing>
                <wp:inline distT="0" distB="0" distL="0" distR="0" wp14:anchorId="2C1EFE1A" wp14:editId="17B6643E">
                  <wp:extent cx="3460750" cy="3403600"/>
                  <wp:effectExtent l="38100" t="38100" r="44450" b="44450"/>
                  <wp:docPr id="1403239856" name="Picture 1460354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035403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0750" cy="3403600"/>
                          </a:xfrm>
                          <a:prstGeom prst="rect">
                            <a:avLst/>
                          </a:prstGeom>
                          <a:noFill/>
                          <a:ln w="22225" cmpd="sng">
                            <a:solidFill>
                              <a:schemeClr val="tx1"/>
                            </a:solidFill>
                            <a:miter lim="800000"/>
                            <a:headEnd/>
                            <a:tailEnd/>
                          </a:ln>
                          <a:effectLst/>
                        </pic:spPr>
                      </pic:pic>
                    </a:graphicData>
                  </a:graphic>
                </wp:inline>
              </w:drawing>
            </w:r>
          </w:p>
        </w:tc>
      </w:tr>
    </w:tbl>
    <w:p w14:paraId="04655E00" w14:textId="77777777" w:rsidR="00677311" w:rsidRDefault="00677311" w:rsidP="00DA06FB">
      <w:pPr>
        <w:spacing w:after="0" w:line="360" w:lineRule="auto"/>
        <w:jc w:val="both"/>
        <w:rPr>
          <w:rFonts w:ascii="Times New Roman" w:hAnsi="Times New Roman"/>
          <w:bCs/>
          <w:color w:val="000000"/>
          <w:sz w:val="24"/>
          <w:szCs w:val="24"/>
          <w:lang w:val="en-US"/>
        </w:rPr>
      </w:pPr>
    </w:p>
    <w:p w14:paraId="3B9602A6" w14:textId="4278E2C7" w:rsidR="00677311" w:rsidRDefault="009F5998" w:rsidP="00DA06FB">
      <w:pPr>
        <w:spacing w:after="0" w:line="360" w:lineRule="auto"/>
        <w:jc w:val="both"/>
        <w:rPr>
          <w:rFonts w:ascii="Times New Roman" w:hAnsi="Times New Roman"/>
          <w:bCs/>
          <w:color w:val="000000"/>
          <w:sz w:val="24"/>
          <w:szCs w:val="24"/>
          <w:lang w:val="en-US"/>
        </w:rPr>
      </w:pPr>
      <w:r>
        <w:rPr>
          <w:rFonts w:ascii="Times New Roman" w:hAnsi="Times New Roman"/>
          <w:bCs/>
          <w:color w:val="000000"/>
          <w:sz w:val="24"/>
          <w:szCs w:val="24"/>
          <w:lang w:val="en-US"/>
        </w:rPr>
        <w:t>Figure 5</w:t>
      </w:r>
      <w:r w:rsidR="00DB1FC2">
        <w:rPr>
          <w:rFonts w:ascii="Times New Roman" w:hAnsi="Times New Roman"/>
          <w:bCs/>
          <w:color w:val="000000"/>
          <w:sz w:val="24"/>
          <w:szCs w:val="24"/>
          <w:lang w:val="en-US"/>
        </w:rPr>
        <w:t xml:space="preserve">: </w:t>
      </w:r>
      <w:r>
        <w:rPr>
          <w:rFonts w:ascii="Times New Roman" w:hAnsi="Times New Roman"/>
          <w:bCs/>
          <w:color w:val="000000"/>
          <w:sz w:val="24"/>
          <w:szCs w:val="24"/>
          <w:lang w:val="en-US"/>
        </w:rPr>
        <w:t>(a) Scree plot for PCA of the study area and (b) Component plots in rotated space.</w:t>
      </w:r>
    </w:p>
    <w:p w14:paraId="0C8365F9" w14:textId="77777777" w:rsidR="009F5998" w:rsidRDefault="009F5998" w:rsidP="00DA06FB">
      <w:pPr>
        <w:spacing w:after="0" w:line="360" w:lineRule="auto"/>
        <w:jc w:val="both"/>
        <w:rPr>
          <w:rFonts w:ascii="Times New Roman" w:hAnsi="Times New Roman"/>
          <w:bCs/>
          <w:color w:val="000000"/>
          <w:sz w:val="24"/>
          <w:szCs w:val="24"/>
          <w:lang w:val="en-US"/>
        </w:rPr>
      </w:pPr>
    </w:p>
    <w:p w14:paraId="580BCD13" w14:textId="3FD3CE16" w:rsidR="001335EA" w:rsidRPr="00DA06FB" w:rsidRDefault="001335EA" w:rsidP="00F1529B">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Factor loadings of PC1 indicates that the water chemistry influenced by carbonate and sulphate mineral dissolution, and anthropogenic inputs such as nitrate contamination from fertilizers or sewage infiltration</w:t>
      </w:r>
      <w:r w:rsidR="001348C9">
        <w:rPr>
          <w:rFonts w:ascii="Times New Roman" w:hAnsi="Times New Roman"/>
          <w:bCs/>
          <w:color w:val="000000"/>
          <w:sz w:val="24"/>
          <w:szCs w:val="24"/>
          <w:lang w:val="en-US"/>
        </w:rPr>
        <w:t xml:space="preserve"> [10].</w:t>
      </w:r>
      <w:r w:rsidRPr="00DA06FB">
        <w:rPr>
          <w:rFonts w:ascii="Times New Roman" w:hAnsi="Times New Roman"/>
          <w:bCs/>
          <w:color w:val="000000"/>
          <w:sz w:val="24"/>
          <w:szCs w:val="24"/>
          <w:lang w:val="en-US"/>
        </w:rPr>
        <w:t xml:space="preserve"> The PC1 reflects mineral dissolution and anthropogenic enrichment governing groundwater salinity and Total hardness during the premonsoon period.</w:t>
      </w:r>
    </w:p>
    <w:p w14:paraId="49ADA3D5" w14:textId="77777777" w:rsidR="00F1529B" w:rsidRDefault="001335EA" w:rsidP="00F1529B">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 xml:space="preserve">The PC2 has </w:t>
      </w:r>
      <w:r w:rsidR="004977BC" w:rsidRPr="00DA06FB">
        <w:rPr>
          <w:rFonts w:ascii="Times New Roman" w:hAnsi="Times New Roman"/>
          <w:bCs/>
          <w:color w:val="000000"/>
          <w:sz w:val="24"/>
          <w:szCs w:val="24"/>
          <w:lang w:val="en-US"/>
        </w:rPr>
        <w:t>an eigen</w:t>
      </w:r>
      <w:r w:rsidRPr="00DA06FB">
        <w:rPr>
          <w:rFonts w:ascii="Times New Roman" w:hAnsi="Times New Roman"/>
          <w:bCs/>
          <w:color w:val="000000"/>
          <w:sz w:val="24"/>
          <w:szCs w:val="24"/>
          <w:lang w:val="en-US"/>
        </w:rPr>
        <w:t xml:space="preserve"> </w:t>
      </w:r>
      <w:r w:rsidR="004977BC" w:rsidRPr="00DA06FB">
        <w:rPr>
          <w:rFonts w:ascii="Times New Roman" w:hAnsi="Times New Roman"/>
          <w:bCs/>
          <w:color w:val="000000"/>
          <w:sz w:val="24"/>
          <w:szCs w:val="24"/>
          <w:lang w:val="en-US"/>
        </w:rPr>
        <w:t>value of</w:t>
      </w:r>
      <w:r w:rsidRPr="00DA06FB">
        <w:rPr>
          <w:rFonts w:ascii="Times New Roman" w:hAnsi="Times New Roman"/>
          <w:bCs/>
          <w:color w:val="000000"/>
          <w:sz w:val="24"/>
          <w:szCs w:val="24"/>
          <w:lang w:val="en-US"/>
        </w:rPr>
        <w:t xml:space="preserve"> 2.055 with variance 20.553% of the total variance</w:t>
      </w:r>
      <w:r w:rsidR="004977BC" w:rsidRPr="00DA06FB">
        <w:rPr>
          <w:rFonts w:ascii="Times New Roman" w:hAnsi="Times New Roman"/>
          <w:bCs/>
          <w:color w:val="000000"/>
          <w:sz w:val="24"/>
          <w:szCs w:val="24"/>
          <w:lang w:val="en-US"/>
        </w:rPr>
        <w:t>,</w:t>
      </w:r>
      <w:r w:rsidRPr="00DA06FB">
        <w:rPr>
          <w:rFonts w:ascii="Times New Roman" w:hAnsi="Times New Roman"/>
          <w:bCs/>
          <w:color w:val="000000"/>
          <w:sz w:val="24"/>
          <w:szCs w:val="24"/>
          <w:lang w:val="en-US"/>
        </w:rPr>
        <w:t xml:space="preserve"> having strong positive loading of Na</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(0.788), K</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(0.610), and HCO</w:t>
      </w:r>
      <w:r w:rsidRPr="00DA06FB">
        <w:rPr>
          <w:rFonts w:ascii="Times New Roman" w:hAnsi="Times New Roman"/>
          <w:bCs/>
          <w:color w:val="000000"/>
          <w:sz w:val="24"/>
          <w:szCs w:val="24"/>
          <w:vertAlign w:val="subscript"/>
          <w:lang w:val="en-US"/>
        </w:rPr>
        <w:t>3</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(0.855). The robust correlation between Na⁺ and HCO₃⁻ suggests cation exchange and silicate weathering processes, wherein Na⁺ replaces Ca²⁺ and Mg²⁺ on clay mineral exchange sites. Prolonged water-</w:t>
      </w:r>
      <w:r w:rsidR="00CC4F87" w:rsidRPr="00DA06FB">
        <w:rPr>
          <w:rFonts w:ascii="Times New Roman" w:hAnsi="Times New Roman"/>
          <w:bCs/>
          <w:color w:val="000000"/>
          <w:sz w:val="24"/>
          <w:szCs w:val="24"/>
          <w:lang w:val="en-US"/>
        </w:rPr>
        <w:t>rock</w:t>
      </w:r>
      <w:r w:rsidRPr="00DA06FB">
        <w:rPr>
          <w:rFonts w:ascii="Times New Roman" w:hAnsi="Times New Roman"/>
          <w:bCs/>
          <w:color w:val="000000"/>
          <w:sz w:val="24"/>
          <w:szCs w:val="24"/>
          <w:lang w:val="en-US"/>
        </w:rPr>
        <w:t xml:space="preserve"> </w:t>
      </w:r>
      <w:r w:rsidR="00CC4F87" w:rsidRPr="00DA06FB">
        <w:rPr>
          <w:rFonts w:ascii="Times New Roman" w:hAnsi="Times New Roman"/>
          <w:bCs/>
          <w:color w:val="000000"/>
          <w:sz w:val="24"/>
          <w:szCs w:val="24"/>
          <w:lang w:val="en-US"/>
        </w:rPr>
        <w:t xml:space="preserve">contact </w:t>
      </w:r>
      <w:r w:rsidRPr="00DA06FB">
        <w:rPr>
          <w:rFonts w:ascii="Times New Roman" w:hAnsi="Times New Roman"/>
          <w:bCs/>
          <w:color w:val="000000"/>
          <w:sz w:val="24"/>
          <w:szCs w:val="24"/>
          <w:lang w:val="en-US"/>
        </w:rPr>
        <w:t xml:space="preserve">within the aquifer system is suggested by elevated bicarbonate </w:t>
      </w:r>
      <w:r w:rsidRPr="00DA06FB">
        <w:rPr>
          <w:rFonts w:ascii="Times New Roman" w:hAnsi="Times New Roman"/>
          <w:bCs/>
          <w:color w:val="000000"/>
          <w:sz w:val="24"/>
          <w:szCs w:val="24"/>
          <w:lang w:val="en-US"/>
        </w:rPr>
        <w:lastRenderedPageBreak/>
        <w:t>levels and somewhat higher pH values</w:t>
      </w:r>
      <w:r w:rsidR="00727198" w:rsidRPr="00DA06FB">
        <w:rPr>
          <w:rFonts w:ascii="Times New Roman" w:hAnsi="Times New Roman"/>
          <w:bCs/>
          <w:color w:val="000000"/>
          <w:sz w:val="24"/>
          <w:szCs w:val="24"/>
          <w:lang w:val="en-US"/>
        </w:rPr>
        <w:t xml:space="preserve"> </w:t>
      </w:r>
      <w:r w:rsidR="001348C9">
        <w:rPr>
          <w:rFonts w:ascii="Times New Roman" w:hAnsi="Times New Roman"/>
          <w:bCs/>
          <w:color w:val="000000"/>
          <w:sz w:val="24"/>
          <w:szCs w:val="24"/>
          <w:lang w:val="en-US"/>
        </w:rPr>
        <w:t xml:space="preserve">[10][55]. </w:t>
      </w:r>
      <w:r w:rsidRPr="00DA06FB">
        <w:rPr>
          <w:rFonts w:ascii="Times New Roman" w:hAnsi="Times New Roman"/>
          <w:bCs/>
          <w:color w:val="000000"/>
          <w:sz w:val="24"/>
          <w:szCs w:val="24"/>
          <w:lang w:val="en-US"/>
        </w:rPr>
        <w:t>Thus, this factor represents groundwater's alkali enrichment and natural geochemical evolution</w:t>
      </w:r>
      <w:r w:rsidR="001348C9">
        <w:rPr>
          <w:rFonts w:ascii="Times New Roman" w:hAnsi="Times New Roman"/>
          <w:bCs/>
          <w:color w:val="000000"/>
          <w:sz w:val="24"/>
          <w:szCs w:val="24"/>
          <w:lang w:val="en-US"/>
        </w:rPr>
        <w:t xml:space="preserve"> [56]</w:t>
      </w:r>
      <w:r w:rsidRPr="00DA06FB">
        <w:rPr>
          <w:rFonts w:ascii="Times New Roman" w:hAnsi="Times New Roman"/>
          <w:bCs/>
          <w:color w:val="000000"/>
          <w:sz w:val="24"/>
          <w:szCs w:val="24"/>
          <w:lang w:val="en-US"/>
        </w:rPr>
        <w:t xml:space="preserve">. </w:t>
      </w:r>
    </w:p>
    <w:p w14:paraId="57C73B40" w14:textId="151B0C25" w:rsidR="001335EA" w:rsidRPr="00DA06FB" w:rsidRDefault="001335EA" w:rsidP="00F1529B">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 xml:space="preserve">PC3 having 12.36 % variance with moderate correlations with TDS (0.532) and SO₄²⁻ (0.448), as well as a substantial positive loading for F⁻ (0.818). This factor indicates the dissolution of fluoride-bearing minerals like fluorite, biotite, and apatite, indicates fluoride </w:t>
      </w:r>
      <w:r w:rsidR="000C4C96" w:rsidRPr="00DA06FB">
        <w:rPr>
          <w:rFonts w:ascii="Times New Roman" w:hAnsi="Times New Roman"/>
          <w:bCs/>
          <w:color w:val="000000"/>
          <w:sz w:val="24"/>
          <w:szCs w:val="24"/>
          <w:lang w:val="en-US"/>
        </w:rPr>
        <w:t>mobilization</w:t>
      </w:r>
      <w:r w:rsidRPr="00DA06FB">
        <w:rPr>
          <w:rFonts w:ascii="Times New Roman" w:hAnsi="Times New Roman"/>
          <w:bCs/>
          <w:color w:val="000000"/>
          <w:sz w:val="24"/>
          <w:szCs w:val="24"/>
          <w:lang w:val="en-US"/>
        </w:rPr>
        <w:t xml:space="preserve"> under high bicarbonate and low calcium circumstances</w:t>
      </w:r>
      <w:r w:rsidR="000D0340" w:rsidRPr="00DA06FB">
        <w:rPr>
          <w:rFonts w:ascii="Times New Roman" w:hAnsi="Times New Roman"/>
          <w:bCs/>
          <w:color w:val="000000"/>
          <w:sz w:val="24"/>
          <w:szCs w:val="24"/>
          <w:lang w:val="en-US"/>
        </w:rPr>
        <w:t xml:space="preserve"> </w:t>
      </w:r>
      <w:r w:rsidR="001348C9">
        <w:rPr>
          <w:rFonts w:ascii="Times New Roman" w:hAnsi="Times New Roman"/>
          <w:bCs/>
          <w:color w:val="000000"/>
          <w:sz w:val="24"/>
          <w:szCs w:val="24"/>
          <w:lang w:val="en-US"/>
        </w:rPr>
        <w:t>[2][57]</w:t>
      </w:r>
      <w:r w:rsidRPr="00DA06FB">
        <w:rPr>
          <w:rFonts w:ascii="Times New Roman" w:hAnsi="Times New Roman"/>
          <w:bCs/>
          <w:color w:val="000000"/>
          <w:sz w:val="24"/>
          <w:szCs w:val="24"/>
          <w:lang w:val="en-US"/>
        </w:rPr>
        <w:t>. This factor, which is often obtained from the alkaline conditions, the correlation with total dissolved solids implies that fluoride enrichment rises with residence duration and water–rock contact</w:t>
      </w:r>
      <w:r w:rsidR="003674A3" w:rsidRPr="00DA06FB">
        <w:rPr>
          <w:rFonts w:ascii="Times New Roman" w:hAnsi="Times New Roman"/>
          <w:bCs/>
          <w:color w:val="000000"/>
          <w:sz w:val="24"/>
          <w:szCs w:val="24"/>
          <w:lang w:val="en-US"/>
        </w:rPr>
        <w:t xml:space="preserve"> </w:t>
      </w:r>
      <w:r w:rsidR="001348C9">
        <w:rPr>
          <w:rFonts w:ascii="Times New Roman" w:hAnsi="Times New Roman"/>
          <w:bCs/>
          <w:color w:val="000000"/>
          <w:sz w:val="24"/>
          <w:szCs w:val="24"/>
          <w:lang w:val="en-US"/>
        </w:rPr>
        <w:t xml:space="preserve">[58][59][27]. </w:t>
      </w:r>
    </w:p>
    <w:p w14:paraId="1138EEEE" w14:textId="77777777" w:rsidR="001335EA" w:rsidRPr="00DA06FB" w:rsidRDefault="001335EA" w:rsidP="00F1529B">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PCA findings revealed that groundwater chemistry in the pre-monsoon period is primarily influenced by three interconnected processes such as carbonate and sulphate dissolution with anthropogenic influence (PC1), Ion exchange and silicate weathering (PC2), Fluoride enrichment from geogenic sources (PC3).</w:t>
      </w:r>
    </w:p>
    <w:p w14:paraId="5032CA6C" w14:textId="77777777" w:rsidR="00CF4D6A" w:rsidRPr="00DB1FC2" w:rsidRDefault="00CF4D6A" w:rsidP="00F1529B">
      <w:pPr>
        <w:spacing w:line="240" w:lineRule="auto"/>
        <w:jc w:val="both"/>
        <w:rPr>
          <w:rFonts w:ascii="Times New Roman" w:hAnsi="Times New Roman"/>
          <w:bCs/>
          <w:color w:val="000000"/>
          <w:sz w:val="24"/>
          <w:szCs w:val="24"/>
          <w:lang w:val="en-US"/>
        </w:rPr>
      </w:pPr>
      <w:r w:rsidRPr="00DB1FC2">
        <w:rPr>
          <w:rFonts w:ascii="Times New Roman" w:hAnsi="Times New Roman"/>
          <w:bCs/>
          <w:color w:val="000000"/>
          <w:sz w:val="24"/>
          <w:szCs w:val="24"/>
          <w:lang w:val="en-US"/>
        </w:rPr>
        <w:t>Factor Analysis of Ionic ratios</w:t>
      </w:r>
    </w:p>
    <w:p w14:paraId="6F08055C" w14:textId="7DB44B03" w:rsidR="00F1529B" w:rsidRPr="001039B4" w:rsidRDefault="00C63013" w:rsidP="001039B4">
      <w:pPr>
        <w:spacing w:line="240" w:lineRule="auto"/>
        <w:jc w:val="both"/>
        <w:rPr>
          <w:rFonts w:ascii="Times New Roman" w:hAnsi="Times New Roman"/>
          <w:bCs/>
          <w:color w:val="000000"/>
          <w:sz w:val="24"/>
          <w:szCs w:val="24"/>
        </w:rPr>
      </w:pPr>
      <w:r w:rsidRPr="00DA06FB">
        <w:rPr>
          <w:rFonts w:ascii="Times New Roman" w:hAnsi="Times New Roman"/>
          <w:bCs/>
          <w:color w:val="000000"/>
          <w:sz w:val="24"/>
          <w:szCs w:val="24"/>
        </w:rPr>
        <w:t>The main hydrogeochemical processes were identified by three key factors, with two having eigenvalues greater than one and the third having an eigenvalue of less than one, collectively explaining 85.</w:t>
      </w:r>
      <w:r w:rsidR="00F1529B">
        <w:rPr>
          <w:rFonts w:ascii="Times New Roman" w:hAnsi="Times New Roman"/>
          <w:bCs/>
          <w:color w:val="000000"/>
          <w:sz w:val="24"/>
          <w:szCs w:val="24"/>
        </w:rPr>
        <w:t>75</w:t>
      </w:r>
      <w:r w:rsidRPr="00DA06FB">
        <w:rPr>
          <w:rFonts w:ascii="Times New Roman" w:hAnsi="Times New Roman"/>
          <w:bCs/>
          <w:color w:val="000000"/>
          <w:sz w:val="24"/>
          <w:szCs w:val="24"/>
        </w:rPr>
        <w:t>% of the total variation in the ionic ratio dataset</w:t>
      </w:r>
      <w:r>
        <w:rPr>
          <w:rFonts w:ascii="Times New Roman" w:hAnsi="Times New Roman"/>
          <w:bCs/>
          <w:color w:val="000000"/>
          <w:sz w:val="24"/>
          <w:szCs w:val="24"/>
        </w:rPr>
        <w:t xml:space="preserve"> (Table</w:t>
      </w:r>
      <w:r w:rsidR="003C300B">
        <w:rPr>
          <w:rFonts w:ascii="Times New Roman" w:hAnsi="Times New Roman"/>
          <w:bCs/>
          <w:color w:val="000000"/>
          <w:sz w:val="24"/>
          <w:szCs w:val="24"/>
        </w:rPr>
        <w:t xml:space="preserve"> 4</w:t>
      </w:r>
      <w:r>
        <w:rPr>
          <w:rFonts w:ascii="Times New Roman" w:hAnsi="Times New Roman"/>
          <w:bCs/>
          <w:color w:val="000000"/>
          <w:sz w:val="24"/>
          <w:szCs w:val="24"/>
        </w:rPr>
        <w:t>)</w:t>
      </w:r>
      <w:r w:rsidR="00F1529B">
        <w:rPr>
          <w:rFonts w:ascii="Times New Roman" w:hAnsi="Times New Roman"/>
          <w:bCs/>
          <w:color w:val="000000"/>
          <w:sz w:val="24"/>
          <w:szCs w:val="24"/>
        </w:rPr>
        <w:t xml:space="preserve">. The Scree plot for determination of factor using kaiser </w:t>
      </w:r>
      <w:r w:rsidR="001039B4">
        <w:rPr>
          <w:rFonts w:ascii="Times New Roman" w:hAnsi="Times New Roman"/>
          <w:bCs/>
          <w:color w:val="000000"/>
          <w:sz w:val="24"/>
          <w:szCs w:val="24"/>
        </w:rPr>
        <w:t>norm and</w:t>
      </w:r>
      <w:r w:rsidR="00F1529B">
        <w:rPr>
          <w:rFonts w:ascii="Times New Roman" w:hAnsi="Times New Roman"/>
          <w:bCs/>
          <w:color w:val="000000"/>
          <w:sz w:val="24"/>
          <w:szCs w:val="24"/>
        </w:rPr>
        <w:t xml:space="preserve"> </w:t>
      </w:r>
      <w:r w:rsidR="00F1529B" w:rsidRPr="00DA06FB">
        <w:rPr>
          <w:rFonts w:ascii="Times New Roman" w:hAnsi="Times New Roman"/>
          <w:bCs/>
          <w:color w:val="000000"/>
          <w:sz w:val="24"/>
          <w:szCs w:val="24"/>
          <w:lang w:val="en-US"/>
        </w:rPr>
        <w:t xml:space="preserve">three-dimensional component plot in rotated space are presented </w:t>
      </w:r>
      <w:r w:rsidR="00F1529B">
        <w:rPr>
          <w:rFonts w:ascii="Times New Roman" w:hAnsi="Times New Roman"/>
          <w:bCs/>
          <w:color w:val="000000"/>
          <w:sz w:val="24"/>
          <w:szCs w:val="24"/>
        </w:rPr>
        <w:t>are shown in Figure 6a and 6b.</w:t>
      </w:r>
    </w:p>
    <w:p w14:paraId="41F4DAF9" w14:textId="77777777" w:rsidR="00F1529B" w:rsidRDefault="00F1529B" w:rsidP="00AB2AF7">
      <w:pPr>
        <w:autoSpaceDE w:val="0"/>
        <w:autoSpaceDN w:val="0"/>
        <w:adjustRightInd w:val="0"/>
        <w:spacing w:after="0" w:line="240" w:lineRule="auto"/>
        <w:rPr>
          <w:rFonts w:ascii="Times New Roman" w:hAnsi="Times New Roman"/>
          <w:sz w:val="24"/>
          <w:szCs w:val="24"/>
          <w:lang w:val="en-US"/>
        </w:rPr>
      </w:pPr>
    </w:p>
    <w:p w14:paraId="1716E13D" w14:textId="21C29C5A" w:rsidR="009F5998" w:rsidRDefault="009F5998" w:rsidP="00AB2AF7">
      <w:pPr>
        <w:autoSpaceDE w:val="0"/>
        <w:autoSpaceDN w:val="0"/>
        <w:adjustRightInd w:val="0"/>
        <w:spacing w:after="0" w:line="240" w:lineRule="auto"/>
        <w:rPr>
          <w:rFonts w:ascii="Times New Roman" w:hAnsi="Times New Roman"/>
          <w:sz w:val="24"/>
          <w:szCs w:val="24"/>
        </w:rPr>
      </w:pPr>
      <w:r w:rsidRPr="00A9103A">
        <w:rPr>
          <w:rFonts w:ascii="Times New Roman" w:hAnsi="Times New Roman"/>
          <w:sz w:val="24"/>
          <w:szCs w:val="24"/>
          <w:lang w:val="en-US"/>
        </w:rPr>
        <w:t xml:space="preserve">Table 4: </w:t>
      </w:r>
      <w:r w:rsidRPr="00A9103A">
        <w:rPr>
          <w:rFonts w:ascii="Times New Roman" w:hAnsi="Times New Roman"/>
          <w:sz w:val="24"/>
          <w:szCs w:val="24"/>
        </w:rPr>
        <w:t>Factor loadings of the ionic ratios.</w:t>
      </w:r>
    </w:p>
    <w:p w14:paraId="01E2934B" w14:textId="77777777" w:rsidR="00F1529B" w:rsidRPr="00A9103A" w:rsidRDefault="00F1529B" w:rsidP="00AB2AF7">
      <w:pPr>
        <w:autoSpaceDE w:val="0"/>
        <w:autoSpaceDN w:val="0"/>
        <w:adjustRightInd w:val="0"/>
        <w:spacing w:after="0" w:line="240" w:lineRule="auto"/>
        <w:rPr>
          <w:rFonts w:ascii="Times New Roman" w:hAnsi="Times New Roman"/>
          <w:sz w:val="24"/>
          <w:szCs w:val="24"/>
        </w:rPr>
      </w:pPr>
    </w:p>
    <w:tbl>
      <w:tblPr>
        <w:tblpPr w:leftFromText="180" w:rightFromText="180" w:vertAnchor="text" w:horzAnchor="margin" w:tblpXSpec="center" w:tblpY="139"/>
        <w:tblW w:w="4540" w:type="dxa"/>
        <w:tblBorders>
          <w:top w:val="single" w:sz="4" w:space="0" w:color="auto"/>
          <w:bottom w:val="single" w:sz="4" w:space="0" w:color="auto"/>
        </w:tblBorders>
        <w:tblLook w:val="04A0" w:firstRow="1" w:lastRow="0" w:firstColumn="1" w:lastColumn="0" w:noHBand="0" w:noVBand="1"/>
      </w:tblPr>
      <w:tblGrid>
        <w:gridCol w:w="1847"/>
        <w:gridCol w:w="960"/>
        <w:gridCol w:w="960"/>
        <w:gridCol w:w="960"/>
      </w:tblGrid>
      <w:tr w:rsidR="009F5998" w:rsidRPr="00A9103A" w14:paraId="06612C93" w14:textId="77777777" w:rsidTr="009F5998">
        <w:trPr>
          <w:trHeight w:val="290"/>
        </w:trPr>
        <w:tc>
          <w:tcPr>
            <w:tcW w:w="1660" w:type="dxa"/>
            <w:tcBorders>
              <w:top w:val="single" w:sz="4" w:space="0" w:color="auto"/>
              <w:bottom w:val="single" w:sz="4" w:space="0" w:color="auto"/>
            </w:tcBorders>
            <w:vAlign w:val="center"/>
            <w:hideMark/>
          </w:tcPr>
          <w:p w14:paraId="63CB959C" w14:textId="44D0BC9B"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bookmarkStart w:id="11" w:name="_Hlk215683505"/>
          </w:p>
        </w:tc>
        <w:tc>
          <w:tcPr>
            <w:tcW w:w="960" w:type="dxa"/>
            <w:tcBorders>
              <w:top w:val="single" w:sz="4" w:space="0" w:color="auto"/>
              <w:bottom w:val="single" w:sz="4" w:space="0" w:color="auto"/>
            </w:tcBorders>
            <w:vAlign w:val="center"/>
            <w:hideMark/>
          </w:tcPr>
          <w:p w14:paraId="1437613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F1</w:t>
            </w:r>
          </w:p>
        </w:tc>
        <w:tc>
          <w:tcPr>
            <w:tcW w:w="960" w:type="dxa"/>
            <w:tcBorders>
              <w:top w:val="single" w:sz="4" w:space="0" w:color="auto"/>
              <w:bottom w:val="single" w:sz="4" w:space="0" w:color="auto"/>
            </w:tcBorders>
            <w:vAlign w:val="center"/>
            <w:hideMark/>
          </w:tcPr>
          <w:p w14:paraId="2B98F86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F2</w:t>
            </w:r>
          </w:p>
        </w:tc>
        <w:tc>
          <w:tcPr>
            <w:tcW w:w="960" w:type="dxa"/>
            <w:tcBorders>
              <w:top w:val="single" w:sz="4" w:space="0" w:color="auto"/>
              <w:bottom w:val="single" w:sz="4" w:space="0" w:color="auto"/>
            </w:tcBorders>
            <w:vAlign w:val="center"/>
            <w:hideMark/>
          </w:tcPr>
          <w:p w14:paraId="267F8D6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F3</w:t>
            </w:r>
          </w:p>
        </w:tc>
      </w:tr>
      <w:tr w:rsidR="009F5998" w:rsidRPr="00A9103A" w14:paraId="43311272" w14:textId="77777777" w:rsidTr="009F5998">
        <w:trPr>
          <w:trHeight w:val="290"/>
        </w:trPr>
        <w:tc>
          <w:tcPr>
            <w:tcW w:w="1660" w:type="dxa"/>
            <w:tcBorders>
              <w:top w:val="single" w:sz="4" w:space="0" w:color="auto"/>
            </w:tcBorders>
            <w:noWrap/>
            <w:vAlign w:val="bottom"/>
            <w:hideMark/>
          </w:tcPr>
          <w:p w14:paraId="58F7A9B1"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Ca/Mg</w:t>
            </w:r>
          </w:p>
        </w:tc>
        <w:tc>
          <w:tcPr>
            <w:tcW w:w="960" w:type="dxa"/>
            <w:tcBorders>
              <w:top w:val="single" w:sz="4" w:space="0" w:color="auto"/>
            </w:tcBorders>
            <w:noWrap/>
            <w:vAlign w:val="bottom"/>
            <w:hideMark/>
          </w:tcPr>
          <w:p w14:paraId="3035BE2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0.458</w:t>
            </w:r>
          </w:p>
        </w:tc>
        <w:tc>
          <w:tcPr>
            <w:tcW w:w="960" w:type="dxa"/>
            <w:tcBorders>
              <w:top w:val="single" w:sz="4" w:space="0" w:color="auto"/>
            </w:tcBorders>
            <w:noWrap/>
            <w:vAlign w:val="bottom"/>
            <w:hideMark/>
          </w:tcPr>
          <w:p w14:paraId="18CD73C8"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0.482</w:t>
            </w:r>
          </w:p>
        </w:tc>
        <w:tc>
          <w:tcPr>
            <w:tcW w:w="960" w:type="dxa"/>
            <w:tcBorders>
              <w:top w:val="single" w:sz="4" w:space="0" w:color="auto"/>
            </w:tcBorders>
            <w:noWrap/>
            <w:vAlign w:val="bottom"/>
            <w:hideMark/>
          </w:tcPr>
          <w:p w14:paraId="1CDF724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-0.624</w:t>
            </w:r>
          </w:p>
        </w:tc>
      </w:tr>
      <w:tr w:rsidR="009F5998" w:rsidRPr="00A9103A" w14:paraId="29F6A4F2" w14:textId="77777777" w:rsidTr="009F5998">
        <w:trPr>
          <w:trHeight w:val="290"/>
        </w:trPr>
        <w:tc>
          <w:tcPr>
            <w:tcW w:w="1660" w:type="dxa"/>
            <w:noWrap/>
            <w:vAlign w:val="bottom"/>
            <w:hideMark/>
          </w:tcPr>
          <w:p w14:paraId="4C9D7FC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Na/cl</w:t>
            </w:r>
          </w:p>
        </w:tc>
        <w:tc>
          <w:tcPr>
            <w:tcW w:w="960" w:type="dxa"/>
            <w:noWrap/>
            <w:vAlign w:val="bottom"/>
            <w:hideMark/>
          </w:tcPr>
          <w:p w14:paraId="513B9908"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-0.931</w:t>
            </w:r>
          </w:p>
        </w:tc>
        <w:tc>
          <w:tcPr>
            <w:tcW w:w="960" w:type="dxa"/>
            <w:noWrap/>
            <w:vAlign w:val="bottom"/>
            <w:hideMark/>
          </w:tcPr>
          <w:p w14:paraId="766ABA6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0.192</w:t>
            </w:r>
          </w:p>
        </w:tc>
        <w:tc>
          <w:tcPr>
            <w:tcW w:w="960" w:type="dxa"/>
            <w:noWrap/>
            <w:vAlign w:val="bottom"/>
            <w:hideMark/>
          </w:tcPr>
          <w:p w14:paraId="777DA382"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-0.103</w:t>
            </w:r>
          </w:p>
        </w:tc>
      </w:tr>
      <w:tr w:rsidR="009F5998" w:rsidRPr="00A9103A" w14:paraId="11D28CD6" w14:textId="77777777" w:rsidTr="009F5998">
        <w:trPr>
          <w:trHeight w:val="290"/>
        </w:trPr>
        <w:tc>
          <w:tcPr>
            <w:tcW w:w="1660" w:type="dxa"/>
            <w:noWrap/>
            <w:vAlign w:val="bottom"/>
            <w:hideMark/>
          </w:tcPr>
          <w:p w14:paraId="76228EF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Ca/(HCO</w:t>
            </w:r>
            <w:r w:rsidRPr="00A9103A">
              <w:rPr>
                <w:rFonts w:ascii="Times New Roman" w:eastAsia="Times New Roman" w:hAnsi="Times New Roman"/>
                <w:color w:val="000000"/>
                <w:sz w:val="24"/>
                <w:szCs w:val="24"/>
                <w:vertAlign w:val="subscript"/>
                <w:lang w:eastAsia="en-IN"/>
              </w:rPr>
              <w:t>3</w:t>
            </w:r>
            <w:r w:rsidRPr="00A9103A">
              <w:rPr>
                <w:rFonts w:ascii="Times New Roman" w:eastAsia="Times New Roman" w:hAnsi="Times New Roman"/>
                <w:color w:val="000000"/>
                <w:sz w:val="24"/>
                <w:szCs w:val="24"/>
                <w:lang w:eastAsia="en-IN"/>
              </w:rPr>
              <w:t>+SO</w:t>
            </w:r>
            <w:r w:rsidRPr="00A9103A">
              <w:rPr>
                <w:rFonts w:ascii="Times New Roman" w:eastAsia="Times New Roman" w:hAnsi="Times New Roman"/>
                <w:color w:val="000000"/>
                <w:sz w:val="24"/>
                <w:szCs w:val="24"/>
                <w:vertAlign w:val="subscript"/>
                <w:lang w:eastAsia="en-IN"/>
              </w:rPr>
              <w:t>4</w:t>
            </w:r>
            <w:r w:rsidRPr="00A9103A">
              <w:rPr>
                <w:rFonts w:ascii="Times New Roman" w:eastAsia="Times New Roman" w:hAnsi="Times New Roman"/>
                <w:color w:val="000000"/>
                <w:sz w:val="24"/>
                <w:szCs w:val="24"/>
                <w:lang w:eastAsia="en-IN"/>
              </w:rPr>
              <w:t>)</w:t>
            </w:r>
          </w:p>
        </w:tc>
        <w:tc>
          <w:tcPr>
            <w:tcW w:w="960" w:type="dxa"/>
            <w:noWrap/>
            <w:vAlign w:val="bottom"/>
            <w:hideMark/>
          </w:tcPr>
          <w:p w14:paraId="26D446C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0.909</w:t>
            </w:r>
          </w:p>
        </w:tc>
        <w:tc>
          <w:tcPr>
            <w:tcW w:w="960" w:type="dxa"/>
            <w:noWrap/>
            <w:vAlign w:val="bottom"/>
            <w:hideMark/>
          </w:tcPr>
          <w:p w14:paraId="38ACAD4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0.285</w:t>
            </w:r>
          </w:p>
        </w:tc>
        <w:tc>
          <w:tcPr>
            <w:tcW w:w="960" w:type="dxa"/>
            <w:noWrap/>
            <w:vAlign w:val="bottom"/>
            <w:hideMark/>
          </w:tcPr>
          <w:p w14:paraId="5380DE07"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-0.196</w:t>
            </w:r>
          </w:p>
        </w:tc>
      </w:tr>
      <w:tr w:rsidR="009F5998" w:rsidRPr="00A9103A" w14:paraId="7B618C2B" w14:textId="77777777" w:rsidTr="009F5998">
        <w:trPr>
          <w:trHeight w:val="290"/>
        </w:trPr>
        <w:tc>
          <w:tcPr>
            <w:tcW w:w="1660" w:type="dxa"/>
            <w:noWrap/>
            <w:vAlign w:val="bottom"/>
            <w:hideMark/>
          </w:tcPr>
          <w:p w14:paraId="55719C7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Ca+Mg/HCO</w:t>
            </w:r>
            <w:r w:rsidRPr="00A9103A">
              <w:rPr>
                <w:rFonts w:ascii="Times New Roman" w:eastAsia="Times New Roman" w:hAnsi="Times New Roman"/>
                <w:color w:val="000000"/>
                <w:sz w:val="24"/>
                <w:szCs w:val="24"/>
                <w:vertAlign w:val="subscript"/>
                <w:lang w:eastAsia="en-IN"/>
              </w:rPr>
              <w:t>3</w:t>
            </w:r>
          </w:p>
        </w:tc>
        <w:tc>
          <w:tcPr>
            <w:tcW w:w="960" w:type="dxa"/>
            <w:noWrap/>
            <w:vAlign w:val="bottom"/>
            <w:hideMark/>
          </w:tcPr>
          <w:p w14:paraId="028D9B2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0.908</w:t>
            </w:r>
          </w:p>
        </w:tc>
        <w:tc>
          <w:tcPr>
            <w:tcW w:w="960" w:type="dxa"/>
            <w:noWrap/>
            <w:vAlign w:val="bottom"/>
            <w:hideMark/>
          </w:tcPr>
          <w:p w14:paraId="0D866AB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0.147</w:t>
            </w:r>
          </w:p>
        </w:tc>
        <w:tc>
          <w:tcPr>
            <w:tcW w:w="960" w:type="dxa"/>
            <w:noWrap/>
            <w:vAlign w:val="bottom"/>
            <w:hideMark/>
          </w:tcPr>
          <w:p w14:paraId="78B964E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0.248</w:t>
            </w:r>
          </w:p>
        </w:tc>
      </w:tr>
      <w:tr w:rsidR="009F5998" w:rsidRPr="00A9103A" w14:paraId="37335EFE" w14:textId="77777777" w:rsidTr="009F5998">
        <w:trPr>
          <w:trHeight w:val="290"/>
        </w:trPr>
        <w:tc>
          <w:tcPr>
            <w:tcW w:w="1660" w:type="dxa"/>
            <w:noWrap/>
            <w:vAlign w:val="bottom"/>
            <w:hideMark/>
          </w:tcPr>
          <w:p w14:paraId="684B571D" w14:textId="77777777" w:rsidR="009F5998" w:rsidRPr="00A9103A" w:rsidRDefault="009F5998" w:rsidP="00AB2AF7">
            <w:pPr>
              <w:spacing w:after="0" w:line="240" w:lineRule="auto"/>
              <w:jc w:val="center"/>
              <w:rPr>
                <w:rFonts w:ascii="Times New Roman" w:eastAsia="Times New Roman" w:hAnsi="Times New Roman"/>
                <w:color w:val="000000"/>
                <w:sz w:val="24"/>
                <w:szCs w:val="24"/>
                <w:vertAlign w:val="subscript"/>
                <w:lang w:eastAsia="en-IN"/>
              </w:rPr>
            </w:pPr>
            <w:r w:rsidRPr="00A9103A">
              <w:rPr>
                <w:rFonts w:ascii="Times New Roman" w:eastAsia="Times New Roman" w:hAnsi="Times New Roman"/>
                <w:color w:val="000000"/>
                <w:sz w:val="24"/>
                <w:szCs w:val="24"/>
                <w:lang w:eastAsia="en-IN"/>
              </w:rPr>
              <w:t>Cl/HCO</w:t>
            </w:r>
            <w:r w:rsidRPr="00A9103A">
              <w:rPr>
                <w:rFonts w:ascii="Times New Roman" w:eastAsia="Times New Roman" w:hAnsi="Times New Roman"/>
                <w:color w:val="000000"/>
                <w:sz w:val="24"/>
                <w:szCs w:val="24"/>
                <w:vertAlign w:val="subscript"/>
                <w:lang w:eastAsia="en-IN"/>
              </w:rPr>
              <w:t>3</w:t>
            </w:r>
          </w:p>
        </w:tc>
        <w:tc>
          <w:tcPr>
            <w:tcW w:w="960" w:type="dxa"/>
            <w:noWrap/>
            <w:vAlign w:val="bottom"/>
            <w:hideMark/>
          </w:tcPr>
          <w:p w14:paraId="2D59D95D"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0.758</w:t>
            </w:r>
          </w:p>
        </w:tc>
        <w:tc>
          <w:tcPr>
            <w:tcW w:w="960" w:type="dxa"/>
            <w:noWrap/>
            <w:vAlign w:val="bottom"/>
            <w:hideMark/>
          </w:tcPr>
          <w:p w14:paraId="6AF498DA"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-0.357</w:t>
            </w:r>
          </w:p>
        </w:tc>
        <w:tc>
          <w:tcPr>
            <w:tcW w:w="960" w:type="dxa"/>
            <w:noWrap/>
            <w:vAlign w:val="bottom"/>
            <w:hideMark/>
          </w:tcPr>
          <w:p w14:paraId="4498DBC1"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0.209</w:t>
            </w:r>
          </w:p>
        </w:tc>
      </w:tr>
      <w:tr w:rsidR="009F5998" w:rsidRPr="00A9103A" w14:paraId="41A9901A" w14:textId="77777777" w:rsidTr="009F5998">
        <w:trPr>
          <w:trHeight w:val="290"/>
        </w:trPr>
        <w:tc>
          <w:tcPr>
            <w:tcW w:w="1660" w:type="dxa"/>
            <w:noWrap/>
            <w:vAlign w:val="bottom"/>
            <w:hideMark/>
          </w:tcPr>
          <w:p w14:paraId="48D014F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Na/Ca</w:t>
            </w:r>
          </w:p>
        </w:tc>
        <w:tc>
          <w:tcPr>
            <w:tcW w:w="960" w:type="dxa"/>
            <w:noWrap/>
            <w:vAlign w:val="bottom"/>
            <w:hideMark/>
          </w:tcPr>
          <w:p w14:paraId="71C1D1C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-0.812</w:t>
            </w:r>
          </w:p>
        </w:tc>
        <w:tc>
          <w:tcPr>
            <w:tcW w:w="960" w:type="dxa"/>
            <w:noWrap/>
            <w:vAlign w:val="bottom"/>
            <w:hideMark/>
          </w:tcPr>
          <w:p w14:paraId="339A7F8A"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-0.339</w:t>
            </w:r>
          </w:p>
        </w:tc>
        <w:tc>
          <w:tcPr>
            <w:tcW w:w="960" w:type="dxa"/>
            <w:noWrap/>
            <w:vAlign w:val="bottom"/>
            <w:hideMark/>
          </w:tcPr>
          <w:p w14:paraId="491B917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0.234</w:t>
            </w:r>
          </w:p>
        </w:tc>
      </w:tr>
      <w:tr w:rsidR="009F5998" w:rsidRPr="00A9103A" w14:paraId="123ED60D" w14:textId="77777777" w:rsidTr="009F5998">
        <w:trPr>
          <w:trHeight w:val="290"/>
        </w:trPr>
        <w:tc>
          <w:tcPr>
            <w:tcW w:w="1660" w:type="dxa"/>
            <w:noWrap/>
            <w:vAlign w:val="bottom"/>
            <w:hideMark/>
          </w:tcPr>
          <w:p w14:paraId="2109FC8E"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(Na+K)/Ca+Mg)</w:t>
            </w:r>
          </w:p>
        </w:tc>
        <w:tc>
          <w:tcPr>
            <w:tcW w:w="960" w:type="dxa"/>
            <w:noWrap/>
            <w:vAlign w:val="bottom"/>
            <w:hideMark/>
          </w:tcPr>
          <w:p w14:paraId="172A9587"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-0.868</w:t>
            </w:r>
          </w:p>
        </w:tc>
        <w:tc>
          <w:tcPr>
            <w:tcW w:w="960" w:type="dxa"/>
            <w:noWrap/>
            <w:vAlign w:val="bottom"/>
            <w:hideMark/>
          </w:tcPr>
          <w:p w14:paraId="57B70986"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-0.330</w:t>
            </w:r>
          </w:p>
        </w:tc>
        <w:tc>
          <w:tcPr>
            <w:tcW w:w="960" w:type="dxa"/>
            <w:noWrap/>
            <w:vAlign w:val="bottom"/>
            <w:hideMark/>
          </w:tcPr>
          <w:p w14:paraId="23F53D56"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-0.025</w:t>
            </w:r>
          </w:p>
        </w:tc>
      </w:tr>
      <w:tr w:rsidR="009F5998" w:rsidRPr="00A9103A" w14:paraId="245E3436" w14:textId="77777777" w:rsidTr="009F5998">
        <w:trPr>
          <w:trHeight w:val="290"/>
        </w:trPr>
        <w:tc>
          <w:tcPr>
            <w:tcW w:w="1660" w:type="dxa"/>
            <w:noWrap/>
            <w:vAlign w:val="bottom"/>
            <w:hideMark/>
          </w:tcPr>
          <w:p w14:paraId="0FA660F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(Na+K)/Cl</w:t>
            </w:r>
          </w:p>
        </w:tc>
        <w:tc>
          <w:tcPr>
            <w:tcW w:w="960" w:type="dxa"/>
            <w:noWrap/>
            <w:vAlign w:val="bottom"/>
            <w:hideMark/>
          </w:tcPr>
          <w:p w14:paraId="7CE32FC2"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-0.928</w:t>
            </w:r>
          </w:p>
        </w:tc>
        <w:tc>
          <w:tcPr>
            <w:tcW w:w="960" w:type="dxa"/>
            <w:noWrap/>
            <w:vAlign w:val="bottom"/>
            <w:hideMark/>
          </w:tcPr>
          <w:p w14:paraId="32AC169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0.200</w:t>
            </w:r>
          </w:p>
        </w:tc>
        <w:tc>
          <w:tcPr>
            <w:tcW w:w="960" w:type="dxa"/>
            <w:noWrap/>
            <w:vAlign w:val="bottom"/>
            <w:hideMark/>
          </w:tcPr>
          <w:p w14:paraId="0EEC9008"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-0.099</w:t>
            </w:r>
          </w:p>
        </w:tc>
      </w:tr>
      <w:tr w:rsidR="009F5998" w:rsidRPr="00A9103A" w14:paraId="5D8D9150" w14:textId="77777777" w:rsidTr="009F5998">
        <w:trPr>
          <w:trHeight w:val="290"/>
        </w:trPr>
        <w:tc>
          <w:tcPr>
            <w:tcW w:w="1660" w:type="dxa"/>
            <w:noWrap/>
            <w:vAlign w:val="bottom"/>
            <w:hideMark/>
          </w:tcPr>
          <w:p w14:paraId="4D05C306"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CAI-1</w:t>
            </w:r>
          </w:p>
        </w:tc>
        <w:tc>
          <w:tcPr>
            <w:tcW w:w="960" w:type="dxa"/>
            <w:noWrap/>
            <w:vAlign w:val="bottom"/>
            <w:hideMark/>
          </w:tcPr>
          <w:p w14:paraId="71179AFD"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0.928</w:t>
            </w:r>
          </w:p>
        </w:tc>
        <w:tc>
          <w:tcPr>
            <w:tcW w:w="960" w:type="dxa"/>
            <w:noWrap/>
            <w:vAlign w:val="bottom"/>
            <w:hideMark/>
          </w:tcPr>
          <w:p w14:paraId="31A1C5A3"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-0.200</w:t>
            </w:r>
          </w:p>
        </w:tc>
        <w:tc>
          <w:tcPr>
            <w:tcW w:w="960" w:type="dxa"/>
            <w:noWrap/>
            <w:vAlign w:val="bottom"/>
            <w:hideMark/>
          </w:tcPr>
          <w:p w14:paraId="2627BD1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0.099</w:t>
            </w:r>
          </w:p>
        </w:tc>
      </w:tr>
      <w:tr w:rsidR="009F5998" w:rsidRPr="00A9103A" w14:paraId="175A4A03" w14:textId="77777777" w:rsidTr="009F5998">
        <w:trPr>
          <w:trHeight w:val="290"/>
        </w:trPr>
        <w:tc>
          <w:tcPr>
            <w:tcW w:w="1660" w:type="dxa"/>
            <w:noWrap/>
            <w:vAlign w:val="bottom"/>
            <w:hideMark/>
          </w:tcPr>
          <w:p w14:paraId="1B0C9D3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CAI-2</w:t>
            </w:r>
          </w:p>
        </w:tc>
        <w:tc>
          <w:tcPr>
            <w:tcW w:w="960" w:type="dxa"/>
            <w:noWrap/>
            <w:vAlign w:val="bottom"/>
            <w:hideMark/>
          </w:tcPr>
          <w:p w14:paraId="4DF89AE1"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0.947</w:t>
            </w:r>
          </w:p>
        </w:tc>
        <w:tc>
          <w:tcPr>
            <w:tcW w:w="960" w:type="dxa"/>
            <w:noWrap/>
            <w:vAlign w:val="bottom"/>
            <w:hideMark/>
          </w:tcPr>
          <w:p w14:paraId="555A774A"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0.020</w:t>
            </w:r>
          </w:p>
        </w:tc>
        <w:tc>
          <w:tcPr>
            <w:tcW w:w="960" w:type="dxa"/>
            <w:noWrap/>
            <w:vAlign w:val="bottom"/>
            <w:hideMark/>
          </w:tcPr>
          <w:p w14:paraId="0A9F2BA7"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0.184</w:t>
            </w:r>
          </w:p>
        </w:tc>
      </w:tr>
      <w:tr w:rsidR="009F5998" w:rsidRPr="00A9103A" w14:paraId="1F334733" w14:textId="77777777" w:rsidTr="009F5998">
        <w:trPr>
          <w:trHeight w:val="290"/>
        </w:trPr>
        <w:tc>
          <w:tcPr>
            <w:tcW w:w="1660" w:type="dxa"/>
            <w:noWrap/>
            <w:vAlign w:val="bottom"/>
            <w:hideMark/>
          </w:tcPr>
          <w:p w14:paraId="7DD60C3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SO</w:t>
            </w:r>
            <w:r w:rsidRPr="00A9103A">
              <w:rPr>
                <w:rFonts w:ascii="Times New Roman" w:eastAsia="Times New Roman" w:hAnsi="Times New Roman"/>
                <w:color w:val="000000"/>
                <w:sz w:val="24"/>
                <w:szCs w:val="24"/>
                <w:vertAlign w:val="subscript"/>
                <w:lang w:eastAsia="en-IN"/>
              </w:rPr>
              <w:t>4</w:t>
            </w:r>
            <w:r w:rsidRPr="00A9103A">
              <w:rPr>
                <w:rFonts w:ascii="Times New Roman" w:eastAsia="Times New Roman" w:hAnsi="Times New Roman"/>
                <w:color w:val="000000"/>
                <w:sz w:val="24"/>
                <w:szCs w:val="24"/>
                <w:lang w:eastAsia="en-IN"/>
              </w:rPr>
              <w:t>/Cl</w:t>
            </w:r>
          </w:p>
        </w:tc>
        <w:tc>
          <w:tcPr>
            <w:tcW w:w="960" w:type="dxa"/>
            <w:noWrap/>
            <w:vAlign w:val="bottom"/>
            <w:hideMark/>
          </w:tcPr>
          <w:p w14:paraId="17A04E03"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-0.337</w:t>
            </w:r>
          </w:p>
        </w:tc>
        <w:tc>
          <w:tcPr>
            <w:tcW w:w="960" w:type="dxa"/>
            <w:noWrap/>
            <w:vAlign w:val="bottom"/>
            <w:hideMark/>
          </w:tcPr>
          <w:p w14:paraId="7BDD9870"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0.641</w:t>
            </w:r>
          </w:p>
        </w:tc>
        <w:tc>
          <w:tcPr>
            <w:tcW w:w="960" w:type="dxa"/>
            <w:noWrap/>
            <w:vAlign w:val="bottom"/>
            <w:hideMark/>
          </w:tcPr>
          <w:p w14:paraId="7F2DE83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0.440</w:t>
            </w:r>
          </w:p>
        </w:tc>
      </w:tr>
      <w:tr w:rsidR="009F5998" w:rsidRPr="00A9103A" w14:paraId="0840C8E1" w14:textId="77777777" w:rsidTr="009F5998">
        <w:trPr>
          <w:trHeight w:val="300"/>
        </w:trPr>
        <w:tc>
          <w:tcPr>
            <w:tcW w:w="1660" w:type="dxa"/>
            <w:noWrap/>
            <w:vAlign w:val="bottom"/>
            <w:hideMark/>
          </w:tcPr>
          <w:p w14:paraId="0D3F3DAE"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NO</w:t>
            </w:r>
            <w:r w:rsidRPr="00A9103A">
              <w:rPr>
                <w:rFonts w:ascii="Times New Roman" w:eastAsia="Times New Roman" w:hAnsi="Times New Roman"/>
                <w:color w:val="000000"/>
                <w:sz w:val="24"/>
                <w:szCs w:val="24"/>
                <w:vertAlign w:val="subscript"/>
                <w:lang w:eastAsia="en-IN"/>
              </w:rPr>
              <w:t>3</w:t>
            </w:r>
            <w:r w:rsidRPr="00A9103A">
              <w:rPr>
                <w:rFonts w:ascii="Times New Roman" w:eastAsia="Times New Roman" w:hAnsi="Times New Roman"/>
                <w:color w:val="000000"/>
                <w:sz w:val="24"/>
                <w:szCs w:val="24"/>
                <w:lang w:eastAsia="en-IN"/>
              </w:rPr>
              <w:t>/Cl</w:t>
            </w:r>
          </w:p>
        </w:tc>
        <w:tc>
          <w:tcPr>
            <w:tcW w:w="960" w:type="dxa"/>
            <w:noWrap/>
            <w:vAlign w:val="bottom"/>
            <w:hideMark/>
          </w:tcPr>
          <w:p w14:paraId="4E2E00F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-0.192</w:t>
            </w:r>
          </w:p>
        </w:tc>
        <w:tc>
          <w:tcPr>
            <w:tcW w:w="960" w:type="dxa"/>
            <w:noWrap/>
            <w:vAlign w:val="bottom"/>
            <w:hideMark/>
          </w:tcPr>
          <w:p w14:paraId="55E906B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0.814</w:t>
            </w:r>
          </w:p>
        </w:tc>
        <w:tc>
          <w:tcPr>
            <w:tcW w:w="960" w:type="dxa"/>
            <w:noWrap/>
            <w:vAlign w:val="bottom"/>
            <w:hideMark/>
          </w:tcPr>
          <w:p w14:paraId="67B43ACD"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0.294</w:t>
            </w:r>
          </w:p>
        </w:tc>
      </w:tr>
      <w:tr w:rsidR="009F5998" w:rsidRPr="00A9103A" w14:paraId="7B2E5D7B" w14:textId="77777777" w:rsidTr="009F5998">
        <w:trPr>
          <w:trHeight w:val="300"/>
        </w:trPr>
        <w:tc>
          <w:tcPr>
            <w:tcW w:w="1660" w:type="dxa"/>
            <w:noWrap/>
            <w:vAlign w:val="bottom"/>
          </w:tcPr>
          <w:p w14:paraId="386723A0"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Eigen value</w:t>
            </w:r>
          </w:p>
        </w:tc>
        <w:tc>
          <w:tcPr>
            <w:tcW w:w="960" w:type="dxa"/>
            <w:noWrap/>
            <w:vAlign w:val="bottom"/>
          </w:tcPr>
          <w:p w14:paraId="67CE7A54"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7.482</w:t>
            </w:r>
          </w:p>
        </w:tc>
        <w:tc>
          <w:tcPr>
            <w:tcW w:w="960" w:type="dxa"/>
            <w:noWrap/>
            <w:vAlign w:val="bottom"/>
          </w:tcPr>
          <w:p w14:paraId="7737D41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1.877</w:t>
            </w:r>
          </w:p>
        </w:tc>
        <w:tc>
          <w:tcPr>
            <w:tcW w:w="960" w:type="dxa"/>
            <w:noWrap/>
            <w:vAlign w:val="bottom"/>
          </w:tcPr>
          <w:p w14:paraId="33D1301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0.932</w:t>
            </w:r>
          </w:p>
        </w:tc>
      </w:tr>
      <w:tr w:rsidR="009F5998" w:rsidRPr="00A9103A" w14:paraId="6384EDC6" w14:textId="77777777" w:rsidTr="009F5998">
        <w:trPr>
          <w:trHeight w:val="300"/>
        </w:trPr>
        <w:tc>
          <w:tcPr>
            <w:tcW w:w="1660" w:type="dxa"/>
            <w:noWrap/>
            <w:vAlign w:val="bottom"/>
          </w:tcPr>
          <w:p w14:paraId="3CC53F4E"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Variance%</w:t>
            </w:r>
          </w:p>
        </w:tc>
        <w:tc>
          <w:tcPr>
            <w:tcW w:w="960" w:type="dxa"/>
            <w:noWrap/>
            <w:vAlign w:val="bottom"/>
          </w:tcPr>
          <w:p w14:paraId="761A647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62.348</w:t>
            </w:r>
          </w:p>
        </w:tc>
        <w:tc>
          <w:tcPr>
            <w:tcW w:w="960" w:type="dxa"/>
            <w:noWrap/>
            <w:vAlign w:val="bottom"/>
          </w:tcPr>
          <w:p w14:paraId="6D8DB80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15.642</w:t>
            </w:r>
          </w:p>
        </w:tc>
        <w:tc>
          <w:tcPr>
            <w:tcW w:w="960" w:type="dxa"/>
            <w:noWrap/>
            <w:vAlign w:val="bottom"/>
          </w:tcPr>
          <w:p w14:paraId="70D98309"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7.769</w:t>
            </w:r>
          </w:p>
        </w:tc>
      </w:tr>
      <w:tr w:rsidR="009F5998" w:rsidRPr="00A9103A" w14:paraId="0011B3B2" w14:textId="77777777" w:rsidTr="009F5998">
        <w:trPr>
          <w:trHeight w:val="300"/>
        </w:trPr>
        <w:tc>
          <w:tcPr>
            <w:tcW w:w="1660" w:type="dxa"/>
            <w:noWrap/>
            <w:vAlign w:val="bottom"/>
          </w:tcPr>
          <w:p w14:paraId="7DA2A85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Cumulative %</w:t>
            </w:r>
          </w:p>
        </w:tc>
        <w:tc>
          <w:tcPr>
            <w:tcW w:w="960" w:type="dxa"/>
            <w:noWrap/>
            <w:vAlign w:val="bottom"/>
          </w:tcPr>
          <w:p w14:paraId="6421ACA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62.348</w:t>
            </w:r>
          </w:p>
        </w:tc>
        <w:tc>
          <w:tcPr>
            <w:tcW w:w="960" w:type="dxa"/>
            <w:noWrap/>
            <w:vAlign w:val="bottom"/>
          </w:tcPr>
          <w:p w14:paraId="7AEA98B3"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77.989</w:t>
            </w:r>
          </w:p>
        </w:tc>
        <w:tc>
          <w:tcPr>
            <w:tcW w:w="960" w:type="dxa"/>
            <w:noWrap/>
            <w:vAlign w:val="bottom"/>
          </w:tcPr>
          <w:p w14:paraId="14F1172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85.758</w:t>
            </w:r>
          </w:p>
        </w:tc>
      </w:tr>
      <w:bookmarkEnd w:id="11"/>
    </w:tbl>
    <w:p w14:paraId="4227718E" w14:textId="77777777" w:rsidR="009F5998" w:rsidRPr="00A9103A" w:rsidRDefault="009F5998" w:rsidP="00AB2AF7">
      <w:pPr>
        <w:autoSpaceDE w:val="0"/>
        <w:autoSpaceDN w:val="0"/>
        <w:adjustRightInd w:val="0"/>
        <w:spacing w:after="0" w:line="240" w:lineRule="auto"/>
        <w:jc w:val="center"/>
        <w:rPr>
          <w:rFonts w:ascii="Times New Roman" w:hAnsi="Times New Roman"/>
          <w:sz w:val="24"/>
          <w:szCs w:val="24"/>
          <w:lang w:val="en-US"/>
        </w:rPr>
      </w:pPr>
    </w:p>
    <w:p w14:paraId="7E3C2FC6" w14:textId="77777777" w:rsidR="009F5998" w:rsidRDefault="009F5998" w:rsidP="00AB2AF7">
      <w:pPr>
        <w:autoSpaceDE w:val="0"/>
        <w:autoSpaceDN w:val="0"/>
        <w:adjustRightInd w:val="0"/>
        <w:spacing w:after="0" w:line="240" w:lineRule="auto"/>
        <w:jc w:val="center"/>
        <w:rPr>
          <w:rFonts w:ascii="Times New Roman" w:hAnsi="Times New Roman"/>
          <w:sz w:val="20"/>
          <w:szCs w:val="20"/>
          <w:lang w:val="en-US"/>
        </w:rPr>
      </w:pPr>
    </w:p>
    <w:p w14:paraId="6601A894" w14:textId="77777777" w:rsidR="009F5998" w:rsidRDefault="009F5998" w:rsidP="00AB2AF7">
      <w:pPr>
        <w:autoSpaceDE w:val="0"/>
        <w:autoSpaceDN w:val="0"/>
        <w:adjustRightInd w:val="0"/>
        <w:spacing w:after="0" w:line="240" w:lineRule="auto"/>
        <w:jc w:val="center"/>
        <w:rPr>
          <w:rFonts w:ascii="Times New Roman" w:hAnsi="Times New Roman"/>
          <w:sz w:val="20"/>
          <w:szCs w:val="20"/>
          <w:lang w:val="en-US"/>
        </w:rPr>
      </w:pPr>
    </w:p>
    <w:p w14:paraId="68AD1419" w14:textId="77777777" w:rsidR="009F5998" w:rsidRDefault="009F5998" w:rsidP="00AB2AF7">
      <w:pPr>
        <w:autoSpaceDE w:val="0"/>
        <w:autoSpaceDN w:val="0"/>
        <w:adjustRightInd w:val="0"/>
        <w:spacing w:after="0" w:line="240" w:lineRule="auto"/>
        <w:jc w:val="center"/>
        <w:rPr>
          <w:rFonts w:ascii="Times New Roman" w:hAnsi="Times New Roman"/>
          <w:sz w:val="20"/>
          <w:szCs w:val="20"/>
          <w:lang w:val="en-US"/>
        </w:rPr>
      </w:pPr>
    </w:p>
    <w:p w14:paraId="52E8F738" w14:textId="77777777" w:rsidR="009F5998" w:rsidRDefault="009F5998" w:rsidP="00AB2AF7">
      <w:pPr>
        <w:autoSpaceDE w:val="0"/>
        <w:autoSpaceDN w:val="0"/>
        <w:adjustRightInd w:val="0"/>
        <w:spacing w:after="0" w:line="240" w:lineRule="auto"/>
        <w:jc w:val="center"/>
        <w:rPr>
          <w:rFonts w:ascii="Times New Roman" w:hAnsi="Times New Roman"/>
          <w:sz w:val="20"/>
          <w:szCs w:val="20"/>
          <w:lang w:val="en-US"/>
        </w:rPr>
      </w:pPr>
    </w:p>
    <w:p w14:paraId="650FE815" w14:textId="77777777" w:rsidR="009F5998" w:rsidRDefault="009F5998" w:rsidP="00AB2AF7">
      <w:pPr>
        <w:spacing w:after="0" w:line="240" w:lineRule="auto"/>
        <w:jc w:val="center"/>
        <w:rPr>
          <w:rFonts w:ascii="Times New Roman" w:hAnsi="Times New Roman"/>
          <w:bCs/>
          <w:color w:val="000000"/>
          <w:sz w:val="24"/>
          <w:szCs w:val="24"/>
        </w:rPr>
      </w:pPr>
    </w:p>
    <w:p w14:paraId="02BDF38B" w14:textId="77777777" w:rsidR="009F5998" w:rsidRDefault="009F5998" w:rsidP="00AB2AF7">
      <w:pPr>
        <w:spacing w:after="0" w:line="240" w:lineRule="auto"/>
        <w:jc w:val="center"/>
        <w:rPr>
          <w:rFonts w:ascii="Times New Roman" w:hAnsi="Times New Roman"/>
          <w:bCs/>
          <w:color w:val="000000"/>
          <w:sz w:val="24"/>
          <w:szCs w:val="24"/>
        </w:rPr>
      </w:pPr>
    </w:p>
    <w:p w14:paraId="1DF85A89" w14:textId="77777777" w:rsidR="009F5998" w:rsidRDefault="009F5998" w:rsidP="00AB2AF7">
      <w:pPr>
        <w:spacing w:after="0" w:line="240" w:lineRule="auto"/>
        <w:jc w:val="center"/>
        <w:rPr>
          <w:rFonts w:ascii="Times New Roman" w:hAnsi="Times New Roman"/>
          <w:bCs/>
          <w:color w:val="000000"/>
          <w:sz w:val="24"/>
          <w:szCs w:val="24"/>
        </w:rPr>
      </w:pPr>
    </w:p>
    <w:p w14:paraId="6E49F0D2" w14:textId="77777777" w:rsidR="009F5998" w:rsidRDefault="009F5998" w:rsidP="00AB2AF7">
      <w:pPr>
        <w:spacing w:after="0" w:line="240" w:lineRule="auto"/>
        <w:jc w:val="both"/>
        <w:rPr>
          <w:rFonts w:ascii="Times New Roman" w:hAnsi="Times New Roman"/>
          <w:bCs/>
          <w:color w:val="000000"/>
          <w:sz w:val="24"/>
          <w:szCs w:val="24"/>
        </w:rPr>
      </w:pPr>
    </w:p>
    <w:p w14:paraId="52BF16A9" w14:textId="77777777" w:rsidR="009F5998" w:rsidRDefault="009F5998" w:rsidP="00AB2AF7">
      <w:pPr>
        <w:spacing w:after="0" w:line="240" w:lineRule="auto"/>
        <w:jc w:val="both"/>
        <w:rPr>
          <w:rFonts w:ascii="Times New Roman" w:hAnsi="Times New Roman"/>
          <w:bCs/>
          <w:color w:val="000000"/>
          <w:sz w:val="24"/>
          <w:szCs w:val="24"/>
        </w:rPr>
      </w:pPr>
    </w:p>
    <w:p w14:paraId="17FC8D91" w14:textId="77777777" w:rsidR="009F5998" w:rsidRDefault="009F5998" w:rsidP="00AB2AF7">
      <w:pPr>
        <w:spacing w:after="0" w:line="240" w:lineRule="auto"/>
        <w:jc w:val="both"/>
        <w:rPr>
          <w:rFonts w:ascii="Times New Roman" w:hAnsi="Times New Roman"/>
          <w:bCs/>
          <w:color w:val="000000"/>
          <w:sz w:val="24"/>
          <w:szCs w:val="24"/>
        </w:rPr>
      </w:pPr>
    </w:p>
    <w:p w14:paraId="10A82532" w14:textId="77777777" w:rsidR="009F5998" w:rsidRDefault="009F5998" w:rsidP="00AB2AF7">
      <w:pPr>
        <w:spacing w:after="0" w:line="240" w:lineRule="auto"/>
        <w:jc w:val="both"/>
        <w:rPr>
          <w:rFonts w:ascii="Times New Roman" w:hAnsi="Times New Roman"/>
          <w:bCs/>
          <w:color w:val="000000"/>
          <w:sz w:val="24"/>
          <w:szCs w:val="24"/>
        </w:rPr>
      </w:pPr>
    </w:p>
    <w:p w14:paraId="0FE05AF7" w14:textId="77777777" w:rsidR="00F1529B" w:rsidRDefault="00F1529B" w:rsidP="00AB2AF7">
      <w:pPr>
        <w:spacing w:after="0" w:line="240" w:lineRule="auto"/>
        <w:jc w:val="both"/>
        <w:rPr>
          <w:rFonts w:ascii="Times New Roman" w:hAnsi="Times New Roman"/>
          <w:bCs/>
          <w:color w:val="000000"/>
          <w:sz w:val="24"/>
          <w:szCs w:val="24"/>
        </w:rPr>
      </w:pPr>
    </w:p>
    <w:p w14:paraId="1E3458ED" w14:textId="77777777" w:rsidR="00F1529B" w:rsidRDefault="00F1529B" w:rsidP="00AB2AF7">
      <w:pPr>
        <w:spacing w:after="0" w:line="240" w:lineRule="auto"/>
        <w:jc w:val="both"/>
        <w:rPr>
          <w:rFonts w:ascii="Times New Roman" w:hAnsi="Times New Roman"/>
          <w:bCs/>
          <w:color w:val="000000"/>
          <w:sz w:val="24"/>
          <w:szCs w:val="24"/>
        </w:rPr>
      </w:pPr>
    </w:p>
    <w:p w14:paraId="2AEA0928" w14:textId="77777777" w:rsidR="00F1529B" w:rsidRDefault="00F1529B" w:rsidP="00AB2AF7">
      <w:pPr>
        <w:spacing w:after="0" w:line="240" w:lineRule="auto"/>
        <w:jc w:val="both"/>
        <w:rPr>
          <w:rFonts w:ascii="Times New Roman" w:hAnsi="Times New Roman"/>
          <w:bCs/>
          <w:color w:val="000000"/>
          <w:sz w:val="24"/>
          <w:szCs w:val="24"/>
        </w:rPr>
      </w:pPr>
    </w:p>
    <w:p w14:paraId="220F492C" w14:textId="77777777" w:rsidR="00F1529B" w:rsidRDefault="00F1529B" w:rsidP="00F1529B">
      <w:pPr>
        <w:spacing w:line="240" w:lineRule="auto"/>
        <w:jc w:val="both"/>
        <w:rPr>
          <w:rFonts w:ascii="Times New Roman" w:hAnsi="Times New Roman"/>
          <w:bCs/>
          <w:color w:val="000000"/>
          <w:sz w:val="24"/>
          <w:szCs w:val="24"/>
        </w:rPr>
      </w:pPr>
    </w:p>
    <w:p w14:paraId="4F444CB7" w14:textId="77777777" w:rsidR="00F1529B" w:rsidRDefault="00F1529B" w:rsidP="00F1529B">
      <w:pPr>
        <w:spacing w:line="240" w:lineRule="auto"/>
        <w:jc w:val="both"/>
        <w:rPr>
          <w:rFonts w:ascii="Times New Roman" w:hAnsi="Times New Roman"/>
          <w:bCs/>
          <w:color w:val="000000"/>
          <w:sz w:val="24"/>
          <w:szCs w:val="24"/>
        </w:rPr>
      </w:pPr>
    </w:p>
    <w:p w14:paraId="51304612" w14:textId="77777777" w:rsidR="00F1529B" w:rsidRDefault="00F1529B" w:rsidP="00F1529B">
      <w:pPr>
        <w:spacing w:line="240" w:lineRule="auto"/>
        <w:jc w:val="both"/>
        <w:rPr>
          <w:rFonts w:ascii="Times New Roman" w:hAnsi="Times New Roman"/>
          <w:bCs/>
          <w:color w:val="000000"/>
          <w:sz w:val="24"/>
          <w:szCs w:val="24"/>
        </w:rPr>
      </w:pPr>
    </w:p>
    <w:p w14:paraId="478C6049" w14:textId="373214A2" w:rsidR="00C63013" w:rsidRPr="00EA71EF" w:rsidRDefault="00C63013" w:rsidP="00F1529B">
      <w:pPr>
        <w:spacing w:line="240" w:lineRule="auto"/>
        <w:jc w:val="both"/>
        <w:rPr>
          <w:rFonts w:ascii="Times New Roman" w:hAnsi="Times New Roman"/>
          <w:bCs/>
          <w:color w:val="000000"/>
          <w:sz w:val="24"/>
          <w:szCs w:val="24"/>
        </w:rPr>
      </w:pPr>
      <w:r w:rsidRPr="00DA06FB">
        <w:rPr>
          <w:rFonts w:ascii="Times New Roman" w:hAnsi="Times New Roman"/>
          <w:bCs/>
          <w:color w:val="000000"/>
          <w:sz w:val="24"/>
          <w:szCs w:val="24"/>
        </w:rPr>
        <w:t>Although the third factor has an eigenvalue of 0.932, it exhibits distinct and significant ionic loadings</w:t>
      </w:r>
      <w:r>
        <w:rPr>
          <w:rFonts w:ascii="Times New Roman" w:hAnsi="Times New Roman"/>
          <w:bCs/>
          <w:color w:val="000000"/>
          <w:sz w:val="24"/>
          <w:szCs w:val="24"/>
        </w:rPr>
        <w:t xml:space="preserve"> </w:t>
      </w:r>
      <w:r w:rsidRPr="00EA71EF">
        <w:rPr>
          <w:rFonts w:ascii="Times New Roman" w:hAnsi="Times New Roman"/>
          <w:bCs/>
          <w:color w:val="000000"/>
          <w:sz w:val="24"/>
          <w:szCs w:val="24"/>
        </w:rPr>
        <w:t>(Ca/Mg = –0.624)</w:t>
      </w:r>
      <w:r>
        <w:rPr>
          <w:rFonts w:ascii="Times New Roman" w:hAnsi="Times New Roman"/>
          <w:bCs/>
          <w:color w:val="000000"/>
          <w:sz w:val="24"/>
          <w:szCs w:val="24"/>
        </w:rPr>
        <w:t>,</w:t>
      </w:r>
      <w:r w:rsidRPr="00DA06FB">
        <w:rPr>
          <w:rFonts w:ascii="Times New Roman" w:hAnsi="Times New Roman"/>
          <w:bCs/>
          <w:color w:val="000000"/>
          <w:sz w:val="24"/>
          <w:szCs w:val="24"/>
        </w:rPr>
        <w:t xml:space="preserve"> that indicate a unique hydro-chemical process and omitting it would result in the loss of essential geochemical information</w:t>
      </w:r>
      <w:r>
        <w:rPr>
          <w:rFonts w:ascii="Times New Roman" w:hAnsi="Times New Roman"/>
          <w:bCs/>
          <w:color w:val="000000"/>
          <w:sz w:val="24"/>
          <w:szCs w:val="24"/>
        </w:rPr>
        <w:t xml:space="preserve"> </w:t>
      </w:r>
      <w:r w:rsidR="001348C9">
        <w:rPr>
          <w:rFonts w:ascii="Times New Roman" w:hAnsi="Times New Roman"/>
          <w:bCs/>
          <w:color w:val="000000"/>
          <w:sz w:val="24"/>
          <w:szCs w:val="24"/>
        </w:rPr>
        <w:t>[60].</w:t>
      </w:r>
      <w:r>
        <w:rPr>
          <w:rFonts w:ascii="Times New Roman" w:eastAsia="Times New Roman" w:hAnsi="Times New Roman"/>
          <w:sz w:val="24"/>
          <w:szCs w:val="24"/>
          <w:lang w:eastAsia="en-IN"/>
        </w:rPr>
        <w:t xml:space="preserve"> </w:t>
      </w:r>
      <w:r w:rsidRPr="00EA71EF">
        <w:rPr>
          <w:rFonts w:ascii="Times New Roman" w:hAnsi="Times New Roman"/>
          <w:bCs/>
          <w:color w:val="000000"/>
          <w:sz w:val="24"/>
          <w:szCs w:val="24"/>
        </w:rPr>
        <w:t>Therefore, it is appropriate to retain this factor.</w:t>
      </w:r>
    </w:p>
    <w:p w14:paraId="6F569C32" w14:textId="29D4DF40" w:rsidR="00A8217C" w:rsidRDefault="00870062" w:rsidP="00F1529B">
      <w:pPr>
        <w:spacing w:line="240" w:lineRule="auto"/>
        <w:jc w:val="both"/>
        <w:rPr>
          <w:rFonts w:ascii="Times New Roman" w:hAnsi="Times New Roman"/>
          <w:bCs/>
          <w:color w:val="000000"/>
          <w:sz w:val="24"/>
          <w:szCs w:val="24"/>
        </w:rPr>
      </w:pPr>
      <w:r w:rsidRPr="00DA06FB">
        <w:rPr>
          <w:rFonts w:ascii="Times New Roman" w:hAnsi="Times New Roman"/>
          <w:bCs/>
          <w:color w:val="000000"/>
          <w:sz w:val="24"/>
          <w:szCs w:val="24"/>
        </w:rPr>
        <w:t>Three principal factors explained 85.76% of variance. Factor</w:t>
      </w:r>
      <w:r w:rsidR="00882CCE">
        <w:rPr>
          <w:rFonts w:ascii="Times New Roman" w:hAnsi="Times New Roman"/>
          <w:bCs/>
          <w:color w:val="000000"/>
          <w:sz w:val="24"/>
          <w:szCs w:val="24"/>
        </w:rPr>
        <w:t>-</w:t>
      </w:r>
      <w:r w:rsidRPr="00DA06FB">
        <w:rPr>
          <w:rFonts w:ascii="Times New Roman" w:hAnsi="Times New Roman"/>
          <w:bCs/>
          <w:color w:val="000000"/>
          <w:sz w:val="24"/>
          <w:szCs w:val="24"/>
        </w:rPr>
        <w:t>1</w:t>
      </w:r>
      <w:r w:rsidR="00882CCE">
        <w:rPr>
          <w:rFonts w:ascii="Times New Roman" w:hAnsi="Times New Roman"/>
          <w:bCs/>
          <w:color w:val="000000"/>
          <w:sz w:val="24"/>
          <w:szCs w:val="24"/>
        </w:rPr>
        <w:t xml:space="preserve"> </w:t>
      </w:r>
      <w:r w:rsidRPr="00DA06FB">
        <w:rPr>
          <w:rFonts w:ascii="Times New Roman" w:hAnsi="Times New Roman"/>
          <w:bCs/>
          <w:color w:val="000000"/>
          <w:sz w:val="24"/>
          <w:szCs w:val="24"/>
        </w:rPr>
        <w:t>(62.35%) reflects carbonate/silicate weathering and reverse ion exchange, responsible for Ca–Mg–HCO₃ water type and geogenic fluoride enrichment due to Ca depletion</w:t>
      </w:r>
      <w:r w:rsidR="000C4C96" w:rsidRPr="00DA06FB">
        <w:rPr>
          <w:rFonts w:ascii="Times New Roman" w:hAnsi="Times New Roman"/>
          <w:bCs/>
          <w:color w:val="000000"/>
          <w:sz w:val="24"/>
          <w:szCs w:val="24"/>
        </w:rPr>
        <w:t xml:space="preserve"> </w:t>
      </w:r>
      <w:r w:rsidR="001348C9">
        <w:rPr>
          <w:rFonts w:ascii="Times New Roman" w:hAnsi="Times New Roman"/>
          <w:bCs/>
          <w:color w:val="000000"/>
          <w:sz w:val="24"/>
          <w:szCs w:val="24"/>
        </w:rPr>
        <w:t>[38][10].</w:t>
      </w:r>
      <w:r w:rsidRPr="00DA06FB">
        <w:rPr>
          <w:rFonts w:ascii="Times New Roman" w:hAnsi="Times New Roman"/>
          <w:bCs/>
          <w:color w:val="000000"/>
          <w:sz w:val="24"/>
          <w:szCs w:val="24"/>
        </w:rPr>
        <w:t xml:space="preserve"> Factor</w:t>
      </w:r>
      <w:r w:rsidR="00882CCE">
        <w:rPr>
          <w:rFonts w:ascii="Times New Roman" w:hAnsi="Times New Roman"/>
          <w:bCs/>
          <w:color w:val="000000"/>
          <w:sz w:val="24"/>
          <w:szCs w:val="24"/>
        </w:rPr>
        <w:t>-</w:t>
      </w:r>
      <w:r w:rsidRPr="00DA06FB">
        <w:rPr>
          <w:rFonts w:ascii="Times New Roman" w:hAnsi="Times New Roman"/>
          <w:bCs/>
          <w:color w:val="000000"/>
          <w:sz w:val="24"/>
          <w:szCs w:val="24"/>
        </w:rPr>
        <w:t>2 (15.64%) represents anthropogenic influence, dominated by NO₃⁻ and SO₄²⁻ inputs from fertilizers and wastewater</w:t>
      </w:r>
      <w:r w:rsidR="000C4C96" w:rsidRPr="00DA06FB">
        <w:rPr>
          <w:rFonts w:ascii="Times New Roman" w:hAnsi="Times New Roman"/>
          <w:bCs/>
          <w:color w:val="000000"/>
          <w:sz w:val="24"/>
          <w:szCs w:val="24"/>
        </w:rPr>
        <w:t xml:space="preserve"> </w:t>
      </w:r>
      <w:r w:rsidR="001348C9">
        <w:rPr>
          <w:rFonts w:ascii="Times New Roman" w:hAnsi="Times New Roman"/>
          <w:bCs/>
          <w:color w:val="000000"/>
          <w:sz w:val="24"/>
          <w:szCs w:val="24"/>
        </w:rPr>
        <w:t xml:space="preserve">[2]. </w:t>
      </w:r>
      <w:r w:rsidRPr="00DA06FB">
        <w:rPr>
          <w:rFonts w:ascii="Times New Roman" w:hAnsi="Times New Roman"/>
          <w:bCs/>
          <w:color w:val="000000"/>
          <w:sz w:val="24"/>
          <w:szCs w:val="24"/>
        </w:rPr>
        <w:t>Factor</w:t>
      </w:r>
      <w:r w:rsidR="00882CCE">
        <w:rPr>
          <w:rFonts w:ascii="Times New Roman" w:hAnsi="Times New Roman"/>
          <w:bCs/>
          <w:color w:val="000000"/>
          <w:sz w:val="24"/>
          <w:szCs w:val="24"/>
        </w:rPr>
        <w:t>-</w:t>
      </w:r>
      <w:r w:rsidRPr="00DA06FB">
        <w:rPr>
          <w:rFonts w:ascii="Times New Roman" w:hAnsi="Times New Roman"/>
          <w:bCs/>
          <w:color w:val="000000"/>
          <w:sz w:val="24"/>
          <w:szCs w:val="24"/>
        </w:rPr>
        <w:t>3 (7.77%) indicates groundwater evolution through cation exchange and mixing of deep and shallow flow paths. Overall, groundwater quality is primarily geogenically controlled with localized anthropogenic impacts.</w:t>
      </w:r>
    </w:p>
    <w:p w14:paraId="149BF14C" w14:textId="77777777" w:rsidR="00AB2AF7" w:rsidRDefault="00AB2AF7" w:rsidP="00AB2AF7">
      <w:pPr>
        <w:spacing w:after="0" w:line="240" w:lineRule="auto"/>
        <w:jc w:val="both"/>
        <w:rPr>
          <w:rFonts w:ascii="Times New Roman" w:hAnsi="Times New Roman"/>
          <w:bCs/>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206"/>
      </w:tblGrid>
      <w:tr w:rsidR="00640B84" w14:paraId="31437432" w14:textId="77777777" w:rsidTr="00DB1FC2">
        <w:trPr>
          <w:jc w:val="center"/>
        </w:trPr>
        <w:tc>
          <w:tcPr>
            <w:tcW w:w="5074" w:type="dxa"/>
          </w:tcPr>
          <w:p w14:paraId="3253C35A" w14:textId="1F6E7D71" w:rsidR="00640B84" w:rsidRPr="00640B84" w:rsidRDefault="00640B84" w:rsidP="00640B84">
            <w:pPr>
              <w:pStyle w:val="NormalWeb"/>
            </w:pPr>
            <w:r>
              <w:rPr>
                <w:noProof/>
              </w:rPr>
              <w:lastRenderedPageBreak/>
              <w:drawing>
                <wp:inline distT="0" distB="0" distL="0" distR="0" wp14:anchorId="5EBC7A38" wp14:editId="50BB8FDF">
                  <wp:extent cx="3249720" cy="2184400"/>
                  <wp:effectExtent l="0" t="0" r="8255" b="6350"/>
                  <wp:docPr id="136986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9645" cy="2197793"/>
                          </a:xfrm>
                          <a:prstGeom prst="rect">
                            <a:avLst/>
                          </a:prstGeom>
                          <a:noFill/>
                          <a:ln>
                            <a:noFill/>
                          </a:ln>
                        </pic:spPr>
                      </pic:pic>
                    </a:graphicData>
                  </a:graphic>
                </wp:inline>
              </w:drawing>
            </w:r>
          </w:p>
        </w:tc>
        <w:tc>
          <w:tcPr>
            <w:tcW w:w="3942" w:type="dxa"/>
          </w:tcPr>
          <w:p w14:paraId="527A19FA" w14:textId="73A24B5E" w:rsidR="00640B84" w:rsidRPr="00067F43" w:rsidRDefault="00067F43" w:rsidP="00067F43">
            <w:pPr>
              <w:pStyle w:val="NormalWeb"/>
            </w:pPr>
            <w:r w:rsidRPr="00067F43">
              <w:rPr>
                <w:noProof/>
              </w:rPr>
              <w:drawing>
                <wp:inline distT="0" distB="0" distL="0" distR="0" wp14:anchorId="2D2F0FBA" wp14:editId="24817DD0">
                  <wp:extent cx="2527300" cy="2223218"/>
                  <wp:effectExtent l="0" t="0" r="6350" b="5715"/>
                  <wp:docPr id="18980560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5878" cy="2230764"/>
                          </a:xfrm>
                          <a:prstGeom prst="rect">
                            <a:avLst/>
                          </a:prstGeom>
                          <a:noFill/>
                          <a:ln>
                            <a:noFill/>
                          </a:ln>
                        </pic:spPr>
                      </pic:pic>
                    </a:graphicData>
                  </a:graphic>
                </wp:inline>
              </w:drawing>
            </w:r>
          </w:p>
        </w:tc>
      </w:tr>
      <w:tr w:rsidR="00067F43" w14:paraId="2A0A073D" w14:textId="77777777" w:rsidTr="00DB1FC2">
        <w:trPr>
          <w:jc w:val="center"/>
        </w:trPr>
        <w:tc>
          <w:tcPr>
            <w:tcW w:w="9016" w:type="dxa"/>
            <w:gridSpan w:val="2"/>
          </w:tcPr>
          <w:p w14:paraId="28DB878B" w14:textId="77777777" w:rsidR="00B35131" w:rsidRDefault="00B35131" w:rsidP="00DB1FC2">
            <w:pPr>
              <w:spacing w:after="0" w:line="360" w:lineRule="auto"/>
              <w:jc w:val="both"/>
              <w:rPr>
                <w:rFonts w:ascii="Times New Roman" w:hAnsi="Times New Roman"/>
                <w:bCs/>
                <w:color w:val="000000"/>
                <w:sz w:val="24"/>
                <w:szCs w:val="24"/>
              </w:rPr>
            </w:pPr>
          </w:p>
          <w:p w14:paraId="7D40625A" w14:textId="195339C2" w:rsidR="00067F43" w:rsidRDefault="00067F43" w:rsidP="00DB1FC2">
            <w:pPr>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Fig</w:t>
            </w:r>
            <w:r w:rsidR="00DB1FC2">
              <w:rPr>
                <w:rFonts w:ascii="Times New Roman" w:hAnsi="Times New Roman"/>
                <w:bCs/>
                <w:color w:val="000000"/>
                <w:sz w:val="24"/>
                <w:szCs w:val="24"/>
              </w:rPr>
              <w:t>ure</w:t>
            </w:r>
            <w:r>
              <w:rPr>
                <w:rFonts w:ascii="Times New Roman" w:hAnsi="Times New Roman"/>
                <w:bCs/>
                <w:color w:val="000000"/>
                <w:sz w:val="24"/>
                <w:szCs w:val="24"/>
              </w:rPr>
              <w:t xml:space="preserve"> 6</w:t>
            </w:r>
            <w:r w:rsidR="00DB1FC2">
              <w:rPr>
                <w:rFonts w:ascii="Times New Roman" w:hAnsi="Times New Roman"/>
                <w:bCs/>
                <w:color w:val="000000"/>
                <w:sz w:val="24"/>
                <w:szCs w:val="24"/>
              </w:rPr>
              <w:t>:</w:t>
            </w:r>
            <w:r>
              <w:rPr>
                <w:rFonts w:ascii="Times New Roman" w:hAnsi="Times New Roman"/>
                <w:bCs/>
                <w:color w:val="000000"/>
                <w:sz w:val="24"/>
                <w:szCs w:val="24"/>
              </w:rPr>
              <w:t xml:space="preserve"> (a) Scree plot for ionic ratio (b) </w:t>
            </w:r>
            <w:r w:rsidRPr="00067F43">
              <w:rPr>
                <w:rFonts w:ascii="Times New Roman" w:hAnsi="Times New Roman"/>
                <w:bCs/>
                <w:color w:val="000000"/>
                <w:sz w:val="24"/>
                <w:szCs w:val="24"/>
              </w:rPr>
              <w:t>Component plot in the rotated space (PCA).</w:t>
            </w:r>
            <w:r>
              <w:rPr>
                <w:rFonts w:ascii="Times New Roman" w:hAnsi="Times New Roman"/>
                <w:bCs/>
                <w:color w:val="000000"/>
                <w:sz w:val="24"/>
                <w:szCs w:val="24"/>
              </w:rPr>
              <w:t xml:space="preserve"> </w:t>
            </w:r>
          </w:p>
        </w:tc>
      </w:tr>
    </w:tbl>
    <w:p w14:paraId="55C07872" w14:textId="77777777" w:rsidR="00640B84" w:rsidRPr="00CD4CA9" w:rsidRDefault="00640B84" w:rsidP="00DA06FB">
      <w:pPr>
        <w:spacing w:after="0" w:line="360" w:lineRule="auto"/>
        <w:jc w:val="both"/>
        <w:rPr>
          <w:rFonts w:ascii="Times New Roman" w:hAnsi="Times New Roman"/>
          <w:bCs/>
          <w:color w:val="000000"/>
          <w:sz w:val="24"/>
          <w:szCs w:val="24"/>
        </w:rPr>
      </w:pPr>
    </w:p>
    <w:p w14:paraId="68B31589" w14:textId="77777777" w:rsidR="00F03483" w:rsidRPr="00AB2AF7" w:rsidRDefault="00F03483" w:rsidP="00DA06FB">
      <w:pPr>
        <w:spacing w:after="0" w:line="360" w:lineRule="auto"/>
        <w:jc w:val="both"/>
        <w:rPr>
          <w:rFonts w:ascii="Times New Roman" w:hAnsi="Times New Roman"/>
          <w:bCs/>
          <w:color w:val="000000"/>
          <w:sz w:val="24"/>
          <w:szCs w:val="24"/>
          <w:lang w:val="en-US"/>
        </w:rPr>
      </w:pPr>
      <w:r w:rsidRPr="00AB2AF7">
        <w:rPr>
          <w:rFonts w:ascii="Times New Roman" w:hAnsi="Times New Roman"/>
          <w:bCs/>
          <w:color w:val="000000"/>
          <w:sz w:val="24"/>
          <w:szCs w:val="24"/>
          <w:lang w:val="en-US"/>
        </w:rPr>
        <w:t>R-Mode cluster analysis</w:t>
      </w:r>
    </w:p>
    <w:p w14:paraId="32C45F03" w14:textId="77777777" w:rsidR="009F5998" w:rsidRDefault="00E826F1" w:rsidP="00AB2AF7">
      <w:pPr>
        <w:pStyle w:val="NormalWeb"/>
        <w:spacing w:before="0" w:beforeAutospacing="0" w:after="0" w:afterAutospacing="0"/>
        <w:jc w:val="both"/>
        <w:rPr>
          <w:rFonts w:eastAsia="Calibri"/>
          <w:bCs/>
          <w:color w:val="000000"/>
          <w:lang w:val="en-US" w:eastAsia="en-US"/>
        </w:rPr>
      </w:pPr>
      <w:r w:rsidRPr="00DA06FB">
        <w:rPr>
          <w:rFonts w:eastAsia="Calibri"/>
          <w:bCs/>
          <w:color w:val="000000"/>
          <w:lang w:val="en-US" w:eastAsia="en-US"/>
        </w:rPr>
        <w:t>Hierarchical Cluster Analysis identified three unique hydrogeochemical categories within the groundwater of the Gondwana sedimentary and nearby metamorphic regions</w:t>
      </w:r>
      <w:r w:rsidR="003C300B">
        <w:rPr>
          <w:rFonts w:eastAsia="Calibri"/>
          <w:bCs/>
          <w:color w:val="000000"/>
          <w:lang w:val="en-US" w:eastAsia="en-US"/>
        </w:rPr>
        <w:t xml:space="preserve"> (Fig</w:t>
      </w:r>
      <w:r w:rsidR="001348C9">
        <w:rPr>
          <w:rFonts w:eastAsia="Calibri"/>
          <w:bCs/>
          <w:color w:val="000000"/>
          <w:lang w:val="en-US" w:eastAsia="en-US"/>
        </w:rPr>
        <w:t>ure</w:t>
      </w:r>
      <w:r w:rsidR="003C300B">
        <w:rPr>
          <w:rFonts w:eastAsia="Calibri"/>
          <w:bCs/>
          <w:color w:val="000000"/>
          <w:lang w:val="en-US" w:eastAsia="en-US"/>
        </w:rPr>
        <w:t xml:space="preserve"> </w:t>
      </w:r>
      <w:r w:rsidR="00640B84">
        <w:rPr>
          <w:rFonts w:eastAsia="Calibri"/>
          <w:bCs/>
          <w:color w:val="000000"/>
          <w:lang w:val="en-US" w:eastAsia="en-US"/>
        </w:rPr>
        <w:t>7</w:t>
      </w:r>
      <w:r w:rsidR="003C300B">
        <w:rPr>
          <w:rFonts w:eastAsia="Calibri"/>
          <w:bCs/>
          <w:color w:val="000000"/>
          <w:lang w:val="en-US" w:eastAsia="en-US"/>
        </w:rPr>
        <w:t>)</w:t>
      </w:r>
      <w:r w:rsidRPr="00DA06FB">
        <w:rPr>
          <w:rFonts w:eastAsia="Calibri"/>
          <w:bCs/>
          <w:color w:val="000000"/>
          <w:lang w:val="en-US" w:eastAsia="en-US"/>
        </w:rPr>
        <w:t xml:space="preserve">. </w:t>
      </w:r>
    </w:p>
    <w:p w14:paraId="11711F13" w14:textId="77777777" w:rsidR="00AB2AF7" w:rsidRDefault="00AB2AF7" w:rsidP="00AB2AF7">
      <w:pPr>
        <w:pStyle w:val="NormalWeb"/>
        <w:spacing w:before="0" w:beforeAutospacing="0" w:after="0" w:afterAutospacing="0"/>
        <w:jc w:val="both"/>
        <w:rPr>
          <w:rFonts w:eastAsia="Calibri"/>
          <w:bCs/>
          <w:color w:val="000000"/>
          <w:lang w:val="en-US" w:eastAsia="en-US"/>
        </w:rPr>
      </w:pPr>
    </w:p>
    <w:p w14:paraId="28DEF868" w14:textId="77777777" w:rsidR="00AB2AF7" w:rsidRPr="00DA06FB" w:rsidRDefault="00AB2AF7" w:rsidP="00AB2AF7">
      <w:pPr>
        <w:pStyle w:val="NormalWeb"/>
        <w:spacing w:before="0" w:beforeAutospacing="0" w:after="0" w:afterAutospacing="0"/>
        <w:jc w:val="both"/>
        <w:rPr>
          <w:rFonts w:eastAsia="Calibri"/>
          <w:bCs/>
          <w:color w:val="000000"/>
          <w:lang w:val="en-US" w:eastAsia="en-US"/>
        </w:rPr>
      </w:pPr>
      <w:r w:rsidRPr="00DA06FB">
        <w:rPr>
          <w:rFonts w:eastAsia="Calibri"/>
          <w:bCs/>
          <w:color w:val="000000"/>
          <w:lang w:val="en-US" w:eastAsia="en-US"/>
        </w:rPr>
        <w:t xml:space="preserve">Cluster1 (HCO₃⁻, TH, TA) is indicative of carbonate dissolution processes that are prevalent in the weathered sedimentary layers </w:t>
      </w:r>
      <w:r>
        <w:rPr>
          <w:rFonts w:eastAsia="Calibri"/>
          <w:bCs/>
          <w:color w:val="000000"/>
          <w:lang w:val="en-US" w:eastAsia="en-US"/>
        </w:rPr>
        <w:t xml:space="preserve">[61][62]. </w:t>
      </w:r>
      <w:r w:rsidRPr="00DA06FB">
        <w:rPr>
          <w:rFonts w:eastAsia="Calibri"/>
          <w:bCs/>
          <w:color w:val="000000"/>
          <w:lang w:val="en-US" w:eastAsia="en-US"/>
        </w:rPr>
        <w:t xml:space="preserve">Cluster2, which includes major cations and anions (Na⁺, Ca²⁺, Mg²⁺, K⁺, Cl⁻, SO₄²⁻, NO₃⁻, F⁻, pH), signifies a mixed system shaped by the weathering of silicate minerals in khondalite–charnockite rocks, evapo-concentration, and human activities </w:t>
      </w:r>
      <w:r>
        <w:rPr>
          <w:rFonts w:eastAsia="Calibri"/>
          <w:bCs/>
          <w:color w:val="000000"/>
          <w:lang w:val="en-US" w:eastAsia="en-US"/>
        </w:rPr>
        <w:t>[63]</w:t>
      </w:r>
      <w:r w:rsidRPr="00DA06FB">
        <w:rPr>
          <w:rFonts w:eastAsia="Calibri"/>
          <w:bCs/>
          <w:color w:val="000000"/>
          <w:lang w:val="en-US" w:eastAsia="en-US"/>
        </w:rPr>
        <w:t xml:space="preserve">. Cluster3 (TDS) stands as a separate group, reflecting the combined impact of all geochemical processes and the accumulation of salinity. </w:t>
      </w:r>
      <w:r w:rsidRPr="00DA06FB">
        <w:rPr>
          <w:rFonts w:eastAsia="Calibri"/>
          <w:color w:val="000000"/>
          <w:lang w:val="en-US" w:eastAsia="en-US"/>
        </w:rPr>
        <w:t>This clustering method effectively differentiates groundwater systems based on lithology, duration of water residence, and external factors, offering a solid foundation for evaluating groundwater development and quality throughout the study region</w:t>
      </w:r>
      <w:r w:rsidRPr="00DA06FB">
        <w:rPr>
          <w:rFonts w:eastAsia="Calibri"/>
          <w:bCs/>
          <w:color w:val="000000"/>
          <w:lang w:val="en-US" w:eastAsia="en-US"/>
        </w:rPr>
        <w:t xml:space="preserve"> </w:t>
      </w:r>
      <w:r>
        <w:rPr>
          <w:rFonts w:eastAsia="Calibri"/>
          <w:bCs/>
          <w:color w:val="000000"/>
          <w:lang w:val="en-US" w:eastAsia="en-US"/>
        </w:rPr>
        <w:t xml:space="preserve">[27][64]. </w:t>
      </w:r>
    </w:p>
    <w:p w14:paraId="14129B5D" w14:textId="77777777" w:rsidR="00AB2AF7" w:rsidRDefault="00AB2AF7" w:rsidP="00AB2AF7">
      <w:pPr>
        <w:pStyle w:val="NormalWeb"/>
        <w:spacing w:before="0" w:beforeAutospacing="0" w:after="0" w:afterAutospacing="0"/>
        <w:jc w:val="both"/>
        <w:rPr>
          <w:rFonts w:eastAsia="Calibri"/>
          <w:bCs/>
          <w:color w:val="000000"/>
          <w:lang w:val="en-US" w:eastAsia="en-US"/>
        </w:rPr>
      </w:pPr>
    </w:p>
    <w:p w14:paraId="68654E01" w14:textId="77777777" w:rsidR="00AB2AF7" w:rsidRDefault="00AB2AF7" w:rsidP="00AB2AF7">
      <w:pPr>
        <w:pStyle w:val="NormalWeb"/>
        <w:spacing w:before="0" w:beforeAutospacing="0" w:after="0" w:afterAutospacing="0"/>
        <w:jc w:val="both"/>
        <w:rPr>
          <w:rFonts w:eastAsia="Calibri"/>
          <w:bCs/>
          <w:color w:val="000000"/>
          <w:lang w:val="en-US" w:eastAsia="en-US"/>
        </w:rPr>
      </w:pPr>
    </w:p>
    <w:p w14:paraId="2AC6F501" w14:textId="2DB1F597" w:rsidR="00AB2AF7" w:rsidRDefault="00AB2AF7" w:rsidP="00225631">
      <w:pPr>
        <w:pStyle w:val="NormalWeb"/>
        <w:spacing w:before="0" w:beforeAutospacing="0" w:after="0" w:afterAutospacing="0"/>
        <w:jc w:val="center"/>
        <w:rPr>
          <w:rFonts w:eastAsia="Calibri"/>
          <w:bCs/>
          <w:color w:val="000000"/>
          <w:lang w:val="en-US" w:eastAsia="en-US"/>
        </w:rPr>
      </w:pPr>
      <w:r>
        <w:rPr>
          <w:rFonts w:eastAsia="Calibri"/>
          <w:bCs/>
          <w:noProof/>
          <w:color w:val="000000"/>
        </w:rPr>
        <w:drawing>
          <wp:inline distT="0" distB="0" distL="0" distR="0" wp14:anchorId="1F276D9C" wp14:editId="6DA477B6">
            <wp:extent cx="4851400" cy="3570991"/>
            <wp:effectExtent l="0" t="0" r="6350" b="0"/>
            <wp:docPr id="465798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1846" cy="3615484"/>
                    </a:xfrm>
                    <a:prstGeom prst="rect">
                      <a:avLst/>
                    </a:prstGeom>
                    <a:noFill/>
                  </pic:spPr>
                </pic:pic>
              </a:graphicData>
            </a:graphic>
          </wp:inline>
        </w:drawing>
      </w:r>
    </w:p>
    <w:p w14:paraId="1B728650" w14:textId="77777777" w:rsidR="00AB2AF7" w:rsidRDefault="00AB2AF7" w:rsidP="00AB2AF7">
      <w:pPr>
        <w:pStyle w:val="NormalWeb"/>
        <w:spacing w:before="0" w:beforeAutospacing="0" w:after="0" w:afterAutospacing="0"/>
        <w:jc w:val="both"/>
        <w:rPr>
          <w:rFonts w:eastAsia="Calibri"/>
          <w:bCs/>
          <w:color w:val="000000"/>
          <w:lang w:val="en-US" w:eastAsia="en-US"/>
        </w:rPr>
      </w:pPr>
    </w:p>
    <w:p w14:paraId="4EA9EA98" w14:textId="2FD6FED0" w:rsidR="009F5998" w:rsidRDefault="00AB2AF7" w:rsidP="00225631">
      <w:pPr>
        <w:pStyle w:val="NormalWeb"/>
        <w:spacing w:before="0" w:beforeAutospacing="0" w:after="0" w:afterAutospacing="0"/>
        <w:jc w:val="center"/>
        <w:rPr>
          <w:rFonts w:eastAsia="Calibri"/>
          <w:bCs/>
          <w:color w:val="000000"/>
          <w:lang w:val="en-US" w:eastAsia="en-US"/>
        </w:rPr>
      </w:pPr>
      <w:r w:rsidRPr="00DB1FC2">
        <w:t>Figure 7: Clustering dendrogram of water quality parameters from the study area</w:t>
      </w:r>
    </w:p>
    <w:p w14:paraId="027618F3" w14:textId="69B78D25" w:rsidR="000728CF" w:rsidRPr="00A9103A" w:rsidRDefault="00A9103A" w:rsidP="00DA06FB">
      <w:pPr>
        <w:spacing w:after="0" w:line="360" w:lineRule="auto"/>
        <w:jc w:val="both"/>
        <w:rPr>
          <w:rFonts w:ascii="Times New Roman" w:hAnsi="Times New Roman"/>
          <w:b/>
          <w:color w:val="000000"/>
          <w:sz w:val="28"/>
          <w:szCs w:val="28"/>
          <w:lang w:val="en-US"/>
        </w:rPr>
      </w:pPr>
      <w:r w:rsidRPr="00A9103A">
        <w:rPr>
          <w:rFonts w:ascii="Times New Roman" w:hAnsi="Times New Roman"/>
          <w:b/>
          <w:color w:val="000000"/>
          <w:sz w:val="28"/>
          <w:szCs w:val="28"/>
          <w:lang w:val="en-US"/>
        </w:rPr>
        <w:lastRenderedPageBreak/>
        <w:t>CONCLUSION</w:t>
      </w:r>
    </w:p>
    <w:p w14:paraId="07A7D0F6" w14:textId="77777777" w:rsidR="00CC6239" w:rsidRDefault="008E17A2" w:rsidP="00AB2AF7">
      <w:pPr>
        <w:spacing w:after="0" w:line="240" w:lineRule="auto"/>
        <w:jc w:val="both"/>
        <w:rPr>
          <w:rFonts w:ascii="Times New Roman" w:hAnsi="Times New Roman"/>
          <w:bCs/>
          <w:iCs/>
          <w:color w:val="000000"/>
          <w:sz w:val="24"/>
          <w:szCs w:val="24"/>
        </w:rPr>
      </w:pPr>
      <w:r w:rsidRPr="00DA06FB">
        <w:rPr>
          <w:rFonts w:ascii="Times New Roman" w:eastAsia="Times New Roman" w:hAnsi="Times New Roman"/>
          <w:bCs/>
          <w:color w:val="000000"/>
          <w:sz w:val="24"/>
          <w:szCs w:val="24"/>
          <w:lang w:eastAsia="en-IN"/>
        </w:rPr>
        <w:t>The</w:t>
      </w:r>
      <w:r w:rsidR="004B31F5" w:rsidRPr="00DA06FB">
        <w:rPr>
          <w:rFonts w:ascii="Times New Roman" w:eastAsia="Times New Roman" w:hAnsi="Times New Roman"/>
          <w:bCs/>
          <w:color w:val="000000"/>
          <w:sz w:val="24"/>
          <w:szCs w:val="24"/>
          <w:lang w:eastAsia="en-IN"/>
        </w:rPr>
        <w:t xml:space="preserve"> hydrochemical analysis of the study area (Kaniha Block, Angul d</w:t>
      </w:r>
      <w:r w:rsidRPr="00DA06FB">
        <w:rPr>
          <w:rFonts w:ascii="Times New Roman" w:eastAsia="Times New Roman" w:hAnsi="Times New Roman"/>
          <w:bCs/>
          <w:color w:val="000000"/>
          <w:sz w:val="24"/>
          <w:szCs w:val="24"/>
          <w:lang w:eastAsia="en-IN"/>
        </w:rPr>
        <w:t xml:space="preserve">istrict, Odisha) reveals that the </w:t>
      </w:r>
      <w:r w:rsidR="00C349D4" w:rsidRPr="00DA06FB">
        <w:rPr>
          <w:rFonts w:ascii="Times New Roman" w:eastAsia="Times New Roman" w:hAnsi="Times New Roman"/>
          <w:bCs/>
          <w:color w:val="000000"/>
          <w:sz w:val="24"/>
          <w:szCs w:val="24"/>
          <w:lang w:eastAsia="en-IN"/>
        </w:rPr>
        <w:t>groundwater</w:t>
      </w:r>
      <w:r w:rsidR="004B31F5" w:rsidRPr="00DA06FB">
        <w:rPr>
          <w:rFonts w:ascii="Times New Roman" w:eastAsia="Times New Roman" w:hAnsi="Times New Roman"/>
          <w:bCs/>
          <w:color w:val="000000"/>
          <w:sz w:val="24"/>
          <w:szCs w:val="24"/>
          <w:lang w:eastAsia="en-IN"/>
        </w:rPr>
        <w:t xml:space="preserve"> of the </w:t>
      </w:r>
      <w:r w:rsidRPr="00DA06FB">
        <w:rPr>
          <w:rFonts w:ascii="Times New Roman" w:eastAsia="Times New Roman" w:hAnsi="Times New Roman"/>
          <w:bCs/>
          <w:color w:val="000000"/>
          <w:sz w:val="24"/>
          <w:szCs w:val="24"/>
          <w:lang w:eastAsia="en-IN"/>
        </w:rPr>
        <w:t xml:space="preserve">region is moderately hard to hard type </w:t>
      </w:r>
      <w:r w:rsidR="004B31F5" w:rsidRPr="00DA06FB">
        <w:rPr>
          <w:rFonts w:ascii="Times New Roman" w:eastAsia="Times New Roman" w:hAnsi="Times New Roman"/>
          <w:bCs/>
          <w:color w:val="000000"/>
          <w:sz w:val="24"/>
          <w:szCs w:val="24"/>
          <w:lang w:eastAsia="en-IN"/>
        </w:rPr>
        <w:t xml:space="preserve">and </w:t>
      </w:r>
      <w:r w:rsidR="00284E2B" w:rsidRPr="00DA06FB">
        <w:rPr>
          <w:rFonts w:ascii="Times New Roman" w:eastAsia="Times New Roman" w:hAnsi="Times New Roman"/>
          <w:bCs/>
          <w:color w:val="000000"/>
          <w:sz w:val="24"/>
          <w:szCs w:val="24"/>
          <w:lang w:eastAsia="en-IN"/>
        </w:rPr>
        <w:t>are alkaline</w:t>
      </w:r>
      <w:r w:rsidRPr="00DA06FB">
        <w:rPr>
          <w:rFonts w:ascii="Times New Roman" w:eastAsia="Times New Roman" w:hAnsi="Times New Roman"/>
          <w:bCs/>
          <w:color w:val="000000"/>
          <w:sz w:val="24"/>
          <w:szCs w:val="24"/>
          <w:lang w:eastAsia="en-IN"/>
        </w:rPr>
        <w:t xml:space="preserve"> in nature</w:t>
      </w:r>
      <w:r w:rsidRPr="00DA06FB">
        <w:rPr>
          <w:rFonts w:ascii="Times New Roman" w:eastAsia="Times New Roman" w:hAnsi="Times New Roman"/>
          <w:b/>
          <w:color w:val="000000"/>
          <w:sz w:val="24"/>
          <w:szCs w:val="24"/>
          <w:lang w:eastAsia="en-IN"/>
        </w:rPr>
        <w:t xml:space="preserve">. </w:t>
      </w:r>
      <w:r w:rsidRPr="00DA06FB">
        <w:rPr>
          <w:rFonts w:ascii="Times New Roman" w:eastAsia="Times New Roman" w:hAnsi="Times New Roman"/>
          <w:bCs/>
          <w:color w:val="000000"/>
          <w:sz w:val="24"/>
          <w:szCs w:val="24"/>
          <w:lang w:eastAsia="en-IN"/>
        </w:rPr>
        <w:t>The abundance</w:t>
      </w:r>
      <w:r w:rsidR="009D28F6">
        <w:rPr>
          <w:rFonts w:ascii="Times New Roman" w:eastAsia="Times New Roman" w:hAnsi="Times New Roman"/>
          <w:bCs/>
          <w:color w:val="000000"/>
          <w:sz w:val="24"/>
          <w:szCs w:val="24"/>
          <w:lang w:eastAsia="en-IN"/>
        </w:rPr>
        <w:t xml:space="preserve"> of the minerals </w:t>
      </w:r>
      <w:r w:rsidR="009F1517">
        <w:rPr>
          <w:rFonts w:ascii="Times New Roman" w:eastAsia="Times New Roman" w:hAnsi="Times New Roman"/>
          <w:bCs/>
          <w:color w:val="000000"/>
          <w:sz w:val="24"/>
          <w:szCs w:val="24"/>
          <w:lang w:eastAsia="en-IN"/>
        </w:rPr>
        <w:t>is in</w:t>
      </w:r>
      <w:r w:rsidR="009D28F6">
        <w:rPr>
          <w:rFonts w:ascii="Times New Roman" w:eastAsia="Times New Roman" w:hAnsi="Times New Roman"/>
          <w:bCs/>
          <w:color w:val="000000"/>
          <w:sz w:val="24"/>
          <w:szCs w:val="24"/>
          <w:lang w:eastAsia="en-IN"/>
        </w:rPr>
        <w:t xml:space="preserve"> order</w:t>
      </w:r>
      <w:r w:rsidR="004B31F5" w:rsidRPr="00DA06FB">
        <w:rPr>
          <w:rFonts w:ascii="Times New Roman" w:eastAsia="Times New Roman" w:hAnsi="Times New Roman"/>
          <w:bCs/>
          <w:color w:val="000000"/>
          <w:sz w:val="24"/>
          <w:szCs w:val="24"/>
          <w:lang w:eastAsia="en-IN"/>
        </w:rPr>
        <w:t xml:space="preserve"> </w:t>
      </w:r>
      <w:r w:rsidRPr="00DA06FB">
        <w:rPr>
          <w:rFonts w:ascii="Times New Roman" w:eastAsia="Times New Roman" w:hAnsi="Times New Roman"/>
          <w:bCs/>
          <w:iCs/>
          <w:color w:val="000000"/>
          <w:sz w:val="24"/>
          <w:szCs w:val="24"/>
          <w:lang w:eastAsia="en-IN"/>
        </w:rPr>
        <w:t>Ca</w:t>
      </w:r>
      <w:r w:rsidRPr="00DA06FB">
        <w:rPr>
          <w:rFonts w:ascii="Times New Roman" w:eastAsia="Times New Roman" w:hAnsi="Times New Roman"/>
          <w:bCs/>
          <w:iCs/>
          <w:color w:val="000000"/>
          <w:sz w:val="24"/>
          <w:szCs w:val="24"/>
          <w:vertAlign w:val="superscript"/>
          <w:lang w:eastAsia="en-IN"/>
        </w:rPr>
        <w:t>2+</w:t>
      </w:r>
      <w:r w:rsidRPr="00DA06FB">
        <w:rPr>
          <w:rFonts w:ascii="Times New Roman" w:eastAsia="Times New Roman" w:hAnsi="Times New Roman"/>
          <w:bCs/>
          <w:iCs/>
          <w:color w:val="000000"/>
          <w:sz w:val="24"/>
          <w:szCs w:val="24"/>
          <w:lang w:eastAsia="en-IN"/>
        </w:rPr>
        <w:t>&gt; Na</w:t>
      </w:r>
      <w:r w:rsidRPr="00DA06FB">
        <w:rPr>
          <w:rFonts w:ascii="Times New Roman" w:eastAsia="Times New Roman" w:hAnsi="Times New Roman"/>
          <w:bCs/>
          <w:iCs/>
          <w:color w:val="000000"/>
          <w:sz w:val="24"/>
          <w:szCs w:val="24"/>
          <w:vertAlign w:val="superscript"/>
          <w:lang w:eastAsia="en-IN"/>
        </w:rPr>
        <w:t>+</w:t>
      </w:r>
      <w:r w:rsidRPr="00DA06FB">
        <w:rPr>
          <w:rFonts w:ascii="Times New Roman" w:eastAsia="Times New Roman" w:hAnsi="Times New Roman"/>
          <w:bCs/>
          <w:iCs/>
          <w:color w:val="000000"/>
          <w:sz w:val="24"/>
          <w:szCs w:val="24"/>
          <w:lang w:eastAsia="en-IN"/>
        </w:rPr>
        <w:t>&gt; Mg</w:t>
      </w:r>
      <w:r w:rsidRPr="00DA06FB">
        <w:rPr>
          <w:rFonts w:ascii="Times New Roman" w:eastAsia="Times New Roman" w:hAnsi="Times New Roman"/>
          <w:bCs/>
          <w:iCs/>
          <w:color w:val="000000"/>
          <w:sz w:val="24"/>
          <w:szCs w:val="24"/>
          <w:vertAlign w:val="superscript"/>
          <w:lang w:eastAsia="en-IN"/>
        </w:rPr>
        <w:t>2+</w:t>
      </w:r>
      <w:r w:rsidRPr="00DA06FB">
        <w:rPr>
          <w:rFonts w:ascii="Times New Roman" w:eastAsia="Times New Roman" w:hAnsi="Times New Roman"/>
          <w:bCs/>
          <w:iCs/>
          <w:color w:val="000000"/>
          <w:sz w:val="24"/>
          <w:szCs w:val="24"/>
          <w:lang w:eastAsia="en-IN"/>
        </w:rPr>
        <w:t>&gt; K</w:t>
      </w:r>
      <w:r w:rsidRPr="00DA06FB">
        <w:rPr>
          <w:rFonts w:ascii="Times New Roman" w:eastAsia="Times New Roman" w:hAnsi="Times New Roman"/>
          <w:bCs/>
          <w:iCs/>
          <w:color w:val="000000"/>
          <w:sz w:val="24"/>
          <w:szCs w:val="24"/>
          <w:vertAlign w:val="superscript"/>
          <w:lang w:eastAsia="en-IN"/>
        </w:rPr>
        <w:t>+</w:t>
      </w:r>
      <w:r w:rsidR="004B31F5" w:rsidRPr="00DA06FB">
        <w:rPr>
          <w:rFonts w:ascii="Times New Roman" w:eastAsia="Times New Roman" w:hAnsi="Times New Roman"/>
          <w:bCs/>
          <w:iCs/>
          <w:color w:val="000000"/>
          <w:sz w:val="24"/>
          <w:szCs w:val="24"/>
          <w:vertAlign w:val="superscript"/>
          <w:lang w:eastAsia="en-IN"/>
        </w:rPr>
        <w:t xml:space="preserve"> </w:t>
      </w:r>
      <w:r w:rsidRPr="00DA06FB">
        <w:rPr>
          <w:rFonts w:ascii="Times New Roman" w:eastAsia="Times New Roman" w:hAnsi="Times New Roman"/>
          <w:bCs/>
          <w:iCs/>
          <w:color w:val="000000"/>
          <w:sz w:val="24"/>
          <w:szCs w:val="24"/>
          <w:lang w:eastAsia="en-IN"/>
        </w:rPr>
        <w:t>and HCO</w:t>
      </w:r>
      <w:r w:rsidRPr="00DA06FB">
        <w:rPr>
          <w:rFonts w:ascii="Times New Roman" w:eastAsia="Times New Roman" w:hAnsi="Times New Roman"/>
          <w:bCs/>
          <w:iCs/>
          <w:color w:val="000000"/>
          <w:sz w:val="24"/>
          <w:szCs w:val="24"/>
          <w:vertAlign w:val="subscript"/>
          <w:lang w:eastAsia="en-IN"/>
        </w:rPr>
        <w:t>3</w:t>
      </w:r>
      <w:r w:rsidRPr="00DA06FB">
        <w:rPr>
          <w:rFonts w:ascii="Times New Roman" w:eastAsia="Times New Roman" w:hAnsi="Times New Roman"/>
          <w:bCs/>
          <w:iCs/>
          <w:color w:val="000000"/>
          <w:sz w:val="24"/>
          <w:szCs w:val="24"/>
          <w:vertAlign w:val="superscript"/>
          <w:lang w:eastAsia="en-IN"/>
        </w:rPr>
        <w:t>-</w:t>
      </w:r>
      <w:r w:rsidRPr="00DA06FB">
        <w:rPr>
          <w:rFonts w:ascii="Times New Roman" w:eastAsia="Times New Roman" w:hAnsi="Times New Roman"/>
          <w:bCs/>
          <w:iCs/>
          <w:color w:val="000000"/>
          <w:sz w:val="24"/>
          <w:szCs w:val="24"/>
          <w:lang w:eastAsia="en-IN"/>
        </w:rPr>
        <w:t>&gt;Cl</w:t>
      </w:r>
      <w:r w:rsidRPr="00DA06FB">
        <w:rPr>
          <w:rFonts w:ascii="Times New Roman" w:eastAsia="Times New Roman" w:hAnsi="Times New Roman"/>
          <w:bCs/>
          <w:iCs/>
          <w:color w:val="000000"/>
          <w:sz w:val="24"/>
          <w:szCs w:val="24"/>
          <w:vertAlign w:val="superscript"/>
          <w:lang w:eastAsia="en-IN"/>
        </w:rPr>
        <w:t>-</w:t>
      </w:r>
      <w:r w:rsidRPr="00DA06FB">
        <w:rPr>
          <w:rFonts w:ascii="Times New Roman" w:eastAsia="Times New Roman" w:hAnsi="Times New Roman"/>
          <w:bCs/>
          <w:iCs/>
          <w:color w:val="000000"/>
          <w:sz w:val="24"/>
          <w:szCs w:val="24"/>
          <w:lang w:eastAsia="en-IN"/>
        </w:rPr>
        <w:t>&gt; SO</w:t>
      </w:r>
      <w:r w:rsidRPr="00DA06FB">
        <w:rPr>
          <w:rFonts w:ascii="Times New Roman" w:eastAsia="Times New Roman" w:hAnsi="Times New Roman"/>
          <w:bCs/>
          <w:iCs/>
          <w:color w:val="000000"/>
          <w:sz w:val="24"/>
          <w:szCs w:val="24"/>
          <w:vertAlign w:val="subscript"/>
          <w:lang w:eastAsia="en-IN"/>
        </w:rPr>
        <w:t>4</w:t>
      </w:r>
      <w:r w:rsidRPr="00DA06FB">
        <w:rPr>
          <w:rFonts w:ascii="Times New Roman" w:eastAsia="Times New Roman" w:hAnsi="Times New Roman"/>
          <w:bCs/>
          <w:iCs/>
          <w:color w:val="000000"/>
          <w:sz w:val="24"/>
          <w:szCs w:val="24"/>
          <w:vertAlign w:val="superscript"/>
          <w:lang w:eastAsia="en-IN"/>
        </w:rPr>
        <w:t>2-</w:t>
      </w:r>
      <w:r w:rsidRPr="00DA06FB">
        <w:rPr>
          <w:rFonts w:ascii="Times New Roman" w:eastAsia="Times New Roman" w:hAnsi="Times New Roman"/>
          <w:bCs/>
          <w:iCs/>
          <w:color w:val="000000"/>
          <w:sz w:val="24"/>
          <w:szCs w:val="24"/>
          <w:lang w:eastAsia="en-IN"/>
        </w:rPr>
        <w:t>&gt;NO</w:t>
      </w:r>
      <w:r w:rsidRPr="00DA06FB">
        <w:rPr>
          <w:rFonts w:ascii="Times New Roman" w:eastAsia="Times New Roman" w:hAnsi="Times New Roman"/>
          <w:bCs/>
          <w:iCs/>
          <w:color w:val="000000"/>
          <w:sz w:val="24"/>
          <w:szCs w:val="24"/>
          <w:vertAlign w:val="subscript"/>
          <w:lang w:eastAsia="en-IN"/>
        </w:rPr>
        <w:t>3</w:t>
      </w:r>
      <w:r w:rsidRPr="00DA06FB">
        <w:rPr>
          <w:rFonts w:ascii="Times New Roman" w:eastAsia="Times New Roman" w:hAnsi="Times New Roman"/>
          <w:bCs/>
          <w:iCs/>
          <w:color w:val="000000"/>
          <w:sz w:val="24"/>
          <w:szCs w:val="24"/>
          <w:vertAlign w:val="superscript"/>
          <w:lang w:eastAsia="en-IN"/>
        </w:rPr>
        <w:t>-.</w:t>
      </w:r>
      <w:r w:rsidRPr="00DA06FB">
        <w:rPr>
          <w:rFonts w:ascii="Times New Roman" w:eastAsia="Times New Roman" w:hAnsi="Times New Roman"/>
          <w:bCs/>
          <w:iCs/>
          <w:color w:val="000000"/>
          <w:sz w:val="24"/>
          <w:szCs w:val="24"/>
          <w:lang w:eastAsia="en-IN"/>
        </w:rPr>
        <w:t xml:space="preserve"> </w:t>
      </w:r>
      <w:r w:rsidR="00AD0998" w:rsidRPr="00DA06FB">
        <w:rPr>
          <w:rFonts w:ascii="Times New Roman" w:eastAsia="Times New Roman" w:hAnsi="Times New Roman"/>
          <w:bCs/>
          <w:iCs/>
          <w:color w:val="000000"/>
          <w:sz w:val="24"/>
          <w:szCs w:val="24"/>
          <w:lang w:eastAsia="en-IN"/>
        </w:rPr>
        <w:t xml:space="preserve">The Piper diagram shows that </w:t>
      </w:r>
      <w:r w:rsidR="009D28F6">
        <w:rPr>
          <w:rFonts w:ascii="Times New Roman" w:eastAsia="Times New Roman" w:hAnsi="Times New Roman"/>
          <w:bCs/>
          <w:iCs/>
          <w:color w:val="000000"/>
          <w:sz w:val="24"/>
          <w:szCs w:val="24"/>
          <w:lang w:eastAsia="en-IN"/>
        </w:rPr>
        <w:t xml:space="preserve">the facies of the study area </w:t>
      </w:r>
      <w:r w:rsidR="005E3ABD">
        <w:rPr>
          <w:rFonts w:ascii="Times New Roman" w:eastAsia="Times New Roman" w:hAnsi="Times New Roman"/>
          <w:bCs/>
          <w:iCs/>
          <w:color w:val="000000"/>
          <w:sz w:val="24"/>
          <w:szCs w:val="24"/>
          <w:lang w:eastAsia="en-IN"/>
        </w:rPr>
        <w:t>move from</w:t>
      </w:r>
      <w:r w:rsidR="00AD0998" w:rsidRPr="00DA06FB">
        <w:rPr>
          <w:rFonts w:ascii="Times New Roman" w:eastAsia="Times New Roman" w:hAnsi="Times New Roman"/>
          <w:bCs/>
          <w:iCs/>
          <w:color w:val="000000"/>
          <w:sz w:val="24"/>
          <w:szCs w:val="24"/>
          <w:lang w:eastAsia="en-IN"/>
        </w:rPr>
        <w:t xml:space="preserve"> Ca</w:t>
      </w:r>
      <w:r w:rsidR="00AD0998" w:rsidRPr="00DA06FB">
        <w:rPr>
          <w:rFonts w:ascii="Times New Roman" w:eastAsia="Times New Roman" w:hAnsi="Times New Roman"/>
          <w:bCs/>
          <w:iCs/>
          <w:color w:val="000000"/>
          <w:sz w:val="24"/>
          <w:szCs w:val="24"/>
          <w:vertAlign w:val="superscript"/>
          <w:lang w:eastAsia="en-IN"/>
        </w:rPr>
        <w:t>2+</w:t>
      </w:r>
      <w:r w:rsidR="00AD0998" w:rsidRPr="00DA06FB">
        <w:rPr>
          <w:rFonts w:ascii="Times New Roman" w:eastAsia="Times New Roman" w:hAnsi="Times New Roman"/>
          <w:bCs/>
          <w:iCs/>
          <w:color w:val="000000"/>
          <w:sz w:val="24"/>
          <w:szCs w:val="24"/>
          <w:lang w:eastAsia="en-IN"/>
        </w:rPr>
        <w:t>-HCO</w:t>
      </w:r>
      <w:r w:rsidR="00AD0998" w:rsidRPr="00DA06FB">
        <w:rPr>
          <w:rFonts w:ascii="Times New Roman" w:eastAsia="Times New Roman" w:hAnsi="Times New Roman"/>
          <w:bCs/>
          <w:iCs/>
          <w:color w:val="000000"/>
          <w:sz w:val="24"/>
          <w:szCs w:val="24"/>
          <w:vertAlign w:val="subscript"/>
          <w:lang w:eastAsia="en-IN"/>
        </w:rPr>
        <w:t>3</w:t>
      </w:r>
      <w:r w:rsidR="00AD0998" w:rsidRPr="00DA06FB">
        <w:rPr>
          <w:rFonts w:ascii="Times New Roman" w:eastAsia="Times New Roman" w:hAnsi="Times New Roman"/>
          <w:bCs/>
          <w:iCs/>
          <w:color w:val="000000"/>
          <w:sz w:val="24"/>
          <w:szCs w:val="24"/>
          <w:vertAlign w:val="superscript"/>
          <w:lang w:eastAsia="en-IN"/>
        </w:rPr>
        <w:t>-</w:t>
      </w:r>
      <w:r w:rsidR="009B6018" w:rsidRPr="00DA06FB">
        <w:rPr>
          <w:rFonts w:ascii="Times New Roman" w:eastAsia="Times New Roman" w:hAnsi="Times New Roman"/>
          <w:bCs/>
          <w:iCs/>
          <w:color w:val="000000"/>
          <w:sz w:val="24"/>
          <w:szCs w:val="24"/>
          <w:lang w:eastAsia="en-IN"/>
        </w:rPr>
        <w:t>, Ca-Mg-Cl -SO</w:t>
      </w:r>
      <w:r w:rsidR="009B6018" w:rsidRPr="00DA06FB">
        <w:rPr>
          <w:rFonts w:ascii="Times New Roman" w:eastAsia="Times New Roman" w:hAnsi="Times New Roman"/>
          <w:bCs/>
          <w:iCs/>
          <w:color w:val="000000"/>
          <w:sz w:val="24"/>
          <w:szCs w:val="24"/>
          <w:vertAlign w:val="subscript"/>
          <w:lang w:eastAsia="en-IN"/>
        </w:rPr>
        <w:t>4</w:t>
      </w:r>
      <w:r w:rsidR="009B6018" w:rsidRPr="00DA06FB">
        <w:rPr>
          <w:rFonts w:ascii="Times New Roman" w:eastAsia="Times New Roman" w:hAnsi="Times New Roman"/>
          <w:bCs/>
          <w:iCs/>
          <w:color w:val="000000"/>
          <w:sz w:val="24"/>
          <w:szCs w:val="24"/>
          <w:lang w:eastAsia="en-IN"/>
        </w:rPr>
        <w:t xml:space="preserve"> and mixed type of fa</w:t>
      </w:r>
      <w:r w:rsidR="005E3ABD">
        <w:rPr>
          <w:rFonts w:ascii="Times New Roman" w:eastAsia="Times New Roman" w:hAnsi="Times New Roman"/>
          <w:bCs/>
          <w:iCs/>
          <w:color w:val="000000"/>
          <w:sz w:val="24"/>
          <w:szCs w:val="24"/>
          <w:lang w:eastAsia="en-IN"/>
        </w:rPr>
        <w:t>cies.</w:t>
      </w:r>
      <w:r w:rsidR="00AD0998" w:rsidRPr="00DA06FB">
        <w:rPr>
          <w:rFonts w:ascii="Times New Roman" w:hAnsi="Times New Roman"/>
          <w:bCs/>
          <w:iCs/>
          <w:color w:val="000000"/>
          <w:sz w:val="24"/>
          <w:szCs w:val="24"/>
        </w:rPr>
        <w:t xml:space="preserve"> </w:t>
      </w:r>
      <w:r w:rsidR="005E3ABD">
        <w:rPr>
          <w:rFonts w:ascii="Times New Roman" w:hAnsi="Times New Roman"/>
          <w:bCs/>
          <w:iCs/>
          <w:color w:val="000000"/>
          <w:sz w:val="24"/>
          <w:szCs w:val="24"/>
        </w:rPr>
        <w:t>The water chemistry</w:t>
      </w:r>
      <w:r w:rsidR="00C81E3A" w:rsidRPr="00DA06FB">
        <w:rPr>
          <w:rFonts w:ascii="Times New Roman" w:hAnsi="Times New Roman"/>
          <w:bCs/>
          <w:iCs/>
          <w:color w:val="000000"/>
          <w:sz w:val="24"/>
          <w:szCs w:val="24"/>
        </w:rPr>
        <w:t xml:space="preserve"> is heavily influenced by rock-water interaction, with varying lithologies</w:t>
      </w:r>
      <w:r w:rsidR="005E3ABD">
        <w:rPr>
          <w:rFonts w:ascii="Times New Roman" w:hAnsi="Times New Roman"/>
          <w:bCs/>
          <w:iCs/>
          <w:color w:val="000000"/>
          <w:sz w:val="24"/>
          <w:szCs w:val="24"/>
        </w:rPr>
        <w:t xml:space="preserve">, determined from </w:t>
      </w:r>
      <w:r w:rsidR="005E3ABD" w:rsidRPr="00DA06FB">
        <w:rPr>
          <w:rFonts w:ascii="Times New Roman" w:hAnsi="Times New Roman"/>
          <w:bCs/>
          <w:iCs/>
          <w:color w:val="000000"/>
          <w:sz w:val="24"/>
          <w:szCs w:val="24"/>
        </w:rPr>
        <w:t>Gibbs diagram</w:t>
      </w:r>
      <w:r w:rsidR="004B31F5" w:rsidRPr="00DA06FB">
        <w:rPr>
          <w:rFonts w:ascii="Times New Roman" w:hAnsi="Times New Roman"/>
          <w:bCs/>
          <w:iCs/>
          <w:color w:val="000000"/>
          <w:sz w:val="24"/>
          <w:szCs w:val="24"/>
        </w:rPr>
        <w:t>.</w:t>
      </w:r>
      <w:r w:rsidR="00C81E3A" w:rsidRPr="00DA06FB">
        <w:rPr>
          <w:rFonts w:ascii="Times New Roman" w:hAnsi="Times New Roman"/>
          <w:color w:val="000000"/>
        </w:rPr>
        <w:t xml:space="preserve"> </w:t>
      </w:r>
      <w:r w:rsidR="005E3ABD">
        <w:rPr>
          <w:rFonts w:ascii="Times New Roman" w:hAnsi="Times New Roman"/>
          <w:bCs/>
          <w:iCs/>
          <w:color w:val="000000"/>
          <w:sz w:val="24"/>
          <w:szCs w:val="24"/>
        </w:rPr>
        <w:t>T</w:t>
      </w:r>
      <w:r w:rsidR="008730A6" w:rsidRPr="00DA06FB">
        <w:rPr>
          <w:rFonts w:ascii="Times New Roman" w:hAnsi="Times New Roman"/>
          <w:bCs/>
          <w:iCs/>
          <w:color w:val="000000"/>
          <w:sz w:val="24"/>
          <w:szCs w:val="24"/>
        </w:rPr>
        <w:t>he ion</w:t>
      </w:r>
      <w:r w:rsidR="001404C9" w:rsidRPr="00DA06FB">
        <w:rPr>
          <w:rFonts w:ascii="Times New Roman" w:hAnsi="Times New Roman"/>
          <w:bCs/>
          <w:iCs/>
          <w:color w:val="000000"/>
          <w:sz w:val="24"/>
          <w:szCs w:val="24"/>
        </w:rPr>
        <w:t xml:space="preserve"> exchange process is the most dominant</w:t>
      </w:r>
      <w:r w:rsidR="005E3ABD">
        <w:rPr>
          <w:rFonts w:ascii="Times New Roman" w:hAnsi="Times New Roman"/>
          <w:bCs/>
          <w:iCs/>
          <w:color w:val="000000"/>
          <w:sz w:val="24"/>
          <w:szCs w:val="24"/>
        </w:rPr>
        <w:t xml:space="preserve"> part of groundwater evolution </w:t>
      </w:r>
      <w:r w:rsidR="001404C9" w:rsidRPr="00DA06FB">
        <w:rPr>
          <w:rFonts w:ascii="Times New Roman" w:hAnsi="Times New Roman"/>
          <w:bCs/>
          <w:iCs/>
          <w:color w:val="000000"/>
          <w:sz w:val="24"/>
          <w:szCs w:val="24"/>
        </w:rPr>
        <w:t>which</w:t>
      </w:r>
      <w:r w:rsidR="005E3ABD">
        <w:rPr>
          <w:rFonts w:ascii="Times New Roman" w:hAnsi="Times New Roman"/>
          <w:bCs/>
          <w:iCs/>
          <w:color w:val="000000"/>
          <w:sz w:val="24"/>
          <w:szCs w:val="24"/>
        </w:rPr>
        <w:t xml:space="preserve">, is determined </w:t>
      </w:r>
      <w:r w:rsidR="00363E7D">
        <w:rPr>
          <w:rFonts w:ascii="Times New Roman" w:hAnsi="Times New Roman"/>
          <w:bCs/>
          <w:iCs/>
          <w:color w:val="000000"/>
          <w:sz w:val="24"/>
          <w:szCs w:val="24"/>
        </w:rPr>
        <w:t>from the</w:t>
      </w:r>
      <w:r w:rsidR="005E3ABD">
        <w:rPr>
          <w:rFonts w:ascii="Times New Roman" w:hAnsi="Times New Roman"/>
          <w:bCs/>
          <w:iCs/>
          <w:color w:val="000000"/>
          <w:sz w:val="24"/>
          <w:szCs w:val="24"/>
        </w:rPr>
        <w:t xml:space="preserve"> value of </w:t>
      </w:r>
      <w:r w:rsidR="005E3ABD" w:rsidRPr="00DA06FB">
        <w:rPr>
          <w:rFonts w:ascii="Times New Roman" w:hAnsi="Times New Roman"/>
          <w:bCs/>
          <w:iCs/>
          <w:color w:val="000000"/>
          <w:sz w:val="24"/>
          <w:szCs w:val="24"/>
        </w:rPr>
        <w:t>chloro-alkaline indices (CAI)</w:t>
      </w:r>
      <w:r w:rsidR="005E3ABD">
        <w:rPr>
          <w:rFonts w:ascii="Times New Roman" w:hAnsi="Times New Roman"/>
          <w:bCs/>
          <w:iCs/>
          <w:color w:val="000000"/>
          <w:sz w:val="24"/>
          <w:szCs w:val="24"/>
        </w:rPr>
        <w:t>.</w:t>
      </w:r>
      <w:r w:rsidR="008730A6" w:rsidRPr="00DA06FB">
        <w:rPr>
          <w:rFonts w:ascii="Times New Roman" w:hAnsi="Times New Roman"/>
          <w:bCs/>
          <w:iCs/>
          <w:color w:val="000000"/>
          <w:sz w:val="24"/>
          <w:szCs w:val="24"/>
        </w:rPr>
        <w:t xml:space="preserve"> From the study of ionic ratio, it was found that in the initial phases of groundwater development in recharge zones, leading to a transformation from Ca-Mg-HCO</w:t>
      </w:r>
      <w:r w:rsidR="008730A6" w:rsidRPr="00DA06FB">
        <w:rPr>
          <w:rFonts w:ascii="Times New Roman" w:hAnsi="Times New Roman"/>
          <w:bCs/>
          <w:iCs/>
          <w:color w:val="000000"/>
          <w:sz w:val="24"/>
          <w:szCs w:val="24"/>
          <w:vertAlign w:val="subscript"/>
        </w:rPr>
        <w:t>3</w:t>
      </w:r>
      <w:r w:rsidR="008730A6" w:rsidRPr="00DA06FB">
        <w:rPr>
          <w:rFonts w:ascii="Times New Roman" w:hAnsi="Times New Roman"/>
          <w:bCs/>
          <w:iCs/>
          <w:color w:val="000000"/>
          <w:sz w:val="24"/>
          <w:szCs w:val="24"/>
        </w:rPr>
        <w:t xml:space="preserve"> water types to Na-HCO</w:t>
      </w:r>
      <w:r w:rsidR="008730A6" w:rsidRPr="00DA06FB">
        <w:rPr>
          <w:rFonts w:ascii="Times New Roman" w:hAnsi="Times New Roman"/>
          <w:bCs/>
          <w:iCs/>
          <w:color w:val="000000"/>
          <w:sz w:val="24"/>
          <w:szCs w:val="24"/>
          <w:vertAlign w:val="subscript"/>
        </w:rPr>
        <w:t>3</w:t>
      </w:r>
      <w:r w:rsidR="008730A6" w:rsidRPr="00DA06FB">
        <w:rPr>
          <w:rFonts w:ascii="Times New Roman" w:hAnsi="Times New Roman"/>
          <w:bCs/>
          <w:iCs/>
          <w:color w:val="000000"/>
          <w:sz w:val="24"/>
          <w:szCs w:val="24"/>
        </w:rPr>
        <w:t xml:space="preserve"> types as silicate hydrolysis progresses. In deeper aquifer sections, samples showing lower Na/Cl ratios along with elevated electrical conductivity (EC) values suggest ongoing salinization and intensified ion-exchange reactions</w:t>
      </w:r>
      <w:r w:rsidR="00882CCE">
        <w:rPr>
          <w:rFonts w:ascii="Times New Roman" w:hAnsi="Times New Roman"/>
          <w:bCs/>
          <w:iCs/>
          <w:color w:val="000000"/>
          <w:sz w:val="24"/>
          <w:szCs w:val="24"/>
        </w:rPr>
        <w:t>. T</w:t>
      </w:r>
      <w:r w:rsidR="008730A6" w:rsidRPr="00DA06FB">
        <w:rPr>
          <w:rFonts w:ascii="Times New Roman" w:hAnsi="Times New Roman"/>
          <w:bCs/>
          <w:iCs/>
          <w:color w:val="000000"/>
          <w:sz w:val="24"/>
          <w:szCs w:val="24"/>
        </w:rPr>
        <w:t>he correlation findings</w:t>
      </w:r>
      <w:r w:rsidR="00882CCE">
        <w:rPr>
          <w:rFonts w:ascii="Times New Roman" w:hAnsi="Times New Roman"/>
          <w:bCs/>
          <w:iCs/>
          <w:color w:val="000000"/>
          <w:sz w:val="24"/>
          <w:szCs w:val="24"/>
        </w:rPr>
        <w:t xml:space="preserve"> </w:t>
      </w:r>
      <w:r w:rsidR="0053330B">
        <w:rPr>
          <w:rFonts w:ascii="Times New Roman" w:hAnsi="Times New Roman"/>
          <w:bCs/>
          <w:iCs/>
          <w:color w:val="000000"/>
          <w:sz w:val="24"/>
          <w:szCs w:val="24"/>
        </w:rPr>
        <w:t xml:space="preserve">have </w:t>
      </w:r>
      <w:r w:rsidR="00882CCE">
        <w:rPr>
          <w:rFonts w:ascii="Times New Roman" w:hAnsi="Times New Roman"/>
          <w:bCs/>
          <w:iCs/>
          <w:color w:val="000000"/>
          <w:sz w:val="24"/>
          <w:szCs w:val="24"/>
        </w:rPr>
        <w:t xml:space="preserve">been </w:t>
      </w:r>
      <w:r w:rsidR="008730A6" w:rsidRPr="00DA06FB">
        <w:rPr>
          <w:rFonts w:ascii="Times New Roman" w:hAnsi="Times New Roman"/>
          <w:bCs/>
          <w:iCs/>
          <w:color w:val="000000"/>
          <w:sz w:val="24"/>
          <w:szCs w:val="24"/>
        </w:rPr>
        <w:t>indicate</w:t>
      </w:r>
      <w:r w:rsidR="00882CCE">
        <w:rPr>
          <w:rFonts w:ascii="Times New Roman" w:hAnsi="Times New Roman"/>
          <w:bCs/>
          <w:iCs/>
          <w:color w:val="000000"/>
          <w:sz w:val="24"/>
          <w:szCs w:val="24"/>
        </w:rPr>
        <w:t>d</w:t>
      </w:r>
      <w:r w:rsidR="008730A6" w:rsidRPr="00DA06FB">
        <w:rPr>
          <w:rFonts w:ascii="Times New Roman" w:hAnsi="Times New Roman"/>
          <w:bCs/>
          <w:iCs/>
          <w:color w:val="000000"/>
          <w:sz w:val="24"/>
          <w:szCs w:val="24"/>
        </w:rPr>
        <w:t xml:space="preserve"> that</w:t>
      </w:r>
      <w:r w:rsidR="005E3ABD">
        <w:rPr>
          <w:rFonts w:ascii="Times New Roman" w:hAnsi="Times New Roman"/>
          <w:bCs/>
          <w:iCs/>
          <w:color w:val="000000"/>
          <w:sz w:val="24"/>
          <w:szCs w:val="24"/>
        </w:rPr>
        <w:t xml:space="preserve"> </w:t>
      </w:r>
      <w:r w:rsidR="008730A6" w:rsidRPr="00DA06FB">
        <w:rPr>
          <w:rFonts w:ascii="Times New Roman" w:hAnsi="Times New Roman"/>
          <w:bCs/>
          <w:iCs/>
          <w:color w:val="000000"/>
          <w:sz w:val="24"/>
          <w:szCs w:val="24"/>
        </w:rPr>
        <w:t xml:space="preserve">groundwater is influenced by a mix of dissolution of carbonates and silicates, ion exchange processes, and specific instances of anthropogenic contamination. </w:t>
      </w:r>
      <w:r w:rsidR="00DE538C" w:rsidRPr="00DA06FB">
        <w:rPr>
          <w:rFonts w:ascii="Times New Roman" w:hAnsi="Times New Roman"/>
          <w:bCs/>
          <w:iCs/>
          <w:color w:val="000000"/>
          <w:sz w:val="24"/>
          <w:szCs w:val="24"/>
        </w:rPr>
        <w:t xml:space="preserve">This aligns with the occurrence of inverse or direct cation-exchange reactions that modify groundwater chemistry during mixing or salinization. </w:t>
      </w:r>
      <w:r w:rsidR="008730A6" w:rsidRPr="00DA06FB">
        <w:rPr>
          <w:rFonts w:ascii="Times New Roman" w:hAnsi="Times New Roman"/>
          <w:bCs/>
          <w:iCs/>
          <w:color w:val="000000"/>
          <w:sz w:val="24"/>
          <w:szCs w:val="24"/>
        </w:rPr>
        <w:t>The PCA results indicated that during the pre-monsoon season, groundwater chemistry is</w:t>
      </w:r>
      <w:r w:rsidR="006C2A25">
        <w:rPr>
          <w:rFonts w:ascii="Times New Roman" w:hAnsi="Times New Roman"/>
          <w:bCs/>
          <w:iCs/>
          <w:color w:val="000000"/>
          <w:sz w:val="24"/>
          <w:szCs w:val="24"/>
        </w:rPr>
        <w:t xml:space="preserve"> </w:t>
      </w:r>
      <w:r w:rsidR="008730A6" w:rsidRPr="00DA06FB">
        <w:rPr>
          <w:rFonts w:ascii="Times New Roman" w:hAnsi="Times New Roman"/>
          <w:bCs/>
          <w:iCs/>
          <w:color w:val="000000"/>
          <w:sz w:val="24"/>
          <w:szCs w:val="24"/>
        </w:rPr>
        <w:t xml:space="preserve">shaped by three related processes: the dissolution of carbonates and </w:t>
      </w:r>
      <w:r w:rsidR="00414E21" w:rsidRPr="00DA06FB">
        <w:rPr>
          <w:rFonts w:ascii="Times New Roman" w:hAnsi="Times New Roman"/>
          <w:bCs/>
          <w:iCs/>
          <w:color w:val="000000"/>
          <w:sz w:val="24"/>
          <w:szCs w:val="24"/>
        </w:rPr>
        <w:t>sulphates</w:t>
      </w:r>
      <w:r w:rsidR="008730A6" w:rsidRPr="00DA06FB">
        <w:rPr>
          <w:rFonts w:ascii="Times New Roman" w:hAnsi="Times New Roman"/>
          <w:bCs/>
          <w:iCs/>
          <w:color w:val="000000"/>
          <w:sz w:val="24"/>
          <w:szCs w:val="24"/>
        </w:rPr>
        <w:t xml:space="preserve"> influenced by human activities (PC1), ion exchange and the weathering of silicates (PC2), and the enrichment of fluoride from natural sources (PC3).</w:t>
      </w:r>
      <w:r w:rsidR="00E90513">
        <w:rPr>
          <w:rFonts w:ascii="Times New Roman" w:hAnsi="Times New Roman"/>
          <w:bCs/>
          <w:iCs/>
          <w:color w:val="000000"/>
          <w:sz w:val="24"/>
          <w:szCs w:val="24"/>
        </w:rPr>
        <w:t xml:space="preserve"> </w:t>
      </w:r>
      <w:r w:rsidR="003F1988" w:rsidRPr="00DA06FB">
        <w:rPr>
          <w:rFonts w:ascii="Times New Roman" w:hAnsi="Times New Roman"/>
          <w:bCs/>
          <w:iCs/>
          <w:color w:val="000000"/>
          <w:sz w:val="24"/>
          <w:szCs w:val="24"/>
        </w:rPr>
        <w:t>From the clustering technique, the groundwater systems has been distinguished by considering lithology, water residence time, and external influences, with providing a robust basis for assessing groundwater development across the study area.</w:t>
      </w:r>
      <w:bookmarkEnd w:id="1"/>
    </w:p>
    <w:p w14:paraId="4C082710" w14:textId="77777777" w:rsidR="006B4992" w:rsidRPr="00A9103A" w:rsidRDefault="006B4992" w:rsidP="00AB2AF7">
      <w:pPr>
        <w:spacing w:after="0" w:line="240" w:lineRule="auto"/>
        <w:jc w:val="both"/>
        <w:rPr>
          <w:rFonts w:ascii="Times New Roman" w:hAnsi="Times New Roman"/>
          <w:bCs/>
          <w:iCs/>
          <w:color w:val="000000"/>
          <w:sz w:val="24"/>
          <w:szCs w:val="24"/>
        </w:rPr>
      </w:pPr>
      <w:r w:rsidRPr="00A9103A">
        <w:rPr>
          <w:rFonts w:ascii="Times New Roman" w:hAnsi="Times New Roman"/>
          <w:b/>
          <w:iCs/>
          <w:color w:val="000000"/>
          <w:sz w:val="24"/>
          <w:szCs w:val="24"/>
        </w:rPr>
        <w:t>Author contributions</w:t>
      </w:r>
      <w:r w:rsidRPr="00A9103A">
        <w:rPr>
          <w:rFonts w:ascii="Times New Roman" w:hAnsi="Times New Roman"/>
          <w:bCs/>
          <w:iCs/>
          <w:color w:val="000000"/>
          <w:sz w:val="24"/>
          <w:szCs w:val="24"/>
        </w:rPr>
        <w:t xml:space="preserve"> </w:t>
      </w:r>
    </w:p>
    <w:p w14:paraId="6FCF7C66" w14:textId="77777777" w:rsidR="00835ADA" w:rsidRDefault="006B4992" w:rsidP="00AB2AF7">
      <w:pPr>
        <w:spacing w:after="0" w:line="240" w:lineRule="auto"/>
        <w:jc w:val="both"/>
        <w:rPr>
          <w:rFonts w:ascii="Times New Roman" w:hAnsi="Times New Roman"/>
          <w:bCs/>
          <w:iCs/>
          <w:color w:val="000000"/>
          <w:sz w:val="24"/>
          <w:szCs w:val="24"/>
        </w:rPr>
      </w:pPr>
      <w:r w:rsidRPr="00835ADA">
        <w:rPr>
          <w:rFonts w:ascii="Times New Roman" w:hAnsi="Times New Roman"/>
          <w:b/>
          <w:iCs/>
          <w:color w:val="000000"/>
          <w:sz w:val="24"/>
          <w:szCs w:val="24"/>
        </w:rPr>
        <w:t>PD</w:t>
      </w:r>
      <w:r>
        <w:rPr>
          <w:rFonts w:ascii="Times New Roman" w:hAnsi="Times New Roman"/>
          <w:bCs/>
          <w:iCs/>
          <w:color w:val="000000"/>
          <w:sz w:val="24"/>
          <w:szCs w:val="24"/>
        </w:rPr>
        <w:t xml:space="preserve">: </w:t>
      </w:r>
      <w:r w:rsidRPr="006B4992">
        <w:rPr>
          <w:rFonts w:ascii="Times New Roman" w:hAnsi="Times New Roman"/>
          <w:bCs/>
          <w:iCs/>
          <w:color w:val="000000"/>
          <w:sz w:val="24"/>
          <w:szCs w:val="24"/>
        </w:rPr>
        <w:t xml:space="preserve">Conceptualization, Fieldwork, </w:t>
      </w:r>
      <w:r w:rsidR="00835ADA">
        <w:rPr>
          <w:rFonts w:ascii="Times New Roman" w:hAnsi="Times New Roman"/>
          <w:bCs/>
          <w:iCs/>
          <w:color w:val="000000"/>
          <w:sz w:val="24"/>
          <w:szCs w:val="24"/>
        </w:rPr>
        <w:t xml:space="preserve">Data </w:t>
      </w:r>
      <w:r w:rsidRPr="006B4992">
        <w:rPr>
          <w:rFonts w:ascii="Times New Roman" w:hAnsi="Times New Roman"/>
          <w:bCs/>
          <w:iCs/>
          <w:color w:val="000000"/>
          <w:sz w:val="24"/>
          <w:szCs w:val="24"/>
        </w:rPr>
        <w:t>Analysis</w:t>
      </w:r>
      <w:r w:rsidR="00835ADA">
        <w:rPr>
          <w:rFonts w:ascii="Times New Roman" w:hAnsi="Times New Roman"/>
          <w:bCs/>
          <w:iCs/>
          <w:color w:val="000000"/>
          <w:sz w:val="24"/>
          <w:szCs w:val="24"/>
        </w:rPr>
        <w:t>,</w:t>
      </w:r>
      <w:r w:rsidR="00835ADA" w:rsidRPr="00835ADA">
        <w:rPr>
          <w:rFonts w:ascii="Times New Roman" w:hAnsi="Times New Roman"/>
          <w:bCs/>
          <w:iCs/>
          <w:color w:val="000000"/>
          <w:sz w:val="24"/>
          <w:szCs w:val="24"/>
        </w:rPr>
        <w:t xml:space="preserve"> </w:t>
      </w:r>
      <w:r w:rsidR="00835ADA" w:rsidRPr="006B4992">
        <w:rPr>
          <w:rFonts w:ascii="Times New Roman" w:hAnsi="Times New Roman"/>
          <w:bCs/>
          <w:iCs/>
          <w:color w:val="000000"/>
          <w:sz w:val="24"/>
          <w:szCs w:val="24"/>
        </w:rPr>
        <w:t>Statistical Analysis</w:t>
      </w:r>
      <w:r w:rsidR="00835ADA">
        <w:rPr>
          <w:rFonts w:ascii="Times New Roman" w:hAnsi="Times New Roman"/>
          <w:bCs/>
          <w:iCs/>
          <w:color w:val="000000"/>
          <w:sz w:val="24"/>
          <w:szCs w:val="24"/>
        </w:rPr>
        <w:t>, Validation, Software, GIS Maps</w:t>
      </w:r>
      <w:r w:rsidRPr="006B4992">
        <w:rPr>
          <w:rFonts w:ascii="Times New Roman" w:hAnsi="Times New Roman"/>
          <w:bCs/>
          <w:iCs/>
          <w:color w:val="000000"/>
          <w:sz w:val="24"/>
          <w:szCs w:val="24"/>
        </w:rPr>
        <w:t xml:space="preserve"> and Original Draft</w:t>
      </w:r>
      <w:r w:rsidR="00835ADA">
        <w:rPr>
          <w:rFonts w:ascii="Times New Roman" w:hAnsi="Times New Roman"/>
          <w:bCs/>
          <w:iCs/>
          <w:color w:val="000000"/>
          <w:sz w:val="24"/>
          <w:szCs w:val="24"/>
        </w:rPr>
        <w:t xml:space="preserve">. </w:t>
      </w:r>
      <w:r w:rsidR="00835ADA" w:rsidRPr="00835ADA">
        <w:rPr>
          <w:rFonts w:ascii="Times New Roman" w:hAnsi="Times New Roman"/>
          <w:b/>
          <w:iCs/>
          <w:color w:val="000000"/>
          <w:sz w:val="24"/>
          <w:szCs w:val="24"/>
        </w:rPr>
        <w:t>NM:</w:t>
      </w:r>
      <w:r w:rsidR="00835ADA">
        <w:rPr>
          <w:rFonts w:ascii="Times New Roman" w:hAnsi="Times New Roman"/>
          <w:bCs/>
          <w:iCs/>
          <w:color w:val="000000"/>
          <w:sz w:val="24"/>
          <w:szCs w:val="24"/>
        </w:rPr>
        <w:t xml:space="preserve"> </w:t>
      </w:r>
      <w:r w:rsidRPr="006B4992">
        <w:rPr>
          <w:rFonts w:ascii="Times New Roman" w:hAnsi="Times New Roman"/>
          <w:bCs/>
          <w:iCs/>
          <w:color w:val="000000"/>
          <w:sz w:val="24"/>
          <w:szCs w:val="24"/>
        </w:rPr>
        <w:t xml:space="preserve">Discussions, Guidance, Conceptualization, </w:t>
      </w:r>
      <w:r w:rsidR="00835ADA">
        <w:rPr>
          <w:rFonts w:ascii="Times New Roman" w:hAnsi="Times New Roman"/>
          <w:bCs/>
          <w:iCs/>
          <w:color w:val="000000"/>
          <w:sz w:val="24"/>
          <w:szCs w:val="24"/>
        </w:rPr>
        <w:t xml:space="preserve">Reviewing and Editing. </w:t>
      </w:r>
    </w:p>
    <w:p w14:paraId="05E43FAE" w14:textId="77777777" w:rsidR="000D11F4" w:rsidRPr="00A9103A" w:rsidRDefault="00835ADA" w:rsidP="00AB2AF7">
      <w:pPr>
        <w:spacing w:after="0" w:line="240" w:lineRule="auto"/>
        <w:jc w:val="both"/>
        <w:rPr>
          <w:rFonts w:ascii="Times New Roman" w:hAnsi="Times New Roman"/>
          <w:b/>
          <w:iCs/>
          <w:color w:val="000000"/>
          <w:sz w:val="24"/>
          <w:szCs w:val="24"/>
        </w:rPr>
      </w:pPr>
      <w:r w:rsidRPr="00A9103A">
        <w:rPr>
          <w:rFonts w:ascii="Times New Roman" w:hAnsi="Times New Roman"/>
          <w:b/>
          <w:iCs/>
          <w:color w:val="000000"/>
          <w:sz w:val="24"/>
          <w:szCs w:val="24"/>
        </w:rPr>
        <w:t>Conflict of Interest</w:t>
      </w:r>
    </w:p>
    <w:p w14:paraId="206BBBF9" w14:textId="77777777" w:rsidR="006B4992" w:rsidRDefault="006B4992" w:rsidP="00AB2AF7">
      <w:pPr>
        <w:spacing w:after="0" w:line="240" w:lineRule="auto"/>
        <w:jc w:val="both"/>
        <w:rPr>
          <w:rFonts w:ascii="Times New Roman" w:hAnsi="Times New Roman"/>
          <w:bCs/>
          <w:iCs/>
          <w:color w:val="000000"/>
          <w:sz w:val="24"/>
          <w:szCs w:val="24"/>
        </w:rPr>
      </w:pPr>
      <w:r w:rsidRPr="006B4992">
        <w:rPr>
          <w:rFonts w:ascii="Times New Roman" w:hAnsi="Times New Roman"/>
          <w:bCs/>
          <w:iCs/>
          <w:color w:val="000000"/>
          <w:sz w:val="24"/>
          <w:szCs w:val="24"/>
        </w:rPr>
        <w:t>Authors declare that they have no conflict of interests.</w:t>
      </w:r>
    </w:p>
    <w:p w14:paraId="6016F70D" w14:textId="77777777" w:rsidR="000D11F4" w:rsidRPr="00A9103A" w:rsidRDefault="000D11F4" w:rsidP="00AB2AF7">
      <w:pPr>
        <w:spacing w:after="0" w:line="240" w:lineRule="auto"/>
        <w:jc w:val="both"/>
        <w:rPr>
          <w:rFonts w:ascii="Times New Roman" w:hAnsi="Times New Roman"/>
          <w:b/>
          <w:iCs/>
          <w:color w:val="000000"/>
          <w:sz w:val="24"/>
          <w:szCs w:val="24"/>
        </w:rPr>
      </w:pPr>
      <w:r w:rsidRPr="00A9103A">
        <w:rPr>
          <w:rFonts w:ascii="Times New Roman" w:hAnsi="Times New Roman"/>
          <w:b/>
          <w:iCs/>
          <w:color w:val="000000"/>
          <w:sz w:val="24"/>
          <w:szCs w:val="24"/>
        </w:rPr>
        <w:t>Acknowledgements</w:t>
      </w:r>
    </w:p>
    <w:p w14:paraId="6C10A561" w14:textId="77777777" w:rsidR="000D11F4" w:rsidRPr="00CD4CA9" w:rsidRDefault="000D11F4" w:rsidP="00AB2AF7">
      <w:pPr>
        <w:spacing w:after="0" w:line="240" w:lineRule="auto"/>
        <w:jc w:val="both"/>
        <w:rPr>
          <w:rFonts w:ascii="Times New Roman" w:hAnsi="Times New Roman"/>
          <w:bCs/>
          <w:iCs/>
          <w:color w:val="000000"/>
          <w:sz w:val="24"/>
          <w:szCs w:val="24"/>
        </w:rPr>
      </w:pPr>
      <w:r w:rsidRPr="000D11F4">
        <w:rPr>
          <w:rFonts w:ascii="Times New Roman" w:hAnsi="Times New Roman"/>
          <w:bCs/>
          <w:iCs/>
          <w:color w:val="000000"/>
          <w:sz w:val="24"/>
          <w:szCs w:val="24"/>
        </w:rPr>
        <w:t xml:space="preserve">The authors would like to thank </w:t>
      </w:r>
      <w:r>
        <w:rPr>
          <w:rFonts w:ascii="Times New Roman" w:hAnsi="Times New Roman"/>
          <w:bCs/>
          <w:iCs/>
          <w:color w:val="000000"/>
          <w:sz w:val="24"/>
          <w:szCs w:val="24"/>
        </w:rPr>
        <w:t xml:space="preserve">Officer-In-Charge, CMPDI, Talcher camp along with survey personal for providing support for collection of samples. The authors extend their gratitude </w:t>
      </w:r>
      <w:r w:rsidR="002F1FD5">
        <w:rPr>
          <w:rFonts w:ascii="Times New Roman" w:hAnsi="Times New Roman"/>
          <w:bCs/>
          <w:iCs/>
          <w:color w:val="000000"/>
          <w:sz w:val="24"/>
          <w:szCs w:val="24"/>
        </w:rPr>
        <w:t xml:space="preserve">to </w:t>
      </w:r>
      <w:r w:rsidRPr="000D11F4">
        <w:rPr>
          <w:rFonts w:ascii="Times New Roman" w:hAnsi="Times New Roman"/>
          <w:bCs/>
          <w:iCs/>
          <w:color w:val="000000"/>
          <w:sz w:val="24"/>
          <w:szCs w:val="24"/>
        </w:rPr>
        <w:t xml:space="preserve">the Institute of Minerals and Materials Technology, </w:t>
      </w:r>
      <w:r>
        <w:rPr>
          <w:rFonts w:ascii="Times New Roman" w:hAnsi="Times New Roman"/>
          <w:bCs/>
          <w:iCs/>
          <w:color w:val="000000"/>
          <w:sz w:val="24"/>
          <w:szCs w:val="24"/>
        </w:rPr>
        <w:t xml:space="preserve">Bhubaneswar </w:t>
      </w:r>
      <w:r w:rsidRPr="000D11F4">
        <w:rPr>
          <w:rFonts w:ascii="Times New Roman" w:hAnsi="Times New Roman"/>
          <w:bCs/>
          <w:iCs/>
          <w:color w:val="000000"/>
          <w:sz w:val="24"/>
          <w:szCs w:val="24"/>
        </w:rPr>
        <w:t>for the sample analysis of this study. The study has not received any funds from any organization</w:t>
      </w:r>
    </w:p>
    <w:p w14:paraId="55A57D83" w14:textId="77777777" w:rsidR="002F1FD5" w:rsidRDefault="002F1FD5" w:rsidP="00AB2AF7">
      <w:pPr>
        <w:spacing w:after="200" w:line="240" w:lineRule="auto"/>
        <w:rPr>
          <w:rFonts w:ascii="Roman" w:hAnsi="Roman"/>
          <w:b/>
          <w:iCs/>
          <w:color w:val="000000"/>
          <w:sz w:val="24"/>
          <w:szCs w:val="24"/>
        </w:rPr>
      </w:pPr>
      <w:bookmarkStart w:id="12" w:name="_Hlk215049351"/>
    </w:p>
    <w:p w14:paraId="48CCED6C" w14:textId="780AEB6C" w:rsidR="00CA2746" w:rsidRDefault="00A9103A" w:rsidP="00AB2AF7">
      <w:pPr>
        <w:spacing w:after="200" w:line="240" w:lineRule="auto"/>
        <w:rPr>
          <w:rFonts w:ascii="Times New Roman" w:hAnsi="Times New Roman"/>
          <w:b/>
          <w:iCs/>
          <w:color w:val="000000"/>
          <w:sz w:val="28"/>
          <w:szCs w:val="28"/>
        </w:rPr>
      </w:pPr>
      <w:r w:rsidRPr="00A9103A">
        <w:rPr>
          <w:rFonts w:ascii="Times New Roman" w:hAnsi="Times New Roman"/>
          <w:b/>
          <w:iCs/>
          <w:color w:val="000000"/>
          <w:sz w:val="28"/>
          <w:szCs w:val="28"/>
        </w:rPr>
        <w:t>REFERENCES</w:t>
      </w:r>
      <w:bookmarkEnd w:id="12"/>
    </w:p>
    <w:p w14:paraId="20864FAF" w14:textId="77777777" w:rsidR="00A9103A" w:rsidRDefault="00A9103A" w:rsidP="00AB2AF7">
      <w:pPr>
        <w:pStyle w:val="NoSpacing"/>
        <w:numPr>
          <w:ilvl w:val="0"/>
          <w:numId w:val="3"/>
        </w:numPr>
        <w:jc w:val="both"/>
      </w:pPr>
      <w:r w:rsidRPr="00646388">
        <w:rPr>
          <w:rFonts w:ascii="Times New Roman" w:hAnsi="Times New Roman"/>
          <w:sz w:val="24"/>
          <w:szCs w:val="24"/>
        </w:rPr>
        <w:t>Amalraj</w:t>
      </w:r>
      <w:r>
        <w:rPr>
          <w:rFonts w:ascii="Times New Roman" w:hAnsi="Times New Roman"/>
          <w:sz w:val="24"/>
          <w:szCs w:val="24"/>
        </w:rPr>
        <w:t>,</w:t>
      </w:r>
      <w:r w:rsidRPr="00646388">
        <w:rPr>
          <w:rFonts w:ascii="Times New Roman" w:hAnsi="Times New Roman"/>
          <w:sz w:val="24"/>
          <w:szCs w:val="24"/>
        </w:rPr>
        <w:t xml:space="preserve"> A</w:t>
      </w:r>
      <w:r>
        <w:rPr>
          <w:rFonts w:ascii="Times New Roman" w:hAnsi="Times New Roman"/>
          <w:sz w:val="24"/>
          <w:szCs w:val="24"/>
        </w:rPr>
        <w:t>.</w:t>
      </w:r>
      <w:r w:rsidRPr="00646388">
        <w:rPr>
          <w:rFonts w:ascii="Times New Roman" w:hAnsi="Times New Roman"/>
          <w:sz w:val="24"/>
          <w:szCs w:val="24"/>
        </w:rPr>
        <w:t xml:space="preserve"> </w:t>
      </w:r>
      <w:r>
        <w:rPr>
          <w:rFonts w:ascii="Times New Roman" w:hAnsi="Times New Roman"/>
          <w:sz w:val="24"/>
          <w:szCs w:val="24"/>
        </w:rPr>
        <w:t xml:space="preserve">and </w:t>
      </w:r>
      <w:r w:rsidRPr="00646388">
        <w:rPr>
          <w:rFonts w:ascii="Times New Roman" w:hAnsi="Times New Roman"/>
          <w:sz w:val="24"/>
          <w:szCs w:val="24"/>
        </w:rPr>
        <w:t>Pius</w:t>
      </w:r>
      <w:r>
        <w:rPr>
          <w:rFonts w:ascii="Times New Roman" w:hAnsi="Times New Roman"/>
          <w:sz w:val="24"/>
          <w:szCs w:val="24"/>
        </w:rPr>
        <w:t>,</w:t>
      </w:r>
      <w:r w:rsidRPr="00646388">
        <w:rPr>
          <w:rFonts w:ascii="Times New Roman" w:hAnsi="Times New Roman"/>
          <w:sz w:val="24"/>
          <w:szCs w:val="24"/>
        </w:rPr>
        <w:t xml:space="preserve"> A</w:t>
      </w:r>
      <w:r>
        <w:rPr>
          <w:rFonts w:ascii="Times New Roman" w:hAnsi="Times New Roman"/>
          <w:sz w:val="24"/>
          <w:szCs w:val="24"/>
        </w:rPr>
        <w:t>.</w:t>
      </w:r>
      <w:r w:rsidRPr="00646388">
        <w:rPr>
          <w:rFonts w:ascii="Times New Roman" w:hAnsi="Times New Roman"/>
          <w:sz w:val="24"/>
          <w:szCs w:val="24"/>
        </w:rPr>
        <w:t xml:space="preserve"> (2018)</w:t>
      </w:r>
      <w:r>
        <w:rPr>
          <w:rFonts w:ascii="Times New Roman" w:hAnsi="Times New Roman"/>
          <w:sz w:val="24"/>
          <w:szCs w:val="24"/>
        </w:rPr>
        <w:t>.</w:t>
      </w:r>
      <w:r w:rsidRPr="00646388">
        <w:rPr>
          <w:rFonts w:ascii="Times New Roman" w:hAnsi="Times New Roman"/>
          <w:sz w:val="24"/>
          <w:szCs w:val="24"/>
        </w:rPr>
        <w:t xml:space="preserve"> Assessment of groundwater quality for drinking and agricultural     purposes of a few selected areas in Tamilnadu</w:t>
      </w:r>
      <w:r>
        <w:rPr>
          <w:rFonts w:ascii="Times New Roman" w:hAnsi="Times New Roman"/>
          <w:sz w:val="24"/>
          <w:szCs w:val="24"/>
        </w:rPr>
        <w:t>,</w:t>
      </w:r>
      <w:r w:rsidRPr="00646388">
        <w:rPr>
          <w:rFonts w:ascii="Times New Roman" w:hAnsi="Times New Roman"/>
          <w:sz w:val="24"/>
          <w:szCs w:val="24"/>
        </w:rPr>
        <w:t xml:space="preserve"> South India: a GIS-based study.</w:t>
      </w:r>
      <w:r w:rsidRPr="00646388">
        <w:rPr>
          <w:rFonts w:ascii="Times New Roman" w:hAnsi="Times New Roman"/>
          <w:i/>
          <w:iCs/>
          <w:sz w:val="24"/>
          <w:szCs w:val="24"/>
        </w:rPr>
        <w:t xml:space="preserve"> Sustainable</w:t>
      </w:r>
      <w:r>
        <w:rPr>
          <w:rFonts w:ascii="Times New Roman" w:hAnsi="Times New Roman"/>
          <w:i/>
          <w:iCs/>
          <w:sz w:val="24"/>
          <w:szCs w:val="24"/>
        </w:rPr>
        <w:t xml:space="preserve"> </w:t>
      </w:r>
      <w:r w:rsidRPr="00646388">
        <w:rPr>
          <w:rFonts w:ascii="Times New Roman" w:hAnsi="Times New Roman"/>
          <w:i/>
          <w:iCs/>
          <w:sz w:val="24"/>
          <w:szCs w:val="24"/>
        </w:rPr>
        <w:t>Water</w:t>
      </w:r>
      <w:r>
        <w:rPr>
          <w:rFonts w:ascii="Times New Roman" w:hAnsi="Times New Roman"/>
          <w:i/>
          <w:iCs/>
          <w:sz w:val="24"/>
          <w:szCs w:val="24"/>
        </w:rPr>
        <w:t xml:space="preserve"> </w:t>
      </w:r>
      <w:r w:rsidRPr="00646388">
        <w:rPr>
          <w:rFonts w:ascii="Times New Roman" w:hAnsi="Times New Roman"/>
          <w:i/>
          <w:iCs/>
          <w:sz w:val="24"/>
          <w:szCs w:val="24"/>
        </w:rPr>
        <w:t>Resource</w:t>
      </w:r>
      <w:r>
        <w:rPr>
          <w:rFonts w:ascii="Times New Roman" w:hAnsi="Times New Roman"/>
          <w:i/>
          <w:iCs/>
          <w:sz w:val="24"/>
          <w:szCs w:val="24"/>
        </w:rPr>
        <w:t xml:space="preserve"> </w:t>
      </w:r>
      <w:r w:rsidRPr="00646388">
        <w:rPr>
          <w:rFonts w:ascii="Times New Roman" w:hAnsi="Times New Roman"/>
          <w:i/>
          <w:iCs/>
          <w:sz w:val="24"/>
          <w:szCs w:val="24"/>
        </w:rPr>
        <w:t>Management</w:t>
      </w:r>
      <w:r w:rsidRPr="00646388">
        <w:rPr>
          <w:rFonts w:ascii="Times New Roman" w:hAnsi="Times New Roman"/>
          <w:sz w:val="24"/>
          <w:szCs w:val="24"/>
        </w:rPr>
        <w:t>.4,1–21.</w:t>
      </w:r>
      <w:hyperlink r:id="rId29" w:history="1">
        <w:r w:rsidRPr="00841FA1">
          <w:rPr>
            <w:rStyle w:val="Hyperlink"/>
            <w:rFonts w:ascii="Times New Roman" w:hAnsi="Times New Roman"/>
            <w:sz w:val="24"/>
            <w:szCs w:val="24"/>
            <w:u w:val="none"/>
          </w:rPr>
          <w:t>doi:10.1007/s40899-017-0113-8</w:t>
        </w:r>
      </w:hyperlink>
      <w:r w:rsidRPr="00841FA1">
        <w:t>.</w:t>
      </w:r>
    </w:p>
    <w:p w14:paraId="24FADE50" w14:textId="77777777" w:rsidR="00A9103A" w:rsidRDefault="00A9103A"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Mahanta, N. </w:t>
      </w:r>
      <w:r>
        <w:rPr>
          <w:rFonts w:ascii="Times New Roman" w:hAnsi="Times New Roman"/>
          <w:color w:val="000000"/>
          <w:sz w:val="24"/>
          <w:szCs w:val="24"/>
        </w:rPr>
        <w:t>and</w:t>
      </w:r>
      <w:r w:rsidRPr="00DA06FB">
        <w:rPr>
          <w:rFonts w:ascii="Times New Roman" w:hAnsi="Times New Roman"/>
          <w:color w:val="000000"/>
          <w:sz w:val="24"/>
          <w:szCs w:val="24"/>
        </w:rPr>
        <w:t xml:space="preserve"> Goswami, S. (2024). Groundwater vulnerability to fluoride pollution and health risk assessment in the western part of Odisha, India. Environmental Science and Pollution Research International, 31(24), 35878–35896. doi:10.1007/s11356-024-33620-3</w:t>
      </w:r>
      <w:r>
        <w:rPr>
          <w:rFonts w:ascii="Times New Roman" w:hAnsi="Times New Roman"/>
          <w:color w:val="000000"/>
          <w:sz w:val="24"/>
          <w:szCs w:val="24"/>
        </w:rPr>
        <w:t xml:space="preserve">. </w:t>
      </w:r>
    </w:p>
    <w:p w14:paraId="1F228E46" w14:textId="77777777" w:rsidR="00A9103A" w:rsidRDefault="00A9103A"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Adimalla, N., Dhakate, R., Kasarla, A. </w:t>
      </w:r>
      <w:r>
        <w:rPr>
          <w:rFonts w:ascii="Times New Roman" w:hAnsi="Times New Roman"/>
          <w:color w:val="000000"/>
          <w:sz w:val="24"/>
          <w:szCs w:val="24"/>
        </w:rPr>
        <w:t>and</w:t>
      </w:r>
      <w:r w:rsidRPr="00DA06FB">
        <w:rPr>
          <w:rFonts w:ascii="Times New Roman" w:hAnsi="Times New Roman"/>
          <w:color w:val="000000"/>
          <w:sz w:val="24"/>
          <w:szCs w:val="24"/>
        </w:rPr>
        <w:t xml:space="preserve"> Taloor, A.K. (2020). Appraisal of groundwater quality for drinking and irrigation purposes in Central Telangana, India. Groundwater for Sustainable Development, 10(100334), 100334. doi:10.1016/j.gsd.2020.100334.</w:t>
      </w:r>
    </w:p>
    <w:p w14:paraId="4BAD98B4" w14:textId="77777777" w:rsidR="00A9103A" w:rsidRDefault="00A9103A" w:rsidP="00AB2AF7">
      <w:pPr>
        <w:pStyle w:val="NoSpacing"/>
        <w:numPr>
          <w:ilvl w:val="0"/>
          <w:numId w:val="3"/>
        </w:numPr>
        <w:jc w:val="both"/>
        <w:rPr>
          <w:rStyle w:val="Hyperlink"/>
          <w:rFonts w:ascii="Times New Roman" w:hAnsi="Times New Roman"/>
          <w:sz w:val="24"/>
          <w:szCs w:val="24"/>
        </w:rPr>
      </w:pPr>
      <w:r w:rsidRPr="00646388">
        <w:rPr>
          <w:rFonts w:ascii="Times New Roman" w:hAnsi="Times New Roman"/>
          <w:sz w:val="24"/>
          <w:szCs w:val="24"/>
        </w:rPr>
        <w:t xml:space="preserve">Jena MR, Tripathy JK, Sahoo </w:t>
      </w:r>
      <w:r>
        <w:rPr>
          <w:rFonts w:ascii="Times New Roman" w:hAnsi="Times New Roman"/>
          <w:sz w:val="24"/>
          <w:szCs w:val="24"/>
        </w:rPr>
        <w:t>D</w:t>
      </w:r>
      <w:r w:rsidRPr="00646388">
        <w:rPr>
          <w:rFonts w:ascii="Times New Roman" w:hAnsi="Times New Roman"/>
          <w:sz w:val="24"/>
          <w:szCs w:val="24"/>
        </w:rPr>
        <w:t xml:space="preserve"> (2024) Geochemical Evaluation of Groundwater Quality in the Coastal Aquifers of Kujang Block, Jagatsinghpur District, Eastern Odisha, India.</w:t>
      </w:r>
      <w:r>
        <w:rPr>
          <w:rFonts w:ascii="Times New Roman" w:hAnsi="Times New Roman"/>
          <w:sz w:val="24"/>
          <w:szCs w:val="24"/>
        </w:rPr>
        <w:t xml:space="preserve"> </w:t>
      </w:r>
      <w:r w:rsidRPr="00646388">
        <w:rPr>
          <w:rFonts w:ascii="Times New Roman" w:hAnsi="Times New Roman"/>
          <w:sz w:val="24"/>
          <w:szCs w:val="24"/>
        </w:rPr>
        <w:t>Water, Air &amp; Soil Pollution, 235, 349.</w:t>
      </w:r>
      <w:hyperlink r:id="rId30" w:history="1">
        <w:r w:rsidRPr="00285575">
          <w:rPr>
            <w:rStyle w:val="Hyperlink"/>
            <w:rFonts w:ascii="Times New Roman" w:hAnsi="Times New Roman"/>
            <w:sz w:val="24"/>
            <w:szCs w:val="24"/>
          </w:rPr>
          <w:t>https://doi.org/10.1007/s11270-024-07153-x</w:t>
        </w:r>
      </w:hyperlink>
      <w:r w:rsidRPr="00285575">
        <w:rPr>
          <w:rStyle w:val="Hyperlink"/>
          <w:rFonts w:ascii="Times New Roman" w:hAnsi="Times New Roman"/>
          <w:sz w:val="24"/>
          <w:szCs w:val="24"/>
        </w:rPr>
        <w:t>.</w:t>
      </w:r>
    </w:p>
    <w:p w14:paraId="18F4EE8E" w14:textId="709D5462" w:rsidR="00A9103A" w:rsidRPr="00D81163" w:rsidRDefault="00A9103A" w:rsidP="00AB2AF7">
      <w:pPr>
        <w:pStyle w:val="NoSpacing"/>
        <w:numPr>
          <w:ilvl w:val="0"/>
          <w:numId w:val="3"/>
        </w:numPr>
        <w:jc w:val="both"/>
        <w:rPr>
          <w:rStyle w:val="Hyperlink"/>
          <w:rFonts w:ascii="Times New Roman" w:hAnsi="Times New Roman"/>
          <w:color w:val="000000"/>
          <w:sz w:val="24"/>
          <w:szCs w:val="24"/>
          <w:u w:val="none"/>
        </w:rPr>
      </w:pPr>
      <w:r w:rsidRPr="00DA06FB">
        <w:rPr>
          <w:rFonts w:ascii="Times New Roman" w:hAnsi="Times New Roman"/>
          <w:color w:val="000000"/>
          <w:sz w:val="24"/>
          <w:szCs w:val="24"/>
        </w:rPr>
        <w:t xml:space="preserve">Das, S. </w:t>
      </w:r>
      <w:r>
        <w:rPr>
          <w:rFonts w:ascii="Times New Roman" w:hAnsi="Times New Roman"/>
          <w:color w:val="000000"/>
          <w:sz w:val="24"/>
          <w:szCs w:val="24"/>
        </w:rPr>
        <w:t>and</w:t>
      </w:r>
      <w:r w:rsidRPr="00DA06FB">
        <w:rPr>
          <w:rFonts w:ascii="Times New Roman" w:hAnsi="Times New Roman"/>
          <w:color w:val="000000"/>
          <w:sz w:val="24"/>
          <w:szCs w:val="24"/>
        </w:rPr>
        <w:t xml:space="preserve"> Nag, S.K. (2022). Hydrogeochemical assessment and appraisal of groundwater quality in Saltora Block, Bankura District, West Bengal, India. International Journal of Energy and Water Resources, 6(2), 209–230. doi:10.1007/s42108-021-00132-6</w:t>
      </w:r>
      <w:r>
        <w:rPr>
          <w:rFonts w:ascii="Times New Roman" w:hAnsi="Times New Roman"/>
          <w:color w:val="000000"/>
          <w:sz w:val="24"/>
          <w:szCs w:val="24"/>
        </w:rPr>
        <w:t>.</w:t>
      </w:r>
    </w:p>
    <w:p w14:paraId="6A44E8A1" w14:textId="4A16E6F9" w:rsidR="00D81163" w:rsidRDefault="00D81163" w:rsidP="00AB2AF7">
      <w:pPr>
        <w:pStyle w:val="NoSpacing"/>
        <w:numPr>
          <w:ilvl w:val="0"/>
          <w:numId w:val="3"/>
        </w:numPr>
        <w:jc w:val="both"/>
        <w:rPr>
          <w:rFonts w:ascii="Times New Roman" w:hAnsi="Times New Roman"/>
          <w:color w:val="000000"/>
          <w:sz w:val="24"/>
          <w:szCs w:val="24"/>
        </w:rPr>
      </w:pPr>
      <w:r w:rsidRPr="00841FA1">
        <w:rPr>
          <w:rFonts w:ascii="Times New Roman" w:hAnsi="Times New Roman"/>
          <w:color w:val="000000"/>
          <w:sz w:val="24"/>
          <w:szCs w:val="24"/>
        </w:rPr>
        <w:t>Choudhary</w:t>
      </w:r>
      <w:r>
        <w:rPr>
          <w:rFonts w:ascii="Times New Roman" w:hAnsi="Times New Roman"/>
          <w:color w:val="000000"/>
          <w:sz w:val="24"/>
          <w:szCs w:val="24"/>
        </w:rPr>
        <w:t>,</w:t>
      </w:r>
      <w:r w:rsidRPr="00841FA1">
        <w:rPr>
          <w:rFonts w:ascii="Times New Roman" w:hAnsi="Times New Roman"/>
          <w:color w:val="000000"/>
          <w:sz w:val="24"/>
          <w:szCs w:val="24"/>
        </w:rPr>
        <w:t xml:space="preserve"> S</w:t>
      </w:r>
      <w:r>
        <w:rPr>
          <w:rFonts w:ascii="Times New Roman" w:hAnsi="Times New Roman"/>
          <w:color w:val="000000"/>
          <w:sz w:val="24"/>
          <w:szCs w:val="24"/>
        </w:rPr>
        <w:t>.</w:t>
      </w:r>
      <w:r w:rsidRPr="00841FA1">
        <w:rPr>
          <w:rFonts w:ascii="Times New Roman" w:hAnsi="Times New Roman"/>
          <w:color w:val="000000"/>
          <w:sz w:val="24"/>
          <w:szCs w:val="24"/>
        </w:rPr>
        <w:t>, Subba Rao</w:t>
      </w:r>
      <w:r>
        <w:rPr>
          <w:rFonts w:ascii="Times New Roman" w:hAnsi="Times New Roman"/>
          <w:color w:val="000000"/>
          <w:sz w:val="24"/>
          <w:szCs w:val="24"/>
        </w:rPr>
        <w:t>,</w:t>
      </w:r>
      <w:r w:rsidRPr="00841FA1">
        <w:rPr>
          <w:rFonts w:ascii="Times New Roman" w:hAnsi="Times New Roman"/>
          <w:color w:val="000000"/>
          <w:sz w:val="24"/>
          <w:szCs w:val="24"/>
        </w:rPr>
        <w:t xml:space="preserve"> N</w:t>
      </w:r>
      <w:r>
        <w:rPr>
          <w:rFonts w:ascii="Times New Roman" w:hAnsi="Times New Roman"/>
          <w:color w:val="000000"/>
          <w:sz w:val="24"/>
          <w:szCs w:val="24"/>
        </w:rPr>
        <w:t>.</w:t>
      </w:r>
      <w:r w:rsidRPr="00841FA1">
        <w:rPr>
          <w:rFonts w:ascii="Times New Roman" w:hAnsi="Times New Roman"/>
          <w:color w:val="000000"/>
          <w:sz w:val="24"/>
          <w:szCs w:val="24"/>
        </w:rPr>
        <w:t>, Chaudhary</w:t>
      </w:r>
      <w:r>
        <w:rPr>
          <w:rFonts w:ascii="Times New Roman" w:hAnsi="Times New Roman"/>
          <w:color w:val="000000"/>
          <w:sz w:val="24"/>
          <w:szCs w:val="24"/>
        </w:rPr>
        <w:t>,</w:t>
      </w:r>
      <w:r w:rsidRPr="00841FA1">
        <w:rPr>
          <w:rFonts w:ascii="Times New Roman" w:hAnsi="Times New Roman"/>
          <w:color w:val="000000"/>
          <w:sz w:val="24"/>
          <w:szCs w:val="24"/>
        </w:rPr>
        <w:t xml:space="preserve"> M</w:t>
      </w:r>
      <w:r>
        <w:rPr>
          <w:rFonts w:ascii="Times New Roman" w:hAnsi="Times New Roman"/>
          <w:color w:val="000000"/>
          <w:sz w:val="24"/>
          <w:szCs w:val="24"/>
        </w:rPr>
        <w:t>.</w:t>
      </w:r>
      <w:r w:rsidRPr="00841FA1">
        <w:rPr>
          <w:rFonts w:ascii="Times New Roman" w:hAnsi="Times New Roman"/>
          <w:color w:val="000000"/>
          <w:sz w:val="24"/>
          <w:szCs w:val="24"/>
        </w:rPr>
        <w:t>, Das</w:t>
      </w:r>
      <w:r>
        <w:rPr>
          <w:rFonts w:ascii="Times New Roman" w:hAnsi="Times New Roman"/>
          <w:color w:val="000000"/>
          <w:sz w:val="24"/>
          <w:szCs w:val="24"/>
        </w:rPr>
        <w:t>,</w:t>
      </w:r>
      <w:r w:rsidRPr="00841FA1">
        <w:rPr>
          <w:rFonts w:ascii="Times New Roman" w:hAnsi="Times New Roman"/>
          <w:color w:val="000000"/>
          <w:sz w:val="24"/>
          <w:szCs w:val="24"/>
        </w:rPr>
        <w:t xml:space="preserve"> </w:t>
      </w:r>
      <w:r>
        <w:rPr>
          <w:rFonts w:ascii="Times New Roman" w:hAnsi="Times New Roman"/>
          <w:color w:val="000000"/>
          <w:sz w:val="24"/>
          <w:szCs w:val="24"/>
        </w:rPr>
        <w:t xml:space="preserve">Sahu, </w:t>
      </w:r>
      <w:r w:rsidRPr="00841FA1">
        <w:rPr>
          <w:rFonts w:ascii="Times New Roman" w:hAnsi="Times New Roman"/>
          <w:color w:val="000000"/>
          <w:sz w:val="24"/>
          <w:szCs w:val="24"/>
        </w:rPr>
        <w:t>R</w:t>
      </w:r>
      <w:r>
        <w:rPr>
          <w:rFonts w:ascii="Times New Roman" w:hAnsi="Times New Roman"/>
          <w:color w:val="000000"/>
          <w:sz w:val="24"/>
          <w:szCs w:val="24"/>
        </w:rPr>
        <w:t>.</w:t>
      </w:r>
      <w:r w:rsidRPr="00841FA1">
        <w:rPr>
          <w:rFonts w:ascii="Times New Roman" w:hAnsi="Times New Roman"/>
          <w:color w:val="000000"/>
          <w:sz w:val="24"/>
          <w:szCs w:val="24"/>
        </w:rPr>
        <w:t xml:space="preserve"> (2024)</w:t>
      </w:r>
      <w:r>
        <w:rPr>
          <w:rFonts w:ascii="Times New Roman" w:hAnsi="Times New Roman"/>
          <w:color w:val="000000"/>
          <w:sz w:val="24"/>
          <w:szCs w:val="24"/>
        </w:rPr>
        <w:t>.</w:t>
      </w:r>
      <w:r w:rsidRPr="00841FA1">
        <w:rPr>
          <w:rFonts w:ascii="Times New Roman" w:hAnsi="Times New Roman"/>
          <w:color w:val="000000"/>
          <w:sz w:val="24"/>
          <w:szCs w:val="24"/>
        </w:rPr>
        <w:t xml:space="preserve"> Assessing sources of groundwater quality and health risks using graphical, multivariate, and index techniques from a part of Rajasthan, India, Groundwater for Sustainable Development,27. </w:t>
      </w:r>
      <w:hyperlink r:id="rId31" w:history="1">
        <w:r w:rsidR="00761D08" w:rsidRPr="00292784">
          <w:rPr>
            <w:rStyle w:val="Hyperlink"/>
            <w:rFonts w:ascii="Times New Roman" w:hAnsi="Times New Roman"/>
            <w:sz w:val="24"/>
            <w:szCs w:val="24"/>
          </w:rPr>
          <w:t>https://doi.org/10.1016/j.gsd.2024.101356</w:t>
        </w:r>
      </w:hyperlink>
      <w:r w:rsidRPr="00841FA1">
        <w:rPr>
          <w:rFonts w:ascii="Times New Roman" w:hAnsi="Times New Roman"/>
          <w:color w:val="000000"/>
          <w:sz w:val="24"/>
          <w:szCs w:val="24"/>
        </w:rPr>
        <w:t>.</w:t>
      </w:r>
    </w:p>
    <w:p w14:paraId="25E071C8" w14:textId="77777777" w:rsidR="00761D08" w:rsidRPr="00DA06FB" w:rsidRDefault="00761D0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lastRenderedPageBreak/>
        <w:t xml:space="preserve">Subba Rao, N., Das, R. </w:t>
      </w:r>
      <w:r>
        <w:rPr>
          <w:rFonts w:ascii="Times New Roman" w:hAnsi="Times New Roman"/>
          <w:color w:val="000000"/>
          <w:sz w:val="24"/>
          <w:szCs w:val="24"/>
        </w:rPr>
        <w:t>and</w:t>
      </w:r>
      <w:r w:rsidRPr="00DA06FB">
        <w:rPr>
          <w:rFonts w:ascii="Times New Roman" w:hAnsi="Times New Roman"/>
          <w:color w:val="000000"/>
          <w:sz w:val="24"/>
          <w:szCs w:val="24"/>
        </w:rPr>
        <w:t xml:space="preserve"> Gugulothu, S. (2022). Understanding the factors contributing to groundwater salinity in the coastal region of Andhra Pradesh, India. Journal of Contaminant Hydrology, 250(104053), 104053. doi:10.1016/j.jconhyd.2022.104053.</w:t>
      </w:r>
    </w:p>
    <w:p w14:paraId="0F3039FC" w14:textId="77777777" w:rsidR="00761D08" w:rsidRDefault="00761D08" w:rsidP="00AB2AF7">
      <w:pPr>
        <w:pStyle w:val="NoSpacing"/>
        <w:numPr>
          <w:ilvl w:val="0"/>
          <w:numId w:val="3"/>
        </w:numPr>
        <w:jc w:val="both"/>
        <w:rPr>
          <w:rFonts w:ascii="Times New Roman" w:hAnsi="Times New Roman"/>
          <w:sz w:val="24"/>
          <w:szCs w:val="24"/>
        </w:rPr>
      </w:pPr>
      <w:r w:rsidRPr="006A42F4">
        <w:rPr>
          <w:rFonts w:ascii="Times New Roman" w:hAnsi="Times New Roman"/>
          <w:sz w:val="24"/>
          <w:szCs w:val="24"/>
        </w:rPr>
        <w:t>Mahanta</w:t>
      </w:r>
      <w:r>
        <w:rPr>
          <w:rFonts w:ascii="Times New Roman" w:hAnsi="Times New Roman"/>
          <w:sz w:val="24"/>
          <w:szCs w:val="24"/>
        </w:rPr>
        <w:t>,</w:t>
      </w:r>
      <w:r w:rsidRPr="006A42F4">
        <w:rPr>
          <w:rFonts w:ascii="Times New Roman" w:hAnsi="Times New Roman"/>
          <w:sz w:val="24"/>
          <w:szCs w:val="24"/>
        </w:rPr>
        <w:t xml:space="preserve"> N</w:t>
      </w:r>
      <w:r>
        <w:rPr>
          <w:rFonts w:ascii="Times New Roman" w:hAnsi="Times New Roman"/>
          <w:sz w:val="24"/>
          <w:szCs w:val="24"/>
        </w:rPr>
        <w:t>.</w:t>
      </w:r>
      <w:r w:rsidRPr="006A42F4">
        <w:rPr>
          <w:rFonts w:ascii="Times New Roman" w:hAnsi="Times New Roman"/>
          <w:sz w:val="24"/>
          <w:szCs w:val="24"/>
        </w:rPr>
        <w:t>, Mishra</w:t>
      </w:r>
      <w:r>
        <w:rPr>
          <w:rFonts w:ascii="Times New Roman" w:hAnsi="Times New Roman"/>
          <w:sz w:val="24"/>
          <w:szCs w:val="24"/>
        </w:rPr>
        <w:t>,</w:t>
      </w:r>
      <w:r w:rsidRPr="006A42F4">
        <w:rPr>
          <w:rFonts w:ascii="Times New Roman" w:hAnsi="Times New Roman"/>
          <w:sz w:val="24"/>
          <w:szCs w:val="24"/>
        </w:rPr>
        <w:t xml:space="preserve"> I</w:t>
      </w:r>
      <w:r>
        <w:rPr>
          <w:rFonts w:ascii="Times New Roman" w:hAnsi="Times New Roman"/>
          <w:sz w:val="24"/>
          <w:szCs w:val="24"/>
        </w:rPr>
        <w:t>.</w:t>
      </w:r>
      <w:r w:rsidRPr="006A42F4">
        <w:rPr>
          <w:rFonts w:ascii="Times New Roman" w:hAnsi="Times New Roman"/>
          <w:sz w:val="24"/>
          <w:szCs w:val="24"/>
        </w:rPr>
        <w:t>, Hatui</w:t>
      </w:r>
      <w:r>
        <w:rPr>
          <w:rFonts w:ascii="Times New Roman" w:hAnsi="Times New Roman"/>
          <w:sz w:val="24"/>
          <w:szCs w:val="24"/>
        </w:rPr>
        <w:t xml:space="preserve">, </w:t>
      </w:r>
      <w:r w:rsidRPr="006A42F4">
        <w:rPr>
          <w:rFonts w:ascii="Times New Roman" w:hAnsi="Times New Roman"/>
          <w:sz w:val="24"/>
          <w:szCs w:val="24"/>
        </w:rPr>
        <w:t>A</w:t>
      </w:r>
      <w:r>
        <w:rPr>
          <w:rFonts w:ascii="Times New Roman" w:hAnsi="Times New Roman"/>
          <w:sz w:val="24"/>
          <w:szCs w:val="24"/>
        </w:rPr>
        <w:t>.</w:t>
      </w:r>
      <w:r w:rsidRPr="006A42F4">
        <w:rPr>
          <w:rFonts w:ascii="Times New Roman" w:hAnsi="Times New Roman"/>
          <w:sz w:val="24"/>
          <w:szCs w:val="24"/>
        </w:rPr>
        <w:t>, Mahanta</w:t>
      </w:r>
      <w:r>
        <w:rPr>
          <w:rFonts w:ascii="Times New Roman" w:hAnsi="Times New Roman"/>
          <w:sz w:val="24"/>
          <w:szCs w:val="24"/>
        </w:rPr>
        <w:t>,</w:t>
      </w:r>
      <w:r w:rsidRPr="006A42F4">
        <w:rPr>
          <w:rFonts w:ascii="Times New Roman" w:hAnsi="Times New Roman"/>
          <w:sz w:val="24"/>
          <w:szCs w:val="24"/>
        </w:rPr>
        <w:t xml:space="preserve"> P</w:t>
      </w:r>
      <w:r>
        <w:rPr>
          <w:rFonts w:ascii="Times New Roman" w:hAnsi="Times New Roman"/>
          <w:sz w:val="24"/>
          <w:szCs w:val="24"/>
        </w:rPr>
        <w:t>.</w:t>
      </w:r>
      <w:r w:rsidRPr="006A42F4">
        <w:rPr>
          <w:rFonts w:ascii="Times New Roman" w:hAnsi="Times New Roman"/>
          <w:sz w:val="24"/>
          <w:szCs w:val="24"/>
        </w:rPr>
        <w:t>S</w:t>
      </w:r>
      <w:r>
        <w:rPr>
          <w:rFonts w:ascii="Times New Roman" w:hAnsi="Times New Roman"/>
          <w:sz w:val="24"/>
          <w:szCs w:val="24"/>
        </w:rPr>
        <w:t>.</w:t>
      </w:r>
      <w:r w:rsidRPr="006A42F4">
        <w:rPr>
          <w:rFonts w:ascii="Times New Roman" w:hAnsi="Times New Roman"/>
          <w:sz w:val="24"/>
          <w:szCs w:val="24"/>
        </w:rPr>
        <w:t>, Sahoo</w:t>
      </w:r>
      <w:r>
        <w:rPr>
          <w:rFonts w:ascii="Times New Roman" w:hAnsi="Times New Roman"/>
          <w:sz w:val="24"/>
          <w:szCs w:val="24"/>
        </w:rPr>
        <w:t>,</w:t>
      </w:r>
      <w:r w:rsidRPr="006A42F4">
        <w:rPr>
          <w:rFonts w:ascii="Times New Roman" w:hAnsi="Times New Roman"/>
          <w:sz w:val="24"/>
          <w:szCs w:val="24"/>
        </w:rPr>
        <w:t xml:space="preserve"> H</w:t>
      </w:r>
      <w:r>
        <w:rPr>
          <w:rFonts w:ascii="Times New Roman" w:hAnsi="Times New Roman"/>
          <w:sz w:val="24"/>
          <w:szCs w:val="24"/>
        </w:rPr>
        <w:t>.</w:t>
      </w:r>
      <w:r w:rsidRPr="006A42F4">
        <w:rPr>
          <w:rFonts w:ascii="Times New Roman" w:hAnsi="Times New Roman"/>
          <w:sz w:val="24"/>
          <w:szCs w:val="24"/>
        </w:rPr>
        <w:t>K</w:t>
      </w:r>
      <w:r>
        <w:rPr>
          <w:rFonts w:ascii="Times New Roman" w:hAnsi="Times New Roman"/>
          <w:sz w:val="24"/>
          <w:szCs w:val="24"/>
        </w:rPr>
        <w:t>.</w:t>
      </w:r>
      <w:r w:rsidRPr="006A42F4">
        <w:rPr>
          <w:rFonts w:ascii="Times New Roman" w:hAnsi="Times New Roman"/>
          <w:sz w:val="24"/>
          <w:szCs w:val="24"/>
        </w:rPr>
        <w:t>, Goswami</w:t>
      </w:r>
      <w:r>
        <w:rPr>
          <w:rFonts w:ascii="Times New Roman" w:hAnsi="Times New Roman"/>
          <w:sz w:val="24"/>
          <w:szCs w:val="24"/>
        </w:rPr>
        <w:t>,</w:t>
      </w:r>
      <w:r w:rsidRPr="006A42F4">
        <w:rPr>
          <w:rFonts w:ascii="Times New Roman" w:hAnsi="Times New Roman"/>
          <w:sz w:val="24"/>
          <w:szCs w:val="24"/>
        </w:rPr>
        <w:t xml:space="preserve"> S</w:t>
      </w:r>
      <w:r>
        <w:rPr>
          <w:rFonts w:ascii="Times New Roman" w:hAnsi="Times New Roman"/>
          <w:sz w:val="24"/>
          <w:szCs w:val="24"/>
        </w:rPr>
        <w:t>.</w:t>
      </w:r>
      <w:r w:rsidRPr="006A42F4">
        <w:rPr>
          <w:rFonts w:ascii="Times New Roman" w:hAnsi="Times New Roman"/>
          <w:sz w:val="24"/>
          <w:szCs w:val="24"/>
        </w:rPr>
        <w:t xml:space="preserve"> (2020)</w:t>
      </w:r>
      <w:r>
        <w:rPr>
          <w:rFonts w:ascii="Times New Roman" w:hAnsi="Times New Roman"/>
          <w:sz w:val="24"/>
          <w:szCs w:val="24"/>
        </w:rPr>
        <w:t>.</w:t>
      </w:r>
      <w:r w:rsidRPr="006A42F4">
        <w:rPr>
          <w:rFonts w:ascii="Times New Roman" w:hAnsi="Times New Roman"/>
          <w:sz w:val="24"/>
          <w:szCs w:val="24"/>
        </w:rPr>
        <w:t xml:space="preserve"> Geochemical appraisal of groundwater qualities and its uses in and around Maneswar Block of Sambalpur District, Odisha, India. Environmental Earth Science, 79,1–13. https://doi.org/10.1007/ s12665-019-8719-9.</w:t>
      </w:r>
      <w:r>
        <w:rPr>
          <w:rFonts w:ascii="Times New Roman" w:hAnsi="Times New Roman"/>
          <w:sz w:val="24"/>
          <w:szCs w:val="24"/>
        </w:rPr>
        <w:t xml:space="preserve"> </w:t>
      </w:r>
    </w:p>
    <w:p w14:paraId="06D6A12D" w14:textId="77777777" w:rsidR="00761D08" w:rsidRPr="00DA06FB" w:rsidRDefault="00761D0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Krishan, G., Kumar, M., Rao, M.S., Garg, R., Yadav, B.K., Kansal, M.L., Sharma, L.M. (2023). Integrated approach for the investigation of groundwater quality through hydrochemistry and water quality index (WQI). Urban Climate, 47(101383), 101383. doi:10.1016/j.uclim.2022.101383</w:t>
      </w:r>
      <w:r>
        <w:rPr>
          <w:rFonts w:ascii="Times New Roman" w:hAnsi="Times New Roman"/>
          <w:color w:val="000000"/>
          <w:sz w:val="24"/>
          <w:szCs w:val="24"/>
        </w:rPr>
        <w:t>.</w:t>
      </w:r>
    </w:p>
    <w:p w14:paraId="46B182D5" w14:textId="77777777" w:rsidR="00761D08" w:rsidRPr="00DA06FB" w:rsidRDefault="00761D0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Liu, N., Chen, M., Gao, D., Wu, Y. </w:t>
      </w:r>
      <w:r>
        <w:rPr>
          <w:rFonts w:ascii="Times New Roman" w:hAnsi="Times New Roman"/>
          <w:color w:val="000000"/>
          <w:sz w:val="24"/>
          <w:szCs w:val="24"/>
        </w:rPr>
        <w:t>and</w:t>
      </w:r>
      <w:r w:rsidRPr="00DA06FB">
        <w:rPr>
          <w:rFonts w:ascii="Times New Roman" w:hAnsi="Times New Roman"/>
          <w:color w:val="000000"/>
          <w:sz w:val="24"/>
          <w:szCs w:val="24"/>
        </w:rPr>
        <w:t xml:space="preserve"> Wang, X. (2025). Identification of hydrogeochemical processes in shallow groundwater using multivariate statistical analysis and inverse geochemical modelling. Environmental Monitoring and Assessment, 197(2). doi:10.1007/s10661-024-13528-8</w:t>
      </w:r>
      <w:r>
        <w:rPr>
          <w:rFonts w:ascii="Times New Roman" w:hAnsi="Times New Roman"/>
          <w:color w:val="000000"/>
          <w:sz w:val="24"/>
          <w:szCs w:val="24"/>
        </w:rPr>
        <w:t>.</w:t>
      </w:r>
    </w:p>
    <w:p w14:paraId="2C741311" w14:textId="77777777" w:rsidR="00761D08" w:rsidRPr="00DA06FB" w:rsidRDefault="00761D0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Bakshe, P., Chandran, M., Viju, B.J., Narikkatan, A.K. </w:t>
      </w:r>
      <w:r>
        <w:rPr>
          <w:rFonts w:ascii="Times New Roman" w:hAnsi="Times New Roman"/>
          <w:color w:val="000000"/>
          <w:sz w:val="24"/>
          <w:szCs w:val="24"/>
        </w:rPr>
        <w:t>and</w:t>
      </w:r>
      <w:r w:rsidRPr="00DA06FB">
        <w:rPr>
          <w:rFonts w:ascii="Times New Roman" w:hAnsi="Times New Roman"/>
          <w:color w:val="000000"/>
          <w:sz w:val="24"/>
          <w:szCs w:val="24"/>
        </w:rPr>
        <w:t xml:space="preserve"> Jugade, R.M. (2024). Hydrogeochemical factors influencing the dynamics of groundwater characteristics in eco-sensitive areas of the Southern Western Ghats, India. Scientific Reports, 14(1). doi:10.1038/s41598-024-67988-6</w:t>
      </w:r>
      <w:r>
        <w:rPr>
          <w:rFonts w:ascii="Times New Roman" w:hAnsi="Times New Roman"/>
          <w:color w:val="000000"/>
          <w:sz w:val="24"/>
          <w:szCs w:val="24"/>
        </w:rPr>
        <w:t>.</w:t>
      </w:r>
    </w:p>
    <w:p w14:paraId="499B8EC3" w14:textId="77777777" w:rsidR="00EE79C4" w:rsidRDefault="00EE79C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Xin, P., Wilson, A., Shen, C., Ge, Z., Moffett, K.B., Santos, I.R. </w:t>
      </w:r>
      <w:r>
        <w:rPr>
          <w:rFonts w:ascii="Times New Roman" w:hAnsi="Times New Roman"/>
          <w:color w:val="000000"/>
          <w:sz w:val="24"/>
          <w:szCs w:val="24"/>
        </w:rPr>
        <w:t xml:space="preserve">and </w:t>
      </w:r>
      <w:r w:rsidRPr="00DA06FB">
        <w:rPr>
          <w:rFonts w:ascii="Times New Roman" w:hAnsi="Times New Roman"/>
          <w:color w:val="000000"/>
          <w:sz w:val="24"/>
          <w:szCs w:val="24"/>
        </w:rPr>
        <w:t>Barry, D.A. (2022). Surface water and groundwater interactions in salt marshes and their impact on plant ecology and coastal biogeochemistry. Reviews of Geophysics (Washington, D.C.: 1985), 60(1). doi:10.1029/2021rg000740</w:t>
      </w:r>
      <w:r>
        <w:rPr>
          <w:rFonts w:ascii="Times New Roman" w:hAnsi="Times New Roman"/>
          <w:color w:val="000000"/>
          <w:sz w:val="24"/>
          <w:szCs w:val="24"/>
        </w:rPr>
        <w:t>.</w:t>
      </w:r>
    </w:p>
    <w:p w14:paraId="26582933" w14:textId="77777777" w:rsidR="00EE79C4" w:rsidRPr="00DA06FB" w:rsidRDefault="00EE79C4" w:rsidP="00AB2AF7">
      <w:pPr>
        <w:pStyle w:val="NoSpacing"/>
        <w:numPr>
          <w:ilvl w:val="0"/>
          <w:numId w:val="3"/>
        </w:numPr>
        <w:jc w:val="both"/>
        <w:rPr>
          <w:rFonts w:ascii="Times New Roman" w:hAnsi="Times New Roman"/>
          <w:color w:val="000000"/>
          <w:sz w:val="24"/>
          <w:szCs w:val="24"/>
        </w:rPr>
      </w:pPr>
      <w:r w:rsidRPr="00646388">
        <w:rPr>
          <w:rFonts w:ascii="Times New Roman" w:hAnsi="Times New Roman"/>
          <w:sz w:val="24"/>
          <w:szCs w:val="24"/>
        </w:rPr>
        <w:t>Subba</w:t>
      </w:r>
      <w:r>
        <w:rPr>
          <w:rFonts w:ascii="Times New Roman" w:hAnsi="Times New Roman"/>
          <w:sz w:val="24"/>
          <w:szCs w:val="24"/>
        </w:rPr>
        <w:t xml:space="preserve"> R</w:t>
      </w:r>
      <w:r w:rsidRPr="00646388">
        <w:rPr>
          <w:rFonts w:ascii="Times New Roman" w:hAnsi="Times New Roman"/>
          <w:sz w:val="24"/>
          <w:szCs w:val="24"/>
        </w:rPr>
        <w:t>ao</w:t>
      </w:r>
      <w:r>
        <w:rPr>
          <w:rFonts w:ascii="Times New Roman" w:hAnsi="Times New Roman"/>
          <w:sz w:val="24"/>
          <w:szCs w:val="24"/>
        </w:rPr>
        <w:t>,</w:t>
      </w:r>
      <w:r w:rsidRPr="00646388">
        <w:rPr>
          <w:rFonts w:ascii="Times New Roman" w:hAnsi="Times New Roman"/>
          <w:sz w:val="24"/>
          <w:szCs w:val="24"/>
        </w:rPr>
        <w:t xml:space="preserve"> N</w:t>
      </w:r>
      <w:r>
        <w:rPr>
          <w:rFonts w:ascii="Times New Roman" w:hAnsi="Times New Roman"/>
          <w:sz w:val="24"/>
          <w:szCs w:val="24"/>
        </w:rPr>
        <w:t>. and</w:t>
      </w:r>
      <w:r w:rsidRPr="00646388">
        <w:rPr>
          <w:rFonts w:ascii="Times New Roman" w:hAnsi="Times New Roman"/>
          <w:sz w:val="24"/>
          <w:szCs w:val="24"/>
        </w:rPr>
        <w:t xml:space="preserve"> Chaudhary</w:t>
      </w:r>
      <w:r>
        <w:rPr>
          <w:rFonts w:ascii="Times New Roman" w:hAnsi="Times New Roman"/>
          <w:sz w:val="24"/>
          <w:szCs w:val="24"/>
        </w:rPr>
        <w:t>,</w:t>
      </w:r>
      <w:r w:rsidRPr="00646388">
        <w:rPr>
          <w:rFonts w:ascii="Times New Roman" w:hAnsi="Times New Roman"/>
          <w:sz w:val="24"/>
          <w:szCs w:val="24"/>
        </w:rPr>
        <w:t xml:space="preserve"> M</w:t>
      </w:r>
      <w:r>
        <w:rPr>
          <w:rFonts w:ascii="Times New Roman" w:hAnsi="Times New Roman"/>
          <w:sz w:val="24"/>
          <w:szCs w:val="24"/>
        </w:rPr>
        <w:t>.</w:t>
      </w:r>
      <w:r w:rsidRPr="00646388">
        <w:rPr>
          <w:rFonts w:ascii="Times New Roman" w:hAnsi="Times New Roman"/>
          <w:sz w:val="24"/>
          <w:szCs w:val="24"/>
        </w:rPr>
        <w:t xml:space="preserve"> (2019) Hydrogeochemical processes regulating the spatial distribution of groundwater contamination, using pollution index of groundwater (PIG) and hierarchical cluster analysis (HCA): a case study. </w:t>
      </w:r>
      <w:r w:rsidRPr="00646388">
        <w:rPr>
          <w:rFonts w:ascii="Times New Roman" w:hAnsi="Times New Roman"/>
          <w:i/>
          <w:iCs/>
          <w:sz w:val="24"/>
          <w:szCs w:val="24"/>
        </w:rPr>
        <w:t>Groundwater Sustainable Development</w:t>
      </w:r>
      <w:r w:rsidRPr="00646388">
        <w:rPr>
          <w:rFonts w:ascii="Times New Roman" w:hAnsi="Times New Roman"/>
          <w:sz w:val="24"/>
          <w:szCs w:val="24"/>
        </w:rPr>
        <w:t>, 9,100238. https:// doi.org/10.1016/j.gsd.2019.100238.</w:t>
      </w:r>
    </w:p>
    <w:p w14:paraId="04D979FE" w14:textId="41911B1D" w:rsidR="00761D08" w:rsidRDefault="00EE79C4" w:rsidP="00AB2AF7">
      <w:pPr>
        <w:pStyle w:val="NoSpacing"/>
        <w:numPr>
          <w:ilvl w:val="0"/>
          <w:numId w:val="3"/>
        </w:numPr>
        <w:jc w:val="both"/>
        <w:rPr>
          <w:rFonts w:ascii="Times New Roman" w:hAnsi="Times New Roman"/>
          <w:color w:val="000000"/>
          <w:sz w:val="24"/>
          <w:szCs w:val="24"/>
        </w:rPr>
      </w:pPr>
      <w:r w:rsidRPr="00EE79C4">
        <w:rPr>
          <w:rFonts w:ascii="Times New Roman" w:hAnsi="Times New Roman"/>
          <w:color w:val="000000"/>
          <w:sz w:val="24"/>
          <w:szCs w:val="24"/>
        </w:rPr>
        <w:t>Abd, A.S. and Abushaikha, A.S. (2021). Reactive transport in porous media: a review of recent mathematical efforts in modeling geochemical reactions in petroleum subsurface reservoirs. SN Applied Sciences, 3(4). doi:10.1007/s42452-021-04396-9.</w:t>
      </w:r>
    </w:p>
    <w:p w14:paraId="176B7A1C" w14:textId="77777777" w:rsidR="00EE79C4" w:rsidRDefault="00EE79C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Sinha, H., Rai, S.C. </w:t>
      </w:r>
      <w:r>
        <w:rPr>
          <w:rFonts w:ascii="Times New Roman" w:hAnsi="Times New Roman"/>
          <w:color w:val="000000"/>
          <w:sz w:val="24"/>
          <w:szCs w:val="24"/>
        </w:rPr>
        <w:t>and</w:t>
      </w:r>
      <w:r w:rsidRPr="00DA06FB">
        <w:rPr>
          <w:rFonts w:ascii="Times New Roman" w:hAnsi="Times New Roman"/>
          <w:color w:val="000000"/>
          <w:sz w:val="24"/>
          <w:szCs w:val="24"/>
        </w:rPr>
        <w:t xml:space="preserve"> Kumar, S. (2023). Post-monsoon groundwater hydrogeochemical characterization and quality assessment using geospatial and multivariate analysis in Chhotanagpur Plateau, India. Environment Development and Sustainability, 26(8), 20127–20157. doi:10.1007/s10668-023-03459-8</w:t>
      </w:r>
      <w:r>
        <w:rPr>
          <w:rFonts w:ascii="Times New Roman" w:hAnsi="Times New Roman"/>
          <w:color w:val="000000"/>
          <w:sz w:val="24"/>
          <w:szCs w:val="24"/>
        </w:rPr>
        <w:t>.</w:t>
      </w:r>
    </w:p>
    <w:p w14:paraId="5D435759" w14:textId="77777777" w:rsidR="00547F9E" w:rsidRPr="00547F9E" w:rsidRDefault="00547F9E" w:rsidP="00AB2AF7">
      <w:pPr>
        <w:pStyle w:val="ListParagraph"/>
        <w:numPr>
          <w:ilvl w:val="0"/>
          <w:numId w:val="3"/>
        </w:numPr>
        <w:spacing w:line="240" w:lineRule="auto"/>
        <w:jc w:val="both"/>
        <w:rPr>
          <w:rFonts w:ascii="Times New Roman" w:hAnsi="Times New Roman"/>
          <w:sz w:val="24"/>
          <w:szCs w:val="24"/>
        </w:rPr>
      </w:pPr>
      <w:r w:rsidRPr="00547F9E">
        <w:rPr>
          <w:rFonts w:ascii="Times New Roman" w:hAnsi="Times New Roman"/>
          <w:sz w:val="24"/>
          <w:szCs w:val="24"/>
        </w:rPr>
        <w:t>CGWB (2022). Dynamic Ground Water Resources of Odisha ,2022.</w:t>
      </w:r>
    </w:p>
    <w:p w14:paraId="3E3096B8" w14:textId="6D4E0B8E" w:rsidR="00EE79C4" w:rsidRDefault="00547F9E" w:rsidP="00AB2AF7">
      <w:pPr>
        <w:pStyle w:val="NoSpacing"/>
        <w:numPr>
          <w:ilvl w:val="0"/>
          <w:numId w:val="3"/>
        </w:numPr>
        <w:jc w:val="both"/>
        <w:rPr>
          <w:rFonts w:ascii="Times New Roman" w:hAnsi="Times New Roman"/>
          <w:color w:val="000000"/>
          <w:sz w:val="24"/>
          <w:szCs w:val="24"/>
        </w:rPr>
      </w:pPr>
      <w:r w:rsidRPr="00547F9E">
        <w:rPr>
          <w:rFonts w:ascii="Times New Roman" w:hAnsi="Times New Roman"/>
          <w:sz w:val="24"/>
          <w:szCs w:val="24"/>
        </w:rPr>
        <w:t>CGWB (202</w:t>
      </w:r>
      <w:r>
        <w:rPr>
          <w:rFonts w:ascii="Times New Roman" w:hAnsi="Times New Roman"/>
          <w:sz w:val="24"/>
          <w:szCs w:val="24"/>
        </w:rPr>
        <w:t>0</w:t>
      </w:r>
      <w:r w:rsidRPr="00547F9E">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H</w:t>
      </w:r>
      <w:r w:rsidRPr="00547F9E">
        <w:rPr>
          <w:rFonts w:ascii="Times New Roman" w:hAnsi="Times New Roman"/>
          <w:color w:val="000000"/>
          <w:sz w:val="24"/>
          <w:szCs w:val="24"/>
        </w:rPr>
        <w:t>ydrogeological framework, ground water development prospects &amp;</w:t>
      </w:r>
      <w:r>
        <w:rPr>
          <w:rFonts w:ascii="Times New Roman" w:hAnsi="Times New Roman"/>
          <w:color w:val="000000"/>
          <w:sz w:val="24"/>
          <w:szCs w:val="24"/>
        </w:rPr>
        <w:t xml:space="preserve"> </w:t>
      </w:r>
      <w:r w:rsidRPr="00547F9E">
        <w:rPr>
          <w:rFonts w:ascii="Times New Roman" w:hAnsi="Times New Roman"/>
          <w:color w:val="000000"/>
          <w:sz w:val="24"/>
          <w:szCs w:val="24"/>
        </w:rPr>
        <w:t>aquifer management plan in angul district, Odisha (revised)</w:t>
      </w:r>
      <w:r>
        <w:rPr>
          <w:rFonts w:ascii="Times New Roman" w:hAnsi="Times New Roman"/>
          <w:color w:val="000000"/>
          <w:sz w:val="24"/>
          <w:szCs w:val="24"/>
        </w:rPr>
        <w:t>.</w:t>
      </w:r>
    </w:p>
    <w:p w14:paraId="6D20DF5D" w14:textId="77777777" w:rsidR="00547F9E" w:rsidRDefault="00547F9E" w:rsidP="00AB2AF7">
      <w:pPr>
        <w:pStyle w:val="NoSpacing"/>
        <w:numPr>
          <w:ilvl w:val="0"/>
          <w:numId w:val="3"/>
        </w:numPr>
        <w:jc w:val="both"/>
        <w:rPr>
          <w:rFonts w:ascii="Times New Roman" w:hAnsi="Times New Roman"/>
          <w:color w:val="000000"/>
          <w:sz w:val="24"/>
          <w:szCs w:val="24"/>
        </w:rPr>
      </w:pPr>
      <w:r>
        <w:rPr>
          <w:rFonts w:ascii="Times New Roman" w:hAnsi="Times New Roman"/>
          <w:color w:val="000000"/>
          <w:sz w:val="24"/>
          <w:szCs w:val="24"/>
        </w:rPr>
        <w:t>APHA. (2012). Standard methods for the examination of water and wastewater.American Public Health Association, Washington DC.</w:t>
      </w:r>
    </w:p>
    <w:p w14:paraId="6E2CB400" w14:textId="77777777" w:rsidR="00547F9E" w:rsidRDefault="00547F9E"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Subba Rao, N., Das, R., Sahoo, H.K. </w:t>
      </w:r>
      <w:r>
        <w:rPr>
          <w:rFonts w:ascii="Times New Roman" w:hAnsi="Times New Roman"/>
          <w:color w:val="000000"/>
          <w:sz w:val="24"/>
          <w:szCs w:val="24"/>
        </w:rPr>
        <w:t>and</w:t>
      </w:r>
      <w:r w:rsidRPr="00DA06FB">
        <w:rPr>
          <w:rFonts w:ascii="Times New Roman" w:hAnsi="Times New Roman"/>
          <w:color w:val="000000"/>
          <w:sz w:val="24"/>
          <w:szCs w:val="24"/>
        </w:rPr>
        <w:t xml:space="preserve"> Gugulothu, S. (2024). Hydrochemical characterization and water quality perspectives for groundwater management for urban development. Groundwater for Sustainable Development, 24(101071), 101071. doi:10.1016/j.gsd.2023.101071</w:t>
      </w:r>
      <w:r>
        <w:rPr>
          <w:rFonts w:ascii="Times New Roman" w:hAnsi="Times New Roman"/>
          <w:color w:val="000000"/>
          <w:sz w:val="24"/>
          <w:szCs w:val="24"/>
        </w:rPr>
        <w:t>.</w:t>
      </w:r>
    </w:p>
    <w:p w14:paraId="265E6398" w14:textId="77777777" w:rsidR="00547F9E" w:rsidRPr="00DA06FB" w:rsidRDefault="00547F9E"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Nayak, P., Mohanty, A.K., Samal, P., Khaoash, S. </w:t>
      </w:r>
      <w:r>
        <w:rPr>
          <w:rFonts w:ascii="Times New Roman" w:hAnsi="Times New Roman"/>
          <w:color w:val="000000"/>
          <w:sz w:val="24"/>
          <w:szCs w:val="24"/>
        </w:rPr>
        <w:t>and</w:t>
      </w:r>
      <w:r w:rsidRPr="00DA06FB">
        <w:rPr>
          <w:rFonts w:ascii="Times New Roman" w:hAnsi="Times New Roman"/>
          <w:color w:val="000000"/>
          <w:sz w:val="24"/>
          <w:szCs w:val="24"/>
        </w:rPr>
        <w:t xml:space="preserve"> Mishra, P. (2023). Groundwater quality, hydrogeochemical characteristics, and potential health risk assessment in the Bhubaneswar city of eastern India. Water, Air, and Soil Pollution, 234(9). doi:10.1007/s11270-023-06614-z</w:t>
      </w:r>
      <w:r>
        <w:rPr>
          <w:rFonts w:ascii="Times New Roman" w:hAnsi="Times New Roman"/>
          <w:color w:val="000000"/>
          <w:sz w:val="24"/>
          <w:szCs w:val="24"/>
        </w:rPr>
        <w:t>.</w:t>
      </w:r>
    </w:p>
    <w:p w14:paraId="4783920D" w14:textId="77777777" w:rsidR="001E3A56" w:rsidRPr="001E3A56" w:rsidRDefault="001E3A56" w:rsidP="00AB2AF7">
      <w:pPr>
        <w:pStyle w:val="ListParagraph"/>
        <w:numPr>
          <w:ilvl w:val="0"/>
          <w:numId w:val="3"/>
        </w:numPr>
        <w:spacing w:line="240" w:lineRule="auto"/>
        <w:jc w:val="both"/>
        <w:rPr>
          <w:rFonts w:ascii="Times New Roman" w:hAnsi="Times New Roman"/>
          <w:bCs/>
          <w:sz w:val="24"/>
          <w:szCs w:val="24"/>
        </w:rPr>
      </w:pPr>
      <w:r w:rsidRPr="001E3A56">
        <w:rPr>
          <w:rFonts w:ascii="Times New Roman" w:hAnsi="Times New Roman"/>
          <w:bCs/>
          <w:sz w:val="24"/>
          <w:szCs w:val="24"/>
        </w:rPr>
        <w:t>Gibbs, R.J. (1970). Mechanisms controlling worlds water chemistry. Science, 170,1088–1090</w:t>
      </w:r>
    </w:p>
    <w:p w14:paraId="19E3B7AC" w14:textId="77777777" w:rsidR="001E3A56" w:rsidRPr="00DA06FB" w:rsidRDefault="001E3A56"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Piper, A.M. (1944). A graphic procedure in the geochemical interpretation of water analyses. American Geophysical Union Transactions, 25, 914–923.</w:t>
      </w:r>
    </w:p>
    <w:p w14:paraId="322429FE" w14:textId="5F17B05E" w:rsidR="00547F9E" w:rsidRDefault="001E3A56" w:rsidP="00AB2AF7">
      <w:pPr>
        <w:pStyle w:val="NoSpacing"/>
        <w:numPr>
          <w:ilvl w:val="0"/>
          <w:numId w:val="3"/>
        </w:numPr>
        <w:jc w:val="both"/>
        <w:rPr>
          <w:rFonts w:ascii="Times New Roman" w:hAnsi="Times New Roman"/>
          <w:color w:val="000000"/>
          <w:sz w:val="24"/>
          <w:szCs w:val="24"/>
        </w:rPr>
      </w:pPr>
      <w:r w:rsidRPr="00CB23EC">
        <w:rPr>
          <w:rFonts w:ascii="Times New Roman" w:hAnsi="Times New Roman"/>
          <w:color w:val="000000"/>
          <w:sz w:val="24"/>
          <w:szCs w:val="24"/>
        </w:rPr>
        <w:t>Khan</w:t>
      </w:r>
      <w:r>
        <w:rPr>
          <w:rFonts w:ascii="Times New Roman" w:hAnsi="Times New Roman"/>
          <w:color w:val="000000"/>
          <w:sz w:val="24"/>
          <w:szCs w:val="24"/>
        </w:rPr>
        <w:t>,</w:t>
      </w:r>
      <w:r w:rsidRPr="00CB23EC">
        <w:rPr>
          <w:rFonts w:ascii="Times New Roman" w:hAnsi="Times New Roman"/>
          <w:color w:val="000000"/>
          <w:sz w:val="24"/>
          <w:szCs w:val="24"/>
        </w:rPr>
        <w:t xml:space="preserve"> A</w:t>
      </w:r>
      <w:r>
        <w:rPr>
          <w:rFonts w:ascii="Times New Roman" w:hAnsi="Times New Roman"/>
          <w:color w:val="000000"/>
          <w:sz w:val="24"/>
          <w:szCs w:val="24"/>
        </w:rPr>
        <w:t>.</w:t>
      </w:r>
      <w:r w:rsidRPr="00CB23EC">
        <w:rPr>
          <w:rFonts w:ascii="Times New Roman" w:hAnsi="Times New Roman"/>
          <w:color w:val="000000"/>
          <w:sz w:val="24"/>
          <w:szCs w:val="24"/>
        </w:rPr>
        <w:t>F</w:t>
      </w:r>
      <w:r>
        <w:rPr>
          <w:rFonts w:ascii="Times New Roman" w:hAnsi="Times New Roman"/>
          <w:color w:val="000000"/>
          <w:sz w:val="24"/>
          <w:szCs w:val="24"/>
        </w:rPr>
        <w:t>.</w:t>
      </w:r>
      <w:r w:rsidRPr="00CB23EC">
        <w:rPr>
          <w:rFonts w:ascii="Times New Roman" w:hAnsi="Times New Roman"/>
          <w:color w:val="000000"/>
          <w:sz w:val="24"/>
          <w:szCs w:val="24"/>
        </w:rPr>
        <w:t>, Srinivasamoorthy</w:t>
      </w:r>
      <w:r>
        <w:rPr>
          <w:rFonts w:ascii="Times New Roman" w:hAnsi="Times New Roman"/>
          <w:color w:val="000000"/>
          <w:sz w:val="24"/>
          <w:szCs w:val="24"/>
        </w:rPr>
        <w:t>,</w:t>
      </w:r>
      <w:r w:rsidRPr="00CB23EC">
        <w:rPr>
          <w:rFonts w:ascii="Times New Roman" w:hAnsi="Times New Roman"/>
          <w:color w:val="000000"/>
          <w:sz w:val="24"/>
          <w:szCs w:val="24"/>
        </w:rPr>
        <w:t xml:space="preserve"> K., Rabina</w:t>
      </w:r>
      <w:r>
        <w:rPr>
          <w:rFonts w:ascii="Times New Roman" w:hAnsi="Times New Roman"/>
          <w:color w:val="000000"/>
          <w:sz w:val="24"/>
          <w:szCs w:val="24"/>
        </w:rPr>
        <w:t>,</w:t>
      </w:r>
      <w:r w:rsidRPr="00CB23EC">
        <w:rPr>
          <w:rFonts w:ascii="Times New Roman" w:hAnsi="Times New Roman"/>
          <w:color w:val="000000"/>
          <w:sz w:val="24"/>
          <w:szCs w:val="24"/>
        </w:rPr>
        <w:t xml:space="preserve"> C</w:t>
      </w:r>
      <w:r>
        <w:rPr>
          <w:rFonts w:ascii="Times New Roman" w:hAnsi="Times New Roman"/>
          <w:color w:val="000000"/>
          <w:sz w:val="24"/>
          <w:szCs w:val="24"/>
        </w:rPr>
        <w:t>.</w:t>
      </w:r>
      <w:r w:rsidRPr="00CB23EC">
        <w:rPr>
          <w:rFonts w:ascii="Times New Roman" w:hAnsi="Times New Roman"/>
          <w:color w:val="000000"/>
          <w:sz w:val="24"/>
          <w:szCs w:val="24"/>
        </w:rPr>
        <w:t xml:space="preserve"> (2020)</w:t>
      </w:r>
      <w:r>
        <w:rPr>
          <w:rFonts w:ascii="Times New Roman" w:hAnsi="Times New Roman"/>
          <w:color w:val="000000"/>
          <w:sz w:val="24"/>
          <w:szCs w:val="24"/>
        </w:rPr>
        <w:t>.</w:t>
      </w:r>
      <w:r w:rsidRPr="00CB23EC">
        <w:rPr>
          <w:rFonts w:ascii="Times New Roman" w:hAnsi="Times New Roman"/>
          <w:color w:val="000000"/>
          <w:sz w:val="24"/>
          <w:szCs w:val="24"/>
        </w:rPr>
        <w:t xml:space="preserve"> Hydrochemical characteristics and quality assessment of groundwater along the coastal tracts of Tamil Nadu and Puducherry, India. Applied Water Science, 10, 2. https://doi.org/10.1007/s13201-020- 1158-7</w:t>
      </w:r>
      <w:r>
        <w:rPr>
          <w:rFonts w:ascii="Times New Roman" w:hAnsi="Times New Roman"/>
          <w:color w:val="000000"/>
          <w:sz w:val="24"/>
          <w:szCs w:val="24"/>
        </w:rPr>
        <w:t>.</w:t>
      </w:r>
    </w:p>
    <w:p w14:paraId="30736754" w14:textId="77777777" w:rsidR="001E3A56" w:rsidRPr="00DA06FB" w:rsidRDefault="001E3A56"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Kumar, P. </w:t>
      </w:r>
      <w:r>
        <w:rPr>
          <w:rFonts w:ascii="Times New Roman" w:hAnsi="Times New Roman"/>
          <w:color w:val="000000"/>
          <w:sz w:val="24"/>
          <w:szCs w:val="24"/>
        </w:rPr>
        <w:t>and</w:t>
      </w:r>
      <w:r w:rsidRPr="00DA06FB">
        <w:rPr>
          <w:rFonts w:ascii="Times New Roman" w:hAnsi="Times New Roman"/>
          <w:color w:val="000000"/>
          <w:sz w:val="24"/>
          <w:szCs w:val="24"/>
        </w:rPr>
        <w:t xml:space="preserve"> Singh, A.K. (2022). Hydrogeochemistry and quality assessment of surface and sub-surface water resources in Raniganj coalfield area, Damodar Valley, India. International Journal of Environmental Analytical Chemistry, 102(19), 8346–8369. doi:10.1080/03067319.2020.1849653</w:t>
      </w:r>
      <w:r>
        <w:rPr>
          <w:rFonts w:ascii="Times New Roman" w:hAnsi="Times New Roman"/>
          <w:color w:val="000000"/>
          <w:sz w:val="24"/>
          <w:szCs w:val="24"/>
        </w:rPr>
        <w:t>.</w:t>
      </w:r>
    </w:p>
    <w:p w14:paraId="4F125594" w14:textId="77777777" w:rsidR="001E3A56" w:rsidRPr="00DA06FB" w:rsidRDefault="001E3A56"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Sheikhy Narany, T., Ramli, M.F., Aris, A.Z., Sulaiman, W.N.A., Juahir, H. </w:t>
      </w:r>
      <w:r>
        <w:rPr>
          <w:rFonts w:ascii="Times New Roman" w:hAnsi="Times New Roman"/>
          <w:color w:val="000000"/>
          <w:sz w:val="24"/>
          <w:szCs w:val="24"/>
        </w:rPr>
        <w:t>and</w:t>
      </w:r>
      <w:r w:rsidRPr="00DA06FB">
        <w:rPr>
          <w:rFonts w:ascii="Times New Roman" w:hAnsi="Times New Roman"/>
          <w:color w:val="000000"/>
          <w:sz w:val="24"/>
          <w:szCs w:val="24"/>
        </w:rPr>
        <w:t xml:space="preserve"> Fakharian, K. (2014). Identification of the hydrogeochemical processes in groundwater using classic integrated geochemical </w:t>
      </w:r>
      <w:r w:rsidRPr="00DA06FB">
        <w:rPr>
          <w:rFonts w:ascii="Times New Roman" w:hAnsi="Times New Roman"/>
          <w:color w:val="000000"/>
          <w:sz w:val="24"/>
          <w:szCs w:val="24"/>
        </w:rPr>
        <w:lastRenderedPageBreak/>
        <w:t>methods and geostatistical techniques, in Amol-Babol Plain, Iran. The</w:t>
      </w:r>
      <w:r>
        <w:rPr>
          <w:rFonts w:ascii="Times New Roman" w:hAnsi="Times New Roman"/>
          <w:color w:val="000000"/>
          <w:sz w:val="24"/>
          <w:szCs w:val="24"/>
        </w:rPr>
        <w:t xml:space="preserve"> </w:t>
      </w:r>
      <w:r w:rsidRPr="00DA06FB">
        <w:rPr>
          <w:rFonts w:ascii="Times New Roman" w:hAnsi="Times New Roman"/>
          <w:color w:val="000000"/>
          <w:sz w:val="24"/>
          <w:szCs w:val="24"/>
        </w:rPr>
        <w:t>Scientific</w:t>
      </w:r>
      <w:r>
        <w:rPr>
          <w:rFonts w:ascii="Times New Roman" w:hAnsi="Times New Roman"/>
          <w:color w:val="000000"/>
          <w:sz w:val="24"/>
          <w:szCs w:val="24"/>
        </w:rPr>
        <w:t xml:space="preserve"> </w:t>
      </w:r>
      <w:r w:rsidRPr="00DA06FB">
        <w:rPr>
          <w:rFonts w:ascii="Times New Roman" w:hAnsi="Times New Roman"/>
          <w:color w:val="000000"/>
          <w:sz w:val="24"/>
          <w:szCs w:val="24"/>
        </w:rPr>
        <w:t>World</w:t>
      </w:r>
      <w:r>
        <w:rPr>
          <w:rFonts w:ascii="Times New Roman" w:hAnsi="Times New Roman"/>
          <w:color w:val="000000"/>
          <w:sz w:val="24"/>
          <w:szCs w:val="24"/>
        </w:rPr>
        <w:t xml:space="preserve"> </w:t>
      </w:r>
      <w:r w:rsidRPr="00DA06FB">
        <w:rPr>
          <w:rFonts w:ascii="Times New Roman" w:hAnsi="Times New Roman"/>
          <w:color w:val="000000"/>
          <w:sz w:val="24"/>
          <w:szCs w:val="24"/>
        </w:rPr>
        <w:t>Journal, 2014, 419058. doi:10.1155/2014/419058</w:t>
      </w:r>
      <w:r>
        <w:rPr>
          <w:rFonts w:ascii="Times New Roman" w:hAnsi="Times New Roman"/>
          <w:color w:val="000000"/>
          <w:sz w:val="24"/>
          <w:szCs w:val="24"/>
        </w:rPr>
        <w:t>.</w:t>
      </w:r>
    </w:p>
    <w:p w14:paraId="6B3DE73A" w14:textId="416057A8" w:rsidR="001E3A56" w:rsidRDefault="00884CF1" w:rsidP="00AB2AF7">
      <w:pPr>
        <w:pStyle w:val="NoSpacing"/>
        <w:numPr>
          <w:ilvl w:val="0"/>
          <w:numId w:val="3"/>
        </w:numPr>
        <w:jc w:val="both"/>
        <w:rPr>
          <w:rFonts w:ascii="Times New Roman" w:hAnsi="Times New Roman"/>
          <w:color w:val="000000"/>
          <w:sz w:val="24"/>
          <w:szCs w:val="24"/>
        </w:rPr>
      </w:pPr>
      <w:r w:rsidRPr="00884CF1">
        <w:rPr>
          <w:rFonts w:ascii="Times New Roman" w:hAnsi="Times New Roman"/>
          <w:color w:val="000000"/>
          <w:sz w:val="24"/>
          <w:szCs w:val="24"/>
        </w:rPr>
        <w:t>Aish, A. M., Zaqoot, H. A., Sethar, W. A., &amp; Aish, D. A. (2023). Prediction of groundwater quality index in the Gaza coastal aquifer using supervised machine learning techniques. </w:t>
      </w:r>
      <w:r w:rsidRPr="00884CF1">
        <w:rPr>
          <w:rFonts w:ascii="Times New Roman" w:hAnsi="Times New Roman"/>
          <w:i/>
          <w:iCs/>
          <w:color w:val="000000"/>
          <w:sz w:val="24"/>
          <w:szCs w:val="24"/>
        </w:rPr>
        <w:t>Water Practice &amp; Technology</w:t>
      </w:r>
      <w:r w:rsidRPr="00884CF1">
        <w:rPr>
          <w:rFonts w:ascii="Times New Roman" w:hAnsi="Times New Roman"/>
          <w:color w:val="000000"/>
          <w:sz w:val="24"/>
          <w:szCs w:val="24"/>
        </w:rPr>
        <w:t>, </w:t>
      </w:r>
      <w:r w:rsidRPr="00884CF1">
        <w:rPr>
          <w:rFonts w:ascii="Times New Roman" w:hAnsi="Times New Roman"/>
          <w:i/>
          <w:iCs/>
          <w:color w:val="000000"/>
          <w:sz w:val="24"/>
          <w:szCs w:val="24"/>
        </w:rPr>
        <w:t>18</w:t>
      </w:r>
      <w:r w:rsidRPr="00884CF1">
        <w:rPr>
          <w:rFonts w:ascii="Times New Roman" w:hAnsi="Times New Roman"/>
          <w:color w:val="000000"/>
          <w:sz w:val="24"/>
          <w:szCs w:val="24"/>
        </w:rPr>
        <w:t>(3), 501-521.</w:t>
      </w:r>
    </w:p>
    <w:p w14:paraId="10F88687"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Liu, Y., Li, M., Zhang, Y., Wu, X. </w:t>
      </w:r>
      <w:r>
        <w:rPr>
          <w:rFonts w:ascii="Times New Roman" w:hAnsi="Times New Roman"/>
          <w:color w:val="000000"/>
          <w:sz w:val="24"/>
          <w:szCs w:val="24"/>
        </w:rPr>
        <w:t>and</w:t>
      </w:r>
      <w:r w:rsidRPr="00DA06FB">
        <w:rPr>
          <w:rFonts w:ascii="Times New Roman" w:hAnsi="Times New Roman"/>
          <w:color w:val="000000"/>
          <w:sz w:val="24"/>
          <w:szCs w:val="24"/>
        </w:rPr>
        <w:t xml:space="preserve"> Zhang, C. (2024). Analysis of the hydrogeochemical characteristics and origins of groundwater in the Changbai Mountain region via inverse hydrogeochemical modelling and unsupervised machine learning. Water, 16(13), 1853. doi:10.3390/w16131853</w:t>
      </w:r>
      <w:r>
        <w:rPr>
          <w:rFonts w:ascii="Times New Roman" w:hAnsi="Times New Roman"/>
          <w:color w:val="000000"/>
          <w:sz w:val="24"/>
          <w:szCs w:val="24"/>
        </w:rPr>
        <w:t>.</w:t>
      </w:r>
    </w:p>
    <w:p w14:paraId="22941F51"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Ren, X., Gao, Z., An, Y., Liu, J., Wu, X., He, M. </w:t>
      </w:r>
      <w:r>
        <w:rPr>
          <w:rFonts w:ascii="Times New Roman" w:hAnsi="Times New Roman"/>
          <w:color w:val="000000"/>
          <w:sz w:val="24"/>
          <w:szCs w:val="24"/>
        </w:rPr>
        <w:t>and</w:t>
      </w:r>
      <w:r w:rsidRPr="00DA06FB">
        <w:rPr>
          <w:rFonts w:ascii="Times New Roman" w:hAnsi="Times New Roman"/>
          <w:color w:val="000000"/>
          <w:sz w:val="24"/>
          <w:szCs w:val="24"/>
        </w:rPr>
        <w:t xml:space="preserve"> Feng, J. (2020). Hydrochemical and isotopic characteristics of groundwater in the Jiuquan East Basin, China. Arabian Journal of Geosciences, 13(13). doi:10.1007/s12517-020-05573-7</w:t>
      </w:r>
      <w:r>
        <w:rPr>
          <w:rFonts w:ascii="Times New Roman" w:hAnsi="Times New Roman"/>
          <w:color w:val="000000"/>
          <w:sz w:val="24"/>
          <w:szCs w:val="24"/>
        </w:rPr>
        <w:t>.</w:t>
      </w:r>
    </w:p>
    <w:p w14:paraId="47CEE612" w14:textId="77777777" w:rsidR="00884CF1"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Zhang, H., Xu, G., Chen, X., Mabaire, A., Zhou, J., Zhang, Y.</w:t>
      </w:r>
      <w:r>
        <w:rPr>
          <w:rFonts w:ascii="Times New Roman" w:hAnsi="Times New Roman"/>
          <w:color w:val="000000"/>
          <w:sz w:val="24"/>
          <w:szCs w:val="24"/>
        </w:rPr>
        <w:t xml:space="preserve"> and </w:t>
      </w:r>
      <w:r w:rsidRPr="00DA06FB">
        <w:rPr>
          <w:rFonts w:ascii="Times New Roman" w:hAnsi="Times New Roman"/>
          <w:color w:val="000000"/>
          <w:sz w:val="24"/>
          <w:szCs w:val="24"/>
        </w:rPr>
        <w:t>Zhu, L. (2020). Groundwater hydrogeochemical processes and the connectivity of multilayer aquifers in a Coal Mine with Karst collapse columns. Mine Water and the Environment, 39(2), 356–368. doi:10.1007/s10230-020-00667-w</w:t>
      </w:r>
      <w:r>
        <w:rPr>
          <w:rFonts w:ascii="Times New Roman" w:hAnsi="Times New Roman"/>
          <w:color w:val="000000"/>
          <w:sz w:val="24"/>
          <w:szCs w:val="24"/>
        </w:rPr>
        <w:t>.</w:t>
      </w:r>
    </w:p>
    <w:p w14:paraId="40D9ACD7" w14:textId="21E7BBAB" w:rsidR="00884CF1" w:rsidRDefault="00884CF1" w:rsidP="00AB2AF7">
      <w:pPr>
        <w:pStyle w:val="NoSpacing"/>
        <w:numPr>
          <w:ilvl w:val="0"/>
          <w:numId w:val="3"/>
        </w:numPr>
        <w:jc w:val="both"/>
        <w:rPr>
          <w:rFonts w:ascii="Times New Roman" w:hAnsi="Times New Roman"/>
          <w:color w:val="000000"/>
          <w:sz w:val="24"/>
          <w:szCs w:val="24"/>
        </w:rPr>
      </w:pPr>
      <w:r w:rsidRPr="00884CF1">
        <w:rPr>
          <w:rFonts w:ascii="Times New Roman" w:hAnsi="Times New Roman"/>
          <w:color w:val="000000"/>
          <w:sz w:val="24"/>
          <w:szCs w:val="24"/>
        </w:rPr>
        <w:t>Gugulothu, S., Subbarao, N., Das, R. and Dhakate, R. (2022). Geochemical evaluation of groundwater and suitability of groundwater quality for irrigation purpose in an agricultural region of South India. Applied Water Science, 12(6). doi:10.1007/s13201-022-01583-w.</w:t>
      </w:r>
    </w:p>
    <w:p w14:paraId="61403ACE" w14:textId="67576E60" w:rsidR="00884CF1" w:rsidRDefault="00884CF1" w:rsidP="00AB2AF7">
      <w:pPr>
        <w:pStyle w:val="NoSpacing"/>
        <w:numPr>
          <w:ilvl w:val="0"/>
          <w:numId w:val="3"/>
        </w:numPr>
        <w:jc w:val="both"/>
        <w:rPr>
          <w:rFonts w:ascii="Times New Roman" w:hAnsi="Times New Roman"/>
          <w:color w:val="000000"/>
          <w:sz w:val="24"/>
          <w:szCs w:val="24"/>
        </w:rPr>
      </w:pPr>
      <w:r w:rsidRPr="00884CF1">
        <w:rPr>
          <w:rFonts w:ascii="Times New Roman" w:hAnsi="Times New Roman"/>
          <w:color w:val="000000"/>
          <w:sz w:val="24"/>
          <w:szCs w:val="24"/>
        </w:rPr>
        <w:t>Ekbal, E. and Khan, T.A. (2022). Hydrogeochemical characterization of groundwater quality in parts of amroha district, western Uttar pradesh, India. Hydro Research, 5, 54–70. doi: 10.1016/j.hydres.2022.07.002.</w:t>
      </w:r>
    </w:p>
    <w:p w14:paraId="36C85373" w14:textId="77777777" w:rsidR="00884CF1" w:rsidRPr="00884CF1" w:rsidRDefault="00884CF1" w:rsidP="00AB2AF7">
      <w:pPr>
        <w:pStyle w:val="ListParagraph"/>
        <w:numPr>
          <w:ilvl w:val="0"/>
          <w:numId w:val="3"/>
        </w:numPr>
        <w:spacing w:line="240" w:lineRule="auto"/>
        <w:jc w:val="both"/>
        <w:rPr>
          <w:rFonts w:ascii="Times New Roman" w:hAnsi="Times New Roman"/>
          <w:sz w:val="24"/>
          <w:szCs w:val="24"/>
        </w:rPr>
      </w:pPr>
      <w:r w:rsidRPr="00884CF1">
        <w:rPr>
          <w:rFonts w:ascii="Times New Roman" w:hAnsi="Times New Roman"/>
          <w:sz w:val="24"/>
          <w:szCs w:val="24"/>
        </w:rPr>
        <w:t xml:space="preserve">Mahanta, N., Sahoo, H.K. (2016) Hydrogeochemical characterization and potability studies of Kuchinda-Bamra area in Sambalpur district, Odisha, India. </w:t>
      </w:r>
      <w:r w:rsidRPr="00884CF1">
        <w:rPr>
          <w:rFonts w:ascii="Times New Roman" w:hAnsi="Times New Roman"/>
          <w:i/>
          <w:iCs/>
          <w:sz w:val="24"/>
          <w:szCs w:val="24"/>
        </w:rPr>
        <w:t>Journal of Environmental Geochemistry</w:t>
      </w:r>
      <w:r w:rsidRPr="00884CF1">
        <w:rPr>
          <w:rFonts w:ascii="Times New Roman" w:hAnsi="Times New Roman"/>
          <w:sz w:val="24"/>
          <w:szCs w:val="24"/>
        </w:rPr>
        <w:t>, 21,19–23.</w:t>
      </w:r>
    </w:p>
    <w:p w14:paraId="1373E2AA"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Samal, P., Mohanty, A.K., Khaoash, S. </w:t>
      </w:r>
      <w:r>
        <w:rPr>
          <w:rFonts w:ascii="Times New Roman" w:hAnsi="Times New Roman"/>
          <w:color w:val="000000"/>
          <w:sz w:val="24"/>
          <w:szCs w:val="24"/>
        </w:rPr>
        <w:t>and</w:t>
      </w:r>
      <w:r w:rsidRPr="00DA06FB">
        <w:rPr>
          <w:rFonts w:ascii="Times New Roman" w:hAnsi="Times New Roman"/>
          <w:color w:val="000000"/>
          <w:sz w:val="24"/>
          <w:szCs w:val="24"/>
        </w:rPr>
        <w:t xml:space="preserve"> Mishra, P. (2023). Hydrogeochemical characteristics and spatial analysis of groundwater quality in a semi-arid region of Western Odisha, India. Arabian Journal of Geosciences, 16(1). doi:10.1007/s12517-022-11127-w</w:t>
      </w:r>
      <w:r>
        <w:rPr>
          <w:rFonts w:ascii="Times New Roman" w:hAnsi="Times New Roman"/>
          <w:color w:val="000000"/>
          <w:sz w:val="24"/>
          <w:szCs w:val="24"/>
        </w:rPr>
        <w:t>.</w:t>
      </w:r>
    </w:p>
    <w:p w14:paraId="152512B6"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Saikrishna, K., Purushotham, D., Sunitha, V., Reddy, Y.S., Linga, D. </w:t>
      </w:r>
      <w:r>
        <w:rPr>
          <w:rFonts w:ascii="Times New Roman" w:hAnsi="Times New Roman"/>
          <w:color w:val="000000"/>
          <w:sz w:val="24"/>
          <w:szCs w:val="24"/>
        </w:rPr>
        <w:t>and</w:t>
      </w:r>
      <w:r w:rsidRPr="00DA06FB">
        <w:rPr>
          <w:rFonts w:ascii="Times New Roman" w:hAnsi="Times New Roman"/>
          <w:color w:val="000000"/>
          <w:sz w:val="24"/>
          <w:szCs w:val="24"/>
        </w:rPr>
        <w:t xml:space="preserve"> Kumar, B.K. (2020). Data for the evaluation of groundwater quality using water quality index and regression analysis in parts of Nalgonda district, Telangana, Southern India. Data in Brief, 32(106235), 106235. doi:10.1016/j.dib.2020.106235</w:t>
      </w:r>
      <w:r>
        <w:rPr>
          <w:rFonts w:ascii="Times New Roman" w:hAnsi="Times New Roman"/>
          <w:color w:val="000000"/>
          <w:sz w:val="24"/>
          <w:szCs w:val="24"/>
        </w:rPr>
        <w:t>.</w:t>
      </w:r>
    </w:p>
    <w:p w14:paraId="51234BF0" w14:textId="77777777" w:rsidR="00884CF1"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Islam, M.S. </w:t>
      </w:r>
      <w:r>
        <w:rPr>
          <w:rFonts w:ascii="Times New Roman" w:hAnsi="Times New Roman"/>
          <w:color w:val="000000"/>
          <w:sz w:val="24"/>
          <w:szCs w:val="24"/>
        </w:rPr>
        <w:t>and</w:t>
      </w:r>
      <w:r w:rsidRPr="00DA06FB">
        <w:rPr>
          <w:rFonts w:ascii="Times New Roman" w:hAnsi="Times New Roman"/>
          <w:color w:val="000000"/>
          <w:sz w:val="24"/>
          <w:szCs w:val="24"/>
        </w:rPr>
        <w:t xml:space="preserve"> Mostafa, M.G. (2022). Evaluation of hydrogeochemical processes in groundwater using geochemical and geostatistical approaches in the upper Bengal basin. Geofluids, 2022, 1–21</w:t>
      </w:r>
      <w:r w:rsidRPr="00841FA1">
        <w:t xml:space="preserve"> </w:t>
      </w:r>
      <w:hyperlink r:id="rId32" w:history="1">
        <w:r w:rsidRPr="00205CF2">
          <w:rPr>
            <w:rStyle w:val="Hyperlink"/>
            <w:rFonts w:ascii="Times New Roman" w:hAnsi="Times New Roman"/>
            <w:sz w:val="24"/>
            <w:szCs w:val="24"/>
          </w:rPr>
          <w:t>https://doi.org/10.1155/2022/9591717</w:t>
        </w:r>
      </w:hyperlink>
      <w:r>
        <w:rPr>
          <w:rFonts w:ascii="Times New Roman" w:hAnsi="Times New Roman"/>
          <w:color w:val="000000"/>
          <w:sz w:val="24"/>
          <w:szCs w:val="24"/>
        </w:rPr>
        <w:t xml:space="preserve">. </w:t>
      </w:r>
    </w:p>
    <w:p w14:paraId="739CA5EF"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Kaiser, H.F. (1958). The varimax criterion for analytic rotation in factor analysis. Psychometrika, 23, 187–200.</w:t>
      </w:r>
    </w:p>
    <w:p w14:paraId="648D5F3A" w14:textId="6AA257CA" w:rsidR="00884CF1"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Mohanty, C.R. </w:t>
      </w:r>
      <w:r>
        <w:rPr>
          <w:rFonts w:ascii="Times New Roman" w:hAnsi="Times New Roman"/>
          <w:color w:val="000000"/>
          <w:sz w:val="24"/>
          <w:szCs w:val="24"/>
        </w:rPr>
        <w:t>and</w:t>
      </w:r>
      <w:r w:rsidRPr="00DA06FB">
        <w:rPr>
          <w:rFonts w:ascii="Times New Roman" w:hAnsi="Times New Roman"/>
          <w:color w:val="000000"/>
          <w:sz w:val="24"/>
          <w:szCs w:val="24"/>
        </w:rPr>
        <w:t xml:space="preserve"> Nayak, S.K. (2017). Assessment of seasonal variations in water quality of Brahmani River</w:t>
      </w:r>
      <w:r>
        <w:rPr>
          <w:rFonts w:ascii="Times New Roman" w:hAnsi="Times New Roman"/>
          <w:color w:val="000000"/>
          <w:sz w:val="24"/>
          <w:szCs w:val="24"/>
        </w:rPr>
        <w:t xml:space="preserve"> </w:t>
      </w:r>
      <w:r w:rsidRPr="00DA06FB">
        <w:rPr>
          <w:rFonts w:ascii="Times New Roman" w:hAnsi="Times New Roman"/>
          <w:color w:val="000000"/>
          <w:sz w:val="24"/>
          <w:szCs w:val="24"/>
        </w:rPr>
        <w:t>using PCA. Advances in Environmental Research, 6(1), 53–65. doi:10.12989/aer.2017.6.1.053</w:t>
      </w:r>
      <w:r>
        <w:rPr>
          <w:rFonts w:ascii="Times New Roman" w:hAnsi="Times New Roman"/>
          <w:color w:val="000000"/>
          <w:sz w:val="24"/>
          <w:szCs w:val="24"/>
        </w:rPr>
        <w:t>.</w:t>
      </w:r>
    </w:p>
    <w:p w14:paraId="62C220DD" w14:textId="77777777" w:rsidR="00C10D13" w:rsidRPr="00DA06FB" w:rsidRDefault="00C10D13"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Kumar, M., Garg, V., Kumar, R. </w:t>
      </w:r>
      <w:r>
        <w:rPr>
          <w:rFonts w:ascii="Times New Roman" w:hAnsi="Times New Roman"/>
          <w:color w:val="000000"/>
          <w:sz w:val="24"/>
          <w:szCs w:val="24"/>
        </w:rPr>
        <w:t>and</w:t>
      </w:r>
      <w:r w:rsidRPr="00DA06FB">
        <w:rPr>
          <w:rFonts w:ascii="Times New Roman" w:hAnsi="Times New Roman"/>
          <w:color w:val="000000"/>
          <w:sz w:val="24"/>
          <w:szCs w:val="24"/>
        </w:rPr>
        <w:t xml:space="preserve"> Kumar, R. (2024). Geochemical evaluation and the mechanism controlling groundwater chemistry using chemometric approach and groundwater pollution index (GPI) in the Kishangarh city of Rajasthan, India. Environmental Science and Pollution Research International, 31(25), 36894–36909. doi:10.1007/s11356-024-33669-0</w:t>
      </w:r>
      <w:r>
        <w:rPr>
          <w:rFonts w:ascii="Times New Roman" w:hAnsi="Times New Roman"/>
          <w:color w:val="000000"/>
          <w:sz w:val="24"/>
          <w:szCs w:val="24"/>
        </w:rPr>
        <w:t>.</w:t>
      </w:r>
    </w:p>
    <w:p w14:paraId="5E33010F" w14:textId="72294F5C" w:rsidR="00884CF1" w:rsidRDefault="00C264A8" w:rsidP="00AB2AF7">
      <w:pPr>
        <w:pStyle w:val="NoSpacing"/>
        <w:numPr>
          <w:ilvl w:val="0"/>
          <w:numId w:val="3"/>
        </w:numPr>
        <w:jc w:val="both"/>
        <w:rPr>
          <w:rFonts w:ascii="Times New Roman" w:hAnsi="Times New Roman"/>
          <w:color w:val="000000"/>
          <w:sz w:val="24"/>
          <w:szCs w:val="24"/>
        </w:rPr>
      </w:pPr>
      <w:r w:rsidRPr="00C264A8">
        <w:rPr>
          <w:rFonts w:ascii="Times New Roman" w:hAnsi="Times New Roman"/>
          <w:color w:val="000000"/>
          <w:sz w:val="24"/>
          <w:szCs w:val="24"/>
        </w:rPr>
        <w:t>Ward, J.H. (1963). Hierarchical grouping to optimize an objective function. Journal of the American Statistical Association, 69, 236–244.</w:t>
      </w:r>
    </w:p>
    <w:p w14:paraId="6F8C02BC"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Kumar, R., Sharma, S. </w:t>
      </w:r>
      <w:r>
        <w:rPr>
          <w:rFonts w:ascii="Times New Roman" w:hAnsi="Times New Roman"/>
          <w:color w:val="000000"/>
          <w:sz w:val="24"/>
          <w:szCs w:val="24"/>
        </w:rPr>
        <w:t>and</w:t>
      </w:r>
      <w:r w:rsidRPr="00DA06FB">
        <w:rPr>
          <w:rFonts w:ascii="Times New Roman" w:hAnsi="Times New Roman"/>
          <w:color w:val="000000"/>
          <w:sz w:val="24"/>
          <w:szCs w:val="24"/>
        </w:rPr>
        <w:t xml:space="preserve"> Prashant, M. (2024). Assessment of groundwater quality for drinking, irrigation and industrial purposes in Aik Watershed, Jammu and Kashmir, India. Discover Geoscience, 2(1). doi:10.1007/s44288-024-00065-7</w:t>
      </w:r>
      <w:r>
        <w:rPr>
          <w:rFonts w:ascii="Times New Roman" w:hAnsi="Times New Roman"/>
          <w:color w:val="000000"/>
          <w:sz w:val="24"/>
          <w:szCs w:val="24"/>
        </w:rPr>
        <w:t>.</w:t>
      </w:r>
    </w:p>
    <w:p w14:paraId="7DB4B7AF" w14:textId="79278C88" w:rsidR="00C264A8" w:rsidRDefault="00C264A8" w:rsidP="00AB2AF7">
      <w:pPr>
        <w:pStyle w:val="NoSpacing"/>
        <w:numPr>
          <w:ilvl w:val="0"/>
          <w:numId w:val="3"/>
        </w:numPr>
        <w:jc w:val="both"/>
        <w:rPr>
          <w:rFonts w:ascii="Times New Roman" w:hAnsi="Times New Roman"/>
          <w:color w:val="000000"/>
          <w:sz w:val="24"/>
          <w:szCs w:val="24"/>
        </w:rPr>
      </w:pPr>
      <w:r w:rsidRPr="00C264A8">
        <w:rPr>
          <w:rFonts w:ascii="Times New Roman" w:hAnsi="Times New Roman"/>
          <w:color w:val="000000"/>
          <w:sz w:val="24"/>
          <w:szCs w:val="24"/>
        </w:rPr>
        <w:t>Ghalib, H.B. (2017). Groundwater chemistry evaluation for drinking and irrigation utilities in east Wasit province, Central Iraq. Applied Water Science, 7(7), 3447–3467. doi:10.1007/s13201-017-0575-8.</w:t>
      </w:r>
    </w:p>
    <w:p w14:paraId="7BBD9155"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Sawyer, G.N. </w:t>
      </w:r>
      <w:r>
        <w:rPr>
          <w:rFonts w:ascii="Times New Roman" w:hAnsi="Times New Roman"/>
          <w:color w:val="000000"/>
          <w:sz w:val="24"/>
          <w:szCs w:val="24"/>
        </w:rPr>
        <w:t>and</w:t>
      </w:r>
      <w:r w:rsidRPr="00DA06FB">
        <w:rPr>
          <w:rFonts w:ascii="Times New Roman" w:hAnsi="Times New Roman"/>
          <w:color w:val="000000"/>
          <w:sz w:val="24"/>
          <w:szCs w:val="24"/>
        </w:rPr>
        <w:t xml:space="preserve"> Mccarthy, D.L. (1967). Chemistry of Sanitary Engineers. McGraw Hill, New York.</w:t>
      </w:r>
    </w:p>
    <w:p w14:paraId="0EA68D09" w14:textId="77777777" w:rsidR="00C264A8" w:rsidRPr="00C264A8" w:rsidRDefault="00C264A8" w:rsidP="00AB2AF7">
      <w:pPr>
        <w:pStyle w:val="ListParagraph"/>
        <w:numPr>
          <w:ilvl w:val="0"/>
          <w:numId w:val="3"/>
        </w:numPr>
        <w:autoSpaceDE w:val="0"/>
        <w:autoSpaceDN w:val="0"/>
        <w:adjustRightInd w:val="0"/>
        <w:spacing w:after="0" w:line="240" w:lineRule="auto"/>
        <w:jc w:val="both"/>
        <w:rPr>
          <w:rFonts w:ascii="Times New Roman" w:hAnsi="Times New Roman"/>
          <w:sz w:val="24"/>
          <w:szCs w:val="24"/>
        </w:rPr>
      </w:pPr>
      <w:r w:rsidRPr="00C264A8">
        <w:rPr>
          <w:rFonts w:ascii="Times New Roman" w:hAnsi="Times New Roman"/>
          <w:sz w:val="24"/>
          <w:szCs w:val="24"/>
          <w:shd w:val="clear" w:color="auto" w:fill="FFFFFF"/>
        </w:rPr>
        <w:lastRenderedPageBreak/>
        <w:t>Mahanta, N.,and Sahoo, H. K. (2012). Assessment of groundwater quality for irrigation in the Kuchinda-Bamra area in Sambalpur district, Odisha. Int J Earth Sci Eng 05 (05): 1229-1234.</w:t>
      </w:r>
    </w:p>
    <w:p w14:paraId="156D1330"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Subba Rao, N. (2017). Controlling factors of fluoride in groundwater in a part of South India. Arabian Journal of Geosciences, 10(23). doi:10.1007/s12517-017-3291-7</w:t>
      </w:r>
      <w:r>
        <w:rPr>
          <w:rFonts w:ascii="Times New Roman" w:hAnsi="Times New Roman"/>
          <w:color w:val="000000"/>
          <w:sz w:val="24"/>
          <w:szCs w:val="24"/>
        </w:rPr>
        <w:t>.</w:t>
      </w:r>
    </w:p>
    <w:p w14:paraId="32668C29" w14:textId="117094A7" w:rsidR="00C264A8"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Ribinu, S.K., Prakash, P., Khan, A.F., Bhaskar, N.P. </w:t>
      </w:r>
      <w:r>
        <w:rPr>
          <w:rFonts w:ascii="Times New Roman" w:hAnsi="Times New Roman"/>
          <w:color w:val="000000"/>
          <w:sz w:val="24"/>
          <w:szCs w:val="24"/>
        </w:rPr>
        <w:t>and</w:t>
      </w:r>
      <w:r w:rsidRPr="00DA06FB">
        <w:rPr>
          <w:rFonts w:ascii="Times New Roman" w:hAnsi="Times New Roman"/>
          <w:color w:val="000000"/>
          <w:sz w:val="24"/>
          <w:szCs w:val="24"/>
        </w:rPr>
        <w:t xml:space="preserve"> Arunkumar, K.S. (2023). Hydrogeochemical characteristics of groundwater in Thoothapuzha River Basin, Kerala, South India. Total Environment Research Themes, 5(100021), 100021. doi:10.1016/j.totert.2022.100021</w:t>
      </w:r>
      <w:r>
        <w:rPr>
          <w:rFonts w:ascii="Times New Roman" w:hAnsi="Times New Roman"/>
          <w:color w:val="000000"/>
          <w:sz w:val="24"/>
          <w:szCs w:val="24"/>
        </w:rPr>
        <w:t>.</w:t>
      </w:r>
    </w:p>
    <w:p w14:paraId="2C7E5A87"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385E6F">
        <w:rPr>
          <w:rFonts w:ascii="Times New Roman" w:hAnsi="Times New Roman"/>
          <w:color w:val="000000"/>
          <w:sz w:val="24"/>
          <w:szCs w:val="24"/>
        </w:rPr>
        <w:t>Shuaibu, A., Kalin, R. M., Phoenix, V., &amp; Lawal, I. M. (2025). Geochemical evolution and mechanisms controlling groundwater chemistry in the transboundary Komadugu–Yobe Basin, Lake Chad region: An integrated approach of chemometric analysis and geochemical modeling. </w:t>
      </w:r>
      <w:r w:rsidRPr="00385E6F">
        <w:rPr>
          <w:rFonts w:ascii="Times New Roman" w:hAnsi="Times New Roman"/>
          <w:i/>
          <w:iCs/>
          <w:color w:val="000000"/>
          <w:sz w:val="24"/>
          <w:szCs w:val="24"/>
        </w:rPr>
        <w:t>Journal of Hydrology: Regional Studies</w:t>
      </w:r>
      <w:r w:rsidRPr="00385E6F">
        <w:rPr>
          <w:rFonts w:ascii="Times New Roman" w:hAnsi="Times New Roman"/>
          <w:color w:val="000000"/>
          <w:sz w:val="24"/>
          <w:szCs w:val="24"/>
        </w:rPr>
        <w:t>, </w:t>
      </w:r>
      <w:r w:rsidRPr="00385E6F">
        <w:rPr>
          <w:rFonts w:ascii="Times New Roman" w:hAnsi="Times New Roman"/>
          <w:i/>
          <w:iCs/>
          <w:color w:val="000000"/>
          <w:sz w:val="24"/>
          <w:szCs w:val="24"/>
        </w:rPr>
        <w:t>57</w:t>
      </w:r>
      <w:r w:rsidRPr="00385E6F">
        <w:rPr>
          <w:rFonts w:ascii="Times New Roman" w:hAnsi="Times New Roman"/>
          <w:color w:val="000000"/>
          <w:sz w:val="24"/>
          <w:szCs w:val="24"/>
        </w:rPr>
        <w:t>, 102098.</w:t>
      </w:r>
    </w:p>
    <w:p w14:paraId="394266C5"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Subba Rao, N. (2021). Spatial distribution of quality of groundwater and probabilistic non-carcinogenic risk from a rural dry climatic region of South India. Environmental Geochemistry and Health, 43(2), 971–993. doi:10.1007/s10653-020-00621-3</w:t>
      </w:r>
      <w:r>
        <w:rPr>
          <w:rFonts w:ascii="Times New Roman" w:hAnsi="Times New Roman"/>
          <w:color w:val="000000"/>
          <w:sz w:val="24"/>
          <w:szCs w:val="24"/>
        </w:rPr>
        <w:t>.</w:t>
      </w:r>
    </w:p>
    <w:p w14:paraId="58475DBC" w14:textId="77777777" w:rsidR="00C264A8" w:rsidRPr="00C264A8" w:rsidRDefault="00C264A8" w:rsidP="00AB2AF7">
      <w:pPr>
        <w:pStyle w:val="ListParagraph"/>
        <w:numPr>
          <w:ilvl w:val="0"/>
          <w:numId w:val="3"/>
        </w:numPr>
        <w:spacing w:line="240" w:lineRule="auto"/>
        <w:jc w:val="both"/>
        <w:rPr>
          <w:rFonts w:ascii="Times New Roman" w:hAnsi="Times New Roman"/>
          <w:sz w:val="24"/>
          <w:szCs w:val="24"/>
        </w:rPr>
      </w:pPr>
      <w:r w:rsidRPr="00C264A8">
        <w:rPr>
          <w:rFonts w:ascii="Times New Roman" w:hAnsi="Times New Roman"/>
          <w:sz w:val="24"/>
          <w:szCs w:val="24"/>
        </w:rPr>
        <w:t xml:space="preserve">Kallon, H.D.S. (2024). Hydrochemical characteristics, controlling factors and water quality evaluation of groundwater quality in Kono, Sierra Leone. Adv Earth &amp; Env Sci, 5(2):1-17. </w:t>
      </w:r>
      <w:hyperlink r:id="rId33" w:history="1">
        <w:bookmarkStart w:id="13" w:name="_Hlk215326050"/>
        <w:r w:rsidRPr="00C264A8">
          <w:rPr>
            <w:rFonts w:ascii="Times New Roman" w:hAnsi="Times New Roman"/>
            <w:sz w:val="24"/>
            <w:szCs w:val="24"/>
          </w:rPr>
          <w:t>https://doi.org/</w:t>
        </w:r>
        <w:bookmarkEnd w:id="13"/>
        <w:r w:rsidRPr="00C264A8">
          <w:rPr>
            <w:rFonts w:ascii="Times New Roman" w:hAnsi="Times New Roman"/>
            <w:sz w:val="24"/>
            <w:szCs w:val="24"/>
          </w:rPr>
          <w:t>10.47485/2766-2624.1044</w:t>
        </w:r>
      </w:hyperlink>
      <w:r w:rsidRPr="00C264A8">
        <w:rPr>
          <w:rFonts w:ascii="Times New Roman" w:hAnsi="Times New Roman"/>
          <w:sz w:val="24"/>
          <w:szCs w:val="24"/>
        </w:rPr>
        <w:t xml:space="preserve"> </w:t>
      </w:r>
    </w:p>
    <w:p w14:paraId="505491BC"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Subramani, T., Rajmohan, N. </w:t>
      </w:r>
      <w:r>
        <w:rPr>
          <w:rFonts w:ascii="Times New Roman" w:hAnsi="Times New Roman"/>
          <w:color w:val="000000"/>
          <w:sz w:val="24"/>
          <w:szCs w:val="24"/>
        </w:rPr>
        <w:t>and</w:t>
      </w:r>
      <w:r w:rsidRPr="00DA06FB">
        <w:rPr>
          <w:rFonts w:ascii="Times New Roman" w:hAnsi="Times New Roman"/>
          <w:color w:val="000000"/>
          <w:sz w:val="24"/>
          <w:szCs w:val="24"/>
        </w:rPr>
        <w:t xml:space="preserve"> Elango, L. (2010). Groundwater geochemistry and identification of hydrogeochemical processes in a hard rock region, Southern India. Environmental Monitoring and Assessment, 162(1–4), 123–137. doi:10.1007/s10661-009-0781-4</w:t>
      </w:r>
      <w:r>
        <w:rPr>
          <w:rFonts w:ascii="Times New Roman" w:hAnsi="Times New Roman"/>
          <w:color w:val="000000"/>
          <w:sz w:val="24"/>
          <w:szCs w:val="24"/>
        </w:rPr>
        <w:t>.</w:t>
      </w:r>
    </w:p>
    <w:p w14:paraId="1E786074" w14:textId="77777777" w:rsidR="00C264A8"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Zaryab, A., Nassery, H.R. </w:t>
      </w:r>
      <w:r>
        <w:rPr>
          <w:rFonts w:ascii="Times New Roman" w:hAnsi="Times New Roman"/>
          <w:color w:val="000000"/>
          <w:sz w:val="24"/>
          <w:szCs w:val="24"/>
        </w:rPr>
        <w:t>and</w:t>
      </w:r>
      <w:r w:rsidRPr="00DA06FB">
        <w:rPr>
          <w:rFonts w:ascii="Times New Roman" w:hAnsi="Times New Roman"/>
          <w:color w:val="000000"/>
          <w:sz w:val="24"/>
          <w:szCs w:val="24"/>
        </w:rPr>
        <w:t xml:space="preserve"> Alijani, F. (2021). Identifying sources of groundwater salinity and major hydrogeochemical processes in the Lower Kabul Basin aquifer, Afghanistan. Environmental Science. Processes &amp; Impacts, 23(10), 1589–1599. doi:10.1039/d1em00262g</w:t>
      </w:r>
      <w:r>
        <w:rPr>
          <w:rFonts w:ascii="Times New Roman" w:hAnsi="Times New Roman"/>
          <w:color w:val="000000"/>
          <w:sz w:val="24"/>
          <w:szCs w:val="24"/>
        </w:rPr>
        <w:t>.</w:t>
      </w:r>
    </w:p>
    <w:p w14:paraId="5A469D5A"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Bauer, J., Börsig, N., Pham, V.C., Hoan, T.V., Nguyen, H.T. </w:t>
      </w:r>
      <w:r>
        <w:rPr>
          <w:rFonts w:ascii="Times New Roman" w:hAnsi="Times New Roman"/>
          <w:color w:val="000000"/>
          <w:sz w:val="24"/>
          <w:szCs w:val="24"/>
        </w:rPr>
        <w:t>and</w:t>
      </w:r>
      <w:r w:rsidRPr="00DA06FB">
        <w:rPr>
          <w:rFonts w:ascii="Times New Roman" w:hAnsi="Times New Roman"/>
          <w:color w:val="000000"/>
          <w:sz w:val="24"/>
          <w:szCs w:val="24"/>
        </w:rPr>
        <w:t xml:space="preserve"> Norra, S. (2022). Geochemistry and evolution of groundwater resources in the context of salinization and freshening in the southernmost Mekong Delta, Vietnam. Journal of Hydrology. Regional Studies, 40(101010), 101010. doi:10.1016/j.ejrh.2022.101010</w:t>
      </w:r>
      <w:r>
        <w:rPr>
          <w:rFonts w:ascii="Times New Roman" w:hAnsi="Times New Roman"/>
          <w:color w:val="000000"/>
          <w:sz w:val="24"/>
          <w:szCs w:val="24"/>
        </w:rPr>
        <w:t>.</w:t>
      </w:r>
    </w:p>
    <w:p w14:paraId="07882621"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Gopinath, S., Srinivasamoorthy, K., Saravanan, K. </w:t>
      </w:r>
      <w:r>
        <w:rPr>
          <w:rFonts w:ascii="Times New Roman" w:hAnsi="Times New Roman"/>
          <w:color w:val="000000"/>
          <w:sz w:val="24"/>
          <w:szCs w:val="24"/>
        </w:rPr>
        <w:t>and</w:t>
      </w:r>
      <w:r w:rsidRPr="00DA06FB">
        <w:rPr>
          <w:rFonts w:ascii="Times New Roman" w:hAnsi="Times New Roman"/>
          <w:color w:val="000000"/>
          <w:sz w:val="24"/>
          <w:szCs w:val="24"/>
        </w:rPr>
        <w:t xml:space="preserve"> Prakash, R. (2019). Discriminating groundwater salinization processes in coastal aquifers of southeastern India: geophysical, hydrogeochemical and numerical modeling approach. Environment Development and Sustainability, 21(5), 2443–2458. doi:10.1007/s10668-018-0143-x</w:t>
      </w:r>
      <w:r>
        <w:rPr>
          <w:rFonts w:ascii="Times New Roman" w:hAnsi="Times New Roman"/>
          <w:color w:val="000000"/>
          <w:sz w:val="24"/>
          <w:szCs w:val="24"/>
        </w:rPr>
        <w:t>.</w:t>
      </w:r>
    </w:p>
    <w:p w14:paraId="563BB670"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Schoeller, H. (19</w:t>
      </w:r>
      <w:r>
        <w:rPr>
          <w:rFonts w:ascii="Times New Roman" w:hAnsi="Times New Roman"/>
          <w:color w:val="000000"/>
          <w:sz w:val="24"/>
          <w:szCs w:val="24"/>
        </w:rPr>
        <w:t>77</w:t>
      </w:r>
      <w:r w:rsidRPr="00DA06FB">
        <w:rPr>
          <w:rFonts w:ascii="Times New Roman" w:hAnsi="Times New Roman"/>
          <w:color w:val="000000"/>
          <w:sz w:val="24"/>
          <w:szCs w:val="24"/>
        </w:rPr>
        <w:t>). Geochemistry of groundwater. An international guide for research and practice, chapter15 (pp. 1–18). Paris: UNESCO.</w:t>
      </w:r>
    </w:p>
    <w:p w14:paraId="6FA3C78A"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Liu, T., Gao, X., Zhang, X. </w:t>
      </w:r>
      <w:r>
        <w:rPr>
          <w:rFonts w:ascii="Times New Roman" w:hAnsi="Times New Roman"/>
          <w:color w:val="000000"/>
          <w:sz w:val="24"/>
          <w:szCs w:val="24"/>
        </w:rPr>
        <w:t>and</w:t>
      </w:r>
      <w:r w:rsidRPr="00DA06FB">
        <w:rPr>
          <w:rFonts w:ascii="Times New Roman" w:hAnsi="Times New Roman"/>
          <w:color w:val="000000"/>
          <w:sz w:val="24"/>
          <w:szCs w:val="24"/>
        </w:rPr>
        <w:t xml:space="preserve"> Li, C. (2020). Distribution and assessment of hydrogeochemical processes of F-rich groundwater using PCA model: a case study in the Yuncheng Basin, China. Acta Geochimica, 39(2), 216–225. doi:10.1007/s11631-019-00374-6</w:t>
      </w:r>
      <w:r>
        <w:rPr>
          <w:rFonts w:ascii="Times New Roman" w:hAnsi="Times New Roman"/>
          <w:color w:val="000000"/>
          <w:sz w:val="24"/>
          <w:szCs w:val="24"/>
        </w:rPr>
        <w:t>.</w:t>
      </w:r>
    </w:p>
    <w:p w14:paraId="2FAACFF3" w14:textId="77777777" w:rsidR="00C264A8"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Roy, A., Keesari, T., Mohokar, H., Pant, D., Sinha, U.K. </w:t>
      </w:r>
      <w:r>
        <w:rPr>
          <w:rFonts w:ascii="Times New Roman" w:hAnsi="Times New Roman"/>
          <w:color w:val="000000"/>
          <w:sz w:val="24"/>
          <w:szCs w:val="24"/>
        </w:rPr>
        <w:t>and</w:t>
      </w:r>
      <w:r w:rsidRPr="00DA06FB">
        <w:rPr>
          <w:rFonts w:ascii="Times New Roman" w:hAnsi="Times New Roman"/>
          <w:color w:val="000000"/>
          <w:sz w:val="24"/>
          <w:szCs w:val="24"/>
        </w:rPr>
        <w:t xml:space="preserve"> Mendhekar, G.N. (2020). Geochemical evolution of groundwater in hard-rock aquifers of South India using statistical and modelling techniques. Journal Des Sciences Hydrologiques [Hydrological Sciences Journal], 65(6), 951–968. doi:10.1080/02626667.2019.1708914</w:t>
      </w:r>
      <w:r>
        <w:rPr>
          <w:rFonts w:ascii="Times New Roman" w:hAnsi="Times New Roman"/>
          <w:color w:val="000000"/>
          <w:sz w:val="24"/>
          <w:szCs w:val="24"/>
        </w:rPr>
        <w:t>.</w:t>
      </w:r>
    </w:p>
    <w:p w14:paraId="30CA37DE" w14:textId="11EF981A" w:rsidR="00C264A8" w:rsidRPr="00C264A8" w:rsidRDefault="00C264A8" w:rsidP="00AB2AF7">
      <w:pPr>
        <w:pStyle w:val="NoSpacing"/>
        <w:numPr>
          <w:ilvl w:val="0"/>
          <w:numId w:val="3"/>
        </w:numPr>
        <w:jc w:val="both"/>
        <w:rPr>
          <w:rFonts w:ascii="Times New Roman" w:hAnsi="Times New Roman"/>
          <w:color w:val="000000"/>
          <w:sz w:val="24"/>
          <w:szCs w:val="24"/>
        </w:rPr>
      </w:pPr>
      <w:r w:rsidRPr="00C264A8">
        <w:rPr>
          <w:rFonts w:ascii="Times New Roman" w:hAnsi="Times New Roman"/>
          <w:sz w:val="24"/>
          <w:szCs w:val="24"/>
        </w:rPr>
        <w:t xml:space="preserve">Yang, W., Yue, Z., Dong, W., Huihui, W., Aijun, L. and Li, H. (2020). Using Principal Components Analysis and IDW Interpolation to determine Spatial and Temporal Changes of Surface Water Quality of Xin’ anjiang River in Huangshan, China. </w:t>
      </w:r>
      <w:r w:rsidRPr="00C264A8">
        <w:rPr>
          <w:rFonts w:ascii="Times New Roman" w:hAnsi="Times New Roman"/>
          <w:i/>
          <w:iCs/>
          <w:sz w:val="24"/>
          <w:szCs w:val="24"/>
        </w:rPr>
        <w:t>International Journal of Environmental Research and Public Health,</w:t>
      </w:r>
      <w:r w:rsidRPr="00C264A8">
        <w:rPr>
          <w:rFonts w:ascii="Times New Roman" w:hAnsi="Times New Roman"/>
          <w:sz w:val="24"/>
          <w:szCs w:val="24"/>
        </w:rPr>
        <w:t xml:space="preserve">18,2942. </w:t>
      </w:r>
      <w:hyperlink r:id="rId34" w:history="1">
        <w:r w:rsidRPr="00C264A8">
          <w:rPr>
            <w:rStyle w:val="Hyperlink"/>
            <w:rFonts w:ascii="Times New Roman" w:hAnsi="Times New Roman"/>
            <w:sz w:val="24"/>
            <w:szCs w:val="24"/>
          </w:rPr>
          <w:t>https://doi.org/10.3390/ijerph17082942</w:t>
        </w:r>
      </w:hyperlink>
      <w:r>
        <w:t>.</w:t>
      </w:r>
    </w:p>
    <w:p w14:paraId="2F2349B5"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Schafer, D., Sun, J., Jamieson, J., Siade, A.J., Atteia, O.</w:t>
      </w:r>
      <w:r>
        <w:rPr>
          <w:rFonts w:ascii="Times New Roman" w:hAnsi="Times New Roman"/>
          <w:color w:val="000000"/>
          <w:sz w:val="24"/>
          <w:szCs w:val="24"/>
        </w:rPr>
        <w:t xml:space="preserve"> and</w:t>
      </w:r>
      <w:r w:rsidRPr="00DA06FB">
        <w:rPr>
          <w:rFonts w:ascii="Times New Roman" w:hAnsi="Times New Roman"/>
          <w:color w:val="000000"/>
          <w:sz w:val="24"/>
          <w:szCs w:val="24"/>
        </w:rPr>
        <w:t xml:space="preserve"> Prommer, H. (2020). Model-based analysis of reactive transport processes governing fluoride and phosphate release and attenuation during managed aquifer recharge. Environmental Science &amp; Technology, 54(5), 2800–2811. doi:10.1021/acs.est.9b06972</w:t>
      </w:r>
      <w:r>
        <w:rPr>
          <w:rFonts w:ascii="Times New Roman" w:hAnsi="Times New Roman"/>
          <w:color w:val="000000"/>
          <w:sz w:val="24"/>
          <w:szCs w:val="24"/>
        </w:rPr>
        <w:t>.</w:t>
      </w:r>
    </w:p>
    <w:p w14:paraId="6BA05CC3"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Aravinthasamy, P., Karunanidhi, D., Jayasena, H.C. </w:t>
      </w:r>
      <w:r>
        <w:rPr>
          <w:rFonts w:ascii="Times New Roman" w:hAnsi="Times New Roman"/>
          <w:color w:val="000000"/>
          <w:sz w:val="24"/>
          <w:szCs w:val="24"/>
        </w:rPr>
        <w:t>and</w:t>
      </w:r>
      <w:r w:rsidRPr="00DA06FB">
        <w:rPr>
          <w:rFonts w:ascii="Times New Roman" w:hAnsi="Times New Roman"/>
          <w:color w:val="000000"/>
          <w:sz w:val="24"/>
          <w:szCs w:val="24"/>
        </w:rPr>
        <w:t xml:space="preserve"> Subramani, T. (2024). Assessment of groundwater fluoride and human health effects in a hard rock province of south India: Implications from Pollution Index Model (PIM) and Geographical Information System (GIS) techniques. Environmental Geochemistry and Health, 46(9). doi:10.1007/s10653-024-02111-2</w:t>
      </w:r>
      <w:r>
        <w:rPr>
          <w:rFonts w:ascii="Times New Roman" w:hAnsi="Times New Roman"/>
          <w:color w:val="000000"/>
          <w:sz w:val="24"/>
          <w:szCs w:val="24"/>
        </w:rPr>
        <w:t>.</w:t>
      </w:r>
    </w:p>
    <w:p w14:paraId="458FF5AD"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lastRenderedPageBreak/>
        <w:t xml:space="preserve">Nandi, R., Mondal, S., Mandal, J. </w:t>
      </w:r>
      <w:r>
        <w:rPr>
          <w:rFonts w:ascii="Times New Roman" w:hAnsi="Times New Roman"/>
          <w:color w:val="000000"/>
          <w:sz w:val="24"/>
          <w:szCs w:val="24"/>
        </w:rPr>
        <w:t>and</w:t>
      </w:r>
      <w:r w:rsidRPr="00DA06FB">
        <w:rPr>
          <w:rFonts w:ascii="Times New Roman" w:hAnsi="Times New Roman"/>
          <w:color w:val="000000"/>
          <w:sz w:val="24"/>
          <w:szCs w:val="24"/>
        </w:rPr>
        <w:t xml:space="preserve"> Bhattacharyya, P. (2024). Deciphering geochemical fingerprints and health implications of groundwater fluoride contamination in mica mining regions using machine learning tactics. Environmental Geochemistry and Health, 46(10). doi:10.1007/s10653-024-02177-y</w:t>
      </w:r>
      <w:r>
        <w:rPr>
          <w:rFonts w:ascii="Times New Roman" w:hAnsi="Times New Roman"/>
          <w:color w:val="000000"/>
          <w:sz w:val="24"/>
          <w:szCs w:val="24"/>
        </w:rPr>
        <w:t>.</w:t>
      </w:r>
    </w:p>
    <w:p w14:paraId="6A08396E"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C00A8A">
        <w:rPr>
          <w:rFonts w:ascii="Times New Roman" w:hAnsi="Times New Roman"/>
          <w:color w:val="000000"/>
          <w:sz w:val="24"/>
          <w:szCs w:val="24"/>
        </w:rPr>
        <w:t>Vitale, R., De Noord, O. E., Næs, T., Ferrer, A., Westerhuis, J. A., &amp; Smilde, A. K. (2017). Selecting the number of factors in principal component analysis by permutation testing—Numerical and practical aspects.</w:t>
      </w:r>
      <w:r w:rsidRPr="00C00A8A">
        <w:rPr>
          <w:rFonts w:ascii="Times New Roman" w:hAnsi="Times New Roman"/>
          <w:i/>
          <w:iCs/>
          <w:color w:val="000000"/>
          <w:sz w:val="24"/>
          <w:szCs w:val="24"/>
        </w:rPr>
        <w:t>Journal of Chemometrics</w:t>
      </w:r>
      <w:r w:rsidRPr="00C00A8A">
        <w:rPr>
          <w:rFonts w:ascii="Times New Roman" w:hAnsi="Times New Roman"/>
          <w:color w:val="000000"/>
          <w:sz w:val="24"/>
          <w:szCs w:val="24"/>
        </w:rPr>
        <w:t>,</w:t>
      </w:r>
      <w:r w:rsidRPr="00C00A8A">
        <w:rPr>
          <w:rFonts w:ascii="Times New Roman" w:hAnsi="Times New Roman"/>
          <w:i/>
          <w:iCs/>
          <w:color w:val="000000"/>
          <w:sz w:val="24"/>
          <w:szCs w:val="24"/>
        </w:rPr>
        <w:t>31</w:t>
      </w:r>
      <w:r w:rsidRPr="00C00A8A">
        <w:rPr>
          <w:rFonts w:ascii="Times New Roman" w:hAnsi="Times New Roman"/>
          <w:color w:val="000000"/>
          <w:sz w:val="24"/>
          <w:szCs w:val="24"/>
        </w:rPr>
        <w:t xml:space="preserve">(12), e2937. </w:t>
      </w:r>
      <w:hyperlink r:id="rId35" w:history="1">
        <w:r w:rsidRPr="00C00A8A">
          <w:rPr>
            <w:rStyle w:val="Hyperlink"/>
            <w:rFonts w:ascii="Times New Roman" w:hAnsi="Times New Roman"/>
            <w:sz w:val="24"/>
            <w:szCs w:val="24"/>
          </w:rPr>
          <w:t>https://doi.org/10.1002/cem.2937</w:t>
        </w:r>
      </w:hyperlink>
      <w:r>
        <w:rPr>
          <w:rFonts w:ascii="Times New Roman" w:hAnsi="Times New Roman"/>
          <w:color w:val="000000"/>
          <w:sz w:val="24"/>
          <w:szCs w:val="24"/>
        </w:rPr>
        <w:t xml:space="preserve">. </w:t>
      </w:r>
    </w:p>
    <w:p w14:paraId="2C598559"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Chung, S.Y., Rajendran, R., Senapathi, V., Sekar, S., Ranganathan, P.C., Oh, Y.Y. </w:t>
      </w:r>
      <w:r>
        <w:rPr>
          <w:rFonts w:ascii="Times New Roman" w:hAnsi="Times New Roman"/>
          <w:color w:val="000000"/>
          <w:sz w:val="24"/>
          <w:szCs w:val="24"/>
        </w:rPr>
        <w:t>and</w:t>
      </w:r>
      <w:r w:rsidRPr="00DA06FB">
        <w:rPr>
          <w:rFonts w:ascii="Times New Roman" w:hAnsi="Times New Roman"/>
          <w:color w:val="000000"/>
          <w:sz w:val="24"/>
          <w:szCs w:val="24"/>
        </w:rPr>
        <w:t xml:space="preserve"> Elzain, H.E. (2020). Processes and characteristics of hydrogeochemical variations between unconfined and confined aquifer systems: a case study of the Nakdong River Basin in Busan City, Korea. Environmental Science and Pollution Research International, 27(9), 10087–10102. doi:10.1007/s11356-019-07451-6</w:t>
      </w:r>
      <w:r>
        <w:rPr>
          <w:rFonts w:ascii="Times New Roman" w:hAnsi="Times New Roman"/>
          <w:color w:val="000000"/>
          <w:sz w:val="24"/>
          <w:szCs w:val="24"/>
        </w:rPr>
        <w:t>.</w:t>
      </w:r>
    </w:p>
    <w:p w14:paraId="44EA92C2" w14:textId="77777777" w:rsidR="00DE7DE4" w:rsidRPr="00DA06FB" w:rsidRDefault="00DE7DE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Wang, P.L., Tu, T.H., Lin, L.H., Chou, H.L., Wang, Y.J., Chen, J.N., Ke, C.C. (2024). Microbial communities modulate chemical weathering and carbon dioxide cycling in an active orogen in Taiwan. Communications Earth &amp; Environment, 5(1). doi:10.1038/s43247-024-01345-3</w:t>
      </w:r>
      <w:r>
        <w:rPr>
          <w:rFonts w:ascii="Times New Roman" w:hAnsi="Times New Roman"/>
          <w:color w:val="000000"/>
          <w:sz w:val="24"/>
          <w:szCs w:val="24"/>
        </w:rPr>
        <w:t>.</w:t>
      </w:r>
    </w:p>
    <w:p w14:paraId="6946FF1F" w14:textId="77777777" w:rsidR="00DE7DE4" w:rsidRDefault="00DE7DE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Bhanot, K., Sharma, M.K. </w:t>
      </w:r>
      <w:r>
        <w:rPr>
          <w:rFonts w:ascii="Times New Roman" w:hAnsi="Times New Roman"/>
          <w:color w:val="000000"/>
          <w:sz w:val="24"/>
          <w:szCs w:val="24"/>
        </w:rPr>
        <w:t>and</w:t>
      </w:r>
      <w:r w:rsidRPr="00DA06FB">
        <w:rPr>
          <w:rFonts w:ascii="Times New Roman" w:hAnsi="Times New Roman"/>
          <w:color w:val="000000"/>
          <w:sz w:val="24"/>
          <w:szCs w:val="24"/>
        </w:rPr>
        <w:t xml:space="preserve"> Kaushik, R.D. (2024). Hydrochemical characterization and pCO2 dynamics in the surface waters of Himalayan River: A case study of river Alaknanda. Environmental Monitoring and Assessment, 196(11), 1138. doi:10.1007/s10661-024-13310-w</w:t>
      </w:r>
      <w:r>
        <w:rPr>
          <w:rFonts w:ascii="Times New Roman" w:hAnsi="Times New Roman"/>
          <w:color w:val="000000"/>
          <w:sz w:val="24"/>
          <w:szCs w:val="24"/>
        </w:rPr>
        <w:t>.</w:t>
      </w:r>
    </w:p>
    <w:p w14:paraId="41B17198" w14:textId="461E8EE8" w:rsidR="00C264A8" w:rsidRPr="00C10D13" w:rsidRDefault="00DE7DE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Rahbar, A., Vadiati, M., Talkhabi, M., Nadiri, A.A., Nakhaei, M. </w:t>
      </w:r>
      <w:r>
        <w:rPr>
          <w:rFonts w:ascii="Times New Roman" w:hAnsi="Times New Roman"/>
          <w:color w:val="000000"/>
          <w:sz w:val="24"/>
          <w:szCs w:val="24"/>
        </w:rPr>
        <w:t>and</w:t>
      </w:r>
      <w:r w:rsidRPr="00DA06FB">
        <w:rPr>
          <w:rFonts w:ascii="Times New Roman" w:hAnsi="Times New Roman"/>
          <w:color w:val="000000"/>
          <w:sz w:val="24"/>
          <w:szCs w:val="24"/>
        </w:rPr>
        <w:t xml:space="preserve"> Rahimian, M. (2020). A hydrogeochemical analysis of groundwater using hierarchical clustering analysis and fuzzy C-mean clustering methods in Arak plain, Iran. Environmental Earth Sciences, 79(13). doi:10.1007/s12665-020-09064-6</w:t>
      </w:r>
      <w:r>
        <w:rPr>
          <w:rFonts w:ascii="Times New Roman" w:hAnsi="Times New Roman"/>
          <w:color w:val="000000"/>
          <w:sz w:val="24"/>
          <w:szCs w:val="24"/>
        </w:rPr>
        <w:t>.</w:t>
      </w:r>
    </w:p>
    <w:p w14:paraId="0B18FE3D" w14:textId="25383579" w:rsidR="00C264A8" w:rsidRDefault="00C264A8" w:rsidP="00AB2AF7">
      <w:pPr>
        <w:pStyle w:val="NoSpacing"/>
        <w:jc w:val="both"/>
        <w:rPr>
          <w:rFonts w:ascii="Times New Roman" w:hAnsi="Times New Roman"/>
          <w:color w:val="000000"/>
          <w:sz w:val="24"/>
          <w:szCs w:val="24"/>
        </w:rPr>
      </w:pPr>
    </w:p>
    <w:sectPr w:rsidR="00C264A8" w:rsidSect="00382F8B">
      <w:headerReference w:type="default" r:id="rId36"/>
      <w:pgSz w:w="11906" w:h="16838" w:code="9"/>
      <w:pgMar w:top="1080" w:right="605" w:bottom="605" w:left="605" w:header="346" w:footer="3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73DA4" w14:textId="77777777" w:rsidR="009728D7" w:rsidRDefault="009728D7" w:rsidP="0095552C">
      <w:pPr>
        <w:spacing w:after="0" w:line="240" w:lineRule="auto"/>
      </w:pPr>
      <w:r>
        <w:separator/>
      </w:r>
    </w:p>
  </w:endnote>
  <w:endnote w:type="continuationSeparator" w:id="0">
    <w:p w14:paraId="1E208B5B" w14:textId="77777777" w:rsidR="009728D7" w:rsidRDefault="009728D7" w:rsidP="0095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man">
    <w:altName w:val="Cambria"/>
    <w:panose1 w:val="00000000000000000000"/>
    <w:charset w:val="00"/>
    <w:family w:val="roman"/>
    <w:notTrueType/>
    <w:pitch w:val="default"/>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2DBF4" w14:textId="77777777" w:rsidR="009728D7" w:rsidRDefault="009728D7" w:rsidP="0095552C">
      <w:pPr>
        <w:spacing w:after="0" w:line="240" w:lineRule="auto"/>
      </w:pPr>
      <w:r>
        <w:separator/>
      </w:r>
    </w:p>
  </w:footnote>
  <w:footnote w:type="continuationSeparator" w:id="0">
    <w:p w14:paraId="01C09B8D" w14:textId="77777777" w:rsidR="009728D7" w:rsidRDefault="009728D7" w:rsidP="009555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7441B" w14:textId="3DC19531" w:rsidR="00FA4319" w:rsidRDefault="0063615F" w:rsidP="0063615F">
    <w:pPr>
      <w:pStyle w:val="Header"/>
      <w:tabs>
        <w:tab w:val="clear" w:pos="4513"/>
        <w:tab w:val="clear" w:pos="9026"/>
        <w:tab w:val="left" w:pos="8690"/>
      </w:tabs>
    </w:pPr>
    <w:r>
      <w:tab/>
    </w:r>
  </w:p>
  <w:p w14:paraId="55B30BF4" w14:textId="77777777" w:rsidR="000A2273" w:rsidRDefault="000A2273">
    <w:pPr>
      <w:pStyle w:val="Header"/>
    </w:pPr>
  </w:p>
  <w:p w14:paraId="017E2E78" w14:textId="0DBFFE88" w:rsidR="000A2273" w:rsidRDefault="000A22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834CB"/>
    <w:multiLevelType w:val="hybridMultilevel"/>
    <w:tmpl w:val="1DBE67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568392B"/>
    <w:multiLevelType w:val="hybridMultilevel"/>
    <w:tmpl w:val="1DBE6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F7B3E3C"/>
    <w:multiLevelType w:val="multilevel"/>
    <w:tmpl w:val="A42E1B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nsid w:val="653746FC"/>
    <w:multiLevelType w:val="hybridMultilevel"/>
    <w:tmpl w:val="0B1CA9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2B4"/>
    <w:rsid w:val="0000115C"/>
    <w:rsid w:val="00003BF8"/>
    <w:rsid w:val="000052D3"/>
    <w:rsid w:val="000056BB"/>
    <w:rsid w:val="00010343"/>
    <w:rsid w:val="0001110C"/>
    <w:rsid w:val="000127EA"/>
    <w:rsid w:val="00012962"/>
    <w:rsid w:val="00013AB1"/>
    <w:rsid w:val="00016F31"/>
    <w:rsid w:val="00016FD5"/>
    <w:rsid w:val="000173E1"/>
    <w:rsid w:val="00021364"/>
    <w:rsid w:val="00023032"/>
    <w:rsid w:val="000261A0"/>
    <w:rsid w:val="00026311"/>
    <w:rsid w:val="000274CF"/>
    <w:rsid w:val="00036607"/>
    <w:rsid w:val="00036772"/>
    <w:rsid w:val="0003693F"/>
    <w:rsid w:val="00036ACD"/>
    <w:rsid w:val="00036EA1"/>
    <w:rsid w:val="00043A45"/>
    <w:rsid w:val="00045A03"/>
    <w:rsid w:val="000468CC"/>
    <w:rsid w:val="000471D6"/>
    <w:rsid w:val="00047EFD"/>
    <w:rsid w:val="000525E4"/>
    <w:rsid w:val="00052EAC"/>
    <w:rsid w:val="00060CBE"/>
    <w:rsid w:val="000610DA"/>
    <w:rsid w:val="00064DD8"/>
    <w:rsid w:val="00066602"/>
    <w:rsid w:val="00067287"/>
    <w:rsid w:val="00067585"/>
    <w:rsid w:val="000676A7"/>
    <w:rsid w:val="00067F43"/>
    <w:rsid w:val="00070FA5"/>
    <w:rsid w:val="0007224F"/>
    <w:rsid w:val="000728CF"/>
    <w:rsid w:val="00072B2C"/>
    <w:rsid w:val="00076A94"/>
    <w:rsid w:val="00080D1A"/>
    <w:rsid w:val="00081E65"/>
    <w:rsid w:val="0008210C"/>
    <w:rsid w:val="00082D9D"/>
    <w:rsid w:val="00085B97"/>
    <w:rsid w:val="000907F0"/>
    <w:rsid w:val="00093314"/>
    <w:rsid w:val="000947C3"/>
    <w:rsid w:val="0009562B"/>
    <w:rsid w:val="000974DF"/>
    <w:rsid w:val="000A2273"/>
    <w:rsid w:val="000A23ED"/>
    <w:rsid w:val="000A4083"/>
    <w:rsid w:val="000A429F"/>
    <w:rsid w:val="000A6F9C"/>
    <w:rsid w:val="000B0451"/>
    <w:rsid w:val="000B070C"/>
    <w:rsid w:val="000B08E5"/>
    <w:rsid w:val="000B7BDB"/>
    <w:rsid w:val="000C14F6"/>
    <w:rsid w:val="000C1747"/>
    <w:rsid w:val="000C19E3"/>
    <w:rsid w:val="000C27BD"/>
    <w:rsid w:val="000C3F6A"/>
    <w:rsid w:val="000C40EA"/>
    <w:rsid w:val="000C4C96"/>
    <w:rsid w:val="000C4E24"/>
    <w:rsid w:val="000D0340"/>
    <w:rsid w:val="000D11F4"/>
    <w:rsid w:val="000D1511"/>
    <w:rsid w:val="000D25F7"/>
    <w:rsid w:val="000D37EA"/>
    <w:rsid w:val="000D517D"/>
    <w:rsid w:val="000D6B6C"/>
    <w:rsid w:val="000E0631"/>
    <w:rsid w:val="000E5A41"/>
    <w:rsid w:val="000E7AC9"/>
    <w:rsid w:val="000F068D"/>
    <w:rsid w:val="000F0F74"/>
    <w:rsid w:val="000F20A2"/>
    <w:rsid w:val="000F2F19"/>
    <w:rsid w:val="000F3DC4"/>
    <w:rsid w:val="000F49EE"/>
    <w:rsid w:val="000F58EE"/>
    <w:rsid w:val="000F6293"/>
    <w:rsid w:val="000F7BFD"/>
    <w:rsid w:val="00100FCA"/>
    <w:rsid w:val="00101C20"/>
    <w:rsid w:val="0010242A"/>
    <w:rsid w:val="00103805"/>
    <w:rsid w:val="001039B4"/>
    <w:rsid w:val="00107AB2"/>
    <w:rsid w:val="001104E0"/>
    <w:rsid w:val="00110C50"/>
    <w:rsid w:val="00112EEF"/>
    <w:rsid w:val="0011361C"/>
    <w:rsid w:val="001153EF"/>
    <w:rsid w:val="00115E21"/>
    <w:rsid w:val="00116488"/>
    <w:rsid w:val="00116520"/>
    <w:rsid w:val="00116AD2"/>
    <w:rsid w:val="001177D0"/>
    <w:rsid w:val="00117FD5"/>
    <w:rsid w:val="00120D44"/>
    <w:rsid w:val="00121004"/>
    <w:rsid w:val="00122F06"/>
    <w:rsid w:val="0012369D"/>
    <w:rsid w:val="00124CC0"/>
    <w:rsid w:val="00132DEE"/>
    <w:rsid w:val="001335EA"/>
    <w:rsid w:val="0013475B"/>
    <w:rsid w:val="001348C9"/>
    <w:rsid w:val="00134BBD"/>
    <w:rsid w:val="00134CB6"/>
    <w:rsid w:val="001353B3"/>
    <w:rsid w:val="00136869"/>
    <w:rsid w:val="001404C9"/>
    <w:rsid w:val="00147D90"/>
    <w:rsid w:val="00147DF4"/>
    <w:rsid w:val="00150982"/>
    <w:rsid w:val="00150F49"/>
    <w:rsid w:val="00152AFB"/>
    <w:rsid w:val="00154AEA"/>
    <w:rsid w:val="00157EC1"/>
    <w:rsid w:val="00163B30"/>
    <w:rsid w:val="0016479B"/>
    <w:rsid w:val="0016650E"/>
    <w:rsid w:val="001667D9"/>
    <w:rsid w:val="00166BE4"/>
    <w:rsid w:val="00167C2C"/>
    <w:rsid w:val="00173B5E"/>
    <w:rsid w:val="0017505E"/>
    <w:rsid w:val="00175C53"/>
    <w:rsid w:val="001772B4"/>
    <w:rsid w:val="0017750A"/>
    <w:rsid w:val="00180B10"/>
    <w:rsid w:val="00181686"/>
    <w:rsid w:val="00184F8D"/>
    <w:rsid w:val="001928C2"/>
    <w:rsid w:val="00194B00"/>
    <w:rsid w:val="00195816"/>
    <w:rsid w:val="001A3204"/>
    <w:rsid w:val="001A3511"/>
    <w:rsid w:val="001A41BF"/>
    <w:rsid w:val="001A44AB"/>
    <w:rsid w:val="001A4E3D"/>
    <w:rsid w:val="001A6496"/>
    <w:rsid w:val="001B07A3"/>
    <w:rsid w:val="001B3181"/>
    <w:rsid w:val="001B5F15"/>
    <w:rsid w:val="001B7C5F"/>
    <w:rsid w:val="001C00C3"/>
    <w:rsid w:val="001C0BEB"/>
    <w:rsid w:val="001C39FB"/>
    <w:rsid w:val="001C3F3E"/>
    <w:rsid w:val="001C78FE"/>
    <w:rsid w:val="001D0A95"/>
    <w:rsid w:val="001D0BC3"/>
    <w:rsid w:val="001D1044"/>
    <w:rsid w:val="001D28EE"/>
    <w:rsid w:val="001D2A88"/>
    <w:rsid w:val="001D4C59"/>
    <w:rsid w:val="001D7EBF"/>
    <w:rsid w:val="001E024F"/>
    <w:rsid w:val="001E28F4"/>
    <w:rsid w:val="001E3A56"/>
    <w:rsid w:val="001F1963"/>
    <w:rsid w:val="001F260D"/>
    <w:rsid w:val="001F3FA0"/>
    <w:rsid w:val="001F44CB"/>
    <w:rsid w:val="001F6114"/>
    <w:rsid w:val="001F6681"/>
    <w:rsid w:val="002008EC"/>
    <w:rsid w:val="002017B3"/>
    <w:rsid w:val="00202405"/>
    <w:rsid w:val="00204310"/>
    <w:rsid w:val="0020556D"/>
    <w:rsid w:val="002069E9"/>
    <w:rsid w:val="00206B11"/>
    <w:rsid w:val="00211979"/>
    <w:rsid w:val="00214486"/>
    <w:rsid w:val="00216D28"/>
    <w:rsid w:val="0021704C"/>
    <w:rsid w:val="002175F3"/>
    <w:rsid w:val="002176F6"/>
    <w:rsid w:val="00217AD7"/>
    <w:rsid w:val="00217E77"/>
    <w:rsid w:val="00221D0B"/>
    <w:rsid w:val="00223383"/>
    <w:rsid w:val="00223FD5"/>
    <w:rsid w:val="00224F01"/>
    <w:rsid w:val="00225631"/>
    <w:rsid w:val="0022679E"/>
    <w:rsid w:val="002275A7"/>
    <w:rsid w:val="00230755"/>
    <w:rsid w:val="00233282"/>
    <w:rsid w:val="00234C45"/>
    <w:rsid w:val="00234F4D"/>
    <w:rsid w:val="002360A2"/>
    <w:rsid w:val="00236F95"/>
    <w:rsid w:val="00243266"/>
    <w:rsid w:val="00244EAE"/>
    <w:rsid w:val="002454CB"/>
    <w:rsid w:val="002470E9"/>
    <w:rsid w:val="002472E2"/>
    <w:rsid w:val="002472F9"/>
    <w:rsid w:val="0025054E"/>
    <w:rsid w:val="002530C1"/>
    <w:rsid w:val="00254079"/>
    <w:rsid w:val="00256ABB"/>
    <w:rsid w:val="00256B60"/>
    <w:rsid w:val="00256BBE"/>
    <w:rsid w:val="00257C76"/>
    <w:rsid w:val="00260048"/>
    <w:rsid w:val="0026028C"/>
    <w:rsid w:val="00262881"/>
    <w:rsid w:val="00262EBA"/>
    <w:rsid w:val="00263803"/>
    <w:rsid w:val="00264EAF"/>
    <w:rsid w:val="00265232"/>
    <w:rsid w:val="002658F5"/>
    <w:rsid w:val="00270687"/>
    <w:rsid w:val="00270D7D"/>
    <w:rsid w:val="002732C1"/>
    <w:rsid w:val="00275B16"/>
    <w:rsid w:val="0027653E"/>
    <w:rsid w:val="00277CBF"/>
    <w:rsid w:val="0028103C"/>
    <w:rsid w:val="00284E2B"/>
    <w:rsid w:val="0029005B"/>
    <w:rsid w:val="00292D77"/>
    <w:rsid w:val="00293878"/>
    <w:rsid w:val="00297598"/>
    <w:rsid w:val="00297C48"/>
    <w:rsid w:val="002A1468"/>
    <w:rsid w:val="002A17E2"/>
    <w:rsid w:val="002A31A7"/>
    <w:rsid w:val="002A3A52"/>
    <w:rsid w:val="002B03D0"/>
    <w:rsid w:val="002B2554"/>
    <w:rsid w:val="002B3B97"/>
    <w:rsid w:val="002C1AE2"/>
    <w:rsid w:val="002C2D64"/>
    <w:rsid w:val="002C307E"/>
    <w:rsid w:val="002C42A2"/>
    <w:rsid w:val="002C564D"/>
    <w:rsid w:val="002C79A9"/>
    <w:rsid w:val="002D1829"/>
    <w:rsid w:val="002D4557"/>
    <w:rsid w:val="002D5277"/>
    <w:rsid w:val="002D7A93"/>
    <w:rsid w:val="002D7B89"/>
    <w:rsid w:val="002E1B2E"/>
    <w:rsid w:val="002E2AFD"/>
    <w:rsid w:val="002E31B6"/>
    <w:rsid w:val="002E34EC"/>
    <w:rsid w:val="002E4889"/>
    <w:rsid w:val="002E5333"/>
    <w:rsid w:val="002F08D3"/>
    <w:rsid w:val="002F173C"/>
    <w:rsid w:val="002F1FD5"/>
    <w:rsid w:val="002F302B"/>
    <w:rsid w:val="002F48FE"/>
    <w:rsid w:val="002F4AB8"/>
    <w:rsid w:val="002F5995"/>
    <w:rsid w:val="002F6108"/>
    <w:rsid w:val="002F726F"/>
    <w:rsid w:val="002F79DD"/>
    <w:rsid w:val="002F7E90"/>
    <w:rsid w:val="0030192D"/>
    <w:rsid w:val="00301C3B"/>
    <w:rsid w:val="00301E3C"/>
    <w:rsid w:val="003029C2"/>
    <w:rsid w:val="00303DDF"/>
    <w:rsid w:val="0030455F"/>
    <w:rsid w:val="00304BA3"/>
    <w:rsid w:val="00306933"/>
    <w:rsid w:val="0031068A"/>
    <w:rsid w:val="00312CA1"/>
    <w:rsid w:val="003163D1"/>
    <w:rsid w:val="0031650A"/>
    <w:rsid w:val="0031661B"/>
    <w:rsid w:val="00317956"/>
    <w:rsid w:val="00317E25"/>
    <w:rsid w:val="003203F0"/>
    <w:rsid w:val="00322A9D"/>
    <w:rsid w:val="0032354B"/>
    <w:rsid w:val="0032420A"/>
    <w:rsid w:val="0033028B"/>
    <w:rsid w:val="003320A0"/>
    <w:rsid w:val="003323C3"/>
    <w:rsid w:val="003352D2"/>
    <w:rsid w:val="00335B6F"/>
    <w:rsid w:val="003377A2"/>
    <w:rsid w:val="00337AA8"/>
    <w:rsid w:val="00341A0F"/>
    <w:rsid w:val="00341FF5"/>
    <w:rsid w:val="003467F4"/>
    <w:rsid w:val="003511B2"/>
    <w:rsid w:val="003523E3"/>
    <w:rsid w:val="003532D7"/>
    <w:rsid w:val="00353FFC"/>
    <w:rsid w:val="00354D4F"/>
    <w:rsid w:val="003554BC"/>
    <w:rsid w:val="00355953"/>
    <w:rsid w:val="00357F0D"/>
    <w:rsid w:val="003631CE"/>
    <w:rsid w:val="00363736"/>
    <w:rsid w:val="00363948"/>
    <w:rsid w:val="00363C98"/>
    <w:rsid w:val="00363E7D"/>
    <w:rsid w:val="00365034"/>
    <w:rsid w:val="003674A3"/>
    <w:rsid w:val="00367A9C"/>
    <w:rsid w:val="00370A3C"/>
    <w:rsid w:val="0037297B"/>
    <w:rsid w:val="00372CE6"/>
    <w:rsid w:val="003732FB"/>
    <w:rsid w:val="003738DA"/>
    <w:rsid w:val="00373EAB"/>
    <w:rsid w:val="00374D02"/>
    <w:rsid w:val="00376630"/>
    <w:rsid w:val="00376DFD"/>
    <w:rsid w:val="00382363"/>
    <w:rsid w:val="00382F8B"/>
    <w:rsid w:val="00384672"/>
    <w:rsid w:val="00385305"/>
    <w:rsid w:val="00385E6F"/>
    <w:rsid w:val="00386455"/>
    <w:rsid w:val="00387B67"/>
    <w:rsid w:val="00390413"/>
    <w:rsid w:val="00390672"/>
    <w:rsid w:val="003927AD"/>
    <w:rsid w:val="003929A6"/>
    <w:rsid w:val="00393FF7"/>
    <w:rsid w:val="00395450"/>
    <w:rsid w:val="003A106A"/>
    <w:rsid w:val="003A1717"/>
    <w:rsid w:val="003A20CD"/>
    <w:rsid w:val="003A58B5"/>
    <w:rsid w:val="003A76EF"/>
    <w:rsid w:val="003B1858"/>
    <w:rsid w:val="003B62AF"/>
    <w:rsid w:val="003C300B"/>
    <w:rsid w:val="003C4A3C"/>
    <w:rsid w:val="003C501B"/>
    <w:rsid w:val="003C5664"/>
    <w:rsid w:val="003C765B"/>
    <w:rsid w:val="003D2AFB"/>
    <w:rsid w:val="003D3456"/>
    <w:rsid w:val="003D56F4"/>
    <w:rsid w:val="003D5C60"/>
    <w:rsid w:val="003E322F"/>
    <w:rsid w:val="003E3454"/>
    <w:rsid w:val="003E4196"/>
    <w:rsid w:val="003E5C30"/>
    <w:rsid w:val="003F0D71"/>
    <w:rsid w:val="003F1988"/>
    <w:rsid w:val="003F3A13"/>
    <w:rsid w:val="003F7BAB"/>
    <w:rsid w:val="00401672"/>
    <w:rsid w:val="004029E7"/>
    <w:rsid w:val="004050AD"/>
    <w:rsid w:val="0040579C"/>
    <w:rsid w:val="00405C74"/>
    <w:rsid w:val="00406BBC"/>
    <w:rsid w:val="00411029"/>
    <w:rsid w:val="004113DE"/>
    <w:rsid w:val="00412BEC"/>
    <w:rsid w:val="0041324A"/>
    <w:rsid w:val="00414E21"/>
    <w:rsid w:val="00415ECD"/>
    <w:rsid w:val="0041699A"/>
    <w:rsid w:val="00417236"/>
    <w:rsid w:val="00420053"/>
    <w:rsid w:val="004201C2"/>
    <w:rsid w:val="00420E5F"/>
    <w:rsid w:val="0042140B"/>
    <w:rsid w:val="004218CA"/>
    <w:rsid w:val="004225FA"/>
    <w:rsid w:val="00423F5F"/>
    <w:rsid w:val="00424F6B"/>
    <w:rsid w:val="00430AA5"/>
    <w:rsid w:val="00430C7D"/>
    <w:rsid w:val="00431BCC"/>
    <w:rsid w:val="004328A9"/>
    <w:rsid w:val="00433321"/>
    <w:rsid w:val="00433FD3"/>
    <w:rsid w:val="00434EEF"/>
    <w:rsid w:val="00435804"/>
    <w:rsid w:val="004368AB"/>
    <w:rsid w:val="0044259E"/>
    <w:rsid w:val="0044352A"/>
    <w:rsid w:val="00444979"/>
    <w:rsid w:val="00450095"/>
    <w:rsid w:val="0045031D"/>
    <w:rsid w:val="004515E9"/>
    <w:rsid w:val="00451EEE"/>
    <w:rsid w:val="00453AE3"/>
    <w:rsid w:val="00456F09"/>
    <w:rsid w:val="00457838"/>
    <w:rsid w:val="004633C1"/>
    <w:rsid w:val="00467FC7"/>
    <w:rsid w:val="00470C89"/>
    <w:rsid w:val="00471599"/>
    <w:rsid w:val="0047262A"/>
    <w:rsid w:val="004735AF"/>
    <w:rsid w:val="00476E92"/>
    <w:rsid w:val="00477A65"/>
    <w:rsid w:val="00477FE1"/>
    <w:rsid w:val="00480836"/>
    <w:rsid w:val="00481DE3"/>
    <w:rsid w:val="004828BB"/>
    <w:rsid w:val="00483BBA"/>
    <w:rsid w:val="00484E8C"/>
    <w:rsid w:val="00485044"/>
    <w:rsid w:val="00490399"/>
    <w:rsid w:val="00491D70"/>
    <w:rsid w:val="00492277"/>
    <w:rsid w:val="004931EA"/>
    <w:rsid w:val="00493E63"/>
    <w:rsid w:val="0049529B"/>
    <w:rsid w:val="00495B5F"/>
    <w:rsid w:val="004964BC"/>
    <w:rsid w:val="00496E2E"/>
    <w:rsid w:val="004977BC"/>
    <w:rsid w:val="004A01FB"/>
    <w:rsid w:val="004A1453"/>
    <w:rsid w:val="004A44D4"/>
    <w:rsid w:val="004A4B9C"/>
    <w:rsid w:val="004A4CF9"/>
    <w:rsid w:val="004A54F1"/>
    <w:rsid w:val="004B1F72"/>
    <w:rsid w:val="004B31F5"/>
    <w:rsid w:val="004B463C"/>
    <w:rsid w:val="004B526D"/>
    <w:rsid w:val="004B64C3"/>
    <w:rsid w:val="004B7FC4"/>
    <w:rsid w:val="004C1C62"/>
    <w:rsid w:val="004C3963"/>
    <w:rsid w:val="004C3D91"/>
    <w:rsid w:val="004C4BE1"/>
    <w:rsid w:val="004C7B9A"/>
    <w:rsid w:val="004D0591"/>
    <w:rsid w:val="004D2C81"/>
    <w:rsid w:val="004D6E2C"/>
    <w:rsid w:val="004E05D3"/>
    <w:rsid w:val="004E2325"/>
    <w:rsid w:val="004E2B6A"/>
    <w:rsid w:val="004E3A08"/>
    <w:rsid w:val="004E56EF"/>
    <w:rsid w:val="004F005F"/>
    <w:rsid w:val="004F0168"/>
    <w:rsid w:val="004F442A"/>
    <w:rsid w:val="004F4912"/>
    <w:rsid w:val="004F6327"/>
    <w:rsid w:val="00502B2D"/>
    <w:rsid w:val="0051145A"/>
    <w:rsid w:val="00512862"/>
    <w:rsid w:val="00512EC7"/>
    <w:rsid w:val="005132A4"/>
    <w:rsid w:val="0051360A"/>
    <w:rsid w:val="0051387B"/>
    <w:rsid w:val="005143B1"/>
    <w:rsid w:val="0051705F"/>
    <w:rsid w:val="00522526"/>
    <w:rsid w:val="005225C3"/>
    <w:rsid w:val="0052378B"/>
    <w:rsid w:val="00523D23"/>
    <w:rsid w:val="005248E8"/>
    <w:rsid w:val="00524942"/>
    <w:rsid w:val="0052501A"/>
    <w:rsid w:val="0052603A"/>
    <w:rsid w:val="005309DC"/>
    <w:rsid w:val="00531913"/>
    <w:rsid w:val="00531CA0"/>
    <w:rsid w:val="00531E92"/>
    <w:rsid w:val="00532B30"/>
    <w:rsid w:val="0053330B"/>
    <w:rsid w:val="00535A08"/>
    <w:rsid w:val="00535FF2"/>
    <w:rsid w:val="00536A23"/>
    <w:rsid w:val="005370D1"/>
    <w:rsid w:val="00537112"/>
    <w:rsid w:val="00542BA8"/>
    <w:rsid w:val="00542D22"/>
    <w:rsid w:val="005462DA"/>
    <w:rsid w:val="00546B43"/>
    <w:rsid w:val="00547F9E"/>
    <w:rsid w:val="0055118F"/>
    <w:rsid w:val="00555284"/>
    <w:rsid w:val="00555CB4"/>
    <w:rsid w:val="00560F59"/>
    <w:rsid w:val="00562874"/>
    <w:rsid w:val="00563DF1"/>
    <w:rsid w:val="00565187"/>
    <w:rsid w:val="00566277"/>
    <w:rsid w:val="00567D11"/>
    <w:rsid w:val="005716CA"/>
    <w:rsid w:val="00573F98"/>
    <w:rsid w:val="00576BA1"/>
    <w:rsid w:val="0057742B"/>
    <w:rsid w:val="00581954"/>
    <w:rsid w:val="005825A5"/>
    <w:rsid w:val="005841ED"/>
    <w:rsid w:val="00584BCC"/>
    <w:rsid w:val="005912F5"/>
    <w:rsid w:val="005979A0"/>
    <w:rsid w:val="00597E6B"/>
    <w:rsid w:val="005A4D63"/>
    <w:rsid w:val="005B413F"/>
    <w:rsid w:val="005B4235"/>
    <w:rsid w:val="005B586E"/>
    <w:rsid w:val="005B7951"/>
    <w:rsid w:val="005C194A"/>
    <w:rsid w:val="005C1F1F"/>
    <w:rsid w:val="005C4BB6"/>
    <w:rsid w:val="005D0767"/>
    <w:rsid w:val="005D122A"/>
    <w:rsid w:val="005D18FC"/>
    <w:rsid w:val="005D5E88"/>
    <w:rsid w:val="005D729A"/>
    <w:rsid w:val="005E3A27"/>
    <w:rsid w:val="005E3ABD"/>
    <w:rsid w:val="005E6874"/>
    <w:rsid w:val="005F0C99"/>
    <w:rsid w:val="005F1188"/>
    <w:rsid w:val="005F18E2"/>
    <w:rsid w:val="005F2BD4"/>
    <w:rsid w:val="005F319A"/>
    <w:rsid w:val="005F4582"/>
    <w:rsid w:val="005F63C6"/>
    <w:rsid w:val="005F7043"/>
    <w:rsid w:val="005F72B4"/>
    <w:rsid w:val="00601F37"/>
    <w:rsid w:val="00603066"/>
    <w:rsid w:val="006031FB"/>
    <w:rsid w:val="00603E23"/>
    <w:rsid w:val="0060451D"/>
    <w:rsid w:val="0060520D"/>
    <w:rsid w:val="00605DF4"/>
    <w:rsid w:val="00606772"/>
    <w:rsid w:val="00607999"/>
    <w:rsid w:val="00610902"/>
    <w:rsid w:val="0061165F"/>
    <w:rsid w:val="00611B6F"/>
    <w:rsid w:val="0061204A"/>
    <w:rsid w:val="006241F6"/>
    <w:rsid w:val="0062536C"/>
    <w:rsid w:val="00626B2D"/>
    <w:rsid w:val="0063143D"/>
    <w:rsid w:val="006325C2"/>
    <w:rsid w:val="00633C96"/>
    <w:rsid w:val="006342E3"/>
    <w:rsid w:val="00635043"/>
    <w:rsid w:val="0063615F"/>
    <w:rsid w:val="006371E7"/>
    <w:rsid w:val="00637F37"/>
    <w:rsid w:val="00637FA3"/>
    <w:rsid w:val="006402F5"/>
    <w:rsid w:val="00640B84"/>
    <w:rsid w:val="00642054"/>
    <w:rsid w:val="006435C4"/>
    <w:rsid w:val="00644E06"/>
    <w:rsid w:val="00647752"/>
    <w:rsid w:val="0065089D"/>
    <w:rsid w:val="006510E5"/>
    <w:rsid w:val="00651FFA"/>
    <w:rsid w:val="00652824"/>
    <w:rsid w:val="00654D85"/>
    <w:rsid w:val="00655A1C"/>
    <w:rsid w:val="006610DC"/>
    <w:rsid w:val="00662561"/>
    <w:rsid w:val="0066482B"/>
    <w:rsid w:val="00671590"/>
    <w:rsid w:val="00674A6F"/>
    <w:rsid w:val="00677311"/>
    <w:rsid w:val="00681EE3"/>
    <w:rsid w:val="00683347"/>
    <w:rsid w:val="006837FA"/>
    <w:rsid w:val="00690ABB"/>
    <w:rsid w:val="00690BB9"/>
    <w:rsid w:val="006933F4"/>
    <w:rsid w:val="00694014"/>
    <w:rsid w:val="00694454"/>
    <w:rsid w:val="00694BA2"/>
    <w:rsid w:val="00695FA7"/>
    <w:rsid w:val="006A0D87"/>
    <w:rsid w:val="006A0F53"/>
    <w:rsid w:val="006A3238"/>
    <w:rsid w:val="006A3A91"/>
    <w:rsid w:val="006A42F4"/>
    <w:rsid w:val="006A642C"/>
    <w:rsid w:val="006A77CF"/>
    <w:rsid w:val="006B0235"/>
    <w:rsid w:val="006B0EC8"/>
    <w:rsid w:val="006B0EF1"/>
    <w:rsid w:val="006B3AB5"/>
    <w:rsid w:val="006B4992"/>
    <w:rsid w:val="006C0F8F"/>
    <w:rsid w:val="006C2501"/>
    <w:rsid w:val="006C2A25"/>
    <w:rsid w:val="006C5651"/>
    <w:rsid w:val="006C5670"/>
    <w:rsid w:val="006C5D06"/>
    <w:rsid w:val="006D2672"/>
    <w:rsid w:val="006D62F9"/>
    <w:rsid w:val="006D7A33"/>
    <w:rsid w:val="006E0286"/>
    <w:rsid w:val="006E1200"/>
    <w:rsid w:val="006E1C0E"/>
    <w:rsid w:val="006E2DC0"/>
    <w:rsid w:val="006E35D3"/>
    <w:rsid w:val="006E3CE6"/>
    <w:rsid w:val="006E4CB4"/>
    <w:rsid w:val="006E5441"/>
    <w:rsid w:val="006E5E0A"/>
    <w:rsid w:val="006E72EF"/>
    <w:rsid w:val="006F0940"/>
    <w:rsid w:val="006F2F45"/>
    <w:rsid w:val="006F370C"/>
    <w:rsid w:val="006F397F"/>
    <w:rsid w:val="006F3F0C"/>
    <w:rsid w:val="006F48CD"/>
    <w:rsid w:val="006F5477"/>
    <w:rsid w:val="006F6419"/>
    <w:rsid w:val="006F6AAC"/>
    <w:rsid w:val="00700A28"/>
    <w:rsid w:val="00701951"/>
    <w:rsid w:val="00702670"/>
    <w:rsid w:val="007057BE"/>
    <w:rsid w:val="00705AC5"/>
    <w:rsid w:val="00705E5A"/>
    <w:rsid w:val="00706302"/>
    <w:rsid w:val="0071012F"/>
    <w:rsid w:val="007136CE"/>
    <w:rsid w:val="00713B27"/>
    <w:rsid w:val="00714480"/>
    <w:rsid w:val="007151F8"/>
    <w:rsid w:val="007167AD"/>
    <w:rsid w:val="00720E4E"/>
    <w:rsid w:val="00720EB3"/>
    <w:rsid w:val="00722120"/>
    <w:rsid w:val="00722821"/>
    <w:rsid w:val="00723072"/>
    <w:rsid w:val="0072380E"/>
    <w:rsid w:val="00725CF3"/>
    <w:rsid w:val="007263A3"/>
    <w:rsid w:val="00727198"/>
    <w:rsid w:val="00727F0B"/>
    <w:rsid w:val="00731799"/>
    <w:rsid w:val="00731FC2"/>
    <w:rsid w:val="007325AA"/>
    <w:rsid w:val="0073274A"/>
    <w:rsid w:val="00732D88"/>
    <w:rsid w:val="00734955"/>
    <w:rsid w:val="00734CEF"/>
    <w:rsid w:val="00735467"/>
    <w:rsid w:val="0073551B"/>
    <w:rsid w:val="00736984"/>
    <w:rsid w:val="00736D50"/>
    <w:rsid w:val="0074252A"/>
    <w:rsid w:val="007443FF"/>
    <w:rsid w:val="00744E28"/>
    <w:rsid w:val="00745FE2"/>
    <w:rsid w:val="00750171"/>
    <w:rsid w:val="00750D63"/>
    <w:rsid w:val="00751318"/>
    <w:rsid w:val="00752A5F"/>
    <w:rsid w:val="00756AFD"/>
    <w:rsid w:val="00756E74"/>
    <w:rsid w:val="007570C8"/>
    <w:rsid w:val="00760C4D"/>
    <w:rsid w:val="00761D08"/>
    <w:rsid w:val="00762908"/>
    <w:rsid w:val="007653AC"/>
    <w:rsid w:val="00767E3F"/>
    <w:rsid w:val="0077180D"/>
    <w:rsid w:val="00773A46"/>
    <w:rsid w:val="007745F7"/>
    <w:rsid w:val="00775DC8"/>
    <w:rsid w:val="0077725E"/>
    <w:rsid w:val="007826CB"/>
    <w:rsid w:val="00783BF8"/>
    <w:rsid w:val="007846A5"/>
    <w:rsid w:val="00785DDF"/>
    <w:rsid w:val="00786450"/>
    <w:rsid w:val="00786DCE"/>
    <w:rsid w:val="00787752"/>
    <w:rsid w:val="007920EE"/>
    <w:rsid w:val="007940B5"/>
    <w:rsid w:val="00794CCC"/>
    <w:rsid w:val="0079547C"/>
    <w:rsid w:val="00795562"/>
    <w:rsid w:val="00796932"/>
    <w:rsid w:val="007971FB"/>
    <w:rsid w:val="007A0900"/>
    <w:rsid w:val="007A110F"/>
    <w:rsid w:val="007A1E85"/>
    <w:rsid w:val="007A483F"/>
    <w:rsid w:val="007A5E50"/>
    <w:rsid w:val="007A6BB8"/>
    <w:rsid w:val="007A7406"/>
    <w:rsid w:val="007A7B24"/>
    <w:rsid w:val="007B03C1"/>
    <w:rsid w:val="007B0FE9"/>
    <w:rsid w:val="007B2B4B"/>
    <w:rsid w:val="007B5270"/>
    <w:rsid w:val="007C2E4B"/>
    <w:rsid w:val="007C4494"/>
    <w:rsid w:val="007C7124"/>
    <w:rsid w:val="007C78CF"/>
    <w:rsid w:val="007D1F7B"/>
    <w:rsid w:val="007D2ECB"/>
    <w:rsid w:val="007D6985"/>
    <w:rsid w:val="007D7E19"/>
    <w:rsid w:val="007E1B56"/>
    <w:rsid w:val="007E3E39"/>
    <w:rsid w:val="007F077D"/>
    <w:rsid w:val="007F5A77"/>
    <w:rsid w:val="00805A46"/>
    <w:rsid w:val="00806127"/>
    <w:rsid w:val="00806C06"/>
    <w:rsid w:val="008077D1"/>
    <w:rsid w:val="00810972"/>
    <w:rsid w:val="008112AC"/>
    <w:rsid w:val="008132D1"/>
    <w:rsid w:val="008137D1"/>
    <w:rsid w:val="00813DC0"/>
    <w:rsid w:val="00814031"/>
    <w:rsid w:val="00814F1F"/>
    <w:rsid w:val="00816D4E"/>
    <w:rsid w:val="00820937"/>
    <w:rsid w:val="00821AC1"/>
    <w:rsid w:val="00824E1F"/>
    <w:rsid w:val="0082674A"/>
    <w:rsid w:val="00827F11"/>
    <w:rsid w:val="00831D6F"/>
    <w:rsid w:val="00831F84"/>
    <w:rsid w:val="00833EF5"/>
    <w:rsid w:val="008343CC"/>
    <w:rsid w:val="008347F7"/>
    <w:rsid w:val="00835ADA"/>
    <w:rsid w:val="00835CCC"/>
    <w:rsid w:val="00835EB7"/>
    <w:rsid w:val="008365EB"/>
    <w:rsid w:val="00837821"/>
    <w:rsid w:val="00841FA1"/>
    <w:rsid w:val="00842E09"/>
    <w:rsid w:val="00842F5D"/>
    <w:rsid w:val="00843532"/>
    <w:rsid w:val="00843717"/>
    <w:rsid w:val="00843AF2"/>
    <w:rsid w:val="00844A31"/>
    <w:rsid w:val="00845C44"/>
    <w:rsid w:val="008532F4"/>
    <w:rsid w:val="00854036"/>
    <w:rsid w:val="00855605"/>
    <w:rsid w:val="00856172"/>
    <w:rsid w:val="0086237A"/>
    <w:rsid w:val="00864B99"/>
    <w:rsid w:val="008673BC"/>
    <w:rsid w:val="00870062"/>
    <w:rsid w:val="0087052C"/>
    <w:rsid w:val="008730A6"/>
    <w:rsid w:val="008737B8"/>
    <w:rsid w:val="00875D03"/>
    <w:rsid w:val="008760B4"/>
    <w:rsid w:val="00877B2C"/>
    <w:rsid w:val="008803DD"/>
    <w:rsid w:val="00882CCE"/>
    <w:rsid w:val="00884CF1"/>
    <w:rsid w:val="0089051D"/>
    <w:rsid w:val="00893889"/>
    <w:rsid w:val="00893DD4"/>
    <w:rsid w:val="00896FCE"/>
    <w:rsid w:val="008A2C0A"/>
    <w:rsid w:val="008A5067"/>
    <w:rsid w:val="008A64E5"/>
    <w:rsid w:val="008A760E"/>
    <w:rsid w:val="008A7C71"/>
    <w:rsid w:val="008B1873"/>
    <w:rsid w:val="008B59A3"/>
    <w:rsid w:val="008C2518"/>
    <w:rsid w:val="008C3565"/>
    <w:rsid w:val="008C3E07"/>
    <w:rsid w:val="008C6E47"/>
    <w:rsid w:val="008C78DF"/>
    <w:rsid w:val="008D0AEB"/>
    <w:rsid w:val="008D2F52"/>
    <w:rsid w:val="008D3550"/>
    <w:rsid w:val="008D41B8"/>
    <w:rsid w:val="008D5D27"/>
    <w:rsid w:val="008D65B3"/>
    <w:rsid w:val="008D76EE"/>
    <w:rsid w:val="008E0408"/>
    <w:rsid w:val="008E0A3F"/>
    <w:rsid w:val="008E1640"/>
    <w:rsid w:val="008E17A2"/>
    <w:rsid w:val="008E196D"/>
    <w:rsid w:val="008E38F0"/>
    <w:rsid w:val="008E720D"/>
    <w:rsid w:val="008E7B56"/>
    <w:rsid w:val="008F3A1E"/>
    <w:rsid w:val="008F6551"/>
    <w:rsid w:val="008F7DC1"/>
    <w:rsid w:val="0090023A"/>
    <w:rsid w:val="0090469C"/>
    <w:rsid w:val="00904754"/>
    <w:rsid w:val="00906C45"/>
    <w:rsid w:val="00911229"/>
    <w:rsid w:val="00913443"/>
    <w:rsid w:val="00914B82"/>
    <w:rsid w:val="00916B61"/>
    <w:rsid w:val="00920702"/>
    <w:rsid w:val="009209DF"/>
    <w:rsid w:val="00924B62"/>
    <w:rsid w:val="00926A27"/>
    <w:rsid w:val="009276E2"/>
    <w:rsid w:val="009328F6"/>
    <w:rsid w:val="00933732"/>
    <w:rsid w:val="00933EE4"/>
    <w:rsid w:val="00933F95"/>
    <w:rsid w:val="009344E5"/>
    <w:rsid w:val="00937670"/>
    <w:rsid w:val="00940046"/>
    <w:rsid w:val="009414CE"/>
    <w:rsid w:val="00942147"/>
    <w:rsid w:val="00942C09"/>
    <w:rsid w:val="0094750B"/>
    <w:rsid w:val="0094799F"/>
    <w:rsid w:val="0095234E"/>
    <w:rsid w:val="00954CCD"/>
    <w:rsid w:val="0095552C"/>
    <w:rsid w:val="009567A8"/>
    <w:rsid w:val="00956A58"/>
    <w:rsid w:val="00956E86"/>
    <w:rsid w:val="0095744C"/>
    <w:rsid w:val="009618FC"/>
    <w:rsid w:val="00962678"/>
    <w:rsid w:val="00963933"/>
    <w:rsid w:val="00963C26"/>
    <w:rsid w:val="0096506A"/>
    <w:rsid w:val="00965914"/>
    <w:rsid w:val="0096714A"/>
    <w:rsid w:val="0097107D"/>
    <w:rsid w:val="009728D7"/>
    <w:rsid w:val="009738BA"/>
    <w:rsid w:val="00974EC7"/>
    <w:rsid w:val="009762C9"/>
    <w:rsid w:val="00976A7B"/>
    <w:rsid w:val="0098180C"/>
    <w:rsid w:val="00981AD9"/>
    <w:rsid w:val="00993F24"/>
    <w:rsid w:val="00995180"/>
    <w:rsid w:val="00995459"/>
    <w:rsid w:val="009976E5"/>
    <w:rsid w:val="009A0D38"/>
    <w:rsid w:val="009A0EB7"/>
    <w:rsid w:val="009A3E6E"/>
    <w:rsid w:val="009A3ED5"/>
    <w:rsid w:val="009A4AC5"/>
    <w:rsid w:val="009A5EA0"/>
    <w:rsid w:val="009B0938"/>
    <w:rsid w:val="009B4FF8"/>
    <w:rsid w:val="009B50A3"/>
    <w:rsid w:val="009B53C6"/>
    <w:rsid w:val="009B6018"/>
    <w:rsid w:val="009B62EE"/>
    <w:rsid w:val="009B747F"/>
    <w:rsid w:val="009B7486"/>
    <w:rsid w:val="009C7BF3"/>
    <w:rsid w:val="009D2282"/>
    <w:rsid w:val="009D28F6"/>
    <w:rsid w:val="009D314E"/>
    <w:rsid w:val="009D682F"/>
    <w:rsid w:val="009E3D78"/>
    <w:rsid w:val="009E4BC3"/>
    <w:rsid w:val="009E7E92"/>
    <w:rsid w:val="009F0AC1"/>
    <w:rsid w:val="009F1517"/>
    <w:rsid w:val="009F18A1"/>
    <w:rsid w:val="009F446D"/>
    <w:rsid w:val="009F501E"/>
    <w:rsid w:val="009F5998"/>
    <w:rsid w:val="009F74E7"/>
    <w:rsid w:val="009F7BD9"/>
    <w:rsid w:val="00A01379"/>
    <w:rsid w:val="00A0160E"/>
    <w:rsid w:val="00A03137"/>
    <w:rsid w:val="00A03CC4"/>
    <w:rsid w:val="00A04C9D"/>
    <w:rsid w:val="00A0585F"/>
    <w:rsid w:val="00A064C8"/>
    <w:rsid w:val="00A06C4A"/>
    <w:rsid w:val="00A07AB0"/>
    <w:rsid w:val="00A10582"/>
    <w:rsid w:val="00A12207"/>
    <w:rsid w:val="00A137FA"/>
    <w:rsid w:val="00A147C5"/>
    <w:rsid w:val="00A148BB"/>
    <w:rsid w:val="00A14B06"/>
    <w:rsid w:val="00A215D0"/>
    <w:rsid w:val="00A21A25"/>
    <w:rsid w:val="00A21FBA"/>
    <w:rsid w:val="00A23E57"/>
    <w:rsid w:val="00A264AC"/>
    <w:rsid w:val="00A272AC"/>
    <w:rsid w:val="00A27E32"/>
    <w:rsid w:val="00A321D4"/>
    <w:rsid w:val="00A34544"/>
    <w:rsid w:val="00A42188"/>
    <w:rsid w:val="00A425FC"/>
    <w:rsid w:val="00A44F64"/>
    <w:rsid w:val="00A46DE0"/>
    <w:rsid w:val="00A50659"/>
    <w:rsid w:val="00A5123E"/>
    <w:rsid w:val="00A51C7E"/>
    <w:rsid w:val="00A52846"/>
    <w:rsid w:val="00A53DB3"/>
    <w:rsid w:val="00A54406"/>
    <w:rsid w:val="00A561F5"/>
    <w:rsid w:val="00A619D8"/>
    <w:rsid w:val="00A61B38"/>
    <w:rsid w:val="00A61B4E"/>
    <w:rsid w:val="00A622AA"/>
    <w:rsid w:val="00A63E13"/>
    <w:rsid w:val="00A64F52"/>
    <w:rsid w:val="00A67F93"/>
    <w:rsid w:val="00A70254"/>
    <w:rsid w:val="00A70B43"/>
    <w:rsid w:val="00A70E8D"/>
    <w:rsid w:val="00A70FDC"/>
    <w:rsid w:val="00A718FF"/>
    <w:rsid w:val="00A721A7"/>
    <w:rsid w:val="00A72677"/>
    <w:rsid w:val="00A74AAC"/>
    <w:rsid w:val="00A7596C"/>
    <w:rsid w:val="00A759AC"/>
    <w:rsid w:val="00A75D02"/>
    <w:rsid w:val="00A767A9"/>
    <w:rsid w:val="00A76C40"/>
    <w:rsid w:val="00A771FA"/>
    <w:rsid w:val="00A776E0"/>
    <w:rsid w:val="00A8191D"/>
    <w:rsid w:val="00A8217C"/>
    <w:rsid w:val="00A82517"/>
    <w:rsid w:val="00A82B53"/>
    <w:rsid w:val="00A82EB6"/>
    <w:rsid w:val="00A83B4C"/>
    <w:rsid w:val="00A83F2E"/>
    <w:rsid w:val="00A84436"/>
    <w:rsid w:val="00A86E8E"/>
    <w:rsid w:val="00A9103A"/>
    <w:rsid w:val="00A929FF"/>
    <w:rsid w:val="00A94009"/>
    <w:rsid w:val="00A94C72"/>
    <w:rsid w:val="00AA13EC"/>
    <w:rsid w:val="00AA1E5F"/>
    <w:rsid w:val="00AA1E85"/>
    <w:rsid w:val="00AA373B"/>
    <w:rsid w:val="00AA46E9"/>
    <w:rsid w:val="00AA5318"/>
    <w:rsid w:val="00AA5B4B"/>
    <w:rsid w:val="00AA77AA"/>
    <w:rsid w:val="00AB18FD"/>
    <w:rsid w:val="00AB2AF7"/>
    <w:rsid w:val="00AB3870"/>
    <w:rsid w:val="00AC1CCD"/>
    <w:rsid w:val="00AC6811"/>
    <w:rsid w:val="00AD0607"/>
    <w:rsid w:val="00AD0998"/>
    <w:rsid w:val="00AD148F"/>
    <w:rsid w:val="00AD35E9"/>
    <w:rsid w:val="00AD692B"/>
    <w:rsid w:val="00AD6A2E"/>
    <w:rsid w:val="00AE0484"/>
    <w:rsid w:val="00AE1968"/>
    <w:rsid w:val="00AE20D9"/>
    <w:rsid w:val="00AE2A91"/>
    <w:rsid w:val="00AE3C7B"/>
    <w:rsid w:val="00AE5BF1"/>
    <w:rsid w:val="00AF662D"/>
    <w:rsid w:val="00AF7755"/>
    <w:rsid w:val="00AF7A57"/>
    <w:rsid w:val="00B002F8"/>
    <w:rsid w:val="00B02200"/>
    <w:rsid w:val="00B02741"/>
    <w:rsid w:val="00B02B78"/>
    <w:rsid w:val="00B03D8A"/>
    <w:rsid w:val="00B064D3"/>
    <w:rsid w:val="00B11C6C"/>
    <w:rsid w:val="00B12E0F"/>
    <w:rsid w:val="00B12F92"/>
    <w:rsid w:val="00B136A6"/>
    <w:rsid w:val="00B15785"/>
    <w:rsid w:val="00B16240"/>
    <w:rsid w:val="00B1779D"/>
    <w:rsid w:val="00B22FB4"/>
    <w:rsid w:val="00B247B5"/>
    <w:rsid w:val="00B24C85"/>
    <w:rsid w:val="00B27BC7"/>
    <w:rsid w:val="00B3123E"/>
    <w:rsid w:val="00B32F48"/>
    <w:rsid w:val="00B34343"/>
    <w:rsid w:val="00B35131"/>
    <w:rsid w:val="00B378C1"/>
    <w:rsid w:val="00B41050"/>
    <w:rsid w:val="00B41193"/>
    <w:rsid w:val="00B41280"/>
    <w:rsid w:val="00B41649"/>
    <w:rsid w:val="00B416D3"/>
    <w:rsid w:val="00B437BB"/>
    <w:rsid w:val="00B43AA5"/>
    <w:rsid w:val="00B43E20"/>
    <w:rsid w:val="00B513F3"/>
    <w:rsid w:val="00B52AB0"/>
    <w:rsid w:val="00B53990"/>
    <w:rsid w:val="00B552BA"/>
    <w:rsid w:val="00B56B84"/>
    <w:rsid w:val="00B5744F"/>
    <w:rsid w:val="00B57C7A"/>
    <w:rsid w:val="00B60DAD"/>
    <w:rsid w:val="00B64904"/>
    <w:rsid w:val="00B65D78"/>
    <w:rsid w:val="00B66969"/>
    <w:rsid w:val="00B66D4F"/>
    <w:rsid w:val="00B706CA"/>
    <w:rsid w:val="00B7216E"/>
    <w:rsid w:val="00B74052"/>
    <w:rsid w:val="00B75310"/>
    <w:rsid w:val="00B7796A"/>
    <w:rsid w:val="00B81F31"/>
    <w:rsid w:val="00B84609"/>
    <w:rsid w:val="00B853DD"/>
    <w:rsid w:val="00B85556"/>
    <w:rsid w:val="00B86714"/>
    <w:rsid w:val="00B86AA6"/>
    <w:rsid w:val="00B87235"/>
    <w:rsid w:val="00B903DB"/>
    <w:rsid w:val="00B9305B"/>
    <w:rsid w:val="00B93BB8"/>
    <w:rsid w:val="00B9403A"/>
    <w:rsid w:val="00BA0E4B"/>
    <w:rsid w:val="00BA2A26"/>
    <w:rsid w:val="00BA5E23"/>
    <w:rsid w:val="00BA5E86"/>
    <w:rsid w:val="00BA64E8"/>
    <w:rsid w:val="00BA7F26"/>
    <w:rsid w:val="00BB32A2"/>
    <w:rsid w:val="00BB5E5C"/>
    <w:rsid w:val="00BC085C"/>
    <w:rsid w:val="00BC444B"/>
    <w:rsid w:val="00BC4C53"/>
    <w:rsid w:val="00BC4E7B"/>
    <w:rsid w:val="00BC5309"/>
    <w:rsid w:val="00BC71A3"/>
    <w:rsid w:val="00BD295D"/>
    <w:rsid w:val="00BD304F"/>
    <w:rsid w:val="00BD3287"/>
    <w:rsid w:val="00BD3EED"/>
    <w:rsid w:val="00BD4EE4"/>
    <w:rsid w:val="00BD6FF1"/>
    <w:rsid w:val="00BD7B25"/>
    <w:rsid w:val="00BD7FA2"/>
    <w:rsid w:val="00BE305C"/>
    <w:rsid w:val="00BE3734"/>
    <w:rsid w:val="00BE47E7"/>
    <w:rsid w:val="00BE4AB6"/>
    <w:rsid w:val="00BE5D7D"/>
    <w:rsid w:val="00BF0477"/>
    <w:rsid w:val="00BF1782"/>
    <w:rsid w:val="00BF68EA"/>
    <w:rsid w:val="00BF78CB"/>
    <w:rsid w:val="00BF78D6"/>
    <w:rsid w:val="00C00EFB"/>
    <w:rsid w:val="00C02602"/>
    <w:rsid w:val="00C03F1C"/>
    <w:rsid w:val="00C041FD"/>
    <w:rsid w:val="00C04D41"/>
    <w:rsid w:val="00C05A82"/>
    <w:rsid w:val="00C063BF"/>
    <w:rsid w:val="00C07BAB"/>
    <w:rsid w:val="00C10CBA"/>
    <w:rsid w:val="00C10D13"/>
    <w:rsid w:val="00C11AFB"/>
    <w:rsid w:val="00C13B7E"/>
    <w:rsid w:val="00C13DC3"/>
    <w:rsid w:val="00C1414F"/>
    <w:rsid w:val="00C15250"/>
    <w:rsid w:val="00C20620"/>
    <w:rsid w:val="00C20E49"/>
    <w:rsid w:val="00C21065"/>
    <w:rsid w:val="00C21CEF"/>
    <w:rsid w:val="00C2218F"/>
    <w:rsid w:val="00C22FF5"/>
    <w:rsid w:val="00C2435C"/>
    <w:rsid w:val="00C2479D"/>
    <w:rsid w:val="00C255BD"/>
    <w:rsid w:val="00C264A8"/>
    <w:rsid w:val="00C27C4C"/>
    <w:rsid w:val="00C31A52"/>
    <w:rsid w:val="00C349D4"/>
    <w:rsid w:val="00C35C9D"/>
    <w:rsid w:val="00C3760E"/>
    <w:rsid w:val="00C4018A"/>
    <w:rsid w:val="00C40253"/>
    <w:rsid w:val="00C43E24"/>
    <w:rsid w:val="00C44816"/>
    <w:rsid w:val="00C469E1"/>
    <w:rsid w:val="00C4738E"/>
    <w:rsid w:val="00C522EC"/>
    <w:rsid w:val="00C5449B"/>
    <w:rsid w:val="00C54DB6"/>
    <w:rsid w:val="00C55FA4"/>
    <w:rsid w:val="00C5785C"/>
    <w:rsid w:val="00C611C5"/>
    <w:rsid w:val="00C63013"/>
    <w:rsid w:val="00C632E3"/>
    <w:rsid w:val="00C64552"/>
    <w:rsid w:val="00C64AD2"/>
    <w:rsid w:val="00C67BB1"/>
    <w:rsid w:val="00C7040D"/>
    <w:rsid w:val="00C70DBC"/>
    <w:rsid w:val="00C7618D"/>
    <w:rsid w:val="00C8093E"/>
    <w:rsid w:val="00C81E3A"/>
    <w:rsid w:val="00C858F8"/>
    <w:rsid w:val="00C92935"/>
    <w:rsid w:val="00C92E23"/>
    <w:rsid w:val="00C93AD0"/>
    <w:rsid w:val="00C93E20"/>
    <w:rsid w:val="00C94582"/>
    <w:rsid w:val="00C97572"/>
    <w:rsid w:val="00CA09EA"/>
    <w:rsid w:val="00CA2746"/>
    <w:rsid w:val="00CA2CC1"/>
    <w:rsid w:val="00CA6A7C"/>
    <w:rsid w:val="00CA71CD"/>
    <w:rsid w:val="00CB23EC"/>
    <w:rsid w:val="00CB3264"/>
    <w:rsid w:val="00CB4F02"/>
    <w:rsid w:val="00CB51EE"/>
    <w:rsid w:val="00CB7900"/>
    <w:rsid w:val="00CB7D1C"/>
    <w:rsid w:val="00CB7ECD"/>
    <w:rsid w:val="00CC2C33"/>
    <w:rsid w:val="00CC44D0"/>
    <w:rsid w:val="00CC4C82"/>
    <w:rsid w:val="00CC4F87"/>
    <w:rsid w:val="00CC6239"/>
    <w:rsid w:val="00CC7BAF"/>
    <w:rsid w:val="00CC7DAC"/>
    <w:rsid w:val="00CD0BDF"/>
    <w:rsid w:val="00CD1CD9"/>
    <w:rsid w:val="00CD4290"/>
    <w:rsid w:val="00CD45BE"/>
    <w:rsid w:val="00CD4CA9"/>
    <w:rsid w:val="00CD657E"/>
    <w:rsid w:val="00CE0067"/>
    <w:rsid w:val="00CE2497"/>
    <w:rsid w:val="00CE2EA0"/>
    <w:rsid w:val="00CE3094"/>
    <w:rsid w:val="00CE53E2"/>
    <w:rsid w:val="00CE604F"/>
    <w:rsid w:val="00CF0069"/>
    <w:rsid w:val="00CF0199"/>
    <w:rsid w:val="00CF4D6A"/>
    <w:rsid w:val="00CF78DB"/>
    <w:rsid w:val="00D01070"/>
    <w:rsid w:val="00D01AFE"/>
    <w:rsid w:val="00D01D4F"/>
    <w:rsid w:val="00D01DE1"/>
    <w:rsid w:val="00D01FA1"/>
    <w:rsid w:val="00D03D65"/>
    <w:rsid w:val="00D07165"/>
    <w:rsid w:val="00D11C09"/>
    <w:rsid w:val="00D128A0"/>
    <w:rsid w:val="00D1429F"/>
    <w:rsid w:val="00D17033"/>
    <w:rsid w:val="00D17CC8"/>
    <w:rsid w:val="00D200D3"/>
    <w:rsid w:val="00D20366"/>
    <w:rsid w:val="00D20550"/>
    <w:rsid w:val="00D22F1B"/>
    <w:rsid w:val="00D253FC"/>
    <w:rsid w:val="00D26C4D"/>
    <w:rsid w:val="00D30C96"/>
    <w:rsid w:val="00D325E8"/>
    <w:rsid w:val="00D360DA"/>
    <w:rsid w:val="00D36855"/>
    <w:rsid w:val="00D371CD"/>
    <w:rsid w:val="00D42209"/>
    <w:rsid w:val="00D43574"/>
    <w:rsid w:val="00D437C3"/>
    <w:rsid w:val="00D43F4F"/>
    <w:rsid w:val="00D43FBA"/>
    <w:rsid w:val="00D4410D"/>
    <w:rsid w:val="00D45A23"/>
    <w:rsid w:val="00D45A6F"/>
    <w:rsid w:val="00D47429"/>
    <w:rsid w:val="00D47BD8"/>
    <w:rsid w:val="00D535D2"/>
    <w:rsid w:val="00D536AA"/>
    <w:rsid w:val="00D54098"/>
    <w:rsid w:val="00D56FD6"/>
    <w:rsid w:val="00D612D2"/>
    <w:rsid w:val="00D66634"/>
    <w:rsid w:val="00D701DC"/>
    <w:rsid w:val="00D75D00"/>
    <w:rsid w:val="00D76624"/>
    <w:rsid w:val="00D7779B"/>
    <w:rsid w:val="00D81163"/>
    <w:rsid w:val="00D81402"/>
    <w:rsid w:val="00D82D7D"/>
    <w:rsid w:val="00D90B52"/>
    <w:rsid w:val="00D91458"/>
    <w:rsid w:val="00D91DDB"/>
    <w:rsid w:val="00D92744"/>
    <w:rsid w:val="00D92CA0"/>
    <w:rsid w:val="00D96BEB"/>
    <w:rsid w:val="00D970EB"/>
    <w:rsid w:val="00DA06FB"/>
    <w:rsid w:val="00DA0E6D"/>
    <w:rsid w:val="00DA237D"/>
    <w:rsid w:val="00DA7395"/>
    <w:rsid w:val="00DB1FC2"/>
    <w:rsid w:val="00DB41B7"/>
    <w:rsid w:val="00DB4B69"/>
    <w:rsid w:val="00DB525B"/>
    <w:rsid w:val="00DB594C"/>
    <w:rsid w:val="00DC3233"/>
    <w:rsid w:val="00DC351E"/>
    <w:rsid w:val="00DC3D85"/>
    <w:rsid w:val="00DC70BB"/>
    <w:rsid w:val="00DD00E9"/>
    <w:rsid w:val="00DD538A"/>
    <w:rsid w:val="00DD5C89"/>
    <w:rsid w:val="00DD622B"/>
    <w:rsid w:val="00DD6CC6"/>
    <w:rsid w:val="00DE285A"/>
    <w:rsid w:val="00DE3094"/>
    <w:rsid w:val="00DE349A"/>
    <w:rsid w:val="00DE3F9F"/>
    <w:rsid w:val="00DE44D8"/>
    <w:rsid w:val="00DE538C"/>
    <w:rsid w:val="00DE6740"/>
    <w:rsid w:val="00DE7DE4"/>
    <w:rsid w:val="00DF0372"/>
    <w:rsid w:val="00DF2C83"/>
    <w:rsid w:val="00DF4DA4"/>
    <w:rsid w:val="00DF4E45"/>
    <w:rsid w:val="00DF5E81"/>
    <w:rsid w:val="00E04933"/>
    <w:rsid w:val="00E06135"/>
    <w:rsid w:val="00E06B47"/>
    <w:rsid w:val="00E07BAF"/>
    <w:rsid w:val="00E1013A"/>
    <w:rsid w:val="00E1290B"/>
    <w:rsid w:val="00E15946"/>
    <w:rsid w:val="00E220D2"/>
    <w:rsid w:val="00E234CB"/>
    <w:rsid w:val="00E23585"/>
    <w:rsid w:val="00E24A5B"/>
    <w:rsid w:val="00E24FB2"/>
    <w:rsid w:val="00E2586B"/>
    <w:rsid w:val="00E25AE9"/>
    <w:rsid w:val="00E30193"/>
    <w:rsid w:val="00E313B0"/>
    <w:rsid w:val="00E31493"/>
    <w:rsid w:val="00E3214D"/>
    <w:rsid w:val="00E34684"/>
    <w:rsid w:val="00E35892"/>
    <w:rsid w:val="00E37790"/>
    <w:rsid w:val="00E40531"/>
    <w:rsid w:val="00E408C1"/>
    <w:rsid w:val="00E43D11"/>
    <w:rsid w:val="00E50240"/>
    <w:rsid w:val="00E50C86"/>
    <w:rsid w:val="00E52101"/>
    <w:rsid w:val="00E53C59"/>
    <w:rsid w:val="00E54598"/>
    <w:rsid w:val="00E55059"/>
    <w:rsid w:val="00E551D2"/>
    <w:rsid w:val="00E56B0B"/>
    <w:rsid w:val="00E63341"/>
    <w:rsid w:val="00E64F97"/>
    <w:rsid w:val="00E70A9D"/>
    <w:rsid w:val="00E72D56"/>
    <w:rsid w:val="00E741D2"/>
    <w:rsid w:val="00E826F1"/>
    <w:rsid w:val="00E828D3"/>
    <w:rsid w:val="00E84767"/>
    <w:rsid w:val="00E85288"/>
    <w:rsid w:val="00E87D29"/>
    <w:rsid w:val="00E90513"/>
    <w:rsid w:val="00E91E0C"/>
    <w:rsid w:val="00E92764"/>
    <w:rsid w:val="00E928BC"/>
    <w:rsid w:val="00E93EE7"/>
    <w:rsid w:val="00E95C8E"/>
    <w:rsid w:val="00EA0523"/>
    <w:rsid w:val="00EA14D2"/>
    <w:rsid w:val="00EA185C"/>
    <w:rsid w:val="00EA2475"/>
    <w:rsid w:val="00EA3217"/>
    <w:rsid w:val="00EA35DE"/>
    <w:rsid w:val="00EA3840"/>
    <w:rsid w:val="00EA4EB1"/>
    <w:rsid w:val="00EA6050"/>
    <w:rsid w:val="00EA6BB1"/>
    <w:rsid w:val="00EA7DD6"/>
    <w:rsid w:val="00EA7F1A"/>
    <w:rsid w:val="00EB00F3"/>
    <w:rsid w:val="00EB1736"/>
    <w:rsid w:val="00EB231C"/>
    <w:rsid w:val="00EB30F8"/>
    <w:rsid w:val="00EB3DEF"/>
    <w:rsid w:val="00EB3E26"/>
    <w:rsid w:val="00EB412E"/>
    <w:rsid w:val="00EB463C"/>
    <w:rsid w:val="00EB50AA"/>
    <w:rsid w:val="00EB7344"/>
    <w:rsid w:val="00EC0697"/>
    <w:rsid w:val="00EC30AF"/>
    <w:rsid w:val="00EC41A7"/>
    <w:rsid w:val="00EC60C5"/>
    <w:rsid w:val="00EC64C6"/>
    <w:rsid w:val="00EC6A62"/>
    <w:rsid w:val="00ED0C21"/>
    <w:rsid w:val="00ED2A88"/>
    <w:rsid w:val="00ED309F"/>
    <w:rsid w:val="00ED5B65"/>
    <w:rsid w:val="00ED5BFA"/>
    <w:rsid w:val="00EE1AEC"/>
    <w:rsid w:val="00EE214A"/>
    <w:rsid w:val="00EE31B7"/>
    <w:rsid w:val="00EE42D5"/>
    <w:rsid w:val="00EE79C4"/>
    <w:rsid w:val="00EF0B42"/>
    <w:rsid w:val="00EF2F15"/>
    <w:rsid w:val="00EF3EF4"/>
    <w:rsid w:val="00EF546A"/>
    <w:rsid w:val="00EF7F1B"/>
    <w:rsid w:val="00F03483"/>
    <w:rsid w:val="00F045AD"/>
    <w:rsid w:val="00F04D2E"/>
    <w:rsid w:val="00F04FDA"/>
    <w:rsid w:val="00F0545A"/>
    <w:rsid w:val="00F064C3"/>
    <w:rsid w:val="00F06D33"/>
    <w:rsid w:val="00F06D38"/>
    <w:rsid w:val="00F07269"/>
    <w:rsid w:val="00F10058"/>
    <w:rsid w:val="00F11827"/>
    <w:rsid w:val="00F1193D"/>
    <w:rsid w:val="00F143A1"/>
    <w:rsid w:val="00F1529B"/>
    <w:rsid w:val="00F152F6"/>
    <w:rsid w:val="00F165E3"/>
    <w:rsid w:val="00F174BD"/>
    <w:rsid w:val="00F20292"/>
    <w:rsid w:val="00F20D8D"/>
    <w:rsid w:val="00F22EE2"/>
    <w:rsid w:val="00F233E7"/>
    <w:rsid w:val="00F24075"/>
    <w:rsid w:val="00F2595F"/>
    <w:rsid w:val="00F305EC"/>
    <w:rsid w:val="00F30E1F"/>
    <w:rsid w:val="00F311D0"/>
    <w:rsid w:val="00F3128D"/>
    <w:rsid w:val="00F31567"/>
    <w:rsid w:val="00F32706"/>
    <w:rsid w:val="00F33BEC"/>
    <w:rsid w:val="00F35805"/>
    <w:rsid w:val="00F37F72"/>
    <w:rsid w:val="00F414CE"/>
    <w:rsid w:val="00F4661C"/>
    <w:rsid w:val="00F50C16"/>
    <w:rsid w:val="00F50D6A"/>
    <w:rsid w:val="00F51465"/>
    <w:rsid w:val="00F516B9"/>
    <w:rsid w:val="00F536A2"/>
    <w:rsid w:val="00F54057"/>
    <w:rsid w:val="00F552B0"/>
    <w:rsid w:val="00F56E5D"/>
    <w:rsid w:val="00F57899"/>
    <w:rsid w:val="00F608AC"/>
    <w:rsid w:val="00F60D36"/>
    <w:rsid w:val="00F62B20"/>
    <w:rsid w:val="00F634D1"/>
    <w:rsid w:val="00F63CB1"/>
    <w:rsid w:val="00F642A7"/>
    <w:rsid w:val="00F65166"/>
    <w:rsid w:val="00F66BAA"/>
    <w:rsid w:val="00F7193E"/>
    <w:rsid w:val="00F72427"/>
    <w:rsid w:val="00F7371C"/>
    <w:rsid w:val="00F73DA4"/>
    <w:rsid w:val="00F76405"/>
    <w:rsid w:val="00F76DD9"/>
    <w:rsid w:val="00F77389"/>
    <w:rsid w:val="00F8075F"/>
    <w:rsid w:val="00F80E52"/>
    <w:rsid w:val="00F82566"/>
    <w:rsid w:val="00F83F17"/>
    <w:rsid w:val="00F84C91"/>
    <w:rsid w:val="00F8520D"/>
    <w:rsid w:val="00F85BB6"/>
    <w:rsid w:val="00F86EB5"/>
    <w:rsid w:val="00F91220"/>
    <w:rsid w:val="00F914F0"/>
    <w:rsid w:val="00F9206B"/>
    <w:rsid w:val="00F921CF"/>
    <w:rsid w:val="00F970FE"/>
    <w:rsid w:val="00F97567"/>
    <w:rsid w:val="00F97757"/>
    <w:rsid w:val="00FA4211"/>
    <w:rsid w:val="00FA4319"/>
    <w:rsid w:val="00FA5A37"/>
    <w:rsid w:val="00FA65E6"/>
    <w:rsid w:val="00FA7124"/>
    <w:rsid w:val="00FB2B69"/>
    <w:rsid w:val="00FB446C"/>
    <w:rsid w:val="00FB5012"/>
    <w:rsid w:val="00FC2234"/>
    <w:rsid w:val="00FC2AF1"/>
    <w:rsid w:val="00FC4591"/>
    <w:rsid w:val="00FC5E5A"/>
    <w:rsid w:val="00FC5EB8"/>
    <w:rsid w:val="00FC7F6E"/>
    <w:rsid w:val="00FD0FE0"/>
    <w:rsid w:val="00FD24C4"/>
    <w:rsid w:val="00FD3030"/>
    <w:rsid w:val="00FD4722"/>
    <w:rsid w:val="00FD653D"/>
    <w:rsid w:val="00FD6C54"/>
    <w:rsid w:val="00FE1EE8"/>
    <w:rsid w:val="00FE2D56"/>
    <w:rsid w:val="00FE3B15"/>
    <w:rsid w:val="00FE4813"/>
    <w:rsid w:val="00FE56B3"/>
    <w:rsid w:val="00FE5AB8"/>
    <w:rsid w:val="00FF279A"/>
    <w:rsid w:val="00FF2F1C"/>
    <w:rsid w:val="00FF35CD"/>
    <w:rsid w:val="00FF3747"/>
    <w:rsid w:val="00FF4A26"/>
    <w:rsid w:val="00FF66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1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A26"/>
    <w:pPr>
      <w:spacing w:after="160" w:line="259" w:lineRule="auto"/>
    </w:pPr>
    <w:rPr>
      <w:sz w:val="22"/>
      <w:szCs w:val="22"/>
    </w:rPr>
  </w:style>
  <w:style w:type="paragraph" w:styleId="Heading1">
    <w:name w:val="heading 1"/>
    <w:basedOn w:val="Normal"/>
    <w:next w:val="Normal"/>
    <w:link w:val="Heading1Char"/>
    <w:uiPriority w:val="9"/>
    <w:qFormat/>
    <w:rsid w:val="00036772"/>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B1736"/>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889"/>
    <w:pPr>
      <w:tabs>
        <w:tab w:val="center" w:pos="4513"/>
        <w:tab w:val="right" w:pos="9026"/>
      </w:tabs>
      <w:spacing w:after="0" w:line="240" w:lineRule="auto"/>
    </w:pPr>
  </w:style>
  <w:style w:type="character" w:customStyle="1" w:styleId="HeaderChar">
    <w:name w:val="Header Char"/>
    <w:link w:val="Header"/>
    <w:uiPriority w:val="99"/>
    <w:rsid w:val="002E4889"/>
    <w:rPr>
      <w:rFonts w:ascii="Calibri" w:eastAsia="Calibri" w:hAnsi="Calibri" w:cs="Times New Roman"/>
    </w:rPr>
  </w:style>
  <w:style w:type="table" w:styleId="TableGrid">
    <w:name w:val="Table Grid"/>
    <w:basedOn w:val="TableNormal"/>
    <w:uiPriority w:val="39"/>
    <w:rsid w:val="002E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173B5E"/>
    <w:rPr>
      <w:color w:val="0563C1"/>
      <w:u w:val="single"/>
    </w:rPr>
  </w:style>
  <w:style w:type="paragraph" w:customStyle="1" w:styleId="Default">
    <w:name w:val="Default"/>
    <w:rsid w:val="006F2F45"/>
    <w:pPr>
      <w:autoSpaceDE w:val="0"/>
      <w:autoSpaceDN w:val="0"/>
      <w:adjustRightInd w:val="0"/>
    </w:pPr>
    <w:rPr>
      <w:rFonts w:ascii="Times New Roman" w:hAnsi="Times New Roman"/>
      <w:color w:val="000000"/>
      <w:sz w:val="24"/>
      <w:szCs w:val="24"/>
      <w:lang w:val="en-US"/>
    </w:rPr>
  </w:style>
  <w:style w:type="paragraph" w:styleId="ListParagraph">
    <w:name w:val="List Paragraph"/>
    <w:basedOn w:val="Normal"/>
    <w:uiPriority w:val="34"/>
    <w:qFormat/>
    <w:rsid w:val="006F2F45"/>
    <w:pPr>
      <w:spacing w:after="200" w:line="276" w:lineRule="auto"/>
      <w:ind w:left="720"/>
      <w:contextualSpacing/>
    </w:pPr>
    <w:rPr>
      <w:lang w:val="en-US"/>
    </w:rPr>
  </w:style>
  <w:style w:type="character" w:styleId="PlaceholderText">
    <w:name w:val="Placeholder Text"/>
    <w:uiPriority w:val="99"/>
    <w:semiHidden/>
    <w:rsid w:val="009F446D"/>
    <w:rPr>
      <w:color w:val="808080"/>
    </w:rPr>
  </w:style>
  <w:style w:type="paragraph" w:styleId="Footer">
    <w:name w:val="footer"/>
    <w:basedOn w:val="Normal"/>
    <w:link w:val="FooterChar"/>
    <w:uiPriority w:val="99"/>
    <w:unhideWhenUsed/>
    <w:rsid w:val="0095552C"/>
    <w:pPr>
      <w:tabs>
        <w:tab w:val="center" w:pos="4513"/>
        <w:tab w:val="right" w:pos="9026"/>
      </w:tabs>
      <w:spacing w:after="0" w:line="240" w:lineRule="auto"/>
    </w:pPr>
  </w:style>
  <w:style w:type="character" w:customStyle="1" w:styleId="FooterChar">
    <w:name w:val="Footer Char"/>
    <w:link w:val="Footer"/>
    <w:uiPriority w:val="99"/>
    <w:rsid w:val="0095552C"/>
    <w:rPr>
      <w:rFonts w:ascii="Calibri" w:eastAsia="Calibri" w:hAnsi="Calibri" w:cs="Times New Roman"/>
    </w:rPr>
  </w:style>
  <w:style w:type="character" w:customStyle="1" w:styleId="UnresolvedMention">
    <w:name w:val="Unresolved Mention"/>
    <w:uiPriority w:val="99"/>
    <w:semiHidden/>
    <w:unhideWhenUsed/>
    <w:rsid w:val="003467F4"/>
    <w:rPr>
      <w:color w:val="605E5C"/>
      <w:shd w:val="clear" w:color="auto" w:fill="E1DFDD"/>
    </w:rPr>
  </w:style>
  <w:style w:type="character" w:styleId="FollowedHyperlink">
    <w:name w:val="FollowedHyperlink"/>
    <w:uiPriority w:val="99"/>
    <w:semiHidden/>
    <w:unhideWhenUsed/>
    <w:rsid w:val="00756E74"/>
    <w:rPr>
      <w:color w:val="954F72"/>
      <w:u w:val="single"/>
    </w:rPr>
  </w:style>
  <w:style w:type="character" w:customStyle="1" w:styleId="Heading1Char">
    <w:name w:val="Heading 1 Char"/>
    <w:link w:val="Heading1"/>
    <w:uiPriority w:val="9"/>
    <w:rsid w:val="00036772"/>
    <w:rPr>
      <w:rFonts w:ascii="Calibri Light" w:eastAsia="Times New Roman" w:hAnsi="Calibri Light" w:cs="Times New Roman"/>
      <w:color w:val="2E74B5"/>
      <w:sz w:val="32"/>
      <w:szCs w:val="32"/>
    </w:rPr>
  </w:style>
  <w:style w:type="paragraph" w:styleId="NoSpacing">
    <w:name w:val="No Spacing"/>
    <w:uiPriority w:val="1"/>
    <w:qFormat/>
    <w:rsid w:val="00EB1736"/>
    <w:rPr>
      <w:sz w:val="22"/>
      <w:szCs w:val="22"/>
    </w:rPr>
  </w:style>
  <w:style w:type="character" w:customStyle="1" w:styleId="Heading2Char">
    <w:name w:val="Heading 2 Char"/>
    <w:link w:val="Heading2"/>
    <w:uiPriority w:val="9"/>
    <w:rsid w:val="00EB1736"/>
    <w:rPr>
      <w:rFonts w:ascii="Calibri Light" w:eastAsia="Times New Roman" w:hAnsi="Calibri Light" w:cs="Times New Roman"/>
      <w:color w:val="2E74B5"/>
      <w:sz w:val="26"/>
      <w:szCs w:val="26"/>
    </w:rPr>
  </w:style>
  <w:style w:type="paragraph" w:styleId="NormalWeb">
    <w:name w:val="Normal (Web)"/>
    <w:basedOn w:val="Normal"/>
    <w:uiPriority w:val="99"/>
    <w:unhideWhenUsed/>
    <w:rsid w:val="00E826F1"/>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ai-insert">
    <w:name w:val="ai-insert"/>
    <w:basedOn w:val="DefaultParagraphFont"/>
    <w:rsid w:val="00E826F1"/>
  </w:style>
  <w:style w:type="character" w:customStyle="1" w:styleId="paperpal-citation">
    <w:name w:val="paperpal-citation"/>
    <w:basedOn w:val="DefaultParagraphFont"/>
    <w:rsid w:val="00E826F1"/>
  </w:style>
  <w:style w:type="character" w:customStyle="1" w:styleId="unknown-copy-source">
    <w:name w:val="unknown-copy-source"/>
    <w:basedOn w:val="DefaultParagraphFont"/>
    <w:rsid w:val="00E826F1"/>
  </w:style>
  <w:style w:type="table" w:customStyle="1" w:styleId="TableGrid1">
    <w:name w:val="Table Grid1"/>
    <w:basedOn w:val="TableNormal"/>
    <w:next w:val="TableGrid"/>
    <w:uiPriority w:val="39"/>
    <w:rsid w:val="006C2501"/>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C2501"/>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A26"/>
    <w:pPr>
      <w:spacing w:after="160" w:line="259" w:lineRule="auto"/>
    </w:pPr>
    <w:rPr>
      <w:sz w:val="22"/>
      <w:szCs w:val="22"/>
    </w:rPr>
  </w:style>
  <w:style w:type="paragraph" w:styleId="Heading1">
    <w:name w:val="heading 1"/>
    <w:basedOn w:val="Normal"/>
    <w:next w:val="Normal"/>
    <w:link w:val="Heading1Char"/>
    <w:uiPriority w:val="9"/>
    <w:qFormat/>
    <w:rsid w:val="00036772"/>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B1736"/>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889"/>
    <w:pPr>
      <w:tabs>
        <w:tab w:val="center" w:pos="4513"/>
        <w:tab w:val="right" w:pos="9026"/>
      </w:tabs>
      <w:spacing w:after="0" w:line="240" w:lineRule="auto"/>
    </w:pPr>
  </w:style>
  <w:style w:type="character" w:customStyle="1" w:styleId="HeaderChar">
    <w:name w:val="Header Char"/>
    <w:link w:val="Header"/>
    <w:uiPriority w:val="99"/>
    <w:rsid w:val="002E4889"/>
    <w:rPr>
      <w:rFonts w:ascii="Calibri" w:eastAsia="Calibri" w:hAnsi="Calibri" w:cs="Times New Roman"/>
    </w:rPr>
  </w:style>
  <w:style w:type="table" w:styleId="TableGrid">
    <w:name w:val="Table Grid"/>
    <w:basedOn w:val="TableNormal"/>
    <w:uiPriority w:val="39"/>
    <w:rsid w:val="002E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173B5E"/>
    <w:rPr>
      <w:color w:val="0563C1"/>
      <w:u w:val="single"/>
    </w:rPr>
  </w:style>
  <w:style w:type="paragraph" w:customStyle="1" w:styleId="Default">
    <w:name w:val="Default"/>
    <w:rsid w:val="006F2F45"/>
    <w:pPr>
      <w:autoSpaceDE w:val="0"/>
      <w:autoSpaceDN w:val="0"/>
      <w:adjustRightInd w:val="0"/>
    </w:pPr>
    <w:rPr>
      <w:rFonts w:ascii="Times New Roman" w:hAnsi="Times New Roman"/>
      <w:color w:val="000000"/>
      <w:sz w:val="24"/>
      <w:szCs w:val="24"/>
      <w:lang w:val="en-US"/>
    </w:rPr>
  </w:style>
  <w:style w:type="paragraph" w:styleId="ListParagraph">
    <w:name w:val="List Paragraph"/>
    <w:basedOn w:val="Normal"/>
    <w:uiPriority w:val="34"/>
    <w:qFormat/>
    <w:rsid w:val="006F2F45"/>
    <w:pPr>
      <w:spacing w:after="200" w:line="276" w:lineRule="auto"/>
      <w:ind w:left="720"/>
      <w:contextualSpacing/>
    </w:pPr>
    <w:rPr>
      <w:lang w:val="en-US"/>
    </w:rPr>
  </w:style>
  <w:style w:type="character" w:styleId="PlaceholderText">
    <w:name w:val="Placeholder Text"/>
    <w:uiPriority w:val="99"/>
    <w:semiHidden/>
    <w:rsid w:val="009F446D"/>
    <w:rPr>
      <w:color w:val="808080"/>
    </w:rPr>
  </w:style>
  <w:style w:type="paragraph" w:styleId="Footer">
    <w:name w:val="footer"/>
    <w:basedOn w:val="Normal"/>
    <w:link w:val="FooterChar"/>
    <w:uiPriority w:val="99"/>
    <w:unhideWhenUsed/>
    <w:rsid w:val="0095552C"/>
    <w:pPr>
      <w:tabs>
        <w:tab w:val="center" w:pos="4513"/>
        <w:tab w:val="right" w:pos="9026"/>
      </w:tabs>
      <w:spacing w:after="0" w:line="240" w:lineRule="auto"/>
    </w:pPr>
  </w:style>
  <w:style w:type="character" w:customStyle="1" w:styleId="FooterChar">
    <w:name w:val="Footer Char"/>
    <w:link w:val="Footer"/>
    <w:uiPriority w:val="99"/>
    <w:rsid w:val="0095552C"/>
    <w:rPr>
      <w:rFonts w:ascii="Calibri" w:eastAsia="Calibri" w:hAnsi="Calibri" w:cs="Times New Roman"/>
    </w:rPr>
  </w:style>
  <w:style w:type="character" w:customStyle="1" w:styleId="UnresolvedMention">
    <w:name w:val="Unresolved Mention"/>
    <w:uiPriority w:val="99"/>
    <w:semiHidden/>
    <w:unhideWhenUsed/>
    <w:rsid w:val="003467F4"/>
    <w:rPr>
      <w:color w:val="605E5C"/>
      <w:shd w:val="clear" w:color="auto" w:fill="E1DFDD"/>
    </w:rPr>
  </w:style>
  <w:style w:type="character" w:styleId="FollowedHyperlink">
    <w:name w:val="FollowedHyperlink"/>
    <w:uiPriority w:val="99"/>
    <w:semiHidden/>
    <w:unhideWhenUsed/>
    <w:rsid w:val="00756E74"/>
    <w:rPr>
      <w:color w:val="954F72"/>
      <w:u w:val="single"/>
    </w:rPr>
  </w:style>
  <w:style w:type="character" w:customStyle="1" w:styleId="Heading1Char">
    <w:name w:val="Heading 1 Char"/>
    <w:link w:val="Heading1"/>
    <w:uiPriority w:val="9"/>
    <w:rsid w:val="00036772"/>
    <w:rPr>
      <w:rFonts w:ascii="Calibri Light" w:eastAsia="Times New Roman" w:hAnsi="Calibri Light" w:cs="Times New Roman"/>
      <w:color w:val="2E74B5"/>
      <w:sz w:val="32"/>
      <w:szCs w:val="32"/>
    </w:rPr>
  </w:style>
  <w:style w:type="paragraph" w:styleId="NoSpacing">
    <w:name w:val="No Spacing"/>
    <w:uiPriority w:val="1"/>
    <w:qFormat/>
    <w:rsid w:val="00EB1736"/>
    <w:rPr>
      <w:sz w:val="22"/>
      <w:szCs w:val="22"/>
    </w:rPr>
  </w:style>
  <w:style w:type="character" w:customStyle="1" w:styleId="Heading2Char">
    <w:name w:val="Heading 2 Char"/>
    <w:link w:val="Heading2"/>
    <w:uiPriority w:val="9"/>
    <w:rsid w:val="00EB1736"/>
    <w:rPr>
      <w:rFonts w:ascii="Calibri Light" w:eastAsia="Times New Roman" w:hAnsi="Calibri Light" w:cs="Times New Roman"/>
      <w:color w:val="2E74B5"/>
      <w:sz w:val="26"/>
      <w:szCs w:val="26"/>
    </w:rPr>
  </w:style>
  <w:style w:type="paragraph" w:styleId="NormalWeb">
    <w:name w:val="Normal (Web)"/>
    <w:basedOn w:val="Normal"/>
    <w:uiPriority w:val="99"/>
    <w:unhideWhenUsed/>
    <w:rsid w:val="00E826F1"/>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ai-insert">
    <w:name w:val="ai-insert"/>
    <w:basedOn w:val="DefaultParagraphFont"/>
    <w:rsid w:val="00E826F1"/>
  </w:style>
  <w:style w:type="character" w:customStyle="1" w:styleId="paperpal-citation">
    <w:name w:val="paperpal-citation"/>
    <w:basedOn w:val="DefaultParagraphFont"/>
    <w:rsid w:val="00E826F1"/>
  </w:style>
  <w:style w:type="character" w:customStyle="1" w:styleId="unknown-copy-source">
    <w:name w:val="unknown-copy-source"/>
    <w:basedOn w:val="DefaultParagraphFont"/>
    <w:rsid w:val="00E826F1"/>
  </w:style>
  <w:style w:type="table" w:customStyle="1" w:styleId="TableGrid1">
    <w:name w:val="Table Grid1"/>
    <w:basedOn w:val="TableNormal"/>
    <w:next w:val="TableGrid"/>
    <w:uiPriority w:val="39"/>
    <w:rsid w:val="006C2501"/>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C2501"/>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2366">
      <w:bodyDiv w:val="1"/>
      <w:marLeft w:val="0"/>
      <w:marRight w:val="0"/>
      <w:marTop w:val="0"/>
      <w:marBottom w:val="0"/>
      <w:divBdr>
        <w:top w:val="none" w:sz="0" w:space="0" w:color="auto"/>
        <w:left w:val="none" w:sz="0" w:space="0" w:color="auto"/>
        <w:bottom w:val="none" w:sz="0" w:space="0" w:color="auto"/>
        <w:right w:val="none" w:sz="0" w:space="0" w:color="auto"/>
      </w:divBdr>
      <w:divsChild>
        <w:div w:id="771164499">
          <w:marLeft w:val="0"/>
          <w:marRight w:val="0"/>
          <w:marTop w:val="0"/>
          <w:marBottom w:val="150"/>
          <w:divBdr>
            <w:top w:val="none" w:sz="0" w:space="0" w:color="auto"/>
            <w:left w:val="none" w:sz="0" w:space="0" w:color="auto"/>
            <w:bottom w:val="none" w:sz="0" w:space="0" w:color="auto"/>
            <w:right w:val="none" w:sz="0" w:space="0" w:color="auto"/>
          </w:divBdr>
          <w:divsChild>
            <w:div w:id="9846269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3282367">
      <w:bodyDiv w:val="1"/>
      <w:marLeft w:val="0"/>
      <w:marRight w:val="0"/>
      <w:marTop w:val="0"/>
      <w:marBottom w:val="0"/>
      <w:divBdr>
        <w:top w:val="none" w:sz="0" w:space="0" w:color="auto"/>
        <w:left w:val="none" w:sz="0" w:space="0" w:color="auto"/>
        <w:bottom w:val="none" w:sz="0" w:space="0" w:color="auto"/>
        <w:right w:val="none" w:sz="0" w:space="0" w:color="auto"/>
      </w:divBdr>
    </w:div>
    <w:div w:id="113602037">
      <w:bodyDiv w:val="1"/>
      <w:marLeft w:val="0"/>
      <w:marRight w:val="0"/>
      <w:marTop w:val="0"/>
      <w:marBottom w:val="0"/>
      <w:divBdr>
        <w:top w:val="none" w:sz="0" w:space="0" w:color="auto"/>
        <w:left w:val="none" w:sz="0" w:space="0" w:color="auto"/>
        <w:bottom w:val="none" w:sz="0" w:space="0" w:color="auto"/>
        <w:right w:val="none" w:sz="0" w:space="0" w:color="auto"/>
      </w:divBdr>
    </w:div>
    <w:div w:id="138613949">
      <w:bodyDiv w:val="1"/>
      <w:marLeft w:val="0"/>
      <w:marRight w:val="0"/>
      <w:marTop w:val="0"/>
      <w:marBottom w:val="0"/>
      <w:divBdr>
        <w:top w:val="none" w:sz="0" w:space="0" w:color="auto"/>
        <w:left w:val="none" w:sz="0" w:space="0" w:color="auto"/>
        <w:bottom w:val="none" w:sz="0" w:space="0" w:color="auto"/>
        <w:right w:val="none" w:sz="0" w:space="0" w:color="auto"/>
      </w:divBdr>
    </w:div>
    <w:div w:id="180553485">
      <w:bodyDiv w:val="1"/>
      <w:marLeft w:val="0"/>
      <w:marRight w:val="0"/>
      <w:marTop w:val="0"/>
      <w:marBottom w:val="0"/>
      <w:divBdr>
        <w:top w:val="none" w:sz="0" w:space="0" w:color="auto"/>
        <w:left w:val="none" w:sz="0" w:space="0" w:color="auto"/>
        <w:bottom w:val="none" w:sz="0" w:space="0" w:color="auto"/>
        <w:right w:val="none" w:sz="0" w:space="0" w:color="auto"/>
      </w:divBdr>
    </w:div>
    <w:div w:id="196695976">
      <w:bodyDiv w:val="1"/>
      <w:marLeft w:val="0"/>
      <w:marRight w:val="0"/>
      <w:marTop w:val="0"/>
      <w:marBottom w:val="0"/>
      <w:divBdr>
        <w:top w:val="none" w:sz="0" w:space="0" w:color="auto"/>
        <w:left w:val="none" w:sz="0" w:space="0" w:color="auto"/>
        <w:bottom w:val="none" w:sz="0" w:space="0" w:color="auto"/>
        <w:right w:val="none" w:sz="0" w:space="0" w:color="auto"/>
      </w:divBdr>
    </w:div>
    <w:div w:id="197621627">
      <w:bodyDiv w:val="1"/>
      <w:marLeft w:val="0"/>
      <w:marRight w:val="0"/>
      <w:marTop w:val="0"/>
      <w:marBottom w:val="0"/>
      <w:divBdr>
        <w:top w:val="none" w:sz="0" w:space="0" w:color="auto"/>
        <w:left w:val="none" w:sz="0" w:space="0" w:color="auto"/>
        <w:bottom w:val="none" w:sz="0" w:space="0" w:color="auto"/>
        <w:right w:val="none" w:sz="0" w:space="0" w:color="auto"/>
      </w:divBdr>
    </w:div>
    <w:div w:id="279535284">
      <w:bodyDiv w:val="1"/>
      <w:marLeft w:val="0"/>
      <w:marRight w:val="0"/>
      <w:marTop w:val="0"/>
      <w:marBottom w:val="0"/>
      <w:divBdr>
        <w:top w:val="none" w:sz="0" w:space="0" w:color="auto"/>
        <w:left w:val="none" w:sz="0" w:space="0" w:color="auto"/>
        <w:bottom w:val="none" w:sz="0" w:space="0" w:color="auto"/>
        <w:right w:val="none" w:sz="0" w:space="0" w:color="auto"/>
      </w:divBdr>
    </w:div>
    <w:div w:id="453140146">
      <w:bodyDiv w:val="1"/>
      <w:marLeft w:val="0"/>
      <w:marRight w:val="0"/>
      <w:marTop w:val="0"/>
      <w:marBottom w:val="0"/>
      <w:divBdr>
        <w:top w:val="none" w:sz="0" w:space="0" w:color="auto"/>
        <w:left w:val="none" w:sz="0" w:space="0" w:color="auto"/>
        <w:bottom w:val="none" w:sz="0" w:space="0" w:color="auto"/>
        <w:right w:val="none" w:sz="0" w:space="0" w:color="auto"/>
      </w:divBdr>
    </w:div>
    <w:div w:id="575674821">
      <w:bodyDiv w:val="1"/>
      <w:marLeft w:val="0"/>
      <w:marRight w:val="0"/>
      <w:marTop w:val="0"/>
      <w:marBottom w:val="0"/>
      <w:divBdr>
        <w:top w:val="none" w:sz="0" w:space="0" w:color="auto"/>
        <w:left w:val="none" w:sz="0" w:space="0" w:color="auto"/>
        <w:bottom w:val="none" w:sz="0" w:space="0" w:color="auto"/>
        <w:right w:val="none" w:sz="0" w:space="0" w:color="auto"/>
      </w:divBdr>
    </w:div>
    <w:div w:id="581450432">
      <w:bodyDiv w:val="1"/>
      <w:marLeft w:val="0"/>
      <w:marRight w:val="0"/>
      <w:marTop w:val="0"/>
      <w:marBottom w:val="0"/>
      <w:divBdr>
        <w:top w:val="none" w:sz="0" w:space="0" w:color="auto"/>
        <w:left w:val="none" w:sz="0" w:space="0" w:color="auto"/>
        <w:bottom w:val="none" w:sz="0" w:space="0" w:color="auto"/>
        <w:right w:val="none" w:sz="0" w:space="0" w:color="auto"/>
      </w:divBdr>
    </w:div>
    <w:div w:id="654408126">
      <w:bodyDiv w:val="1"/>
      <w:marLeft w:val="0"/>
      <w:marRight w:val="0"/>
      <w:marTop w:val="0"/>
      <w:marBottom w:val="0"/>
      <w:divBdr>
        <w:top w:val="none" w:sz="0" w:space="0" w:color="auto"/>
        <w:left w:val="none" w:sz="0" w:space="0" w:color="auto"/>
        <w:bottom w:val="none" w:sz="0" w:space="0" w:color="auto"/>
        <w:right w:val="none" w:sz="0" w:space="0" w:color="auto"/>
      </w:divBdr>
    </w:div>
    <w:div w:id="670137390">
      <w:bodyDiv w:val="1"/>
      <w:marLeft w:val="0"/>
      <w:marRight w:val="0"/>
      <w:marTop w:val="0"/>
      <w:marBottom w:val="0"/>
      <w:divBdr>
        <w:top w:val="none" w:sz="0" w:space="0" w:color="auto"/>
        <w:left w:val="none" w:sz="0" w:space="0" w:color="auto"/>
        <w:bottom w:val="none" w:sz="0" w:space="0" w:color="auto"/>
        <w:right w:val="none" w:sz="0" w:space="0" w:color="auto"/>
      </w:divBdr>
    </w:div>
    <w:div w:id="713163164">
      <w:bodyDiv w:val="1"/>
      <w:marLeft w:val="0"/>
      <w:marRight w:val="0"/>
      <w:marTop w:val="0"/>
      <w:marBottom w:val="0"/>
      <w:divBdr>
        <w:top w:val="none" w:sz="0" w:space="0" w:color="auto"/>
        <w:left w:val="none" w:sz="0" w:space="0" w:color="auto"/>
        <w:bottom w:val="none" w:sz="0" w:space="0" w:color="auto"/>
        <w:right w:val="none" w:sz="0" w:space="0" w:color="auto"/>
      </w:divBdr>
    </w:div>
    <w:div w:id="739258262">
      <w:bodyDiv w:val="1"/>
      <w:marLeft w:val="0"/>
      <w:marRight w:val="0"/>
      <w:marTop w:val="0"/>
      <w:marBottom w:val="0"/>
      <w:divBdr>
        <w:top w:val="none" w:sz="0" w:space="0" w:color="auto"/>
        <w:left w:val="none" w:sz="0" w:space="0" w:color="auto"/>
        <w:bottom w:val="none" w:sz="0" w:space="0" w:color="auto"/>
        <w:right w:val="none" w:sz="0" w:space="0" w:color="auto"/>
      </w:divBdr>
    </w:div>
    <w:div w:id="786894070">
      <w:bodyDiv w:val="1"/>
      <w:marLeft w:val="0"/>
      <w:marRight w:val="0"/>
      <w:marTop w:val="0"/>
      <w:marBottom w:val="0"/>
      <w:divBdr>
        <w:top w:val="none" w:sz="0" w:space="0" w:color="auto"/>
        <w:left w:val="none" w:sz="0" w:space="0" w:color="auto"/>
        <w:bottom w:val="none" w:sz="0" w:space="0" w:color="auto"/>
        <w:right w:val="none" w:sz="0" w:space="0" w:color="auto"/>
      </w:divBdr>
    </w:div>
    <w:div w:id="803354038">
      <w:bodyDiv w:val="1"/>
      <w:marLeft w:val="0"/>
      <w:marRight w:val="0"/>
      <w:marTop w:val="0"/>
      <w:marBottom w:val="0"/>
      <w:divBdr>
        <w:top w:val="none" w:sz="0" w:space="0" w:color="auto"/>
        <w:left w:val="none" w:sz="0" w:space="0" w:color="auto"/>
        <w:bottom w:val="none" w:sz="0" w:space="0" w:color="auto"/>
        <w:right w:val="none" w:sz="0" w:space="0" w:color="auto"/>
      </w:divBdr>
    </w:div>
    <w:div w:id="863981613">
      <w:bodyDiv w:val="1"/>
      <w:marLeft w:val="0"/>
      <w:marRight w:val="0"/>
      <w:marTop w:val="0"/>
      <w:marBottom w:val="0"/>
      <w:divBdr>
        <w:top w:val="none" w:sz="0" w:space="0" w:color="auto"/>
        <w:left w:val="none" w:sz="0" w:space="0" w:color="auto"/>
        <w:bottom w:val="none" w:sz="0" w:space="0" w:color="auto"/>
        <w:right w:val="none" w:sz="0" w:space="0" w:color="auto"/>
      </w:divBdr>
    </w:div>
    <w:div w:id="864489458">
      <w:bodyDiv w:val="1"/>
      <w:marLeft w:val="0"/>
      <w:marRight w:val="0"/>
      <w:marTop w:val="0"/>
      <w:marBottom w:val="0"/>
      <w:divBdr>
        <w:top w:val="none" w:sz="0" w:space="0" w:color="auto"/>
        <w:left w:val="none" w:sz="0" w:space="0" w:color="auto"/>
        <w:bottom w:val="none" w:sz="0" w:space="0" w:color="auto"/>
        <w:right w:val="none" w:sz="0" w:space="0" w:color="auto"/>
      </w:divBdr>
    </w:div>
    <w:div w:id="952251437">
      <w:bodyDiv w:val="1"/>
      <w:marLeft w:val="0"/>
      <w:marRight w:val="0"/>
      <w:marTop w:val="0"/>
      <w:marBottom w:val="0"/>
      <w:divBdr>
        <w:top w:val="none" w:sz="0" w:space="0" w:color="auto"/>
        <w:left w:val="none" w:sz="0" w:space="0" w:color="auto"/>
        <w:bottom w:val="none" w:sz="0" w:space="0" w:color="auto"/>
        <w:right w:val="none" w:sz="0" w:space="0" w:color="auto"/>
      </w:divBdr>
    </w:div>
    <w:div w:id="997654541">
      <w:bodyDiv w:val="1"/>
      <w:marLeft w:val="0"/>
      <w:marRight w:val="0"/>
      <w:marTop w:val="0"/>
      <w:marBottom w:val="0"/>
      <w:divBdr>
        <w:top w:val="none" w:sz="0" w:space="0" w:color="auto"/>
        <w:left w:val="none" w:sz="0" w:space="0" w:color="auto"/>
        <w:bottom w:val="none" w:sz="0" w:space="0" w:color="auto"/>
        <w:right w:val="none" w:sz="0" w:space="0" w:color="auto"/>
      </w:divBdr>
    </w:div>
    <w:div w:id="1026911572">
      <w:bodyDiv w:val="1"/>
      <w:marLeft w:val="0"/>
      <w:marRight w:val="0"/>
      <w:marTop w:val="0"/>
      <w:marBottom w:val="0"/>
      <w:divBdr>
        <w:top w:val="none" w:sz="0" w:space="0" w:color="auto"/>
        <w:left w:val="none" w:sz="0" w:space="0" w:color="auto"/>
        <w:bottom w:val="none" w:sz="0" w:space="0" w:color="auto"/>
        <w:right w:val="none" w:sz="0" w:space="0" w:color="auto"/>
      </w:divBdr>
    </w:div>
    <w:div w:id="1037316440">
      <w:bodyDiv w:val="1"/>
      <w:marLeft w:val="0"/>
      <w:marRight w:val="0"/>
      <w:marTop w:val="0"/>
      <w:marBottom w:val="0"/>
      <w:divBdr>
        <w:top w:val="none" w:sz="0" w:space="0" w:color="auto"/>
        <w:left w:val="none" w:sz="0" w:space="0" w:color="auto"/>
        <w:bottom w:val="none" w:sz="0" w:space="0" w:color="auto"/>
        <w:right w:val="none" w:sz="0" w:space="0" w:color="auto"/>
      </w:divBdr>
      <w:divsChild>
        <w:div w:id="1306549710">
          <w:marLeft w:val="-720"/>
          <w:marRight w:val="0"/>
          <w:marTop w:val="0"/>
          <w:marBottom w:val="0"/>
          <w:divBdr>
            <w:top w:val="none" w:sz="0" w:space="0" w:color="auto"/>
            <w:left w:val="none" w:sz="0" w:space="0" w:color="auto"/>
            <w:bottom w:val="none" w:sz="0" w:space="0" w:color="auto"/>
            <w:right w:val="none" w:sz="0" w:space="0" w:color="auto"/>
          </w:divBdr>
        </w:div>
      </w:divsChild>
    </w:div>
    <w:div w:id="1182471467">
      <w:bodyDiv w:val="1"/>
      <w:marLeft w:val="0"/>
      <w:marRight w:val="0"/>
      <w:marTop w:val="0"/>
      <w:marBottom w:val="0"/>
      <w:divBdr>
        <w:top w:val="none" w:sz="0" w:space="0" w:color="auto"/>
        <w:left w:val="none" w:sz="0" w:space="0" w:color="auto"/>
        <w:bottom w:val="none" w:sz="0" w:space="0" w:color="auto"/>
        <w:right w:val="none" w:sz="0" w:space="0" w:color="auto"/>
      </w:divBdr>
    </w:div>
    <w:div w:id="1203395996">
      <w:bodyDiv w:val="1"/>
      <w:marLeft w:val="0"/>
      <w:marRight w:val="0"/>
      <w:marTop w:val="0"/>
      <w:marBottom w:val="0"/>
      <w:divBdr>
        <w:top w:val="none" w:sz="0" w:space="0" w:color="auto"/>
        <w:left w:val="none" w:sz="0" w:space="0" w:color="auto"/>
        <w:bottom w:val="none" w:sz="0" w:space="0" w:color="auto"/>
        <w:right w:val="none" w:sz="0" w:space="0" w:color="auto"/>
      </w:divBdr>
    </w:div>
    <w:div w:id="1205868769">
      <w:bodyDiv w:val="1"/>
      <w:marLeft w:val="0"/>
      <w:marRight w:val="0"/>
      <w:marTop w:val="0"/>
      <w:marBottom w:val="0"/>
      <w:divBdr>
        <w:top w:val="none" w:sz="0" w:space="0" w:color="auto"/>
        <w:left w:val="none" w:sz="0" w:space="0" w:color="auto"/>
        <w:bottom w:val="none" w:sz="0" w:space="0" w:color="auto"/>
        <w:right w:val="none" w:sz="0" w:space="0" w:color="auto"/>
      </w:divBdr>
    </w:div>
    <w:div w:id="1224217770">
      <w:bodyDiv w:val="1"/>
      <w:marLeft w:val="0"/>
      <w:marRight w:val="0"/>
      <w:marTop w:val="0"/>
      <w:marBottom w:val="0"/>
      <w:divBdr>
        <w:top w:val="none" w:sz="0" w:space="0" w:color="auto"/>
        <w:left w:val="none" w:sz="0" w:space="0" w:color="auto"/>
        <w:bottom w:val="none" w:sz="0" w:space="0" w:color="auto"/>
        <w:right w:val="none" w:sz="0" w:space="0" w:color="auto"/>
      </w:divBdr>
    </w:div>
    <w:div w:id="1238058926">
      <w:bodyDiv w:val="1"/>
      <w:marLeft w:val="0"/>
      <w:marRight w:val="0"/>
      <w:marTop w:val="0"/>
      <w:marBottom w:val="0"/>
      <w:divBdr>
        <w:top w:val="none" w:sz="0" w:space="0" w:color="auto"/>
        <w:left w:val="none" w:sz="0" w:space="0" w:color="auto"/>
        <w:bottom w:val="none" w:sz="0" w:space="0" w:color="auto"/>
        <w:right w:val="none" w:sz="0" w:space="0" w:color="auto"/>
      </w:divBdr>
    </w:div>
    <w:div w:id="1251693181">
      <w:bodyDiv w:val="1"/>
      <w:marLeft w:val="0"/>
      <w:marRight w:val="0"/>
      <w:marTop w:val="0"/>
      <w:marBottom w:val="0"/>
      <w:divBdr>
        <w:top w:val="none" w:sz="0" w:space="0" w:color="auto"/>
        <w:left w:val="none" w:sz="0" w:space="0" w:color="auto"/>
        <w:bottom w:val="none" w:sz="0" w:space="0" w:color="auto"/>
        <w:right w:val="none" w:sz="0" w:space="0" w:color="auto"/>
      </w:divBdr>
    </w:div>
    <w:div w:id="1305426729">
      <w:bodyDiv w:val="1"/>
      <w:marLeft w:val="0"/>
      <w:marRight w:val="0"/>
      <w:marTop w:val="0"/>
      <w:marBottom w:val="0"/>
      <w:divBdr>
        <w:top w:val="none" w:sz="0" w:space="0" w:color="auto"/>
        <w:left w:val="none" w:sz="0" w:space="0" w:color="auto"/>
        <w:bottom w:val="none" w:sz="0" w:space="0" w:color="auto"/>
        <w:right w:val="none" w:sz="0" w:space="0" w:color="auto"/>
      </w:divBdr>
    </w:div>
    <w:div w:id="1315911645">
      <w:bodyDiv w:val="1"/>
      <w:marLeft w:val="0"/>
      <w:marRight w:val="0"/>
      <w:marTop w:val="0"/>
      <w:marBottom w:val="0"/>
      <w:divBdr>
        <w:top w:val="none" w:sz="0" w:space="0" w:color="auto"/>
        <w:left w:val="none" w:sz="0" w:space="0" w:color="auto"/>
        <w:bottom w:val="none" w:sz="0" w:space="0" w:color="auto"/>
        <w:right w:val="none" w:sz="0" w:space="0" w:color="auto"/>
      </w:divBdr>
    </w:div>
    <w:div w:id="1345547161">
      <w:bodyDiv w:val="1"/>
      <w:marLeft w:val="0"/>
      <w:marRight w:val="0"/>
      <w:marTop w:val="0"/>
      <w:marBottom w:val="0"/>
      <w:divBdr>
        <w:top w:val="none" w:sz="0" w:space="0" w:color="auto"/>
        <w:left w:val="none" w:sz="0" w:space="0" w:color="auto"/>
        <w:bottom w:val="none" w:sz="0" w:space="0" w:color="auto"/>
        <w:right w:val="none" w:sz="0" w:space="0" w:color="auto"/>
      </w:divBdr>
    </w:div>
    <w:div w:id="1416898497">
      <w:bodyDiv w:val="1"/>
      <w:marLeft w:val="0"/>
      <w:marRight w:val="0"/>
      <w:marTop w:val="0"/>
      <w:marBottom w:val="0"/>
      <w:divBdr>
        <w:top w:val="none" w:sz="0" w:space="0" w:color="auto"/>
        <w:left w:val="none" w:sz="0" w:space="0" w:color="auto"/>
        <w:bottom w:val="none" w:sz="0" w:space="0" w:color="auto"/>
        <w:right w:val="none" w:sz="0" w:space="0" w:color="auto"/>
      </w:divBdr>
    </w:div>
    <w:div w:id="1422139851">
      <w:bodyDiv w:val="1"/>
      <w:marLeft w:val="0"/>
      <w:marRight w:val="0"/>
      <w:marTop w:val="0"/>
      <w:marBottom w:val="0"/>
      <w:divBdr>
        <w:top w:val="none" w:sz="0" w:space="0" w:color="auto"/>
        <w:left w:val="none" w:sz="0" w:space="0" w:color="auto"/>
        <w:bottom w:val="none" w:sz="0" w:space="0" w:color="auto"/>
        <w:right w:val="none" w:sz="0" w:space="0" w:color="auto"/>
      </w:divBdr>
    </w:div>
    <w:div w:id="1443959595">
      <w:bodyDiv w:val="1"/>
      <w:marLeft w:val="0"/>
      <w:marRight w:val="0"/>
      <w:marTop w:val="0"/>
      <w:marBottom w:val="0"/>
      <w:divBdr>
        <w:top w:val="none" w:sz="0" w:space="0" w:color="auto"/>
        <w:left w:val="none" w:sz="0" w:space="0" w:color="auto"/>
        <w:bottom w:val="none" w:sz="0" w:space="0" w:color="auto"/>
        <w:right w:val="none" w:sz="0" w:space="0" w:color="auto"/>
      </w:divBdr>
    </w:div>
    <w:div w:id="1478454865">
      <w:bodyDiv w:val="1"/>
      <w:marLeft w:val="0"/>
      <w:marRight w:val="0"/>
      <w:marTop w:val="0"/>
      <w:marBottom w:val="0"/>
      <w:divBdr>
        <w:top w:val="none" w:sz="0" w:space="0" w:color="auto"/>
        <w:left w:val="none" w:sz="0" w:space="0" w:color="auto"/>
        <w:bottom w:val="none" w:sz="0" w:space="0" w:color="auto"/>
        <w:right w:val="none" w:sz="0" w:space="0" w:color="auto"/>
      </w:divBdr>
    </w:div>
    <w:div w:id="1484932359">
      <w:bodyDiv w:val="1"/>
      <w:marLeft w:val="0"/>
      <w:marRight w:val="0"/>
      <w:marTop w:val="0"/>
      <w:marBottom w:val="0"/>
      <w:divBdr>
        <w:top w:val="none" w:sz="0" w:space="0" w:color="auto"/>
        <w:left w:val="none" w:sz="0" w:space="0" w:color="auto"/>
        <w:bottom w:val="none" w:sz="0" w:space="0" w:color="auto"/>
        <w:right w:val="none" w:sz="0" w:space="0" w:color="auto"/>
      </w:divBdr>
      <w:divsChild>
        <w:div w:id="532498843">
          <w:marLeft w:val="0"/>
          <w:marRight w:val="0"/>
          <w:marTop w:val="0"/>
          <w:marBottom w:val="150"/>
          <w:divBdr>
            <w:top w:val="none" w:sz="0" w:space="0" w:color="auto"/>
            <w:left w:val="none" w:sz="0" w:space="0" w:color="auto"/>
            <w:bottom w:val="none" w:sz="0" w:space="0" w:color="auto"/>
            <w:right w:val="none" w:sz="0" w:space="0" w:color="auto"/>
          </w:divBdr>
          <w:divsChild>
            <w:div w:id="18998944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44093832">
      <w:bodyDiv w:val="1"/>
      <w:marLeft w:val="0"/>
      <w:marRight w:val="0"/>
      <w:marTop w:val="0"/>
      <w:marBottom w:val="0"/>
      <w:divBdr>
        <w:top w:val="none" w:sz="0" w:space="0" w:color="auto"/>
        <w:left w:val="none" w:sz="0" w:space="0" w:color="auto"/>
        <w:bottom w:val="none" w:sz="0" w:space="0" w:color="auto"/>
        <w:right w:val="none" w:sz="0" w:space="0" w:color="auto"/>
      </w:divBdr>
      <w:divsChild>
        <w:div w:id="468322797">
          <w:marLeft w:val="-720"/>
          <w:marRight w:val="0"/>
          <w:marTop w:val="0"/>
          <w:marBottom w:val="0"/>
          <w:divBdr>
            <w:top w:val="none" w:sz="0" w:space="0" w:color="auto"/>
            <w:left w:val="none" w:sz="0" w:space="0" w:color="auto"/>
            <w:bottom w:val="none" w:sz="0" w:space="0" w:color="auto"/>
            <w:right w:val="none" w:sz="0" w:space="0" w:color="auto"/>
          </w:divBdr>
        </w:div>
      </w:divsChild>
    </w:div>
    <w:div w:id="1551921533">
      <w:bodyDiv w:val="1"/>
      <w:marLeft w:val="0"/>
      <w:marRight w:val="0"/>
      <w:marTop w:val="0"/>
      <w:marBottom w:val="0"/>
      <w:divBdr>
        <w:top w:val="none" w:sz="0" w:space="0" w:color="auto"/>
        <w:left w:val="none" w:sz="0" w:space="0" w:color="auto"/>
        <w:bottom w:val="none" w:sz="0" w:space="0" w:color="auto"/>
        <w:right w:val="none" w:sz="0" w:space="0" w:color="auto"/>
      </w:divBdr>
    </w:div>
    <w:div w:id="1554539777">
      <w:bodyDiv w:val="1"/>
      <w:marLeft w:val="0"/>
      <w:marRight w:val="0"/>
      <w:marTop w:val="0"/>
      <w:marBottom w:val="0"/>
      <w:divBdr>
        <w:top w:val="none" w:sz="0" w:space="0" w:color="auto"/>
        <w:left w:val="none" w:sz="0" w:space="0" w:color="auto"/>
        <w:bottom w:val="none" w:sz="0" w:space="0" w:color="auto"/>
        <w:right w:val="none" w:sz="0" w:space="0" w:color="auto"/>
      </w:divBdr>
      <w:divsChild>
        <w:div w:id="1449665968">
          <w:marLeft w:val="-720"/>
          <w:marRight w:val="0"/>
          <w:marTop w:val="0"/>
          <w:marBottom w:val="0"/>
          <w:divBdr>
            <w:top w:val="none" w:sz="0" w:space="0" w:color="auto"/>
            <w:left w:val="none" w:sz="0" w:space="0" w:color="auto"/>
            <w:bottom w:val="none" w:sz="0" w:space="0" w:color="auto"/>
            <w:right w:val="none" w:sz="0" w:space="0" w:color="auto"/>
          </w:divBdr>
        </w:div>
      </w:divsChild>
    </w:div>
    <w:div w:id="1577277132">
      <w:bodyDiv w:val="1"/>
      <w:marLeft w:val="0"/>
      <w:marRight w:val="0"/>
      <w:marTop w:val="0"/>
      <w:marBottom w:val="0"/>
      <w:divBdr>
        <w:top w:val="none" w:sz="0" w:space="0" w:color="auto"/>
        <w:left w:val="none" w:sz="0" w:space="0" w:color="auto"/>
        <w:bottom w:val="none" w:sz="0" w:space="0" w:color="auto"/>
        <w:right w:val="none" w:sz="0" w:space="0" w:color="auto"/>
      </w:divBdr>
    </w:div>
    <w:div w:id="1586456657">
      <w:bodyDiv w:val="1"/>
      <w:marLeft w:val="0"/>
      <w:marRight w:val="0"/>
      <w:marTop w:val="0"/>
      <w:marBottom w:val="0"/>
      <w:divBdr>
        <w:top w:val="none" w:sz="0" w:space="0" w:color="auto"/>
        <w:left w:val="none" w:sz="0" w:space="0" w:color="auto"/>
        <w:bottom w:val="none" w:sz="0" w:space="0" w:color="auto"/>
        <w:right w:val="none" w:sz="0" w:space="0" w:color="auto"/>
      </w:divBdr>
      <w:divsChild>
        <w:div w:id="53089454">
          <w:marLeft w:val="-720"/>
          <w:marRight w:val="0"/>
          <w:marTop w:val="0"/>
          <w:marBottom w:val="0"/>
          <w:divBdr>
            <w:top w:val="none" w:sz="0" w:space="0" w:color="auto"/>
            <w:left w:val="none" w:sz="0" w:space="0" w:color="auto"/>
            <w:bottom w:val="none" w:sz="0" w:space="0" w:color="auto"/>
            <w:right w:val="none" w:sz="0" w:space="0" w:color="auto"/>
          </w:divBdr>
        </w:div>
      </w:divsChild>
    </w:div>
    <w:div w:id="1624114432">
      <w:bodyDiv w:val="1"/>
      <w:marLeft w:val="0"/>
      <w:marRight w:val="0"/>
      <w:marTop w:val="0"/>
      <w:marBottom w:val="0"/>
      <w:divBdr>
        <w:top w:val="none" w:sz="0" w:space="0" w:color="auto"/>
        <w:left w:val="none" w:sz="0" w:space="0" w:color="auto"/>
        <w:bottom w:val="none" w:sz="0" w:space="0" w:color="auto"/>
        <w:right w:val="none" w:sz="0" w:space="0" w:color="auto"/>
      </w:divBdr>
    </w:div>
    <w:div w:id="1643465039">
      <w:bodyDiv w:val="1"/>
      <w:marLeft w:val="0"/>
      <w:marRight w:val="0"/>
      <w:marTop w:val="0"/>
      <w:marBottom w:val="0"/>
      <w:divBdr>
        <w:top w:val="none" w:sz="0" w:space="0" w:color="auto"/>
        <w:left w:val="none" w:sz="0" w:space="0" w:color="auto"/>
        <w:bottom w:val="none" w:sz="0" w:space="0" w:color="auto"/>
        <w:right w:val="none" w:sz="0" w:space="0" w:color="auto"/>
      </w:divBdr>
    </w:div>
    <w:div w:id="1685672628">
      <w:bodyDiv w:val="1"/>
      <w:marLeft w:val="0"/>
      <w:marRight w:val="0"/>
      <w:marTop w:val="0"/>
      <w:marBottom w:val="0"/>
      <w:divBdr>
        <w:top w:val="none" w:sz="0" w:space="0" w:color="auto"/>
        <w:left w:val="none" w:sz="0" w:space="0" w:color="auto"/>
        <w:bottom w:val="none" w:sz="0" w:space="0" w:color="auto"/>
        <w:right w:val="none" w:sz="0" w:space="0" w:color="auto"/>
      </w:divBdr>
    </w:div>
    <w:div w:id="1717923986">
      <w:bodyDiv w:val="1"/>
      <w:marLeft w:val="0"/>
      <w:marRight w:val="0"/>
      <w:marTop w:val="0"/>
      <w:marBottom w:val="0"/>
      <w:divBdr>
        <w:top w:val="none" w:sz="0" w:space="0" w:color="auto"/>
        <w:left w:val="none" w:sz="0" w:space="0" w:color="auto"/>
        <w:bottom w:val="none" w:sz="0" w:space="0" w:color="auto"/>
        <w:right w:val="none" w:sz="0" w:space="0" w:color="auto"/>
      </w:divBdr>
    </w:div>
    <w:div w:id="1812675890">
      <w:bodyDiv w:val="1"/>
      <w:marLeft w:val="0"/>
      <w:marRight w:val="0"/>
      <w:marTop w:val="0"/>
      <w:marBottom w:val="0"/>
      <w:divBdr>
        <w:top w:val="none" w:sz="0" w:space="0" w:color="auto"/>
        <w:left w:val="none" w:sz="0" w:space="0" w:color="auto"/>
        <w:bottom w:val="none" w:sz="0" w:space="0" w:color="auto"/>
        <w:right w:val="none" w:sz="0" w:space="0" w:color="auto"/>
      </w:divBdr>
    </w:div>
    <w:div w:id="1866861983">
      <w:bodyDiv w:val="1"/>
      <w:marLeft w:val="0"/>
      <w:marRight w:val="0"/>
      <w:marTop w:val="0"/>
      <w:marBottom w:val="0"/>
      <w:divBdr>
        <w:top w:val="none" w:sz="0" w:space="0" w:color="auto"/>
        <w:left w:val="none" w:sz="0" w:space="0" w:color="auto"/>
        <w:bottom w:val="none" w:sz="0" w:space="0" w:color="auto"/>
        <w:right w:val="none" w:sz="0" w:space="0" w:color="auto"/>
      </w:divBdr>
    </w:div>
    <w:div w:id="1923417119">
      <w:bodyDiv w:val="1"/>
      <w:marLeft w:val="0"/>
      <w:marRight w:val="0"/>
      <w:marTop w:val="0"/>
      <w:marBottom w:val="0"/>
      <w:divBdr>
        <w:top w:val="none" w:sz="0" w:space="0" w:color="auto"/>
        <w:left w:val="none" w:sz="0" w:space="0" w:color="auto"/>
        <w:bottom w:val="none" w:sz="0" w:space="0" w:color="auto"/>
        <w:right w:val="none" w:sz="0" w:space="0" w:color="auto"/>
      </w:divBdr>
    </w:div>
    <w:div w:id="1954363303">
      <w:bodyDiv w:val="1"/>
      <w:marLeft w:val="0"/>
      <w:marRight w:val="0"/>
      <w:marTop w:val="0"/>
      <w:marBottom w:val="0"/>
      <w:divBdr>
        <w:top w:val="none" w:sz="0" w:space="0" w:color="auto"/>
        <w:left w:val="none" w:sz="0" w:space="0" w:color="auto"/>
        <w:bottom w:val="none" w:sz="0" w:space="0" w:color="auto"/>
        <w:right w:val="none" w:sz="0" w:space="0" w:color="auto"/>
      </w:divBdr>
    </w:div>
    <w:div w:id="2053725479">
      <w:bodyDiv w:val="1"/>
      <w:marLeft w:val="0"/>
      <w:marRight w:val="0"/>
      <w:marTop w:val="0"/>
      <w:marBottom w:val="0"/>
      <w:divBdr>
        <w:top w:val="none" w:sz="0" w:space="0" w:color="auto"/>
        <w:left w:val="none" w:sz="0" w:space="0" w:color="auto"/>
        <w:bottom w:val="none" w:sz="0" w:space="0" w:color="auto"/>
        <w:right w:val="none" w:sz="0" w:space="0" w:color="auto"/>
      </w:divBdr>
    </w:div>
    <w:div w:id="2102337549">
      <w:bodyDiv w:val="1"/>
      <w:marLeft w:val="0"/>
      <w:marRight w:val="0"/>
      <w:marTop w:val="0"/>
      <w:marBottom w:val="0"/>
      <w:divBdr>
        <w:top w:val="none" w:sz="0" w:space="0" w:color="auto"/>
        <w:left w:val="none" w:sz="0" w:space="0" w:color="auto"/>
        <w:bottom w:val="none" w:sz="0" w:space="0" w:color="auto"/>
        <w:right w:val="none" w:sz="0" w:space="0" w:color="auto"/>
      </w:divBdr>
    </w:div>
    <w:div w:id="2117945774">
      <w:bodyDiv w:val="1"/>
      <w:marLeft w:val="0"/>
      <w:marRight w:val="0"/>
      <w:marTop w:val="0"/>
      <w:marBottom w:val="0"/>
      <w:divBdr>
        <w:top w:val="none" w:sz="0" w:space="0" w:color="auto"/>
        <w:left w:val="none" w:sz="0" w:space="0" w:color="auto"/>
        <w:bottom w:val="none" w:sz="0" w:space="0" w:color="auto"/>
        <w:right w:val="none" w:sz="0" w:space="0" w:color="auto"/>
      </w:divBdr>
    </w:div>
    <w:div w:id="2119136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yperlink" Target="https://doi.org/10.3390/ijerph1708294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47485/2766-2624.104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007/s40899-017-011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155/2022/9591717"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16/j.gsd.2024.10135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org/10.1007/s11270-024-07153-x" TargetMode="External"/><Relationship Id="rId35" Type="http://schemas.openxmlformats.org/officeDocument/2006/relationships/hyperlink" Target="https://doi.org/10.1002/cem.2937"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41BF8-1F09-4C33-9ED3-ABE97A22C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7944</Words>
  <Characters>45283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53121</CharactersWithSpaces>
  <SharedDoc>false</SharedDoc>
  <HLinks>
    <vt:vector size="36" baseType="variant">
      <vt:variant>
        <vt:i4>7077922</vt:i4>
      </vt:variant>
      <vt:variant>
        <vt:i4>18</vt:i4>
      </vt:variant>
      <vt:variant>
        <vt:i4>0</vt:i4>
      </vt:variant>
      <vt:variant>
        <vt:i4>5</vt:i4>
      </vt:variant>
      <vt:variant>
        <vt:lpwstr>https://doi.org/10.3390/ijerph17082942</vt:lpwstr>
      </vt:variant>
      <vt:variant>
        <vt:lpwstr/>
      </vt:variant>
      <vt:variant>
        <vt:i4>5636183</vt:i4>
      </vt:variant>
      <vt:variant>
        <vt:i4>15</vt:i4>
      </vt:variant>
      <vt:variant>
        <vt:i4>0</vt:i4>
      </vt:variant>
      <vt:variant>
        <vt:i4>5</vt:i4>
      </vt:variant>
      <vt:variant>
        <vt:lpwstr>https://doi.org/10.1002/cem.2937</vt:lpwstr>
      </vt:variant>
      <vt:variant>
        <vt:lpwstr/>
      </vt:variant>
      <vt:variant>
        <vt:i4>2490469</vt:i4>
      </vt:variant>
      <vt:variant>
        <vt:i4>12</vt:i4>
      </vt:variant>
      <vt:variant>
        <vt:i4>0</vt:i4>
      </vt:variant>
      <vt:variant>
        <vt:i4>5</vt:i4>
      </vt:variant>
      <vt:variant>
        <vt:lpwstr>https://doi.org/10.47485/2766-2624.1044</vt:lpwstr>
      </vt:variant>
      <vt:variant>
        <vt:lpwstr/>
      </vt:variant>
      <vt:variant>
        <vt:i4>1310788</vt:i4>
      </vt:variant>
      <vt:variant>
        <vt:i4>9</vt:i4>
      </vt:variant>
      <vt:variant>
        <vt:i4>0</vt:i4>
      </vt:variant>
      <vt:variant>
        <vt:i4>5</vt:i4>
      </vt:variant>
      <vt:variant>
        <vt:lpwstr>https://doi.org/10.1155/2022/9591717</vt:lpwstr>
      </vt:variant>
      <vt:variant>
        <vt:lpwstr/>
      </vt:variant>
      <vt:variant>
        <vt:i4>851988</vt:i4>
      </vt:variant>
      <vt:variant>
        <vt:i4>6</vt:i4>
      </vt:variant>
      <vt:variant>
        <vt:i4>0</vt:i4>
      </vt:variant>
      <vt:variant>
        <vt:i4>5</vt:i4>
      </vt:variant>
      <vt:variant>
        <vt:lpwstr>https://doi.org/10.1007/s40899-017-0113-8</vt:lpwstr>
      </vt:variant>
      <vt:variant>
        <vt:lpwstr/>
      </vt:variant>
      <vt:variant>
        <vt:i4>4390964</vt:i4>
      </vt:variant>
      <vt:variant>
        <vt:i4>0</vt:i4>
      </vt:variant>
      <vt:variant>
        <vt:i4>0</vt:i4>
      </vt:variant>
      <vt:variant>
        <vt:i4>5</vt:i4>
      </vt:variant>
      <vt:variant>
        <vt:lpwstr>mailto:nandita@utkaluniversity.ac.in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NANDITA</dc:creator>
  <cp:keywords/>
  <dc:description/>
  <cp:lastModifiedBy>qwert</cp:lastModifiedBy>
  <cp:revision>5</cp:revision>
  <dcterms:created xsi:type="dcterms:W3CDTF">2026-05-01T17:11:00Z</dcterms:created>
  <dcterms:modified xsi:type="dcterms:W3CDTF">2026-05-02T10:04:00Z</dcterms:modified>
</cp:coreProperties>
</file>