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1B9" w:rsidRDefault="00E543EE">
      <w:pPr>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 xml:space="preserve">A Comparative Usability Study of Standard and Accessibility-Optimized Mobile E-Commerce Interfaces for Elderly Users in India </w:t>
      </w:r>
    </w:p>
    <w:p w:rsidR="00F071B9" w:rsidRDefault="00F071B9">
      <w:pPr>
        <w:jc w:val="both"/>
        <w:rPr>
          <w:rFonts w:ascii="Times New Roman" w:eastAsia="Times New Roman" w:hAnsi="Times New Roman" w:cs="Times New Roman"/>
          <w:b/>
          <w:bCs/>
          <w:sz w:val="26"/>
          <w:szCs w:val="26"/>
        </w:rPr>
      </w:pPr>
    </w:p>
    <w:p w:rsidR="00F071B9" w:rsidRDefault="00F071B9">
      <w:pPr>
        <w:jc w:val="both"/>
        <w:rPr>
          <w:rFonts w:ascii="Times New Roman" w:eastAsia="Times New Roman" w:hAnsi="Times New Roman" w:cs="Times New Roman"/>
          <w:sz w:val="18"/>
          <w:szCs w:val="18"/>
        </w:rPr>
      </w:pPr>
    </w:p>
    <w:p w:rsidR="00F071B9" w:rsidRDefault="00F071B9">
      <w:pPr>
        <w:jc w:val="both"/>
        <w:rPr>
          <w:rFonts w:ascii="Times New Roman" w:eastAsia="Times New Roman" w:hAnsi="Times New Roman" w:cs="Times New Roman"/>
          <w:b/>
          <w:bCs/>
          <w:sz w:val="18"/>
          <w:szCs w:val="18"/>
        </w:rPr>
      </w:pPr>
    </w:p>
    <w:p w:rsidR="00F071B9" w:rsidRDefault="00E543EE">
      <w:pPr>
        <w:spacing w:before="240" w:after="240" w:line="240" w:lineRule="auto"/>
        <w:jc w:val="both"/>
        <w:rPr>
          <w:rFonts w:ascii="Times New Roman" w:eastAsia="Times New Roman" w:hAnsi="Times New Roman" w:cs="Times New Roman"/>
          <w:b/>
          <w:bCs/>
          <w:sz w:val="18"/>
          <w:szCs w:val="18"/>
        </w:rPr>
      </w:pPr>
      <w:bookmarkStart w:id="0" w:name="_GoBack"/>
      <w:bookmarkEnd w:id="0"/>
      <w:r>
        <w:rPr>
          <w:rFonts w:ascii="Times New Roman" w:eastAsia="Times New Roman" w:hAnsi="Times New Roman" w:cs="Times New Roman"/>
          <w:b/>
          <w:bCs/>
          <w:sz w:val="18"/>
          <w:szCs w:val="18"/>
        </w:rPr>
        <w:t>ABSTRACT</w:t>
      </w:r>
    </w:p>
    <w:p w:rsidR="00F071B9" w:rsidRDefault="00E543EE">
      <w:pPr>
        <w:spacing w:line="24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Purpose</w:t>
      </w:r>
    </w:p>
    <w:p w:rsidR="00F071B9" w:rsidRDefault="00F071B9">
      <w:pPr>
        <w:spacing w:line="240" w:lineRule="auto"/>
        <w:jc w:val="both"/>
        <w:rPr>
          <w:rFonts w:ascii="Times New Roman" w:eastAsia="Times New Roman" w:hAnsi="Times New Roman" w:cs="Times New Roman"/>
          <w:sz w:val="18"/>
          <w:szCs w:val="18"/>
        </w:rPr>
      </w:pPr>
    </w:p>
    <w:p w:rsidR="00F071B9" w:rsidRDefault="00E543EE">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This study examines how an </w:t>
      </w:r>
      <w:r>
        <w:rPr>
          <w:rFonts w:ascii="Times New Roman" w:eastAsia="Times New Roman" w:hAnsi="Times New Roman" w:cs="Times New Roman"/>
          <w:sz w:val="18"/>
          <w:szCs w:val="18"/>
        </w:rPr>
        <w:t>accessibility-optimised mobile interface (larger fonts, bigger targets, and simpler navigation) affects usability for Indian smartphone users aged 60+.</w:t>
      </w:r>
    </w:p>
    <w:p w:rsidR="00F071B9" w:rsidRDefault="00F071B9">
      <w:pPr>
        <w:spacing w:line="240" w:lineRule="auto"/>
        <w:jc w:val="both"/>
        <w:rPr>
          <w:rFonts w:ascii="Times New Roman" w:eastAsia="Times New Roman" w:hAnsi="Times New Roman" w:cs="Times New Roman"/>
          <w:b/>
          <w:bCs/>
          <w:sz w:val="18"/>
          <w:szCs w:val="18"/>
        </w:rPr>
      </w:pPr>
    </w:p>
    <w:p w:rsidR="00F071B9" w:rsidRDefault="00E543EE">
      <w:pPr>
        <w:spacing w:after="240" w:line="24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Design/methodology/approach</w:t>
      </w:r>
    </w:p>
    <w:p w:rsidR="00F071B9" w:rsidRDefault="00E543EE">
      <w:pPr>
        <w:spacing w:after="24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 a within-subject experiment, participants performed tasks (finding a pro</w:t>
      </w:r>
      <w:r>
        <w:rPr>
          <w:rFonts w:ascii="Times New Roman" w:eastAsia="Times New Roman" w:hAnsi="Times New Roman" w:cs="Times New Roman"/>
          <w:sz w:val="18"/>
          <w:szCs w:val="18"/>
        </w:rPr>
        <w:t>duct, filtering, and checking out) on each interface. We recorded completion rates, errors, time-on-task, and System Usability Scale (SUS) scores. Data were analysed with paired t-tests (Wilcoxon tests if needed), using Cohen’s d and Cronbach’s alpha.</w:t>
      </w:r>
    </w:p>
    <w:p w:rsidR="00F071B9" w:rsidRDefault="00E543EE">
      <w:pPr>
        <w:spacing w:after="240" w:line="24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Find</w:t>
      </w:r>
      <w:r>
        <w:rPr>
          <w:rFonts w:ascii="Times New Roman" w:eastAsia="Times New Roman" w:hAnsi="Times New Roman" w:cs="Times New Roman"/>
          <w:b/>
          <w:bCs/>
          <w:sz w:val="18"/>
          <w:szCs w:val="18"/>
        </w:rPr>
        <w:t>ings</w:t>
      </w:r>
    </w:p>
    <w:p w:rsidR="00F071B9" w:rsidRDefault="00E543EE">
      <w:pPr>
        <w:spacing w:after="24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accessibility-optimized interface received significantly higher usability satisfaction scores than the standard interface (M = 43.33 vs. 31.33; t(29) = 5.860, p &lt; 0.001, Cohen’s d = 1.070), with improvements across all 10 SUS items. Task-based mea</w:t>
      </w:r>
      <w:r>
        <w:rPr>
          <w:rFonts w:ascii="Times New Roman" w:eastAsia="Times New Roman" w:hAnsi="Times New Roman" w:cs="Times New Roman"/>
          <w:sz w:val="18"/>
          <w:szCs w:val="18"/>
        </w:rPr>
        <w:t xml:space="preserve">sures similarly favoured the optimized design. </w:t>
      </w:r>
    </w:p>
    <w:p w:rsidR="00F071B9" w:rsidRDefault="00E543EE">
      <w:pPr>
        <w:spacing w:after="240" w:line="24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Research limitations/implications</w:t>
      </w:r>
    </w:p>
    <w:p w:rsidR="00F071B9" w:rsidRDefault="00E543EE">
      <w:pPr>
        <w:spacing w:after="24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lab setting and participant group may limit generalisability; future work should test these interventions in diverse, real-world contexts. The within-subject design </w:t>
      </w:r>
      <w:r>
        <w:rPr>
          <w:rFonts w:ascii="Times New Roman" w:eastAsia="Times New Roman" w:hAnsi="Times New Roman" w:cs="Times New Roman"/>
          <w:sz w:val="18"/>
          <w:szCs w:val="18"/>
        </w:rPr>
        <w:t>provides strong evidence of interface effects.</w:t>
      </w:r>
    </w:p>
    <w:p w:rsidR="00F071B9" w:rsidRDefault="00E543EE">
      <w:pPr>
        <w:spacing w:after="240" w:line="24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Practical implications</w:t>
      </w:r>
    </w:p>
    <w:p w:rsidR="00F071B9" w:rsidRDefault="00E543EE">
      <w:pPr>
        <w:spacing w:after="24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Designers should adopt larger text, bigger tap targets, and shallower navigation for older users; these changes could improve usability and satisfaction, increasing e-commerce engagement</w:t>
      </w:r>
      <w:r>
        <w:rPr>
          <w:rFonts w:ascii="Times New Roman" w:eastAsia="Times New Roman" w:hAnsi="Times New Roman" w:cs="Times New Roman"/>
          <w:sz w:val="18"/>
          <w:szCs w:val="18"/>
        </w:rPr>
        <w:t>.</w:t>
      </w:r>
    </w:p>
    <w:p w:rsidR="00F071B9" w:rsidRDefault="00E543EE">
      <w:pPr>
        <w:spacing w:after="240" w:line="24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Social implications</w:t>
      </w:r>
    </w:p>
    <w:p w:rsidR="00F071B9" w:rsidRDefault="00E543EE">
      <w:pPr>
        <w:spacing w:after="24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Improving app accessibility can help bridge the digital divide for older adults, enabling fuller participation in online commerce and supporting social inclusion.</w:t>
      </w:r>
    </w:p>
    <w:p w:rsidR="00F071B9" w:rsidRDefault="00E543EE">
      <w:pPr>
        <w:spacing w:after="240" w:line="24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Originality/value</w:t>
      </w:r>
    </w:p>
    <w:p w:rsidR="00F071B9" w:rsidRDefault="00E543EE">
      <w:pPr>
        <w:spacing w:after="24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Among the first to quantitatively evaluate accessibil</w:t>
      </w:r>
      <w:r>
        <w:rPr>
          <w:rFonts w:ascii="Times New Roman" w:eastAsia="Times New Roman" w:hAnsi="Times New Roman" w:cs="Times New Roman"/>
          <w:sz w:val="18"/>
          <w:szCs w:val="18"/>
        </w:rPr>
        <w:t>ity interventions for older Indian users, this study combines task metrics with SUS ratings in an A/B test, filling a gap in ageing and usability research and providing guidance for age-friendly design.</w:t>
      </w:r>
    </w:p>
    <w:p w:rsidR="00F071B9" w:rsidRDefault="00E543EE">
      <w:pPr>
        <w:spacing w:after="240" w:line="24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Keywords</w:t>
      </w:r>
    </w:p>
    <w:p w:rsidR="00F071B9" w:rsidRDefault="00E543EE">
      <w:pPr>
        <w:spacing w:after="24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Accessibility design, elderly users, mobile </w:t>
      </w:r>
      <w:r>
        <w:rPr>
          <w:rFonts w:ascii="Times New Roman" w:eastAsia="Times New Roman" w:hAnsi="Times New Roman" w:cs="Times New Roman"/>
          <w:sz w:val="18"/>
          <w:szCs w:val="18"/>
        </w:rPr>
        <w:t>e-commerce, usability evaluation, System Usability Scale (SUS), A/B testing, digital inclusion</w:t>
      </w:r>
    </w:p>
    <w:p w:rsidR="00F071B9" w:rsidRDefault="00E543EE">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INTRODUCTION</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India stands at a significant demographic and digital crossroads. With approximately 150 million citizens aged 60 and above, a figure projected to r</w:t>
      </w:r>
      <w:r>
        <w:rPr>
          <w:rFonts w:ascii="Times New Roman" w:eastAsia="Times New Roman" w:hAnsi="Times New Roman" w:cs="Times New Roman"/>
          <w:sz w:val="18"/>
          <w:szCs w:val="18"/>
        </w:rPr>
        <w:t xml:space="preserve">each nearly 230 million by 2036 (IIPS, 2020), the country’s older adult population represents one of the fastest growing demographic segments in the world. Simultaneously, smartphone penetration across Indian households has surged to nearly 85% as of 2025 </w:t>
      </w:r>
      <w:r>
        <w:rPr>
          <w:rFonts w:ascii="Times New Roman" w:eastAsia="Times New Roman" w:hAnsi="Times New Roman" w:cs="Times New Roman"/>
          <w:sz w:val="18"/>
          <w:szCs w:val="18"/>
        </w:rPr>
        <w:t xml:space="preserve">(Keelery, 2025), transforming mobile applications into the </w:t>
      </w:r>
      <w:r>
        <w:rPr>
          <w:rFonts w:ascii="Times New Roman" w:eastAsia="Times New Roman" w:hAnsi="Times New Roman" w:cs="Times New Roman"/>
          <w:sz w:val="18"/>
          <w:szCs w:val="18"/>
        </w:rPr>
        <w:lastRenderedPageBreak/>
        <w:t>primary gateway for everyday activities, including commerce, banking, and social participation. Yet despite this parallel growth in aging population and digital access, a pronounced and consequenti</w:t>
      </w:r>
      <w:r>
        <w:rPr>
          <w:rFonts w:ascii="Times New Roman" w:eastAsia="Times New Roman" w:hAnsi="Times New Roman" w:cs="Times New Roman"/>
          <w:sz w:val="18"/>
          <w:szCs w:val="18"/>
        </w:rPr>
        <w:t>al gap persists: mobile interfaces remain largely inaccessible to elderly users.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Mobile e-commerce, in particular, has become a central arena where this gap is most visible. Dominant shopping applications in India are predominantly designed for younger, di</w:t>
      </w:r>
      <w:r>
        <w:rPr>
          <w:rFonts w:ascii="Times New Roman" w:eastAsia="Times New Roman" w:hAnsi="Times New Roman" w:cs="Times New Roman"/>
          <w:sz w:val="18"/>
          <w:szCs w:val="18"/>
        </w:rPr>
        <w:t>gitally fluent users, and their interfaces reflect this orientation. Small font sizes, dense and visually cluttered layouts, deep multi step navigation structures, and small touch targets impose significant cognitive and physical demands on older users (Fi</w:t>
      </w:r>
      <w:r>
        <w:rPr>
          <w:rFonts w:ascii="Times New Roman" w:eastAsia="Times New Roman" w:hAnsi="Times New Roman" w:cs="Times New Roman"/>
          <w:sz w:val="18"/>
          <w:szCs w:val="18"/>
        </w:rPr>
        <w:t xml:space="preserve">sk et al., 2009). Research consistently demonstrates that these design characteristics increase cognitive load, slow task completion, and elevate error rates (Fisk et al., 2009; Nielsen, 1993; Sweller, 1988), often to the point where elderly users abandon </w:t>
      </w:r>
      <w:r>
        <w:rPr>
          <w:rFonts w:ascii="Times New Roman" w:eastAsia="Times New Roman" w:hAnsi="Times New Roman" w:cs="Times New Roman"/>
          <w:sz w:val="18"/>
          <w:szCs w:val="18"/>
        </w:rPr>
        <w:t>transactions entirely. A 2025 HelpAge India report corroborates this, finding that over two thirds of elderly individuals described digital tools as confusing, with more than half reporting a fear of making mistakes while using mobile applications (HelpAge</w:t>
      </w:r>
      <w:r>
        <w:rPr>
          <w:rFonts w:ascii="Times New Roman" w:eastAsia="Times New Roman" w:hAnsi="Times New Roman" w:cs="Times New Roman"/>
          <w:sz w:val="18"/>
          <w:szCs w:val="18"/>
        </w:rPr>
        <w:t xml:space="preserve"> India, 2025).</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consequences of this design gap extend beyond usability inconvenience. India’s Supreme Court has recognized a Right to Digital Access under Article 21 of the Constitution (BarrierBreak, 2025), affirming that digital services, including o</w:t>
      </w:r>
      <w:r>
        <w:rPr>
          <w:rFonts w:ascii="Times New Roman" w:eastAsia="Times New Roman" w:hAnsi="Times New Roman" w:cs="Times New Roman"/>
          <w:sz w:val="18"/>
          <w:szCs w:val="18"/>
        </w:rPr>
        <w:t>nline retail, must be equitably usable by all citizens. Accessibility audits have found that Indian e-commerce platforms average approximately 121 Web Content Accessibility Guidelines WCAG errors per homepage, encompassing poor color contrast, missing inte</w:t>
      </w:r>
      <w:r>
        <w:rPr>
          <w:rFonts w:ascii="Times New Roman" w:eastAsia="Times New Roman" w:hAnsi="Times New Roman" w:cs="Times New Roman"/>
          <w:sz w:val="18"/>
          <w:szCs w:val="18"/>
        </w:rPr>
        <w:t>rface labels, and interaction barriers that disproportionately exclude users with age related sensory and motor limitations (BarrierBreak, 2025). These findings position mobile e-commerce accessibility not merely as a design concern, but as a matter of soc</w:t>
      </w:r>
      <w:r>
        <w:rPr>
          <w:rFonts w:ascii="Times New Roman" w:eastAsia="Times New Roman" w:hAnsi="Times New Roman" w:cs="Times New Roman"/>
          <w:sz w:val="18"/>
          <w:szCs w:val="18"/>
        </w:rPr>
        <w:t>ial inclusion and legal compliance.</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While existing literature establishes that accessibility focused design features such as larger text, bigger touch targets, and simplified navigation can improve usability for older adults (Fisk et al., 2009; Johnson, 20</w:t>
      </w:r>
      <w:r>
        <w:rPr>
          <w:rFonts w:ascii="Times New Roman" w:eastAsia="Times New Roman" w:hAnsi="Times New Roman" w:cs="Times New Roman"/>
          <w:sz w:val="18"/>
          <w:szCs w:val="18"/>
        </w:rPr>
        <w:t>14), quantitative evidence within the Indian mobile e-commerce context remains limited. Most prior work is either qualitative in nature, geographically situated outside India, or focused on domains such as banking and healthcare rather than retail. This ga</w:t>
      </w:r>
      <w:r>
        <w:rPr>
          <w:rFonts w:ascii="Times New Roman" w:eastAsia="Times New Roman" w:hAnsi="Times New Roman" w:cs="Times New Roman"/>
          <w:sz w:val="18"/>
          <w:szCs w:val="18"/>
        </w:rPr>
        <w:t>p in empirical evidence restricts the ability of designers and developers to make data driven decisions that could meaningfully include elderly users in India’s rapidly expanding digital commerce ecosystem.</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present study addresses this gap through a qu</w:t>
      </w:r>
      <w:r>
        <w:rPr>
          <w:rFonts w:ascii="Times New Roman" w:eastAsia="Times New Roman" w:hAnsi="Times New Roman" w:cs="Times New Roman"/>
          <w:sz w:val="18"/>
          <w:szCs w:val="18"/>
        </w:rPr>
        <w:t xml:space="preserve">antitative experimental comparison of two mobile e-commerce interface conditions: a standard interface representative of commonly used applications, and an accessibility optimized interface incorporating larger font sizes 18 px, increased touch targets 48 </w:t>
      </w:r>
      <w:r>
        <w:rPr>
          <w:rFonts w:ascii="Times New Roman" w:eastAsia="Times New Roman" w:hAnsi="Times New Roman" w:cs="Times New Roman"/>
          <w:sz w:val="18"/>
          <w:szCs w:val="18"/>
        </w:rPr>
        <w:t>px, and reduced navigation depth 1 to 2 taps to checkout. Usability is evaluated across four objective and subjective metrics, task completion rate, error rate, time on task, and usability satisfaction as measured by the System Usability Scale SUS (Brooke,</w:t>
      </w:r>
      <w:r>
        <w:rPr>
          <w:rFonts w:ascii="Times New Roman" w:eastAsia="Times New Roman" w:hAnsi="Times New Roman" w:cs="Times New Roman"/>
          <w:sz w:val="18"/>
          <w:szCs w:val="18"/>
        </w:rPr>
        <w:t xml:space="preserve"> 1996), among Indian elderly participants aged 60 years and above. The central research question guiding this study is: To what extent does an accessibility optimized mobile e-commerce interface with increased font size, larger touch targets, and simplifie</w:t>
      </w:r>
      <w:r>
        <w:rPr>
          <w:rFonts w:ascii="Times New Roman" w:eastAsia="Times New Roman" w:hAnsi="Times New Roman" w:cs="Times New Roman"/>
          <w:sz w:val="18"/>
          <w:szCs w:val="18"/>
        </w:rPr>
        <w:t>d layouts affect task completion rate, error rate, time on task, and usability satisfaction compared to a standard interface among elderly Indian users?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By generating quantitative usability evidence grounded in the Indian demographic context, this study ai</w:t>
      </w:r>
      <w:r>
        <w:rPr>
          <w:rFonts w:ascii="Times New Roman" w:eastAsia="Times New Roman" w:hAnsi="Times New Roman" w:cs="Times New Roman"/>
          <w:sz w:val="18"/>
          <w:szCs w:val="18"/>
        </w:rPr>
        <w:t>ms to contribute actionable, data backed insights that can inform more inclusive design practices in mobile commerce, ensuring that India’s digital economy grows in a manner that is accessible to all of its citizens.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LITERATURE REVIEW</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Cognitive and Percept</w:t>
      </w:r>
      <w:r>
        <w:rPr>
          <w:rFonts w:ascii="Times New Roman" w:eastAsia="Times New Roman" w:hAnsi="Times New Roman" w:cs="Times New Roman"/>
          <w:b/>
          <w:bCs/>
          <w:sz w:val="18"/>
          <w:szCs w:val="18"/>
        </w:rPr>
        <w:t>ual Aging in Interface Design</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Understanding how aging affects human-computer interaction requires first examining the cognitive and perceptual changes that accompany older adulthood. Fisk et al. (2009) provide a comprehensive account of these changes, noti</w:t>
      </w:r>
      <w:r>
        <w:rPr>
          <w:rFonts w:ascii="Times New Roman" w:eastAsia="Times New Roman" w:hAnsi="Times New Roman" w:cs="Times New Roman"/>
          <w:sz w:val="18"/>
          <w:szCs w:val="18"/>
        </w:rPr>
        <w:t>ng that older adults experience meaningful declines across sensory modalities including vision and audition, as well as in cognitive domains such as memory, attention, and processing speed. These age-related changes have direct implications for interface d</w:t>
      </w:r>
      <w:r>
        <w:rPr>
          <w:rFonts w:ascii="Times New Roman" w:eastAsia="Times New Roman" w:hAnsi="Times New Roman" w:cs="Times New Roman"/>
          <w:sz w:val="18"/>
          <w:szCs w:val="18"/>
        </w:rPr>
        <w:t>esign: reduced visual acuity affects text legibility, slower processing speed increases time-on-task, and working memory constraints limit the ability to navigate complex hierarchical structures. Johnson (2014) further connects these cognitive characterist</w:t>
      </w:r>
      <w:r>
        <w:rPr>
          <w:rFonts w:ascii="Times New Roman" w:eastAsia="Times New Roman" w:hAnsi="Times New Roman" w:cs="Times New Roman"/>
          <w:sz w:val="18"/>
          <w:szCs w:val="18"/>
        </w:rPr>
        <w:t>ics to user interface behavior, demonstrating how perceptual and attentional limitations lead users to make predictable errors when interfaces do not account for human cognitive architecture. Taken together, these findings establish a theoretical foundatio</w:t>
      </w:r>
      <w:r>
        <w:rPr>
          <w:rFonts w:ascii="Times New Roman" w:eastAsia="Times New Roman" w:hAnsi="Times New Roman" w:cs="Times New Roman"/>
          <w:sz w:val="18"/>
          <w:szCs w:val="18"/>
        </w:rPr>
        <w:t>n for why standard mobile interfaces designed for younger users may be systematically mismatched with the capabilities of elderly users.</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Cognitive Load Theory and Interface Complexity</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 significant body of literature links interface complexity to cognitive</w:t>
      </w:r>
      <w:r>
        <w:rPr>
          <w:rFonts w:ascii="Times New Roman" w:eastAsia="Times New Roman" w:hAnsi="Times New Roman" w:cs="Times New Roman"/>
          <w:sz w:val="18"/>
          <w:szCs w:val="18"/>
        </w:rPr>
        <w:t xml:space="preserve"> overload, with consequent effects on task performance. Sweller’s (1988) seminal work on Cognitive Load Theory (CLT) demonstrated that working memory has a severely limited capacity, and that tasks imposing high cognitive demands leave fewer cognitive reso</w:t>
      </w:r>
      <w:r>
        <w:rPr>
          <w:rFonts w:ascii="Times New Roman" w:eastAsia="Times New Roman" w:hAnsi="Times New Roman" w:cs="Times New Roman"/>
          <w:sz w:val="18"/>
          <w:szCs w:val="18"/>
        </w:rPr>
        <w:t>urces available for other processing activities. Clark and Kimmons (n.d.) extended this framework by distinguishing between intrinsic, extraneous, and germane cognitive load, noting that extraneous cognitive load arising from poorly organized or irrelevant</w:t>
      </w:r>
      <w:r>
        <w:rPr>
          <w:rFonts w:ascii="Times New Roman" w:eastAsia="Times New Roman" w:hAnsi="Times New Roman" w:cs="Times New Roman"/>
          <w:sz w:val="18"/>
          <w:szCs w:val="18"/>
        </w:rPr>
        <w:t xml:space="preserve"> interface elements directly impedes task completion without contributing to learning or goal achievement. This distinction is particularly relevant to mobile e-commerce contexts, where cluttered layouts, small interactive targets, and dense text can impos</w:t>
      </w:r>
      <w:r>
        <w:rPr>
          <w:rFonts w:ascii="Times New Roman" w:eastAsia="Times New Roman" w:hAnsi="Times New Roman" w:cs="Times New Roman"/>
          <w:sz w:val="18"/>
          <w:szCs w:val="18"/>
        </w:rPr>
        <w:t>e substantial extraneous cognitive load on users, especially those whose cognitive resources are already constrained by age-related decline. The practical implication is that simplified layouts may reduce extraneous cognitive load, thereby freeing cognitiv</w:t>
      </w:r>
      <w:r>
        <w:rPr>
          <w:rFonts w:ascii="Times New Roman" w:eastAsia="Times New Roman" w:hAnsi="Times New Roman" w:cs="Times New Roman"/>
          <w:sz w:val="18"/>
          <w:szCs w:val="18"/>
        </w:rPr>
        <w:t>e capacity for task-relevant processing.</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Usability Frameworks and Measurement</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Usability has been operationalized in various ways across the human-computer interaction literature. The International Standards Organization defines usability as the effectivene</w:t>
      </w:r>
      <w:r>
        <w:rPr>
          <w:rFonts w:ascii="Times New Roman" w:eastAsia="Times New Roman" w:hAnsi="Times New Roman" w:cs="Times New Roman"/>
          <w:sz w:val="18"/>
          <w:szCs w:val="18"/>
        </w:rPr>
        <w:t>ss, efficiency, and satisfaction with which specified users achieve specified goals in particular environments (Kumar, 2005). These three dimensions map closely onto the dependent variables of the present study: task completion rate as a measure of effecti</w:t>
      </w:r>
      <w:r>
        <w:rPr>
          <w:rFonts w:ascii="Times New Roman" w:eastAsia="Times New Roman" w:hAnsi="Times New Roman" w:cs="Times New Roman"/>
          <w:sz w:val="18"/>
          <w:szCs w:val="18"/>
        </w:rPr>
        <w:t>veness, time on task and error rate as indicators of efficiency, and user satisfaction scores as a direct measure of subjective usability. Brooke’s (1996) System Usability Scale (SUS) offers a reliable, low-cost instrument for capturing global usability pe</w:t>
      </w:r>
      <w:r>
        <w:rPr>
          <w:rFonts w:ascii="Times New Roman" w:eastAsia="Times New Roman" w:hAnsi="Times New Roman" w:cs="Times New Roman"/>
          <w:sz w:val="18"/>
          <w:szCs w:val="18"/>
        </w:rPr>
        <w:t>rceptions across a wide range of systems and user populations. The SUS has been validated across numerous studies and produces a composite score reflecting user perceptions of system complexity, learnability, consistency, and confidence dimensions that are</w:t>
      </w:r>
      <w:r>
        <w:rPr>
          <w:rFonts w:ascii="Times New Roman" w:eastAsia="Times New Roman" w:hAnsi="Times New Roman" w:cs="Times New Roman"/>
          <w:sz w:val="18"/>
          <w:szCs w:val="18"/>
        </w:rPr>
        <w:t xml:space="preserve"> likely to be differentially affected by interface accessibility modifications. Kumar (2005) further notes that usability testing must account for user characteristics, task requirements, and environmental context, reinforcing the importance of studying el</w:t>
      </w:r>
      <w:r>
        <w:rPr>
          <w:rFonts w:ascii="Times New Roman" w:eastAsia="Times New Roman" w:hAnsi="Times New Roman" w:cs="Times New Roman"/>
          <w:sz w:val="18"/>
          <w:szCs w:val="18"/>
        </w:rPr>
        <w:t>derly Indian users specifically rather than generalizing from findings obtained with other populations.</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Technology Acceptance and Perceived Ease of Use</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Beyond task-based performance measures, users’ subjective perceptions of a system play a determining rol</w:t>
      </w:r>
      <w:r>
        <w:rPr>
          <w:rFonts w:ascii="Times New Roman" w:eastAsia="Times New Roman" w:hAnsi="Times New Roman" w:cs="Times New Roman"/>
          <w:sz w:val="18"/>
          <w:szCs w:val="18"/>
        </w:rPr>
        <w:t>e in adoption behavior. Davis (1989) proposed the Technology Acceptance Model (TAM), demonstrating empirically that perceived usefulness and perceived ease of use are the two fundamental determinants of user acceptance of information technology. Davis (198</w:t>
      </w:r>
      <w:r>
        <w:rPr>
          <w:rFonts w:ascii="Times New Roman" w:eastAsia="Times New Roman" w:hAnsi="Times New Roman" w:cs="Times New Roman"/>
          <w:sz w:val="18"/>
          <w:szCs w:val="18"/>
        </w:rPr>
        <w:t>9) found that perceived usefulness was more strongly correlated with usage intentions than ease of use, but that ease of use functioned as a causal antecedent to usefulness suggesting that interfaces perceived as difficult to use are also likely to be perc</w:t>
      </w:r>
      <w:r>
        <w:rPr>
          <w:rFonts w:ascii="Times New Roman" w:eastAsia="Times New Roman" w:hAnsi="Times New Roman" w:cs="Times New Roman"/>
          <w:sz w:val="18"/>
          <w:szCs w:val="18"/>
        </w:rPr>
        <w:t>eived as less useful, even when their functional capabilities are identical. This finding carries important implications for mobile e-commerce design for elderly users: an interface that older adults find physically difficult to interact with, due to small</w:t>
      </w:r>
      <w:r>
        <w:rPr>
          <w:rFonts w:ascii="Times New Roman" w:eastAsia="Times New Roman" w:hAnsi="Times New Roman" w:cs="Times New Roman"/>
          <w:sz w:val="18"/>
          <w:szCs w:val="18"/>
        </w:rPr>
        <w:t xml:space="preserve"> touch targets or illegible font sizes may be perceived as less useful and subsequently avoided, regardless of the commercial value it offers. Improving physical accessibility features therefore has potential cascading effects on both ease-of-use perceptio</w:t>
      </w:r>
      <w:r>
        <w:rPr>
          <w:rFonts w:ascii="Times New Roman" w:eastAsia="Times New Roman" w:hAnsi="Times New Roman" w:cs="Times New Roman"/>
          <w:sz w:val="18"/>
          <w:szCs w:val="18"/>
        </w:rPr>
        <w:t>ns and overall technology acceptance.</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Design Guidelines for Older Adult Users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Research has increasingly moved beyond describing age-related deficits toward articulating design principles that can compensate for them. Fisk et al. (2009) present a systematic</w:t>
      </w:r>
      <w:r>
        <w:rPr>
          <w:rFonts w:ascii="Times New Roman" w:eastAsia="Times New Roman" w:hAnsi="Times New Roman" w:cs="Times New Roman"/>
          <w:sz w:val="18"/>
          <w:szCs w:val="18"/>
        </w:rPr>
        <w:t xml:space="preserve"> set of design guidelines organized around perceptual, cognitive, and motor dimensions of aging, recommending, among other things, larger text sizes, higher contrast ratios, simplified navigation structures, and reduced information density per screen. Thes</w:t>
      </w:r>
      <w:r>
        <w:rPr>
          <w:rFonts w:ascii="Times New Roman" w:eastAsia="Times New Roman" w:hAnsi="Times New Roman" w:cs="Times New Roman"/>
          <w:sz w:val="18"/>
          <w:szCs w:val="18"/>
        </w:rPr>
        <w:t>e recommendations align closely with the accessibility modifications under investigation in the present study. With respect to input design specifically, the authors note that older adults exhibit slower and less precise motor control, making small touch t</w:t>
      </w:r>
      <w:r>
        <w:rPr>
          <w:rFonts w:ascii="Times New Roman" w:eastAsia="Times New Roman" w:hAnsi="Times New Roman" w:cs="Times New Roman"/>
          <w:sz w:val="18"/>
          <w:szCs w:val="18"/>
        </w:rPr>
        <w:t>argets disproportionately difficult to activate accurately. Minimizing the number of steps required to complete a task and providing consistent, predictable feedback further reduce the burden on older users. Kumar (2005) similarly emphasizes that usability</w:t>
      </w:r>
      <w:r>
        <w:rPr>
          <w:rFonts w:ascii="Times New Roman" w:eastAsia="Times New Roman" w:hAnsi="Times New Roman" w:cs="Times New Roman"/>
          <w:sz w:val="18"/>
          <w:szCs w:val="18"/>
        </w:rPr>
        <w:t xml:space="preserve"> engineering must involve iterative evaluation with actual representative users, and that performance differences identified through usability testing including error rates, time on task, and task completion success provide actionable evidence for interfac</w:t>
      </w:r>
      <w:r>
        <w:rPr>
          <w:rFonts w:ascii="Times New Roman" w:eastAsia="Times New Roman" w:hAnsi="Times New Roman" w:cs="Times New Roman"/>
          <w:sz w:val="18"/>
          <w:szCs w:val="18"/>
        </w:rPr>
        <w:t>e refinement.</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Mobile E-Commerce and Accessibility</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The intersection of mobile commerce and accessibility research remains relatively underexplored, particularly in the context of emerging markets such as India. While the broader usability and e-commerce lit</w:t>
      </w:r>
      <w:r>
        <w:rPr>
          <w:rFonts w:ascii="Times New Roman" w:eastAsia="Times New Roman" w:hAnsi="Times New Roman" w:cs="Times New Roman"/>
          <w:sz w:val="18"/>
          <w:szCs w:val="18"/>
        </w:rPr>
        <w:t>erature has established that interface design significantly moderates transaction completion rates and user satisfaction, less is known about how accessibility-specific modifications as opposed to general usability improvements affect older adult performan</w:t>
      </w:r>
      <w:r>
        <w:rPr>
          <w:rFonts w:ascii="Times New Roman" w:eastAsia="Times New Roman" w:hAnsi="Times New Roman" w:cs="Times New Roman"/>
          <w:sz w:val="18"/>
          <w:szCs w:val="18"/>
        </w:rPr>
        <w:t>ce in mobile commerce tasks. The present study addresses this gap by isolating specific accessibility features (font size, touch target size, and layout complexity) and examining their measurable effects on a set of standardized usability outcomes among el</w:t>
      </w:r>
      <w:r>
        <w:rPr>
          <w:rFonts w:ascii="Times New Roman" w:eastAsia="Times New Roman" w:hAnsi="Times New Roman" w:cs="Times New Roman"/>
          <w:sz w:val="18"/>
          <w:szCs w:val="18"/>
        </w:rPr>
        <w:t>derly Indian users. This approach follows the user-centered design methodology advocated by Kumar (2005), wherein design decisions are evaluated against empirical performance criteria rather than assumed to be effective based on general principles alone.</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Summary</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literature reviewed here converges on several key propositions relevant to the present study. First, aging is associated with systematic cognitive and perceptual changes that make standard mobile interfaces challenging for elderly users. Second</w:t>
      </w:r>
      <w:r>
        <w:rPr>
          <w:rFonts w:ascii="Times New Roman" w:eastAsia="Times New Roman" w:hAnsi="Times New Roman" w:cs="Times New Roman"/>
          <w:sz w:val="18"/>
          <w:szCs w:val="18"/>
        </w:rPr>
        <w:t xml:space="preserve">, interface complexity imposes extraneous cognitive load that reduces task performance, and simplified designs can mitigate this burden. Third, usability is a multidimensional construct best assessed through a combination of performance-based measures and </w:t>
      </w:r>
      <w:r>
        <w:rPr>
          <w:rFonts w:ascii="Times New Roman" w:eastAsia="Times New Roman" w:hAnsi="Times New Roman" w:cs="Times New Roman"/>
          <w:sz w:val="18"/>
          <w:szCs w:val="18"/>
        </w:rPr>
        <w:t>subjective satisfaction ratings. Fourth, perceived ease of use shapes technology acceptance, making interface accessibility a prerequisite for engagement rather than merely a supplementary consideration. Fifth, existing design guidelines for older adults r</w:t>
      </w:r>
      <w:r>
        <w:rPr>
          <w:rFonts w:ascii="Times New Roman" w:eastAsia="Times New Roman" w:hAnsi="Times New Roman" w:cs="Times New Roman"/>
          <w:sz w:val="18"/>
          <w:szCs w:val="18"/>
        </w:rPr>
        <w:t>ecommend precisely the modifications being investigated here, yet empirical evidence of their effectiveness in mobile e-commerce contexts particularly among Indian elderly populations remains limited. The present study contributes to this literature by pro</w:t>
      </w:r>
      <w:r>
        <w:rPr>
          <w:rFonts w:ascii="Times New Roman" w:eastAsia="Times New Roman" w:hAnsi="Times New Roman" w:cs="Times New Roman"/>
          <w:sz w:val="18"/>
          <w:szCs w:val="18"/>
        </w:rPr>
        <w:t>viding controlled, task-based evidence of the effects of accessibility optimization on usability outcomes in this underrepresented demographic.</w:t>
      </w:r>
    </w:p>
    <w:p w:rsidR="00F071B9" w:rsidRDefault="00F071B9">
      <w:pPr>
        <w:jc w:val="both"/>
        <w:rPr>
          <w:rFonts w:ascii="Times New Roman" w:eastAsia="Times New Roman" w:hAnsi="Times New Roman" w:cs="Times New Roman"/>
          <w:b/>
          <w:bCs/>
          <w:sz w:val="18"/>
          <w:szCs w:val="18"/>
        </w:rPr>
      </w:pPr>
    </w:p>
    <w:p w:rsidR="00F071B9" w:rsidRDefault="00E543EE">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THEORY/ FRAMEWORK</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w:t>
      </w:r>
      <w:r>
        <w:rPr>
          <w:rFonts w:ascii="Times New Roman" w:eastAsia="Times New Roman" w:hAnsi="Times New Roman" w:cs="Times New Roman"/>
          <w:b/>
          <w:bCs/>
          <w:sz w:val="18"/>
          <w:szCs w:val="18"/>
        </w:rPr>
        <w:t>System Usability Scale (SUS)</w:t>
      </w:r>
      <w:r>
        <w:rPr>
          <w:rFonts w:ascii="Times New Roman" w:eastAsia="Times New Roman" w:hAnsi="Times New Roman" w:cs="Times New Roman"/>
          <w:sz w:val="18"/>
          <w:szCs w:val="18"/>
        </w:rPr>
        <w:t>, developed by Brooke (1996), is a widely used tool for measu</w:t>
      </w:r>
      <w:r>
        <w:rPr>
          <w:rFonts w:ascii="Times New Roman" w:eastAsia="Times New Roman" w:hAnsi="Times New Roman" w:cs="Times New Roman"/>
          <w:sz w:val="18"/>
          <w:szCs w:val="18"/>
        </w:rPr>
        <w:t xml:space="preserve">ring perceived usability. It consists of a 10-item questionnaire with a five-point agreement scale ranging from strongly disagree to strongly agree. The final usability score is calculated by adjusting responses for positively and negatively worded items, </w:t>
      </w:r>
      <w:r>
        <w:rPr>
          <w:rFonts w:ascii="Times New Roman" w:eastAsia="Times New Roman" w:hAnsi="Times New Roman" w:cs="Times New Roman"/>
          <w:sz w:val="18"/>
          <w:szCs w:val="18"/>
        </w:rPr>
        <w:t>summing the contributions, and multiplying the total by 2.5 to obtain a score between 0 and 100. SUS was designed to provide a quick and reliable measure of overall system usability and has since been applied across a wide range of digital interfaces.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One </w:t>
      </w:r>
      <w:r>
        <w:rPr>
          <w:rFonts w:ascii="Times New Roman" w:eastAsia="Times New Roman" w:hAnsi="Times New Roman" w:cs="Times New Roman"/>
          <w:sz w:val="18"/>
          <w:szCs w:val="18"/>
        </w:rPr>
        <w:t>of the key strengths of SUS is its simplicity and versatility. It is technology-independent, meaning it can be used to evaluate any type of system, including mobile applications, websites, and software interfaces. Despite its simplicity, SUS has demonstrat</w:t>
      </w:r>
      <w:r>
        <w:rPr>
          <w:rFonts w:ascii="Times New Roman" w:eastAsia="Times New Roman" w:hAnsi="Times New Roman" w:cs="Times New Roman"/>
          <w:sz w:val="18"/>
          <w:szCs w:val="18"/>
        </w:rPr>
        <w:t>ed strong reliability and validity. Bangor, Kortum, and Miller (2008), in a large-scale analysis of over 2,300 usability studies, found that SUS is highly robust and produces consistent results across different contexts, with a reliability coefficient of a</w:t>
      </w:r>
      <w:r>
        <w:rPr>
          <w:rFonts w:ascii="Times New Roman" w:eastAsia="Times New Roman" w:hAnsi="Times New Roman" w:cs="Times New Roman"/>
          <w:sz w:val="18"/>
          <w:szCs w:val="18"/>
        </w:rPr>
        <w:t>pproximately 0.85. Further validation by Lewis (2018) showed that SUS scores strongly correlate with other established usability measures, confirming that it effectively captures the underlying construct of perceived usability.</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Due to these characteristics</w:t>
      </w:r>
      <w:r>
        <w:rPr>
          <w:rFonts w:ascii="Times New Roman" w:eastAsia="Times New Roman" w:hAnsi="Times New Roman" w:cs="Times New Roman"/>
          <w:sz w:val="18"/>
          <w:szCs w:val="18"/>
        </w:rPr>
        <w:t>, SUS has become an industry-standard tool for usability evaluation and is extensively used in both academic research and professional practice. Its ability to produce a single, interpretable score makes it particularly useful for comparative studies, wher</w:t>
      </w:r>
      <w:r>
        <w:rPr>
          <w:rFonts w:ascii="Times New Roman" w:eastAsia="Times New Roman" w:hAnsi="Times New Roman" w:cs="Times New Roman"/>
          <w:sz w:val="18"/>
          <w:szCs w:val="18"/>
        </w:rPr>
        <w:t>e different interface designs are evaluated against each other.</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Contextual Relevance of the Framework</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selection of the System Usability Scale as the primary framework is particularly appropriate for the context of mobile e-commerce applications in Indi</w:t>
      </w:r>
      <w:r>
        <w:rPr>
          <w:rFonts w:ascii="Times New Roman" w:eastAsia="Times New Roman" w:hAnsi="Times New Roman" w:cs="Times New Roman"/>
          <w:sz w:val="18"/>
          <w:szCs w:val="18"/>
        </w:rPr>
        <w:t>a. With the rapid expansion of smartphone usage and increasing dependence on mobile platforms for online shopping, usability has become a critical factor influencing user engagement and successful task completion.</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 a diverse user population such as India</w:t>
      </w:r>
      <w:r>
        <w:rPr>
          <w:rFonts w:ascii="Times New Roman" w:eastAsia="Times New Roman" w:hAnsi="Times New Roman" w:cs="Times New Roman"/>
          <w:sz w:val="18"/>
          <w:szCs w:val="18"/>
        </w:rPr>
        <w:t>’s, where there are significant variations in age, digital literacy, and technological familiarity, a standardized and easy-to-administer tool like SUS enables consistent evaluation across different user groups. This is especially important when studying e</w:t>
      </w:r>
      <w:r>
        <w:rPr>
          <w:rFonts w:ascii="Times New Roman" w:eastAsia="Times New Roman" w:hAnsi="Times New Roman" w:cs="Times New Roman"/>
          <w:sz w:val="18"/>
          <w:szCs w:val="18"/>
        </w:rPr>
        <w:t>lderly users, who may experience challenges related to cognitive load, visual perception, and motor interaction while using mobile interfaces.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Furthermore, the nature of this study involves a direct comparison between a standard interface and an accessibil</w:t>
      </w:r>
      <w:r>
        <w:rPr>
          <w:rFonts w:ascii="Times New Roman" w:eastAsia="Times New Roman" w:hAnsi="Times New Roman" w:cs="Times New Roman"/>
          <w:sz w:val="18"/>
          <w:szCs w:val="18"/>
        </w:rPr>
        <w:t>ity-optimized interface. SUS is particularly well-suited for such comparative evaluations, as it provides a single usability score that allows clear and meaningful interpretation of differences between design conditions. Its ease of administration also mak</w:t>
      </w:r>
      <w:r>
        <w:rPr>
          <w:rFonts w:ascii="Times New Roman" w:eastAsia="Times New Roman" w:hAnsi="Times New Roman" w:cs="Times New Roman"/>
          <w:sz w:val="18"/>
          <w:szCs w:val="18"/>
        </w:rPr>
        <w:t>es it practical for use with elderly participants, ensuring that the evaluation process remains simple and accessible.</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By using SUS, the study is able to generate reliable, quantifiable evidence on how specific design changes, such as increased font size, </w:t>
      </w:r>
      <w:r>
        <w:rPr>
          <w:rFonts w:ascii="Times New Roman" w:eastAsia="Times New Roman" w:hAnsi="Times New Roman" w:cs="Times New Roman"/>
          <w:sz w:val="18"/>
          <w:szCs w:val="18"/>
        </w:rPr>
        <w:t>larger touch targets, and simplified navigation, impact overall usability in mobile e-commerce applications.</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Conceptual Framework</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conceptual framework of this study is centered on the evaluation of usability through the System Usability Scale. The prim</w:t>
      </w:r>
      <w:r>
        <w:rPr>
          <w:rFonts w:ascii="Times New Roman" w:eastAsia="Times New Roman" w:hAnsi="Times New Roman" w:cs="Times New Roman"/>
          <w:sz w:val="18"/>
          <w:szCs w:val="18"/>
        </w:rPr>
        <w:t xml:space="preserve">ary independent variable in this study is the </w:t>
      </w:r>
      <w:r>
        <w:rPr>
          <w:rFonts w:ascii="Times New Roman" w:eastAsia="Times New Roman" w:hAnsi="Times New Roman" w:cs="Times New Roman"/>
          <w:b/>
          <w:bCs/>
          <w:sz w:val="18"/>
          <w:szCs w:val="18"/>
        </w:rPr>
        <w:t>type of interface design</w:t>
      </w:r>
      <w:r>
        <w:rPr>
          <w:rFonts w:ascii="Times New Roman" w:eastAsia="Times New Roman" w:hAnsi="Times New Roman" w:cs="Times New Roman"/>
          <w:sz w:val="18"/>
          <w:szCs w:val="18"/>
        </w:rPr>
        <w:t>, which consists of two conditions: a standard mobile e-commerce interface and an accessibility-optimized interface. The optimized interface incorporates design improvements such as larg</w:t>
      </w:r>
      <w:r>
        <w:rPr>
          <w:rFonts w:ascii="Times New Roman" w:eastAsia="Times New Roman" w:hAnsi="Times New Roman" w:cs="Times New Roman"/>
          <w:sz w:val="18"/>
          <w:szCs w:val="18"/>
        </w:rPr>
        <w:t>er font sizes, increased touch target dimensions, and reduced navigation complexity.</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primary dependent variable is </w:t>
      </w:r>
      <w:r>
        <w:rPr>
          <w:rFonts w:ascii="Times New Roman" w:eastAsia="Times New Roman" w:hAnsi="Times New Roman" w:cs="Times New Roman"/>
          <w:b/>
          <w:bCs/>
          <w:sz w:val="18"/>
          <w:szCs w:val="18"/>
        </w:rPr>
        <w:t>usability satisfaction</w:t>
      </w:r>
      <w:r>
        <w:rPr>
          <w:rFonts w:ascii="Times New Roman" w:eastAsia="Times New Roman" w:hAnsi="Times New Roman" w:cs="Times New Roman"/>
          <w:sz w:val="18"/>
          <w:szCs w:val="18"/>
        </w:rPr>
        <w:t>, as measured by the System Usability Scale score. This score reflects the participant’s overall perception of ease</w:t>
      </w:r>
      <w:r>
        <w:rPr>
          <w:rFonts w:ascii="Times New Roman" w:eastAsia="Times New Roman" w:hAnsi="Times New Roman" w:cs="Times New Roman"/>
          <w:sz w:val="18"/>
          <w:szCs w:val="18"/>
        </w:rPr>
        <w:t xml:space="preserve"> of use, learnability, confidence, and satisfaction with the interface. Higher scores indicate better perceived usability. Note that while the conceptual framework diagram also references perceived usefulness and purchase intention as downstream constructs</w:t>
      </w:r>
      <w:r>
        <w:rPr>
          <w:rFonts w:ascii="Times New Roman" w:eastAsia="Times New Roman" w:hAnsi="Times New Roman" w:cs="Times New Roman"/>
          <w:sz w:val="18"/>
          <w:szCs w:val="18"/>
        </w:rPr>
        <w:t xml:space="preserve"> drawn from the Technology Acceptance Model, these variables were not directly measured in the present study. The empirical focus is limited to usability satisfaction and objective performance metrics. </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 addition to the primary dependent variable, the st</w:t>
      </w:r>
      <w:r>
        <w:rPr>
          <w:rFonts w:ascii="Times New Roman" w:eastAsia="Times New Roman" w:hAnsi="Times New Roman" w:cs="Times New Roman"/>
          <w:sz w:val="18"/>
          <w:szCs w:val="18"/>
        </w:rPr>
        <w:t>udy also includes objective usability measures task completion rate, error rate, and time on task which represent effectiveness and efficiency of interaction. While these are analyzed separately, they complement the SUS score by providing a more comprehens</w:t>
      </w:r>
      <w:r>
        <w:rPr>
          <w:rFonts w:ascii="Times New Roman" w:eastAsia="Times New Roman" w:hAnsi="Times New Roman" w:cs="Times New Roman"/>
          <w:sz w:val="18"/>
          <w:szCs w:val="18"/>
        </w:rPr>
        <w:t>ive understanding of usability.</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Extraneous variables in this study include demographic factors such as age, gender, and prior experience with smartphones or e-commerce applications. These variables are treated as control factors, as they may influence how </w:t>
      </w:r>
      <w:r>
        <w:rPr>
          <w:rFonts w:ascii="Times New Roman" w:eastAsia="Times New Roman" w:hAnsi="Times New Roman" w:cs="Times New Roman"/>
          <w:sz w:val="18"/>
          <w:szCs w:val="18"/>
        </w:rPr>
        <w:t>participants interact with the interface and perceive its usability. For example, participants with greater familiarity with mobile applications may find the interface easier to use, regardless of design condition. By accounting for these variables, the st</w:t>
      </w:r>
      <w:r>
        <w:rPr>
          <w:rFonts w:ascii="Times New Roman" w:eastAsia="Times New Roman" w:hAnsi="Times New Roman" w:cs="Times New Roman"/>
          <w:sz w:val="18"/>
          <w:szCs w:val="18"/>
        </w:rPr>
        <w:t>udy ensures a more accurate interpretation of the relationship between interface design and usability outcomes.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Overall, the framework establishes a direct relationship between interface design and usability outcomes, with SUS serving as the central measur</w:t>
      </w:r>
      <w:r>
        <w:rPr>
          <w:rFonts w:ascii="Times New Roman" w:eastAsia="Times New Roman" w:hAnsi="Times New Roman" w:cs="Times New Roman"/>
          <w:sz w:val="18"/>
          <w:szCs w:val="18"/>
        </w:rPr>
        <w:t>ement tool. This structure allows the study to isolate the impact of accessibility-focused design changes and evaluate their effectiveness in improving usability for elderly users.</w:t>
      </w:r>
    </w:p>
    <w:p w:rsidR="00F071B9" w:rsidRDefault="00E543EE">
      <w:pPr>
        <w:spacing w:before="240" w:after="240"/>
        <w:jc w:val="both"/>
        <w:rPr>
          <w:rFonts w:ascii="Times New Roman" w:eastAsia="Times New Roman" w:hAnsi="Times New Roman" w:cs="Times New Roman"/>
          <w:sz w:val="18"/>
          <w:szCs w:val="18"/>
        </w:rPr>
      </w:pPr>
      <w:r>
        <w:rPr>
          <w:noProof/>
          <w:lang w:val="en-IN"/>
        </w:rPr>
        <w:drawing>
          <wp:anchor distT="0" distB="0" distL="0" distR="0" simplePos="0" relativeHeight="251659264" behindDoc="0" locked="0" layoutInCell="1" allowOverlap="1">
            <wp:simplePos x="0" y="0"/>
            <wp:positionH relativeFrom="column">
              <wp:posOffset>0</wp:posOffset>
            </wp:positionH>
            <wp:positionV relativeFrom="paragraph">
              <wp:posOffset>114300</wp:posOffset>
            </wp:positionV>
            <wp:extent cx="5731510" cy="1914525"/>
            <wp:effectExtent l="0" t="0" r="0" b="0"/>
            <wp:wrapSquare wrapText="bothSides"/>
            <wp:docPr id="2" name="image3.png"/>
            <wp:cNvGraphicFramePr/>
            <a:graphic xmlns:a="http://schemas.openxmlformats.org/drawingml/2006/main">
              <a:graphicData uri="http://schemas.openxmlformats.org/drawingml/2006/picture">
                <pic:pic xmlns:pic="http://schemas.openxmlformats.org/drawingml/2006/picture">
                  <pic:nvPicPr>
                    <pic:cNvPr id="2" name="image3.png"/>
                    <pic:cNvPicPr preferRelativeResize="0"/>
                  </pic:nvPicPr>
                  <pic:blipFill>
                    <a:blip r:embed="rId8"/>
                    <a:srcRect/>
                    <a:stretch>
                      <a:fillRect/>
                    </a:stretch>
                  </pic:blipFill>
                  <pic:spPr>
                    <a:xfrm>
                      <a:off x="0" y="0"/>
                      <a:ext cx="5731200" cy="1914525"/>
                    </a:xfrm>
                    <a:prstGeom prst="rect">
                      <a:avLst/>
                    </a:prstGeom>
                  </pic:spPr>
                </pic:pic>
              </a:graphicData>
            </a:graphic>
          </wp:anchor>
        </w:drawing>
      </w:r>
    </w:p>
    <w:p w:rsidR="00F071B9" w:rsidRDefault="00E543EE">
      <w:pPr>
        <w:spacing w:before="240" w:after="240"/>
        <w:jc w:val="center"/>
        <w:rPr>
          <w:rFonts w:ascii="Times New Roman" w:eastAsia="Times New Roman" w:hAnsi="Times New Roman" w:cs="Times New Roman"/>
          <w:sz w:val="14"/>
          <w:szCs w:val="14"/>
        </w:rPr>
      </w:pPr>
      <w:r>
        <w:rPr>
          <w:rFonts w:ascii="Times New Roman" w:eastAsia="Times New Roman" w:hAnsi="Times New Roman" w:cs="Times New Roman"/>
          <w:b/>
          <w:bCs/>
          <w:sz w:val="14"/>
          <w:szCs w:val="14"/>
        </w:rPr>
        <w:t>Figure 1.</w:t>
      </w:r>
      <w:r>
        <w:rPr>
          <w:rFonts w:ascii="Times New Roman" w:eastAsia="Times New Roman" w:hAnsi="Times New Roman" w:cs="Times New Roman"/>
          <w:sz w:val="14"/>
          <w:szCs w:val="14"/>
        </w:rPr>
        <w:t xml:space="preserve">  Conceptual framework</w:t>
      </w:r>
    </w:p>
    <w:p w:rsidR="00F071B9" w:rsidRDefault="00E543EE">
      <w:pPr>
        <w:spacing w:before="240" w:after="24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CONSTRUCTS AND ITEMS USED</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This section pr</w:t>
      </w:r>
      <w:r>
        <w:rPr>
          <w:rFonts w:ascii="Times New Roman" w:eastAsia="Times New Roman" w:hAnsi="Times New Roman" w:cs="Times New Roman"/>
          <w:sz w:val="18"/>
          <w:szCs w:val="18"/>
        </w:rPr>
        <w:t>esents the operationalisation of the constructs used in the study. It directly addresses the refined research question:</w:t>
      </w:r>
    </w:p>
    <w:p w:rsidR="00F071B9" w:rsidRDefault="00E543EE">
      <w:pPr>
        <w:spacing w:before="240" w:after="240"/>
        <w:ind w:left="600" w:right="60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“To what extent does an accessibility optimized mobile e-commerce interface with increased font size, larger touch targets and </w:t>
      </w:r>
      <w:r>
        <w:rPr>
          <w:rFonts w:ascii="Times New Roman" w:eastAsia="Times New Roman" w:hAnsi="Times New Roman" w:cs="Times New Roman"/>
          <w:b/>
          <w:bCs/>
          <w:sz w:val="18"/>
          <w:szCs w:val="18"/>
        </w:rPr>
        <w:t>simplified layouts affect task completion rate, error rate, time on task and usability satisfaction compared to a standard interface among elderly Indian users?”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four dependent constructs (task completion rate, error rate, time-on-task, and usability s</w:t>
      </w:r>
      <w:r>
        <w:rPr>
          <w:rFonts w:ascii="Times New Roman" w:eastAsia="Times New Roman" w:hAnsi="Times New Roman" w:cs="Times New Roman"/>
          <w:sz w:val="18"/>
          <w:szCs w:val="18"/>
        </w:rPr>
        <w:t>atisfaction) were derived from the PICO framework and the operationalised research question. These constructs represent the core usability dimensions of effectiveness, efficiency, and user satisfaction as defined by Nielsen (1993) and Brooke (1996).</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All co</w:t>
      </w:r>
      <w:r>
        <w:rPr>
          <w:rFonts w:ascii="Times New Roman" w:eastAsia="Times New Roman" w:hAnsi="Times New Roman" w:cs="Times New Roman"/>
          <w:sz w:val="18"/>
          <w:szCs w:val="18"/>
        </w:rPr>
        <w:t>nstructs were measured using objective performance metrics captured during the experimental tasks and one validated subjective instrument (System Usability Scale). This chapter details the operational definitions, measurement methods, items, and scoring pr</w:t>
      </w:r>
      <w:r>
        <w:rPr>
          <w:rFonts w:ascii="Times New Roman" w:eastAsia="Times New Roman" w:hAnsi="Times New Roman" w:cs="Times New Roman"/>
          <w:sz w:val="18"/>
          <w:szCs w:val="18"/>
        </w:rPr>
        <w:t>ocedures for each construct.</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Operationalisation of Constructs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constructs and their operational definitions are summarised in Table 1. Each construct is measured twice for every participant (once after using the standard interface and once after using t</w:t>
      </w:r>
      <w:r>
        <w:rPr>
          <w:rFonts w:ascii="Times New Roman" w:eastAsia="Times New Roman" w:hAnsi="Times New Roman" w:cs="Times New Roman"/>
          <w:sz w:val="18"/>
          <w:szCs w:val="18"/>
        </w:rPr>
        <w:t>he accessibility-optimized interface) in a within-subjects design.</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Table 1.</w:t>
      </w:r>
      <w:r>
        <w:rPr>
          <w:rFonts w:ascii="Times New Roman" w:eastAsia="Times New Roman" w:hAnsi="Times New Roman" w:cs="Times New Roman"/>
          <w:sz w:val="18"/>
          <w:szCs w:val="18"/>
        </w:rPr>
        <w:t xml:space="preserve"> Operationalisation of Constructs and Measurement Instruments</w:t>
      </w:r>
    </w:p>
    <w:tbl>
      <w:tblPr>
        <w:tblStyle w:val="Style10"/>
        <w:tblW w:w="9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0"/>
        <w:gridCol w:w="1725"/>
        <w:gridCol w:w="1425"/>
        <w:gridCol w:w="1560"/>
        <w:gridCol w:w="1800"/>
        <w:gridCol w:w="1320"/>
      </w:tblGrid>
      <w:tr w:rsidR="00F071B9">
        <w:trPr>
          <w:trHeight w:val="948"/>
        </w:trPr>
        <w:tc>
          <w:tcPr>
            <w:tcW w:w="1200"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b/>
                <w:bCs/>
                <w:sz w:val="14"/>
                <w:szCs w:val="14"/>
              </w:rPr>
              <w:t>Construct</w:t>
            </w:r>
          </w:p>
        </w:tc>
        <w:tc>
          <w:tcPr>
            <w:tcW w:w="1725"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b/>
                <w:bCs/>
                <w:sz w:val="14"/>
                <w:szCs w:val="14"/>
              </w:rPr>
              <w:t>Operational Definition</w:t>
            </w:r>
          </w:p>
        </w:tc>
        <w:tc>
          <w:tcPr>
            <w:tcW w:w="1425"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b/>
                <w:bCs/>
                <w:sz w:val="14"/>
                <w:szCs w:val="14"/>
              </w:rPr>
              <w:t>Type</w:t>
            </w:r>
          </w:p>
        </w:tc>
        <w:tc>
          <w:tcPr>
            <w:tcW w:w="1560"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b/>
                <w:bCs/>
                <w:sz w:val="14"/>
                <w:szCs w:val="14"/>
              </w:rPr>
              <w:t>Measurement Method</w:t>
            </w:r>
          </w:p>
        </w:tc>
        <w:tc>
          <w:tcPr>
            <w:tcW w:w="1800"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b/>
                <w:bCs/>
                <w:sz w:val="14"/>
                <w:szCs w:val="14"/>
              </w:rPr>
              <w:t>Calculation / Scoring</w:t>
            </w:r>
          </w:p>
        </w:tc>
        <w:tc>
          <w:tcPr>
            <w:tcW w:w="1320"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b/>
                <w:bCs/>
                <w:sz w:val="14"/>
                <w:szCs w:val="14"/>
              </w:rPr>
              <w:t>Source / Instrument</w:t>
            </w:r>
          </w:p>
        </w:tc>
      </w:tr>
      <w:tr w:rsidR="00F071B9">
        <w:trPr>
          <w:trHeight w:val="1725"/>
        </w:trPr>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Task Completion </w:t>
            </w:r>
            <w:r>
              <w:rPr>
                <w:rFonts w:ascii="Times New Roman" w:eastAsia="Times New Roman" w:hAnsi="Times New Roman" w:cs="Times New Roman"/>
                <w:sz w:val="14"/>
                <w:szCs w:val="14"/>
              </w:rPr>
              <w:t>Rate</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Percentage of the three assigned e-commerce tasks successfully completed without any researcher assistance</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Objective (Effectiveness)</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Direct observation and binary coding (completed / not completed) during screen-recorded sessions</w:t>
            </w:r>
          </w:p>
        </w:tc>
        <w:tc>
          <w:tcPr>
            <w:tcW w:w="18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 = (number of succes</w:t>
            </w:r>
            <w:r>
              <w:rPr>
                <w:rFonts w:ascii="Times New Roman" w:eastAsia="Times New Roman" w:hAnsi="Times New Roman" w:cs="Times New Roman"/>
                <w:sz w:val="14"/>
                <w:szCs w:val="14"/>
              </w:rPr>
              <w:t>sful tasks / 3) × 100</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Nielsen (1993)</w:t>
            </w:r>
          </w:p>
        </w:tc>
      </w:tr>
      <w:tr w:rsidR="00F071B9">
        <w:trPr>
          <w:trHeight w:val="1935"/>
        </w:trPr>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Error Rate</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Total number of interaction mistakes (mis-taps, wrong selections, unnecessary back-navigation, or incorrect button presses)</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Objective (Effectiveness)</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Counted in real time by the researchers</w:t>
            </w:r>
          </w:p>
        </w:tc>
        <w:tc>
          <w:tcPr>
            <w:tcW w:w="18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Raw count per </w:t>
            </w:r>
            <w:r>
              <w:rPr>
                <w:rFonts w:ascii="Times New Roman" w:eastAsia="Times New Roman" w:hAnsi="Times New Roman" w:cs="Times New Roman"/>
                <w:sz w:val="14"/>
                <w:szCs w:val="14"/>
              </w:rPr>
              <w:t>participant per interface</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Nielsen (1993); Fisk et al. (2009)</w:t>
            </w:r>
          </w:p>
        </w:tc>
      </w:tr>
      <w:tr w:rsidR="00F071B9">
        <w:trPr>
          <w:trHeight w:val="1815"/>
        </w:trPr>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Time-on-Task</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Total time (in seconds) from the moment the task instructions are given until successful completion of the task</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Objective (Efficiency)</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Timed automatically via stopwatch</w:t>
            </w:r>
          </w:p>
        </w:tc>
        <w:tc>
          <w:tcPr>
            <w:tcW w:w="18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Average </w:t>
            </w:r>
            <w:r>
              <w:rPr>
                <w:rFonts w:ascii="Times New Roman" w:eastAsia="Times New Roman" w:hAnsi="Times New Roman" w:cs="Times New Roman"/>
                <w:sz w:val="14"/>
                <w:szCs w:val="14"/>
              </w:rPr>
              <w:t>seconds per task or total seconds for all tasks</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Nielsen (1993); Fisk et al. (2009)</w:t>
            </w:r>
          </w:p>
        </w:tc>
      </w:tr>
      <w:tr w:rsidR="00F071B9">
        <w:trPr>
          <w:trHeight w:val="2184"/>
        </w:trPr>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Usability Satisfaction</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Participants’ subjective perception of ease of use, learnability, confidence, and overall satisfaction with the interface</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Subjective</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System Usability</w:t>
            </w:r>
            <w:r>
              <w:rPr>
                <w:rFonts w:ascii="Times New Roman" w:eastAsia="Times New Roman" w:hAnsi="Times New Roman" w:cs="Times New Roman"/>
                <w:sz w:val="14"/>
                <w:szCs w:val="14"/>
              </w:rPr>
              <w:t xml:space="preserve"> Scale (SUS) – 10-item questionnaire administered immediately after each interface condition</w:t>
            </w:r>
          </w:p>
        </w:tc>
        <w:tc>
          <w:tcPr>
            <w:tcW w:w="18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Score range 0–100 (higher = better usability); standard scoring procedure applied (Section 4.4)</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Brooke (1996)</w:t>
            </w:r>
          </w:p>
          <w:p w:rsidR="00F071B9" w:rsidRDefault="00F071B9">
            <w:pPr>
              <w:spacing w:before="240" w:after="240"/>
              <w:rPr>
                <w:rFonts w:ascii="Times New Roman" w:eastAsia="Times New Roman" w:hAnsi="Times New Roman" w:cs="Times New Roman"/>
                <w:sz w:val="14"/>
                <w:szCs w:val="14"/>
              </w:rPr>
            </w:pPr>
          </w:p>
          <w:p w:rsidR="00F071B9" w:rsidRDefault="00F071B9">
            <w:pPr>
              <w:spacing w:before="240" w:after="240"/>
              <w:rPr>
                <w:rFonts w:ascii="Times New Roman" w:eastAsia="Times New Roman" w:hAnsi="Times New Roman" w:cs="Times New Roman"/>
                <w:sz w:val="14"/>
                <w:szCs w:val="14"/>
              </w:rPr>
            </w:pPr>
          </w:p>
          <w:p w:rsidR="00F071B9" w:rsidRDefault="00F071B9">
            <w:pPr>
              <w:spacing w:before="240" w:after="240"/>
              <w:rPr>
                <w:rFonts w:ascii="Times New Roman" w:eastAsia="Times New Roman" w:hAnsi="Times New Roman" w:cs="Times New Roman"/>
                <w:sz w:val="14"/>
                <w:szCs w:val="14"/>
              </w:rPr>
            </w:pPr>
          </w:p>
          <w:p w:rsidR="00F071B9" w:rsidRDefault="00F071B9">
            <w:pPr>
              <w:spacing w:before="240" w:after="240"/>
              <w:rPr>
                <w:rFonts w:ascii="Times New Roman" w:eastAsia="Times New Roman" w:hAnsi="Times New Roman" w:cs="Times New Roman"/>
                <w:sz w:val="14"/>
                <w:szCs w:val="14"/>
              </w:rPr>
            </w:pPr>
          </w:p>
          <w:p w:rsidR="00F071B9" w:rsidRDefault="00F071B9">
            <w:pPr>
              <w:spacing w:before="240" w:after="240"/>
              <w:rPr>
                <w:rFonts w:ascii="Times New Roman" w:eastAsia="Times New Roman" w:hAnsi="Times New Roman" w:cs="Times New Roman"/>
                <w:sz w:val="14"/>
                <w:szCs w:val="14"/>
              </w:rPr>
            </w:pPr>
          </w:p>
        </w:tc>
      </w:tr>
    </w:tbl>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Measurement Instruments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three objective </w:t>
      </w:r>
      <w:r>
        <w:rPr>
          <w:rFonts w:ascii="Times New Roman" w:eastAsia="Times New Roman" w:hAnsi="Times New Roman" w:cs="Times New Roman"/>
          <w:sz w:val="18"/>
          <w:szCs w:val="18"/>
        </w:rPr>
        <w:t>constructs (task completion rate, error rate, and time-on-task) were measured through direct observation and screen recordings while participants performed the following three standardised e-commerce tasks on both interfaces:</w:t>
      </w:r>
    </w:p>
    <w:p w:rsidR="00F071B9" w:rsidRDefault="00E543EE">
      <w:pPr>
        <w:numPr>
          <w:ilvl w:val="0"/>
          <w:numId w:val="1"/>
        </w:numPr>
        <w:spacing w:before="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Find a specific product and ad</w:t>
      </w:r>
      <w:r>
        <w:rPr>
          <w:rFonts w:ascii="Times New Roman" w:eastAsia="Times New Roman" w:hAnsi="Times New Roman" w:cs="Times New Roman"/>
          <w:sz w:val="18"/>
          <w:szCs w:val="18"/>
        </w:rPr>
        <w:t>d it to the cart.</w:t>
      </w:r>
    </w:p>
    <w:p w:rsidR="00F071B9" w:rsidRDefault="00E543EE">
      <w:pPr>
        <w:numPr>
          <w:ilvl w:val="0"/>
          <w:numId w:val="1"/>
        </w:num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Apply a filter and open two product pages.</w:t>
      </w:r>
    </w:p>
    <w:p w:rsidR="00F071B9" w:rsidRDefault="00E543EE">
      <w:pPr>
        <w:numPr>
          <w:ilvl w:val="0"/>
          <w:numId w:val="1"/>
        </w:num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Proceed to checkout (without completing payment).</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Performance data were logged using a structured error-recording sheet. No self-report scales were used for these three constructs.</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System Usabili</w:t>
      </w:r>
      <w:r>
        <w:rPr>
          <w:rFonts w:ascii="Times New Roman" w:eastAsia="Times New Roman" w:hAnsi="Times New Roman" w:cs="Times New Roman"/>
          <w:b/>
          <w:bCs/>
          <w:sz w:val="18"/>
          <w:szCs w:val="18"/>
        </w:rPr>
        <w:t>ty Scale (SUS): Items and Scoring</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Usability satisfaction was measured using the System Usability Scale (SUS) developed by Brooke (1996). The SUS is a brief, reliable, and widely validated 10-item instrument that yields a single usability score ranging from</w:t>
      </w:r>
      <w:r>
        <w:rPr>
          <w:rFonts w:ascii="Times New Roman" w:eastAsia="Times New Roman" w:hAnsi="Times New Roman" w:cs="Times New Roman"/>
          <w:sz w:val="18"/>
          <w:szCs w:val="18"/>
        </w:rPr>
        <w:t xml:space="preserve"> 0 to 100. It was selected because it has been extensively used in interface evaluations with older adults and allows direct statistical comparison between the two interface conditions. The exact wording of the 10 items was retained to preserve psychometri</w:t>
      </w:r>
      <w:r>
        <w:rPr>
          <w:rFonts w:ascii="Times New Roman" w:eastAsia="Times New Roman" w:hAnsi="Times New Roman" w:cs="Times New Roman"/>
          <w:sz w:val="18"/>
          <w:szCs w:val="18"/>
        </w:rPr>
        <w:t>c validity. The questionnaire was administered in a high-contrast, large-font (minimum 18 px) printed format suitable for elderly participants. If required, the researcher read the statements aloud in a neutral tone.</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SUS Items (Exact Wording)</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Participants </w:t>
      </w:r>
      <w:r>
        <w:rPr>
          <w:rFonts w:ascii="Times New Roman" w:eastAsia="Times New Roman" w:hAnsi="Times New Roman" w:cs="Times New Roman"/>
          <w:sz w:val="18"/>
          <w:szCs w:val="18"/>
        </w:rPr>
        <w:t>responded to each statement on a 5-point Likert scale:</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 Strongly Disagree, 2 = Disagree, 3 = Neutral, 4 = Agree, 5 = Strongly Agree)</w:t>
      </w:r>
    </w:p>
    <w:p w:rsidR="00F071B9" w:rsidRDefault="00E543EE">
      <w:pPr>
        <w:numPr>
          <w:ilvl w:val="0"/>
          <w:numId w:val="2"/>
        </w:numPr>
        <w:spacing w:before="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think that I would like to use this system frequently.</w:t>
      </w:r>
    </w:p>
    <w:p w:rsidR="00F071B9" w:rsidRDefault="00E543EE">
      <w:pPr>
        <w:numPr>
          <w:ilvl w:val="0"/>
          <w:numId w:val="2"/>
        </w:num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found the system unnecessarily complex.</w:t>
      </w:r>
    </w:p>
    <w:p w:rsidR="00F071B9" w:rsidRDefault="00E543EE">
      <w:pPr>
        <w:numPr>
          <w:ilvl w:val="0"/>
          <w:numId w:val="2"/>
        </w:num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thought the system</w:t>
      </w:r>
      <w:r>
        <w:rPr>
          <w:rFonts w:ascii="Times New Roman" w:eastAsia="Times New Roman" w:hAnsi="Times New Roman" w:cs="Times New Roman"/>
          <w:sz w:val="18"/>
          <w:szCs w:val="18"/>
        </w:rPr>
        <w:t xml:space="preserve"> was easy to use.</w:t>
      </w:r>
    </w:p>
    <w:p w:rsidR="00F071B9" w:rsidRDefault="00E543EE">
      <w:pPr>
        <w:numPr>
          <w:ilvl w:val="0"/>
          <w:numId w:val="2"/>
        </w:num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think that I would need the support of a technical person to be able to use this system.</w:t>
      </w:r>
    </w:p>
    <w:p w:rsidR="00F071B9" w:rsidRDefault="00E543EE">
      <w:pPr>
        <w:numPr>
          <w:ilvl w:val="0"/>
          <w:numId w:val="2"/>
        </w:num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found the various functions in this system were well integrated.</w:t>
      </w:r>
    </w:p>
    <w:p w:rsidR="00F071B9" w:rsidRDefault="00E543EE">
      <w:pPr>
        <w:numPr>
          <w:ilvl w:val="0"/>
          <w:numId w:val="2"/>
        </w:num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thought there was too much inconsistency in this system.</w:t>
      </w:r>
    </w:p>
    <w:p w:rsidR="00F071B9" w:rsidRDefault="00E543EE">
      <w:pPr>
        <w:numPr>
          <w:ilvl w:val="0"/>
          <w:numId w:val="2"/>
        </w:num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 would imagine that </w:t>
      </w:r>
      <w:r>
        <w:rPr>
          <w:rFonts w:ascii="Times New Roman" w:eastAsia="Times New Roman" w:hAnsi="Times New Roman" w:cs="Times New Roman"/>
          <w:sz w:val="18"/>
          <w:szCs w:val="18"/>
        </w:rPr>
        <w:t>most people would learn to use this system very quickly.</w:t>
      </w:r>
    </w:p>
    <w:p w:rsidR="00F071B9" w:rsidRDefault="00E543EE">
      <w:pPr>
        <w:numPr>
          <w:ilvl w:val="0"/>
          <w:numId w:val="2"/>
        </w:num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found the system very cumbersome to use.</w:t>
      </w:r>
    </w:p>
    <w:p w:rsidR="00F071B9" w:rsidRDefault="00E543EE">
      <w:pPr>
        <w:numPr>
          <w:ilvl w:val="0"/>
          <w:numId w:val="2"/>
        </w:num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felt very confident using the system.</w:t>
      </w:r>
    </w:p>
    <w:p w:rsidR="00F071B9" w:rsidRDefault="00E543EE">
      <w:pPr>
        <w:numPr>
          <w:ilvl w:val="0"/>
          <w:numId w:val="2"/>
        </w:num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needed to learn a lot of things before I could get going with this system.</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SUS Scoring Procedure</w:t>
      </w:r>
      <w:r>
        <w:rPr>
          <w:rFonts w:ascii="Times New Roman" w:eastAsia="Times New Roman" w:hAnsi="Times New Roman" w:cs="Times New Roman"/>
          <w:sz w:val="18"/>
          <w:szCs w:val="18"/>
        </w:rPr>
        <w:t xml:space="preserve"> (Brooke, 1996)</w:t>
      </w:r>
    </w:p>
    <w:p w:rsidR="00F071B9" w:rsidRDefault="00E543EE">
      <w:pPr>
        <w:numPr>
          <w:ilvl w:val="0"/>
          <w:numId w:val="3"/>
        </w:numPr>
        <w:spacing w:before="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For odd-numbered items (1, 3, 5, 7, 9): contribution = response – 1</w:t>
      </w:r>
    </w:p>
    <w:p w:rsidR="00F071B9" w:rsidRDefault="00E543EE">
      <w:pPr>
        <w:numPr>
          <w:ilvl w:val="0"/>
          <w:numId w:val="3"/>
        </w:num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For even-numbered items (2, 4, 6, 8, 10): contribution = 5 – response</w:t>
      </w:r>
    </w:p>
    <w:p w:rsidR="00F071B9" w:rsidRDefault="00E543EE">
      <w:pPr>
        <w:numPr>
          <w:ilvl w:val="0"/>
          <w:numId w:val="3"/>
        </w:num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Sum the 10 contribution scores (maximum possible total = 40)</w:t>
      </w:r>
    </w:p>
    <w:p w:rsidR="00F071B9" w:rsidRDefault="00E543EE">
      <w:pPr>
        <w:numPr>
          <w:ilvl w:val="0"/>
          <w:numId w:val="3"/>
        </w:num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Multiply the total by 2.5 to obtain the final SUS score (</w:t>
      </w:r>
      <w:r>
        <w:rPr>
          <w:rFonts w:ascii="Times New Roman" w:eastAsia="Times New Roman" w:hAnsi="Times New Roman" w:cs="Times New Roman"/>
          <w:sz w:val="18"/>
          <w:szCs w:val="18"/>
        </w:rPr>
        <w:t>0–100)</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Interpretation of SUS Scores</w:t>
      </w:r>
    </w:p>
    <w:p w:rsidR="00F071B9" w:rsidRDefault="00E543EE">
      <w:pPr>
        <w:numPr>
          <w:ilvl w:val="0"/>
          <w:numId w:val="4"/>
        </w:numPr>
        <w:spacing w:before="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80–100: Excellent usability</w:t>
      </w:r>
    </w:p>
    <w:p w:rsidR="00F071B9" w:rsidRDefault="00E543EE">
      <w:pPr>
        <w:numPr>
          <w:ilvl w:val="0"/>
          <w:numId w:val="4"/>
        </w:num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68–79: Good usability</w:t>
      </w:r>
    </w:p>
    <w:p w:rsidR="00F071B9" w:rsidRDefault="00E543EE">
      <w:pPr>
        <w:numPr>
          <w:ilvl w:val="0"/>
          <w:numId w:val="4"/>
        </w:num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50–67: Average usability</w:t>
      </w:r>
    </w:p>
    <w:p w:rsidR="00F071B9" w:rsidRDefault="00E543EE">
      <w:pPr>
        <w:numPr>
          <w:ilvl w:val="0"/>
          <w:numId w:val="4"/>
        </w:num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Below 50: Poor usability</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SUS was completed twice by each participant (immediately after the standard interface and immediately after the acce</w:t>
      </w:r>
      <w:r>
        <w:rPr>
          <w:rFonts w:ascii="Times New Roman" w:eastAsia="Times New Roman" w:hAnsi="Times New Roman" w:cs="Times New Roman"/>
          <w:sz w:val="18"/>
          <w:szCs w:val="18"/>
        </w:rPr>
        <w:t>ssibility-optimized interface).</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Pilot Testing of Instruments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All measurement instruments and procedures were pilot-tested with five elderly participants (aged 62–71 years) who met the inclusion criteria but were not included in the main sample. Minor </w:t>
      </w:r>
      <w:r>
        <w:rPr>
          <w:rFonts w:ascii="Times New Roman" w:eastAsia="Times New Roman" w:hAnsi="Times New Roman" w:cs="Times New Roman"/>
          <w:sz w:val="18"/>
          <w:szCs w:val="18"/>
        </w:rPr>
        <w:t>adjustments were made to the task instructions and the layout of the SUS response sheet for better readability. The pilot confirmed that the tasks, timing protocol, error-logging sheet, and SUS administration were clear, feasible, and appropriate for the t</w:t>
      </w:r>
      <w:r>
        <w:rPr>
          <w:rFonts w:ascii="Times New Roman" w:eastAsia="Times New Roman" w:hAnsi="Times New Roman" w:cs="Times New Roman"/>
          <w:sz w:val="18"/>
          <w:szCs w:val="18"/>
        </w:rPr>
        <w:t>arget population. No changes were made to the SUS item wording or scoring method.</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SAMPLE DETAILS</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Survey Overview</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section describes the sample of participants who responded to the usability survey conducted for the study. The survey collected basic dem</w:t>
      </w:r>
      <w:r>
        <w:rPr>
          <w:rFonts w:ascii="Times New Roman" w:eastAsia="Times New Roman" w:hAnsi="Times New Roman" w:cs="Times New Roman"/>
          <w:sz w:val="18"/>
          <w:szCs w:val="18"/>
        </w:rPr>
        <w:t>ographic information and subjective usability ratings using a 10-item Likert-scale questionnaire for both the standard interface and the accessibility-optimized interface. A total of 30 elderly participants completed the survey.</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Sample Size and Selection C</w:t>
      </w:r>
      <w:r>
        <w:rPr>
          <w:rFonts w:ascii="Times New Roman" w:eastAsia="Times New Roman" w:hAnsi="Times New Roman" w:cs="Times New Roman"/>
          <w:b/>
          <w:bCs/>
          <w:sz w:val="18"/>
          <w:szCs w:val="18"/>
        </w:rPr>
        <w:t>riteria</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survey was completed by 30 participants. Participants were recruited through purposive convenience sampling from senior citizen groups and community networks primarily in Bengaluru, Karnataka. A few surveys were also conducted in Bareilly and B</w:t>
      </w:r>
      <w:r>
        <w:rPr>
          <w:rFonts w:ascii="Times New Roman" w:eastAsia="Times New Roman" w:hAnsi="Times New Roman" w:cs="Times New Roman"/>
          <w:sz w:val="18"/>
          <w:szCs w:val="18"/>
        </w:rPr>
        <w:t>hubaneswar through personal contacts who assisted the participants in understanding the purpose of the study. In cases where participants were not comfortable with English, the questions were smoothly translated into Hindi or the local language by the cont</w:t>
      </w:r>
      <w:r>
        <w:rPr>
          <w:rFonts w:ascii="Times New Roman" w:eastAsia="Times New Roman" w:hAnsi="Times New Roman" w:cs="Times New Roman"/>
          <w:sz w:val="18"/>
          <w:szCs w:val="18"/>
        </w:rPr>
        <w:t>act person to ensure full comprehension while preserving the original meaning of each</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statement. All 30 respondents met the basic requirement of being aged 60 years or above and having some familiarity with smartphone use.</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Demographic Profile of Survey Res</w:t>
      </w:r>
      <w:r>
        <w:rPr>
          <w:rFonts w:ascii="Times New Roman" w:eastAsia="Times New Roman" w:hAnsi="Times New Roman" w:cs="Times New Roman"/>
          <w:b/>
          <w:bCs/>
          <w:sz w:val="18"/>
          <w:szCs w:val="18"/>
        </w:rPr>
        <w:t>pondents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demographic characteristics of the 30 survey respondents are summarised in Tables 2 and 3.</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Table 2. </w:t>
      </w:r>
      <w:r>
        <w:rPr>
          <w:rFonts w:ascii="Times New Roman" w:eastAsia="Times New Roman" w:hAnsi="Times New Roman" w:cs="Times New Roman"/>
          <w:sz w:val="18"/>
          <w:szCs w:val="18"/>
        </w:rPr>
        <w:t>Distribution of Respondents by Age Group (N = 30)</w:t>
      </w:r>
    </w:p>
    <w:tbl>
      <w:tblPr>
        <w:tblStyle w:val="Style11"/>
        <w:tblW w:w="6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0"/>
        <w:gridCol w:w="1830"/>
        <w:gridCol w:w="2505"/>
      </w:tblGrid>
      <w:tr w:rsidR="00F071B9">
        <w:trPr>
          <w:trHeight w:val="733"/>
        </w:trPr>
        <w:tc>
          <w:tcPr>
            <w:tcW w:w="1890"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Age Group</w:t>
            </w:r>
          </w:p>
        </w:tc>
        <w:tc>
          <w:tcPr>
            <w:tcW w:w="1830"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Frequency</w:t>
            </w:r>
          </w:p>
        </w:tc>
        <w:tc>
          <w:tcPr>
            <w:tcW w:w="2505"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Percentage (%)</w:t>
            </w:r>
          </w:p>
        </w:tc>
      </w:tr>
      <w:tr w:rsidR="00F071B9">
        <w:trPr>
          <w:trHeight w:val="733"/>
        </w:trPr>
        <w:tc>
          <w:tcPr>
            <w:tcW w:w="18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60–65</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22</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73.3</w:t>
            </w:r>
          </w:p>
        </w:tc>
      </w:tr>
      <w:tr w:rsidR="00F071B9">
        <w:trPr>
          <w:trHeight w:val="733"/>
        </w:trPr>
        <w:tc>
          <w:tcPr>
            <w:tcW w:w="18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66–70</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6</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20.0</w:t>
            </w:r>
          </w:p>
        </w:tc>
      </w:tr>
      <w:tr w:rsidR="00F071B9">
        <w:trPr>
          <w:trHeight w:val="733"/>
        </w:trPr>
        <w:tc>
          <w:tcPr>
            <w:tcW w:w="18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71–75</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6.7</w:t>
            </w:r>
          </w:p>
        </w:tc>
      </w:tr>
      <w:tr w:rsidR="00F071B9">
        <w:trPr>
          <w:trHeight w:val="736"/>
        </w:trPr>
        <w:tc>
          <w:tcPr>
            <w:tcW w:w="18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Total</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30</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100.0</w:t>
            </w:r>
          </w:p>
        </w:tc>
      </w:tr>
    </w:tbl>
    <w:p w:rsidR="00F071B9" w:rsidRDefault="00F071B9">
      <w:pPr>
        <w:spacing w:before="240" w:after="240"/>
        <w:jc w:val="both"/>
        <w:rPr>
          <w:rFonts w:ascii="Times New Roman" w:eastAsia="Times New Roman" w:hAnsi="Times New Roman" w:cs="Times New Roman"/>
          <w:b/>
          <w:bCs/>
          <w:sz w:val="18"/>
          <w:szCs w:val="18"/>
        </w:rPr>
      </w:pP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Table 3. </w:t>
      </w:r>
      <w:r>
        <w:rPr>
          <w:rFonts w:ascii="Times New Roman" w:eastAsia="Times New Roman" w:hAnsi="Times New Roman" w:cs="Times New Roman"/>
          <w:sz w:val="18"/>
          <w:szCs w:val="18"/>
        </w:rPr>
        <w:t>Self-Reported Smartphone Comfort Level (N = 30)</w:t>
      </w:r>
    </w:p>
    <w:tbl>
      <w:tblPr>
        <w:tblStyle w:val="Style12"/>
        <w:tblW w:w="6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90"/>
        <w:gridCol w:w="1575"/>
        <w:gridCol w:w="1965"/>
      </w:tblGrid>
      <w:tr w:rsidR="00F071B9">
        <w:trPr>
          <w:trHeight w:val="770"/>
        </w:trPr>
        <w:tc>
          <w:tcPr>
            <w:tcW w:w="3090"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b/>
                <w:bCs/>
                <w:sz w:val="14"/>
                <w:szCs w:val="14"/>
              </w:rPr>
              <w:t>Comfort Level (1 = Not comfortable, 5 = Very comfortable)</w:t>
            </w:r>
          </w:p>
        </w:tc>
        <w:tc>
          <w:tcPr>
            <w:tcW w:w="1575"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b/>
                <w:bCs/>
                <w:sz w:val="14"/>
                <w:szCs w:val="14"/>
              </w:rPr>
              <w:t>Frequency</w:t>
            </w:r>
          </w:p>
        </w:tc>
        <w:tc>
          <w:tcPr>
            <w:tcW w:w="1965"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b/>
                <w:bCs/>
                <w:sz w:val="14"/>
                <w:szCs w:val="14"/>
              </w:rPr>
              <w:t>Percentage (%)</w:t>
            </w:r>
          </w:p>
        </w:tc>
      </w:tr>
      <w:tr w:rsidR="00F071B9">
        <w:trPr>
          <w:trHeight w:val="500"/>
        </w:trPr>
        <w:tc>
          <w:tcPr>
            <w:tcW w:w="30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1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3.3</w:t>
            </w:r>
          </w:p>
        </w:tc>
      </w:tr>
      <w:tr w:rsidR="00F071B9">
        <w:trPr>
          <w:trHeight w:val="500"/>
        </w:trPr>
        <w:tc>
          <w:tcPr>
            <w:tcW w:w="30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3</w:t>
            </w:r>
          </w:p>
        </w:tc>
        <w:tc>
          <w:tcPr>
            <w:tcW w:w="1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5</w:t>
            </w:r>
          </w:p>
        </w:tc>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16.7</w:t>
            </w:r>
          </w:p>
        </w:tc>
      </w:tr>
      <w:tr w:rsidR="00F071B9">
        <w:trPr>
          <w:trHeight w:val="500"/>
        </w:trPr>
        <w:tc>
          <w:tcPr>
            <w:tcW w:w="30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4</w:t>
            </w:r>
          </w:p>
        </w:tc>
        <w:tc>
          <w:tcPr>
            <w:tcW w:w="1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12</w:t>
            </w:r>
          </w:p>
        </w:tc>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40.0</w:t>
            </w:r>
          </w:p>
        </w:tc>
      </w:tr>
      <w:tr w:rsidR="00F071B9">
        <w:trPr>
          <w:trHeight w:val="500"/>
        </w:trPr>
        <w:tc>
          <w:tcPr>
            <w:tcW w:w="30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5</w:t>
            </w:r>
          </w:p>
        </w:tc>
        <w:tc>
          <w:tcPr>
            <w:tcW w:w="1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12</w:t>
            </w:r>
          </w:p>
        </w:tc>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40.0</w:t>
            </w:r>
          </w:p>
        </w:tc>
      </w:tr>
      <w:tr w:rsidR="00F071B9">
        <w:trPr>
          <w:trHeight w:val="500"/>
        </w:trPr>
        <w:tc>
          <w:tcPr>
            <w:tcW w:w="30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b/>
                <w:bCs/>
                <w:sz w:val="14"/>
                <w:szCs w:val="14"/>
              </w:rPr>
              <w:t>Total</w:t>
            </w:r>
          </w:p>
        </w:tc>
        <w:tc>
          <w:tcPr>
            <w:tcW w:w="1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b/>
                <w:bCs/>
                <w:sz w:val="14"/>
                <w:szCs w:val="14"/>
              </w:rPr>
              <w:t>30</w:t>
            </w:r>
          </w:p>
        </w:tc>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b/>
                <w:bCs/>
                <w:sz w:val="14"/>
                <w:szCs w:val="14"/>
              </w:rPr>
              <w:t>100.0</w:t>
            </w:r>
          </w:p>
        </w:tc>
      </w:tr>
    </w:tbl>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majority of respondents, 73.3 percent, belonged to </w:t>
      </w:r>
      <w:r>
        <w:rPr>
          <w:rFonts w:ascii="Times New Roman" w:eastAsia="Times New Roman" w:hAnsi="Times New Roman" w:cs="Times New Roman"/>
          <w:sz w:val="18"/>
          <w:szCs w:val="18"/>
        </w:rPr>
        <w:t>the 60–65 age group, while 80 percent reported moderate to high comfort with smartphone use, indicated by ratings of 4 or 5.</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Survey Administration Details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survey was administered in person immediately after each participant had viewed and interacted wi</w:t>
      </w:r>
      <w:r>
        <w:rPr>
          <w:rFonts w:ascii="Times New Roman" w:eastAsia="Times New Roman" w:hAnsi="Times New Roman" w:cs="Times New Roman"/>
          <w:sz w:val="18"/>
          <w:szCs w:val="18"/>
        </w:rPr>
        <w:t>th both the standard and accessibility-optimized mobile e-commerce interfaces. For each interface, participants responded to the same set of 10 statements on a 5-point Likert scale ranging from 1 (Strongly Disagree) to 5 (Strongly Agree). The questionnaire</w:t>
      </w:r>
      <w:r>
        <w:rPr>
          <w:rFonts w:ascii="Times New Roman" w:eastAsia="Times New Roman" w:hAnsi="Times New Roman" w:cs="Times New Roman"/>
          <w:sz w:val="18"/>
          <w:szCs w:val="18"/>
        </w:rPr>
        <w:t xml:space="preserve"> was presented in large-font, high-contrast printed format to ensure readability for elderly users. Each participant therefore provided two complete sets of 10 responses, one set for each interface. All responses were recorded directly into the digital for</w:t>
      </w:r>
      <w:r>
        <w:rPr>
          <w:rFonts w:ascii="Times New Roman" w:eastAsia="Times New Roman" w:hAnsi="Times New Roman" w:cs="Times New Roman"/>
          <w:sz w:val="18"/>
          <w:szCs w:val="18"/>
        </w:rPr>
        <w:t>m, resulting in the complete dataset of 30 participants. No incomplete responses were received, and every participant also provided the required demographic information.</w:t>
      </w:r>
    </w:p>
    <w:p w:rsidR="00F071B9" w:rsidRDefault="00E543EE">
      <w:pPr>
        <w:pStyle w:val="Heading3"/>
        <w:keepNext w:val="0"/>
        <w:keepLines w:val="0"/>
        <w:spacing w:before="280"/>
        <w:jc w:val="both"/>
        <w:rPr>
          <w:rFonts w:ascii="Times New Roman" w:eastAsia="Times New Roman" w:hAnsi="Times New Roman" w:cs="Times New Roman"/>
          <w:b/>
          <w:bCs/>
          <w:color w:val="000000"/>
          <w:sz w:val="18"/>
          <w:szCs w:val="18"/>
        </w:rPr>
      </w:pPr>
      <w:bookmarkStart w:id="1" w:name="_x1p5aglhamsw" w:colFirst="0" w:colLast="0"/>
      <w:bookmarkEnd w:id="1"/>
      <w:r>
        <w:rPr>
          <w:rFonts w:ascii="Times New Roman" w:eastAsia="Times New Roman" w:hAnsi="Times New Roman" w:cs="Times New Roman"/>
          <w:b/>
          <w:bCs/>
          <w:color w:val="000000"/>
          <w:sz w:val="18"/>
          <w:szCs w:val="18"/>
        </w:rPr>
        <w:t>SUBJECTIVE USABILITY RATINGS (DESCRIPTIVE STATISTICS)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Participants rated both </w:t>
      </w:r>
      <w:r>
        <w:rPr>
          <w:rFonts w:ascii="Times New Roman" w:eastAsia="Times New Roman" w:hAnsi="Times New Roman" w:cs="Times New Roman"/>
          <w:sz w:val="18"/>
          <w:szCs w:val="18"/>
        </w:rPr>
        <w:t>interfaces on ten statements designed to capture perceived usability. Items 1, 3, 5, 7, and 9 are positively worded; items 2, 4, 6, 8, and 10 are negatively worded. Descriptive statistics (mean, standard deviation, median, minimum, and maximum) for each it</w:t>
      </w:r>
      <w:r>
        <w:rPr>
          <w:rFonts w:ascii="Times New Roman" w:eastAsia="Times New Roman" w:hAnsi="Times New Roman" w:cs="Times New Roman"/>
          <w:sz w:val="18"/>
          <w:szCs w:val="18"/>
        </w:rPr>
        <w:t>em are presented separately for the standard interface (Table 5.3) and the accessibility-optimized interface in Table 4.</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Table 4.</w:t>
      </w:r>
      <w:r>
        <w:rPr>
          <w:rFonts w:ascii="Times New Roman" w:eastAsia="Times New Roman" w:hAnsi="Times New Roman" w:cs="Times New Roman"/>
          <w:sz w:val="18"/>
          <w:szCs w:val="18"/>
        </w:rPr>
        <w:t xml:space="preserve"> Descriptive Statistics for Subjective Usability Ratings – Standard Interface (N = 30)</w:t>
      </w:r>
    </w:p>
    <w:tbl>
      <w:tblPr>
        <w:tblStyle w:val="Style13"/>
        <w:tblW w:w="9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5"/>
        <w:gridCol w:w="960"/>
        <w:gridCol w:w="975"/>
        <w:gridCol w:w="900"/>
        <w:gridCol w:w="825"/>
        <w:gridCol w:w="825"/>
      </w:tblGrid>
      <w:tr w:rsidR="00F071B9">
        <w:trPr>
          <w:trHeight w:val="500"/>
        </w:trPr>
        <w:tc>
          <w:tcPr>
            <w:tcW w:w="4545"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lastRenderedPageBreak/>
              <w:t>Item</w:t>
            </w:r>
          </w:p>
        </w:tc>
        <w:tc>
          <w:tcPr>
            <w:tcW w:w="960"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Mean</w:t>
            </w:r>
          </w:p>
        </w:tc>
        <w:tc>
          <w:tcPr>
            <w:tcW w:w="975"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SD</w:t>
            </w:r>
          </w:p>
        </w:tc>
        <w:tc>
          <w:tcPr>
            <w:tcW w:w="900"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Median</w:t>
            </w:r>
          </w:p>
        </w:tc>
        <w:tc>
          <w:tcPr>
            <w:tcW w:w="825"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Min</w:t>
            </w:r>
          </w:p>
        </w:tc>
        <w:tc>
          <w:tcPr>
            <w:tcW w:w="825"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Max</w:t>
            </w:r>
          </w:p>
        </w:tc>
      </w:tr>
      <w:tr w:rsidR="00F071B9">
        <w:trPr>
          <w:trHeight w:val="691"/>
        </w:trPr>
        <w:tc>
          <w:tcPr>
            <w:tcW w:w="4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 I would </w:t>
            </w:r>
            <w:r>
              <w:rPr>
                <w:rFonts w:ascii="Times New Roman" w:eastAsia="Times New Roman" w:hAnsi="Times New Roman" w:cs="Times New Roman"/>
                <w:sz w:val="14"/>
                <w:szCs w:val="14"/>
              </w:rPr>
              <w:t>feel comfortable using a screen like this.</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3.33</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1.06</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4.0</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w:t>
            </w:r>
          </w:p>
        </w:tc>
      </w:tr>
      <w:tr w:rsidR="00F071B9">
        <w:trPr>
          <w:trHeight w:val="500"/>
        </w:trPr>
        <w:tc>
          <w:tcPr>
            <w:tcW w:w="4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 This screen looks complicated.</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2.97</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1.25</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3.0</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w:t>
            </w:r>
          </w:p>
        </w:tc>
      </w:tr>
      <w:tr w:rsidR="00F071B9">
        <w:trPr>
          <w:trHeight w:val="500"/>
        </w:trPr>
        <w:tc>
          <w:tcPr>
            <w:tcW w:w="4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 This screen looks easy to understand.</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3.20</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1.30</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3.5</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w:t>
            </w:r>
          </w:p>
        </w:tc>
      </w:tr>
      <w:tr w:rsidR="00F071B9">
        <w:trPr>
          <w:trHeight w:val="500"/>
        </w:trPr>
        <w:tc>
          <w:tcPr>
            <w:tcW w:w="4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 I would need help to understand this screen.</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3.17</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1.70</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4.0</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w:t>
            </w:r>
          </w:p>
        </w:tc>
      </w:tr>
      <w:tr w:rsidR="00F071B9">
        <w:trPr>
          <w:trHeight w:val="500"/>
        </w:trPr>
        <w:tc>
          <w:tcPr>
            <w:tcW w:w="4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5. The </w:t>
            </w:r>
            <w:r>
              <w:rPr>
                <w:rFonts w:ascii="Times New Roman" w:eastAsia="Times New Roman" w:hAnsi="Times New Roman" w:cs="Times New Roman"/>
                <w:sz w:val="14"/>
                <w:szCs w:val="14"/>
              </w:rPr>
              <w:t>information on this screen is well organized.</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3.53</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0.97</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4.0</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w:t>
            </w:r>
          </w:p>
        </w:tc>
      </w:tr>
      <w:tr w:rsidR="00F071B9">
        <w:trPr>
          <w:trHeight w:val="500"/>
        </w:trPr>
        <w:tc>
          <w:tcPr>
            <w:tcW w:w="4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6. This screen feels confusing to look at.</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2.80</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1.47</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3.0</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w:t>
            </w:r>
          </w:p>
        </w:tc>
      </w:tr>
      <w:tr w:rsidR="00F071B9">
        <w:trPr>
          <w:trHeight w:val="500"/>
        </w:trPr>
        <w:tc>
          <w:tcPr>
            <w:tcW w:w="4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7. Most people would understand this screen quickly.</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3.13</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1.01</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3.0</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w:t>
            </w:r>
          </w:p>
        </w:tc>
      </w:tr>
      <w:tr w:rsidR="00F071B9">
        <w:trPr>
          <w:trHeight w:val="500"/>
        </w:trPr>
        <w:tc>
          <w:tcPr>
            <w:tcW w:w="4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8. This screen looks difficult to use.</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3.03</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1.43</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3.5</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w:t>
            </w:r>
          </w:p>
        </w:tc>
      </w:tr>
      <w:tr w:rsidR="00F071B9">
        <w:trPr>
          <w:trHeight w:val="770"/>
        </w:trPr>
        <w:tc>
          <w:tcPr>
            <w:tcW w:w="4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9. I feel confident that I understand what to do on this screen.</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3.27</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1.14</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4.0</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w:t>
            </w:r>
          </w:p>
        </w:tc>
      </w:tr>
      <w:tr w:rsidR="00F071B9">
        <w:trPr>
          <w:trHeight w:val="770"/>
        </w:trPr>
        <w:tc>
          <w:tcPr>
            <w:tcW w:w="4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 I would need to learn many things before I could use this screen.</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3.17</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1.78</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4.0</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w:t>
            </w:r>
          </w:p>
        </w:tc>
      </w:tr>
    </w:tbl>
    <w:p w:rsidR="00F071B9" w:rsidRDefault="00F071B9">
      <w:pPr>
        <w:spacing w:before="240" w:after="240"/>
        <w:jc w:val="both"/>
        <w:rPr>
          <w:rFonts w:ascii="Times New Roman" w:eastAsia="Times New Roman" w:hAnsi="Times New Roman" w:cs="Times New Roman"/>
          <w:b/>
          <w:bCs/>
          <w:sz w:val="18"/>
          <w:szCs w:val="18"/>
        </w:rPr>
      </w:pP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Table 5. </w:t>
      </w:r>
      <w:r>
        <w:rPr>
          <w:rFonts w:ascii="Times New Roman" w:eastAsia="Times New Roman" w:hAnsi="Times New Roman" w:cs="Times New Roman"/>
          <w:sz w:val="18"/>
          <w:szCs w:val="18"/>
        </w:rPr>
        <w:t xml:space="preserve">Descriptive Statistics for Subjective Usability Ratings – </w:t>
      </w:r>
      <w:r>
        <w:rPr>
          <w:rFonts w:ascii="Times New Roman" w:eastAsia="Times New Roman" w:hAnsi="Times New Roman" w:cs="Times New Roman"/>
          <w:sz w:val="18"/>
          <w:szCs w:val="18"/>
        </w:rPr>
        <w:t>Accessibility-Optimized Interface (N = 30)</w:t>
      </w:r>
    </w:p>
    <w:tbl>
      <w:tblPr>
        <w:tblStyle w:val="Style14"/>
        <w:tblW w:w="90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39"/>
        <w:gridCol w:w="744"/>
        <w:gridCol w:w="593"/>
        <w:gridCol w:w="922"/>
        <w:gridCol w:w="593"/>
        <w:gridCol w:w="634"/>
      </w:tblGrid>
      <w:tr w:rsidR="00F071B9">
        <w:trPr>
          <w:trHeight w:val="500"/>
        </w:trPr>
        <w:tc>
          <w:tcPr>
            <w:tcW w:w="5537"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Item</w:t>
            </w:r>
          </w:p>
        </w:tc>
        <w:tc>
          <w:tcPr>
            <w:tcW w:w="744"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Mean</w:t>
            </w:r>
          </w:p>
        </w:tc>
        <w:tc>
          <w:tcPr>
            <w:tcW w:w="593"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SD</w:t>
            </w:r>
          </w:p>
        </w:tc>
        <w:tc>
          <w:tcPr>
            <w:tcW w:w="922"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Median</w:t>
            </w:r>
          </w:p>
        </w:tc>
        <w:tc>
          <w:tcPr>
            <w:tcW w:w="593"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Min</w:t>
            </w:r>
          </w:p>
        </w:tc>
        <w:tc>
          <w:tcPr>
            <w:tcW w:w="634"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Max</w:t>
            </w:r>
          </w:p>
        </w:tc>
      </w:tr>
      <w:tr w:rsidR="00F071B9">
        <w:trPr>
          <w:trHeight w:val="500"/>
        </w:trPr>
        <w:tc>
          <w:tcPr>
            <w:tcW w:w="5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 I would feel comfortable using a screen like this.</w:t>
            </w:r>
          </w:p>
        </w:tc>
        <w:tc>
          <w:tcPr>
            <w:tcW w:w="7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4.47</w:t>
            </w:r>
          </w:p>
        </w:tc>
        <w:tc>
          <w:tcPr>
            <w:tcW w:w="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0.73</w:t>
            </w:r>
          </w:p>
        </w:tc>
        <w:tc>
          <w:tcPr>
            <w:tcW w:w="9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5.0</w:t>
            </w:r>
          </w:p>
        </w:tc>
        <w:tc>
          <w:tcPr>
            <w:tcW w:w="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w:t>
            </w:r>
          </w:p>
        </w:tc>
        <w:tc>
          <w:tcPr>
            <w:tcW w:w="6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w:t>
            </w:r>
          </w:p>
        </w:tc>
      </w:tr>
      <w:tr w:rsidR="00F071B9">
        <w:trPr>
          <w:trHeight w:val="500"/>
        </w:trPr>
        <w:tc>
          <w:tcPr>
            <w:tcW w:w="5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 This screen looks complicated.</w:t>
            </w:r>
          </w:p>
        </w:tc>
        <w:tc>
          <w:tcPr>
            <w:tcW w:w="7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1.57</w:t>
            </w:r>
          </w:p>
        </w:tc>
        <w:tc>
          <w:tcPr>
            <w:tcW w:w="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0.90</w:t>
            </w:r>
          </w:p>
        </w:tc>
        <w:tc>
          <w:tcPr>
            <w:tcW w:w="9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w:t>
            </w:r>
          </w:p>
        </w:tc>
        <w:tc>
          <w:tcPr>
            <w:tcW w:w="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6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w:t>
            </w:r>
          </w:p>
        </w:tc>
      </w:tr>
      <w:tr w:rsidR="00F071B9">
        <w:trPr>
          <w:trHeight w:val="500"/>
        </w:trPr>
        <w:tc>
          <w:tcPr>
            <w:tcW w:w="5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3. This screen looks easy to understand.</w:t>
            </w:r>
          </w:p>
        </w:tc>
        <w:tc>
          <w:tcPr>
            <w:tcW w:w="7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4.33</w:t>
            </w:r>
          </w:p>
        </w:tc>
        <w:tc>
          <w:tcPr>
            <w:tcW w:w="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1.09</w:t>
            </w:r>
          </w:p>
        </w:tc>
        <w:tc>
          <w:tcPr>
            <w:tcW w:w="9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5.0</w:t>
            </w:r>
          </w:p>
        </w:tc>
        <w:tc>
          <w:tcPr>
            <w:tcW w:w="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6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w:t>
            </w:r>
          </w:p>
        </w:tc>
      </w:tr>
      <w:tr w:rsidR="00F071B9">
        <w:trPr>
          <w:trHeight w:val="500"/>
        </w:trPr>
        <w:tc>
          <w:tcPr>
            <w:tcW w:w="5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 I would need help to understand this screen.</w:t>
            </w:r>
          </w:p>
        </w:tc>
        <w:tc>
          <w:tcPr>
            <w:tcW w:w="7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1.73</w:t>
            </w:r>
          </w:p>
        </w:tc>
        <w:tc>
          <w:tcPr>
            <w:tcW w:w="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0.87</w:t>
            </w:r>
          </w:p>
        </w:tc>
        <w:tc>
          <w:tcPr>
            <w:tcW w:w="9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1.5</w:t>
            </w:r>
          </w:p>
        </w:tc>
        <w:tc>
          <w:tcPr>
            <w:tcW w:w="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6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w:t>
            </w:r>
          </w:p>
        </w:tc>
      </w:tr>
      <w:tr w:rsidR="00F071B9">
        <w:trPr>
          <w:trHeight w:val="500"/>
        </w:trPr>
        <w:tc>
          <w:tcPr>
            <w:tcW w:w="5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 The information on this screen is well organized.</w:t>
            </w:r>
          </w:p>
        </w:tc>
        <w:tc>
          <w:tcPr>
            <w:tcW w:w="7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4.23</w:t>
            </w:r>
          </w:p>
        </w:tc>
        <w:tc>
          <w:tcPr>
            <w:tcW w:w="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1.04</w:t>
            </w:r>
          </w:p>
        </w:tc>
        <w:tc>
          <w:tcPr>
            <w:tcW w:w="9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4.5</w:t>
            </w:r>
          </w:p>
        </w:tc>
        <w:tc>
          <w:tcPr>
            <w:tcW w:w="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6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w:t>
            </w:r>
          </w:p>
        </w:tc>
      </w:tr>
      <w:tr w:rsidR="00F071B9">
        <w:trPr>
          <w:trHeight w:val="500"/>
        </w:trPr>
        <w:tc>
          <w:tcPr>
            <w:tcW w:w="5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6. This screen feels confusing to look at.</w:t>
            </w:r>
          </w:p>
        </w:tc>
        <w:tc>
          <w:tcPr>
            <w:tcW w:w="7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1.53</w:t>
            </w:r>
          </w:p>
        </w:tc>
        <w:tc>
          <w:tcPr>
            <w:tcW w:w="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0.86</w:t>
            </w:r>
          </w:p>
        </w:tc>
        <w:tc>
          <w:tcPr>
            <w:tcW w:w="9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w:t>
            </w:r>
          </w:p>
        </w:tc>
        <w:tc>
          <w:tcPr>
            <w:tcW w:w="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6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w:t>
            </w:r>
          </w:p>
        </w:tc>
      </w:tr>
      <w:tr w:rsidR="00F071B9">
        <w:trPr>
          <w:trHeight w:val="500"/>
        </w:trPr>
        <w:tc>
          <w:tcPr>
            <w:tcW w:w="5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7. Most people would understand this screen quickly.</w:t>
            </w:r>
          </w:p>
        </w:tc>
        <w:tc>
          <w:tcPr>
            <w:tcW w:w="7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4.30</w:t>
            </w:r>
          </w:p>
        </w:tc>
        <w:tc>
          <w:tcPr>
            <w:tcW w:w="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0.88</w:t>
            </w:r>
          </w:p>
        </w:tc>
        <w:tc>
          <w:tcPr>
            <w:tcW w:w="9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5.0</w:t>
            </w:r>
          </w:p>
        </w:tc>
        <w:tc>
          <w:tcPr>
            <w:tcW w:w="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w:t>
            </w:r>
          </w:p>
        </w:tc>
        <w:tc>
          <w:tcPr>
            <w:tcW w:w="6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w:t>
            </w:r>
          </w:p>
        </w:tc>
      </w:tr>
      <w:tr w:rsidR="00F071B9">
        <w:trPr>
          <w:trHeight w:val="500"/>
        </w:trPr>
        <w:tc>
          <w:tcPr>
            <w:tcW w:w="5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8. This screen looks difficult to use.</w:t>
            </w:r>
          </w:p>
        </w:tc>
        <w:tc>
          <w:tcPr>
            <w:tcW w:w="7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1.63</w:t>
            </w:r>
          </w:p>
        </w:tc>
        <w:tc>
          <w:tcPr>
            <w:tcW w:w="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0.61</w:t>
            </w:r>
          </w:p>
        </w:tc>
        <w:tc>
          <w:tcPr>
            <w:tcW w:w="9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2.0</w:t>
            </w:r>
          </w:p>
        </w:tc>
        <w:tc>
          <w:tcPr>
            <w:tcW w:w="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6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w:t>
            </w:r>
          </w:p>
        </w:tc>
      </w:tr>
      <w:tr w:rsidR="00F071B9">
        <w:trPr>
          <w:trHeight w:val="770"/>
        </w:trPr>
        <w:tc>
          <w:tcPr>
            <w:tcW w:w="5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9. I feel confident that I understand what to do on this screen.</w:t>
            </w:r>
          </w:p>
        </w:tc>
        <w:tc>
          <w:tcPr>
            <w:tcW w:w="7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4.33</w:t>
            </w:r>
          </w:p>
        </w:tc>
        <w:tc>
          <w:tcPr>
            <w:tcW w:w="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0.80</w:t>
            </w:r>
          </w:p>
        </w:tc>
        <w:tc>
          <w:tcPr>
            <w:tcW w:w="9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5.0</w:t>
            </w:r>
          </w:p>
        </w:tc>
        <w:tc>
          <w:tcPr>
            <w:tcW w:w="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w:t>
            </w:r>
          </w:p>
        </w:tc>
        <w:tc>
          <w:tcPr>
            <w:tcW w:w="6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w:t>
            </w:r>
          </w:p>
        </w:tc>
      </w:tr>
      <w:tr w:rsidR="00F071B9">
        <w:trPr>
          <w:trHeight w:val="770"/>
        </w:trPr>
        <w:tc>
          <w:tcPr>
            <w:tcW w:w="5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 I would need to learn many things before I could use this screen.</w:t>
            </w:r>
          </w:p>
        </w:tc>
        <w:tc>
          <w:tcPr>
            <w:tcW w:w="7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1.87</w:t>
            </w:r>
          </w:p>
        </w:tc>
        <w:tc>
          <w:tcPr>
            <w:tcW w:w="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1.17</w:t>
            </w:r>
          </w:p>
        </w:tc>
        <w:tc>
          <w:tcPr>
            <w:tcW w:w="9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1.5</w:t>
            </w:r>
          </w:p>
        </w:tc>
        <w:tc>
          <w:tcPr>
            <w:tcW w:w="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6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w:t>
            </w:r>
          </w:p>
        </w:tc>
      </w:tr>
    </w:tbl>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To obtain an </w:t>
      </w:r>
      <w:r>
        <w:rPr>
          <w:rFonts w:ascii="Times New Roman" w:eastAsia="Times New Roman" w:hAnsi="Times New Roman" w:cs="Times New Roman"/>
          <w:b/>
          <w:bCs/>
          <w:sz w:val="18"/>
          <w:szCs w:val="18"/>
        </w:rPr>
        <w:t>overall usability perception score</w:t>
      </w:r>
      <w:r>
        <w:rPr>
          <w:rFonts w:ascii="Times New Roman" w:eastAsia="Times New Roman" w:hAnsi="Times New Roman" w:cs="Times New Roman"/>
          <w:sz w:val="18"/>
          <w:szCs w:val="18"/>
        </w:rPr>
        <w:t xml:space="preserve">, responses were adjusted using reverse scoring for the five negatively worded items (2, 4, 6, 8, and 10). For each negative item, the score was reversed using the formula </w:t>
      </w:r>
      <w:r>
        <w:rPr>
          <w:rFonts w:ascii="Times New Roman" w:eastAsia="Times New Roman" w:hAnsi="Times New Roman" w:cs="Times New Roman"/>
          <w:b/>
          <w:bCs/>
          <w:sz w:val="18"/>
          <w:szCs w:val="18"/>
        </w:rPr>
        <w:t>6 – response</w:t>
      </w:r>
      <w:r>
        <w:rPr>
          <w:rFonts w:ascii="Times New Roman" w:eastAsia="Times New Roman" w:hAnsi="Times New Roman" w:cs="Times New Roman"/>
          <w:sz w:val="18"/>
          <w:szCs w:val="18"/>
        </w:rPr>
        <w:t xml:space="preserve">. The five positive-item </w:t>
      </w:r>
      <w:r>
        <w:rPr>
          <w:rFonts w:ascii="Times New Roman" w:eastAsia="Times New Roman" w:hAnsi="Times New Roman" w:cs="Times New Roman"/>
          <w:sz w:val="18"/>
          <w:szCs w:val="18"/>
        </w:rPr>
        <w:t>responses and the five reversed negative-item responses were then summed, producing an overall usability perception score ranging from 10 (lowest perceived usability) to 50 (highest perceived usability) for each interface. Higher scores indicate more favou</w:t>
      </w:r>
      <w:r>
        <w:rPr>
          <w:rFonts w:ascii="Times New Roman" w:eastAsia="Times New Roman" w:hAnsi="Times New Roman" w:cs="Times New Roman"/>
          <w:sz w:val="18"/>
          <w:szCs w:val="18"/>
        </w:rPr>
        <w:t>rable perceptions of usability.</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Table 6.</w:t>
      </w:r>
      <w:r>
        <w:rPr>
          <w:rFonts w:ascii="Times New Roman" w:eastAsia="Times New Roman" w:hAnsi="Times New Roman" w:cs="Times New Roman"/>
          <w:sz w:val="18"/>
          <w:szCs w:val="18"/>
        </w:rPr>
        <w:t xml:space="preserve"> Overall Usability Perception Score (Adjusted Sum, Range 10–50) (N = 30)</w:t>
      </w:r>
    </w:p>
    <w:tbl>
      <w:tblPr>
        <w:tblStyle w:val="Style15"/>
        <w:tblW w:w="73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85"/>
        <w:gridCol w:w="815"/>
        <w:gridCol w:w="650"/>
        <w:gridCol w:w="1010"/>
        <w:gridCol w:w="650"/>
        <w:gridCol w:w="695"/>
      </w:tblGrid>
      <w:tr w:rsidR="00F071B9">
        <w:trPr>
          <w:trHeight w:val="744"/>
        </w:trPr>
        <w:tc>
          <w:tcPr>
            <w:tcW w:w="3485"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Interface</w:t>
            </w:r>
          </w:p>
        </w:tc>
        <w:tc>
          <w:tcPr>
            <w:tcW w:w="815"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Mean</w:t>
            </w:r>
          </w:p>
        </w:tc>
        <w:tc>
          <w:tcPr>
            <w:tcW w:w="650"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SD</w:t>
            </w:r>
          </w:p>
        </w:tc>
        <w:tc>
          <w:tcPr>
            <w:tcW w:w="1010"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Median</w:t>
            </w:r>
          </w:p>
        </w:tc>
        <w:tc>
          <w:tcPr>
            <w:tcW w:w="650"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Min</w:t>
            </w:r>
          </w:p>
        </w:tc>
        <w:tc>
          <w:tcPr>
            <w:tcW w:w="695"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Max</w:t>
            </w:r>
          </w:p>
        </w:tc>
      </w:tr>
      <w:tr w:rsidR="00F071B9">
        <w:trPr>
          <w:trHeight w:val="500"/>
        </w:trPr>
        <w:tc>
          <w:tcPr>
            <w:tcW w:w="3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Standard Interface</w:t>
            </w:r>
          </w:p>
        </w:tc>
        <w:tc>
          <w:tcPr>
            <w:tcW w:w="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31.33</w:t>
            </w:r>
          </w:p>
        </w:tc>
        <w:tc>
          <w:tcPr>
            <w:tcW w:w="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9.42</w:t>
            </w:r>
          </w:p>
        </w:tc>
        <w:tc>
          <w:tcPr>
            <w:tcW w:w="1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31.0</w:t>
            </w:r>
          </w:p>
        </w:tc>
        <w:tc>
          <w:tcPr>
            <w:tcW w:w="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14</w:t>
            </w:r>
          </w:p>
        </w:tc>
        <w:tc>
          <w:tcPr>
            <w:tcW w:w="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47</w:t>
            </w:r>
          </w:p>
        </w:tc>
      </w:tr>
      <w:tr w:rsidR="00F071B9">
        <w:trPr>
          <w:trHeight w:val="500"/>
        </w:trPr>
        <w:tc>
          <w:tcPr>
            <w:tcW w:w="3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Accessibility-Optimized Interface</w:t>
            </w:r>
          </w:p>
        </w:tc>
        <w:tc>
          <w:tcPr>
            <w:tcW w:w="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43.33</w:t>
            </w:r>
          </w:p>
        </w:tc>
        <w:tc>
          <w:tcPr>
            <w:tcW w:w="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6.40</w:t>
            </w:r>
          </w:p>
        </w:tc>
        <w:tc>
          <w:tcPr>
            <w:tcW w:w="1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46.0</w:t>
            </w:r>
          </w:p>
        </w:tc>
        <w:tc>
          <w:tcPr>
            <w:tcW w:w="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25</w:t>
            </w:r>
          </w:p>
        </w:tc>
        <w:tc>
          <w:tcPr>
            <w:tcW w:w="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50</w:t>
            </w:r>
          </w:p>
        </w:tc>
      </w:tr>
    </w:tbl>
    <w:p w:rsidR="00F071B9" w:rsidRDefault="00E543EE">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Scores represent the raw adjusted sum prior to the ×2.5 SUS conversion. </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Participants gave markedly more favourable ratings to the accessibility-optimized interface across the individual items (Tables 4 and 5) and in the overall usability perception score </w:t>
      </w:r>
      <w:r>
        <w:rPr>
          <w:rFonts w:ascii="Times New Roman" w:eastAsia="Times New Roman" w:hAnsi="Times New Roman" w:cs="Times New Roman"/>
          <w:sz w:val="18"/>
          <w:szCs w:val="18"/>
        </w:rPr>
        <w:t>(Table 6). The accessibility-optimized interface received a substantially higher mean score (M = 43.33, SD = 6.40) than the standard interface (M = 31.33, SD = 9.42), reflecting stronger agreement with positive usability statements and stronger disagreemen</w:t>
      </w:r>
      <w:r>
        <w:rPr>
          <w:rFonts w:ascii="Times New Roman" w:eastAsia="Times New Roman" w:hAnsi="Times New Roman" w:cs="Times New Roman"/>
          <w:sz w:val="18"/>
          <w:szCs w:val="18"/>
        </w:rPr>
        <w:t>t with negative statements.</w:t>
      </w:r>
    </w:p>
    <w:p w:rsidR="00F071B9" w:rsidRDefault="00E543EE">
      <w:pPr>
        <w:pStyle w:val="Heading3"/>
        <w:keepNext w:val="0"/>
        <w:keepLines w:val="0"/>
        <w:spacing w:before="280"/>
        <w:jc w:val="both"/>
        <w:rPr>
          <w:rFonts w:ascii="Times New Roman" w:eastAsia="Times New Roman" w:hAnsi="Times New Roman" w:cs="Times New Roman"/>
          <w:b/>
          <w:bCs/>
          <w:color w:val="000000"/>
          <w:sz w:val="18"/>
          <w:szCs w:val="18"/>
        </w:rPr>
      </w:pPr>
      <w:bookmarkStart w:id="2" w:name="_of8n0264uvf7" w:colFirst="0" w:colLast="0"/>
      <w:bookmarkEnd w:id="2"/>
      <w:r>
        <w:rPr>
          <w:rFonts w:ascii="Times New Roman" w:eastAsia="Times New Roman" w:hAnsi="Times New Roman" w:cs="Times New Roman"/>
          <w:b/>
          <w:bCs/>
          <w:color w:val="000000"/>
          <w:sz w:val="18"/>
          <w:szCs w:val="18"/>
        </w:rPr>
        <w:lastRenderedPageBreak/>
        <w:t>STATISTICAL ANALYSIS</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sz w:val="18"/>
          <w:szCs w:val="18"/>
        </w:rPr>
        <w:t>This section reports the complete statistical analysis of the SUS data (N = 30 elderly Indian users) comparing the Standard and Accessibility-Optimized interfaces. We describe data preprocessing and SUS scoring (Brooke, 1996), provide descriptive statistic</w:t>
      </w:r>
      <w:r>
        <w:rPr>
          <w:rFonts w:ascii="Times New Roman" w:eastAsia="Times New Roman" w:hAnsi="Times New Roman" w:cs="Times New Roman"/>
          <w:sz w:val="18"/>
          <w:szCs w:val="18"/>
        </w:rPr>
        <w:t>s, and conduct paired tests on SUS totals and individual items. Reliability (Cronbach’s α) and normality checks are also presented. Both parametric (paired t-test) and nonparametric (Wilcoxon signed-rank test) results are included, along with effect sizes.</w:t>
      </w:r>
      <w:r>
        <w:rPr>
          <w:rFonts w:ascii="Times New Roman" w:eastAsia="Times New Roman" w:hAnsi="Times New Roman" w:cs="Times New Roman"/>
          <w:sz w:val="18"/>
          <w:szCs w:val="18"/>
        </w:rPr>
        <w:t xml:space="preserve"> All analyses were performed in </w:t>
      </w:r>
      <w:r>
        <w:rPr>
          <w:rFonts w:ascii="Times New Roman" w:eastAsia="Times New Roman" w:hAnsi="Times New Roman" w:cs="Times New Roman"/>
          <w:b/>
          <w:bCs/>
          <w:sz w:val="18"/>
          <w:szCs w:val="18"/>
        </w:rPr>
        <w:t>R.</w:t>
      </w:r>
    </w:p>
    <w:p w:rsidR="00F071B9" w:rsidRDefault="00E543EE">
      <w:pPr>
        <w:pStyle w:val="Heading4"/>
        <w:keepNext w:val="0"/>
        <w:keepLines w:val="0"/>
        <w:spacing w:before="240" w:after="40"/>
        <w:jc w:val="both"/>
        <w:rPr>
          <w:rFonts w:ascii="Times New Roman" w:eastAsia="Times New Roman" w:hAnsi="Times New Roman" w:cs="Times New Roman"/>
          <w:b/>
          <w:bCs/>
          <w:color w:val="000000"/>
          <w:sz w:val="18"/>
          <w:szCs w:val="18"/>
        </w:rPr>
      </w:pPr>
      <w:bookmarkStart w:id="3" w:name="_8x9azxf72oa8" w:colFirst="0" w:colLast="0"/>
      <w:bookmarkEnd w:id="3"/>
      <w:r>
        <w:rPr>
          <w:rFonts w:ascii="Times New Roman" w:eastAsia="Times New Roman" w:hAnsi="Times New Roman" w:cs="Times New Roman"/>
          <w:b/>
          <w:bCs/>
          <w:color w:val="000000"/>
          <w:sz w:val="18"/>
          <w:szCs w:val="18"/>
        </w:rPr>
        <w:t>Data and Preprocessing</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sz w:val="18"/>
          <w:szCs w:val="18"/>
        </w:rPr>
        <w:t xml:space="preserve">A dataset of 30 participants was used, with each providing SUS item responses (1–5 Likert scale) for both interfaces. There were no missing data. SUS scores were computed following Brooke (1996) by </w:t>
      </w:r>
      <w:r>
        <w:rPr>
          <w:rFonts w:ascii="Times New Roman" w:eastAsia="Times New Roman" w:hAnsi="Times New Roman" w:cs="Times New Roman"/>
          <w:sz w:val="18"/>
          <w:szCs w:val="18"/>
        </w:rPr>
        <w:t>adjusting responses: (odd-item response – 1) + (5 – even-item response) summing the 10 items, and multiplying by 2.5 to yield 0–100 scores. For this analysis, the raw adjusted sum (range 10–50) was used as the overall usability perception score. This produ</w:t>
      </w:r>
      <w:r>
        <w:rPr>
          <w:rFonts w:ascii="Times New Roman" w:eastAsia="Times New Roman" w:hAnsi="Times New Roman" w:cs="Times New Roman"/>
          <w:sz w:val="18"/>
          <w:szCs w:val="18"/>
        </w:rPr>
        <w:t>ced Standard scores (M = 31.33, SD = 9.42) and Accessibility-Optimized scores (M = 43.33, SD = 6.40). The distributions approximated normality (Shapiro–Wilk p &gt; 0.05 for both).</w:t>
      </w:r>
    </w:p>
    <w:p w:rsidR="00F071B9" w:rsidRDefault="00F071B9">
      <w:pPr>
        <w:spacing w:before="240" w:after="240"/>
        <w:jc w:val="both"/>
        <w:rPr>
          <w:rFonts w:ascii="Times New Roman" w:eastAsia="Times New Roman" w:hAnsi="Times New Roman" w:cs="Times New Roman"/>
          <w:b/>
          <w:bCs/>
          <w:sz w:val="18"/>
          <w:szCs w:val="18"/>
        </w:rPr>
      </w:pP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Table 7.</w:t>
      </w:r>
      <w:r>
        <w:rPr>
          <w:rFonts w:ascii="Times New Roman" w:eastAsia="Times New Roman" w:hAnsi="Times New Roman" w:cs="Times New Roman"/>
          <w:sz w:val="18"/>
          <w:szCs w:val="18"/>
        </w:rPr>
        <w:t xml:space="preserve"> Descriptive SUS scores by condition (N = 30)</w:t>
      </w:r>
    </w:p>
    <w:tbl>
      <w:tblPr>
        <w:tblStyle w:val="Style16"/>
        <w:tblW w:w="79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85"/>
        <w:gridCol w:w="815"/>
        <w:gridCol w:w="650"/>
        <w:gridCol w:w="1010"/>
        <w:gridCol w:w="650"/>
        <w:gridCol w:w="695"/>
        <w:gridCol w:w="650"/>
      </w:tblGrid>
      <w:tr w:rsidR="00F071B9">
        <w:trPr>
          <w:trHeight w:val="500"/>
        </w:trPr>
        <w:tc>
          <w:tcPr>
            <w:tcW w:w="3485"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Condition</w:t>
            </w:r>
          </w:p>
        </w:tc>
        <w:tc>
          <w:tcPr>
            <w:tcW w:w="815"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Mean</w:t>
            </w:r>
          </w:p>
        </w:tc>
        <w:tc>
          <w:tcPr>
            <w:tcW w:w="650"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SD</w:t>
            </w:r>
          </w:p>
        </w:tc>
        <w:tc>
          <w:tcPr>
            <w:tcW w:w="1010"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Median</w:t>
            </w:r>
          </w:p>
        </w:tc>
        <w:tc>
          <w:tcPr>
            <w:tcW w:w="650"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Min</w:t>
            </w:r>
          </w:p>
        </w:tc>
        <w:tc>
          <w:tcPr>
            <w:tcW w:w="695"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Max</w:t>
            </w:r>
          </w:p>
        </w:tc>
        <w:tc>
          <w:tcPr>
            <w:tcW w:w="650"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SE</w:t>
            </w:r>
          </w:p>
        </w:tc>
      </w:tr>
      <w:tr w:rsidR="00F071B9">
        <w:trPr>
          <w:trHeight w:val="500"/>
        </w:trPr>
        <w:tc>
          <w:tcPr>
            <w:tcW w:w="3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Standard Interface</w:t>
            </w:r>
          </w:p>
        </w:tc>
        <w:tc>
          <w:tcPr>
            <w:tcW w:w="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31.33</w:t>
            </w:r>
          </w:p>
        </w:tc>
        <w:tc>
          <w:tcPr>
            <w:tcW w:w="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9.42</w:t>
            </w:r>
          </w:p>
        </w:tc>
        <w:tc>
          <w:tcPr>
            <w:tcW w:w="1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31.0</w:t>
            </w:r>
          </w:p>
        </w:tc>
        <w:tc>
          <w:tcPr>
            <w:tcW w:w="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14</w:t>
            </w:r>
          </w:p>
        </w:tc>
        <w:tc>
          <w:tcPr>
            <w:tcW w:w="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47</w:t>
            </w:r>
          </w:p>
        </w:tc>
        <w:tc>
          <w:tcPr>
            <w:tcW w:w="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1.72</w:t>
            </w:r>
          </w:p>
        </w:tc>
      </w:tr>
      <w:tr w:rsidR="00F071B9">
        <w:trPr>
          <w:trHeight w:val="500"/>
        </w:trPr>
        <w:tc>
          <w:tcPr>
            <w:tcW w:w="3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Accessibility-Optimized Interface</w:t>
            </w:r>
          </w:p>
        </w:tc>
        <w:tc>
          <w:tcPr>
            <w:tcW w:w="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43.33</w:t>
            </w:r>
          </w:p>
        </w:tc>
        <w:tc>
          <w:tcPr>
            <w:tcW w:w="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6.40</w:t>
            </w:r>
          </w:p>
        </w:tc>
        <w:tc>
          <w:tcPr>
            <w:tcW w:w="1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46.0</w:t>
            </w:r>
          </w:p>
        </w:tc>
        <w:tc>
          <w:tcPr>
            <w:tcW w:w="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25</w:t>
            </w:r>
          </w:p>
        </w:tc>
        <w:tc>
          <w:tcPr>
            <w:tcW w:w="6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50</w:t>
            </w:r>
          </w:p>
        </w:tc>
        <w:tc>
          <w:tcPr>
            <w:tcW w:w="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1.17</w:t>
            </w:r>
          </w:p>
        </w:tc>
      </w:tr>
    </w:tbl>
    <w:p w:rsidR="00F071B9" w:rsidRDefault="00E543EE">
      <w:pPr>
        <w:pStyle w:val="Heading4"/>
        <w:keepNext w:val="0"/>
        <w:keepLines w:val="0"/>
        <w:spacing w:before="240" w:after="40"/>
        <w:jc w:val="both"/>
        <w:rPr>
          <w:rFonts w:ascii="Times New Roman" w:eastAsia="Times New Roman" w:hAnsi="Times New Roman" w:cs="Times New Roman"/>
          <w:i/>
          <w:iCs/>
          <w:color w:val="000000"/>
          <w:sz w:val="18"/>
          <w:szCs w:val="18"/>
        </w:rPr>
      </w:pPr>
      <w:bookmarkStart w:id="4" w:name="_wod0ggbxdqj" w:colFirst="0" w:colLast="0"/>
      <w:bookmarkEnd w:id="4"/>
      <w:r>
        <w:rPr>
          <w:rFonts w:ascii="Times New Roman" w:eastAsia="Times New Roman" w:hAnsi="Times New Roman" w:cs="Times New Roman"/>
          <w:i/>
          <w:iCs/>
          <w:color w:val="000000"/>
          <w:sz w:val="18"/>
          <w:szCs w:val="18"/>
        </w:rPr>
        <w:t>Because the survey items were adapted for elderly participant comprehension and reverse scoring was applied using the formula 6 – response (yielding a per-item range of 1–5 rather than the standard 0–4), the resulting adjusted sum spans 10–50 rather than t</w:t>
      </w:r>
      <w:r>
        <w:rPr>
          <w:rFonts w:ascii="Times New Roman" w:eastAsia="Times New Roman" w:hAnsi="Times New Roman" w:cs="Times New Roman"/>
          <w:i/>
          <w:iCs/>
          <w:color w:val="000000"/>
          <w:sz w:val="18"/>
          <w:szCs w:val="18"/>
        </w:rPr>
        <w:t xml:space="preserve">he conventional 0–40. Accordingly, the standard ×2.5 SUS conversion to a 0–100 scale was not applied; all analyses use the raw adjusted sum (range 10–50) as the usability perception score throughout. </w:t>
      </w:r>
    </w:p>
    <w:p w:rsidR="00F071B9" w:rsidRDefault="00E543EE">
      <w:pPr>
        <w:pStyle w:val="Heading4"/>
        <w:keepNext w:val="0"/>
        <w:keepLines w:val="0"/>
        <w:spacing w:before="240" w:after="40"/>
        <w:jc w:val="both"/>
        <w:rPr>
          <w:rFonts w:ascii="Times New Roman" w:eastAsia="Times New Roman" w:hAnsi="Times New Roman" w:cs="Times New Roman"/>
          <w:b/>
          <w:bCs/>
          <w:color w:val="000000"/>
          <w:sz w:val="18"/>
          <w:szCs w:val="18"/>
        </w:rPr>
      </w:pPr>
      <w:bookmarkStart w:id="5" w:name="_4xs3i5yyw0y0" w:colFirst="0" w:colLast="0"/>
      <w:bookmarkEnd w:id="5"/>
      <w:r>
        <w:rPr>
          <w:rFonts w:ascii="Times New Roman" w:eastAsia="Times New Roman" w:hAnsi="Times New Roman" w:cs="Times New Roman"/>
          <w:b/>
          <w:bCs/>
          <w:color w:val="000000"/>
          <w:sz w:val="18"/>
          <w:szCs w:val="18"/>
        </w:rPr>
        <w:t>Inferential Comparison of SUS Scores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 </w:t>
      </w:r>
      <w:r>
        <w:rPr>
          <w:rFonts w:ascii="Times New Roman" w:eastAsia="Times New Roman" w:hAnsi="Times New Roman" w:cs="Times New Roman"/>
          <w:b/>
          <w:bCs/>
          <w:sz w:val="18"/>
          <w:szCs w:val="18"/>
        </w:rPr>
        <w:t xml:space="preserve">paired t-test </w:t>
      </w:r>
      <w:r>
        <w:rPr>
          <w:rFonts w:ascii="Times New Roman" w:eastAsia="Times New Roman" w:hAnsi="Times New Roman" w:cs="Times New Roman"/>
          <w:sz w:val="18"/>
          <w:szCs w:val="18"/>
        </w:rPr>
        <w:t>wa</w:t>
      </w:r>
      <w:r>
        <w:rPr>
          <w:rFonts w:ascii="Times New Roman" w:eastAsia="Times New Roman" w:hAnsi="Times New Roman" w:cs="Times New Roman"/>
          <w:sz w:val="18"/>
          <w:szCs w:val="18"/>
        </w:rPr>
        <w:t>s conducted to compare SUS totals between the two interfaces. The mean difference (Optimized – Standard) was 12.0 points, favouring the optimized interface. The result was highly significant: t(29) = 5.860, p &lt; 0.001. The effect size was very large (paired</w:t>
      </w:r>
      <w:r>
        <w:rPr>
          <w:rFonts w:ascii="Times New Roman" w:eastAsia="Times New Roman" w:hAnsi="Times New Roman" w:cs="Times New Roman"/>
          <w:sz w:val="18"/>
          <w:szCs w:val="18"/>
        </w:rPr>
        <w:t xml:space="preserve"> Cohen’s d = 1.070). </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To confirm robustness, the </w:t>
      </w:r>
      <w:r>
        <w:rPr>
          <w:rFonts w:ascii="Times New Roman" w:eastAsia="Times New Roman" w:hAnsi="Times New Roman" w:cs="Times New Roman"/>
          <w:b/>
          <w:bCs/>
          <w:sz w:val="18"/>
          <w:szCs w:val="18"/>
        </w:rPr>
        <w:t>nonparametric Wilcoxon signed-rank test</w:t>
      </w:r>
      <w:r>
        <w:rPr>
          <w:rFonts w:ascii="Times New Roman" w:eastAsia="Times New Roman" w:hAnsi="Times New Roman" w:cs="Times New Roman"/>
          <w:sz w:val="18"/>
          <w:szCs w:val="18"/>
        </w:rPr>
        <w:t xml:space="preserve"> was also performed: V = 435, p &lt; 0.001. Both tests showed the same conclusion. </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Interpretation</w:t>
      </w:r>
      <w:r>
        <w:rPr>
          <w:rFonts w:ascii="Times New Roman" w:eastAsia="Times New Roman" w:hAnsi="Times New Roman" w:cs="Times New Roman"/>
          <w:sz w:val="18"/>
          <w:szCs w:val="18"/>
        </w:rPr>
        <w:t>: The accessibility-optimized interface produced significantly higher SUS</w:t>
      </w:r>
      <w:r>
        <w:rPr>
          <w:rFonts w:ascii="Times New Roman" w:eastAsia="Times New Roman" w:hAnsi="Times New Roman" w:cs="Times New Roman"/>
          <w:sz w:val="18"/>
          <w:szCs w:val="18"/>
        </w:rPr>
        <w:t xml:space="preserve"> scores than the standard interface (</w:t>
      </w:r>
      <w:r>
        <w:rPr>
          <w:rFonts w:ascii="Times New Roman" w:eastAsia="Times New Roman" w:hAnsi="Times New Roman" w:cs="Times New Roman"/>
          <w:i/>
          <w:iCs/>
          <w:sz w:val="18"/>
          <w:szCs w:val="18"/>
        </w:rPr>
        <w:t>p</w:t>
      </w:r>
      <w:r>
        <w:rPr>
          <w:rFonts w:ascii="Times New Roman" w:eastAsia="Times New Roman" w:hAnsi="Times New Roman" w:cs="Times New Roman"/>
          <w:sz w:val="18"/>
          <w:szCs w:val="18"/>
        </w:rPr>
        <w:t xml:space="preserve"> &lt; 0.001). The very large effect size indicates a strong and practically meaningful improvement in perceived usability for elderly users.</w:t>
      </w:r>
    </w:p>
    <w:p w:rsidR="00F071B9" w:rsidRDefault="00E543EE">
      <w:pPr>
        <w:spacing w:before="240" w:after="240"/>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val="en-IN"/>
        </w:rPr>
        <w:lastRenderedPageBreak/>
        <w:drawing>
          <wp:inline distT="114300" distB="114300" distL="114300" distR="114300">
            <wp:extent cx="4081145" cy="1478915"/>
            <wp:effectExtent l="12700" t="12700" r="12700" b="12700"/>
            <wp:docPr id="1" name="image4.png"/>
            <wp:cNvGraphicFramePr/>
            <a:graphic xmlns:a="http://schemas.openxmlformats.org/drawingml/2006/main">
              <a:graphicData uri="http://schemas.openxmlformats.org/drawingml/2006/picture">
                <pic:pic xmlns:pic="http://schemas.openxmlformats.org/drawingml/2006/picture">
                  <pic:nvPicPr>
                    <pic:cNvPr id="1" name="image4.png"/>
                    <pic:cNvPicPr preferRelativeResize="0"/>
                  </pic:nvPicPr>
                  <pic:blipFill>
                    <a:blip r:embed="rId9"/>
                    <a:srcRect/>
                    <a:stretch>
                      <a:fillRect/>
                    </a:stretch>
                  </pic:blipFill>
                  <pic:spPr>
                    <a:xfrm>
                      <a:off x="0" y="0"/>
                      <a:ext cx="4081463" cy="1479307"/>
                    </a:xfrm>
                    <a:prstGeom prst="rect">
                      <a:avLst/>
                    </a:prstGeom>
                    <a:ln w="12700">
                      <a:solidFill>
                        <a:srgbClr val="000000"/>
                      </a:solidFill>
                      <a:prstDash val="solid"/>
                    </a:ln>
                  </pic:spPr>
                </pic:pic>
              </a:graphicData>
            </a:graphic>
          </wp:inline>
        </w:drawing>
      </w:r>
    </w:p>
    <w:p w:rsidR="00F071B9" w:rsidRDefault="00E543EE">
      <w:pPr>
        <w:spacing w:before="240" w:after="240"/>
        <w:jc w:val="center"/>
        <w:rPr>
          <w:rFonts w:ascii="Times New Roman" w:eastAsia="Times New Roman" w:hAnsi="Times New Roman" w:cs="Times New Roman"/>
          <w:sz w:val="14"/>
          <w:szCs w:val="14"/>
        </w:rPr>
      </w:pPr>
      <w:r>
        <w:rPr>
          <w:rFonts w:ascii="Times New Roman" w:eastAsia="Times New Roman" w:hAnsi="Times New Roman" w:cs="Times New Roman"/>
          <w:b/>
          <w:bCs/>
          <w:sz w:val="14"/>
          <w:szCs w:val="14"/>
        </w:rPr>
        <w:t>Figure 2.</w:t>
      </w:r>
      <w:r>
        <w:rPr>
          <w:rFonts w:ascii="Times New Roman" w:eastAsia="Times New Roman" w:hAnsi="Times New Roman" w:cs="Times New Roman"/>
          <w:sz w:val="14"/>
          <w:szCs w:val="14"/>
        </w:rPr>
        <w:t xml:space="preserve"> Paired boxplots of usability perception scores by interface conditio</w:t>
      </w:r>
      <w:r>
        <w:rPr>
          <w:rFonts w:ascii="Times New Roman" w:eastAsia="Times New Roman" w:hAnsi="Times New Roman" w:cs="Times New Roman"/>
          <w:sz w:val="14"/>
          <w:szCs w:val="14"/>
        </w:rPr>
        <w:t>n (N = 30).</w:t>
      </w:r>
    </w:p>
    <w:p w:rsidR="00F071B9" w:rsidRDefault="00E543EE">
      <w:pPr>
        <w:pStyle w:val="Heading4"/>
        <w:keepNext w:val="0"/>
        <w:keepLines w:val="0"/>
        <w:spacing w:before="240" w:after="40"/>
        <w:jc w:val="both"/>
        <w:rPr>
          <w:rFonts w:ascii="Times New Roman" w:eastAsia="Times New Roman" w:hAnsi="Times New Roman" w:cs="Times New Roman"/>
          <w:b/>
          <w:bCs/>
          <w:color w:val="000000"/>
          <w:sz w:val="18"/>
          <w:szCs w:val="18"/>
        </w:rPr>
      </w:pPr>
      <w:bookmarkStart w:id="6" w:name="_nu8dyp6j92dt" w:colFirst="0" w:colLast="0"/>
      <w:bookmarkEnd w:id="6"/>
      <w:r>
        <w:rPr>
          <w:rFonts w:ascii="Times New Roman" w:eastAsia="Times New Roman" w:hAnsi="Times New Roman" w:cs="Times New Roman"/>
          <w:b/>
          <w:bCs/>
          <w:color w:val="000000"/>
          <w:sz w:val="18"/>
          <w:szCs w:val="18"/>
        </w:rPr>
        <w:t>Item-Level Analysis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Table 8 </w:t>
      </w:r>
      <w:r>
        <w:rPr>
          <w:rFonts w:ascii="Times New Roman" w:eastAsia="Times New Roman" w:hAnsi="Times New Roman" w:cs="Times New Roman"/>
          <w:sz w:val="18"/>
          <w:szCs w:val="18"/>
          <w:highlight w:val="white"/>
        </w:rPr>
        <w:t xml:space="preserve">presents per-item means and SDs for both conditions, along with item-total correlations and paired </w:t>
      </w:r>
      <w:r>
        <w:rPr>
          <w:rFonts w:ascii="Times New Roman" w:eastAsia="Times New Roman" w:hAnsi="Times New Roman" w:cs="Times New Roman"/>
          <w:i/>
          <w:iCs/>
          <w:sz w:val="18"/>
          <w:szCs w:val="18"/>
          <w:highlight w:val="white"/>
        </w:rPr>
        <w:t>t</w:t>
      </w:r>
      <w:r>
        <w:rPr>
          <w:rFonts w:ascii="Times New Roman" w:eastAsia="Times New Roman" w:hAnsi="Times New Roman" w:cs="Times New Roman"/>
          <w:sz w:val="18"/>
          <w:szCs w:val="18"/>
          <w:highlight w:val="white"/>
        </w:rPr>
        <w:t>-tests for each item.</w:t>
      </w:r>
      <w:r>
        <w:rPr>
          <w:rFonts w:ascii="Times New Roman" w:eastAsia="Times New Roman" w:hAnsi="Times New Roman" w:cs="Times New Roman"/>
          <w:sz w:val="18"/>
          <w:szCs w:val="18"/>
        </w:rPr>
        <w:t xml:space="preserve"> Positive items received higher means and negative items received lower means under the optimized interface. All 10 items showed statistically significant differences (paired t-tests, </w:t>
      </w:r>
      <w:r>
        <w:rPr>
          <w:rFonts w:ascii="Times New Roman" w:eastAsia="Times New Roman" w:hAnsi="Times New Roman" w:cs="Times New Roman"/>
          <w:i/>
          <w:iCs/>
          <w:sz w:val="18"/>
          <w:szCs w:val="18"/>
        </w:rPr>
        <w:t>p</w:t>
      </w:r>
      <w:r>
        <w:rPr>
          <w:rFonts w:ascii="Times New Roman" w:eastAsia="Times New Roman" w:hAnsi="Times New Roman" w:cs="Times New Roman"/>
          <w:sz w:val="18"/>
          <w:szCs w:val="18"/>
        </w:rPr>
        <w:t xml:space="preserve"> &lt; .05 after Bonferroni correction).</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Table 8. </w:t>
      </w:r>
      <w:r>
        <w:rPr>
          <w:rFonts w:ascii="Times New Roman" w:eastAsia="Times New Roman" w:hAnsi="Times New Roman" w:cs="Times New Roman"/>
          <w:sz w:val="18"/>
          <w:szCs w:val="18"/>
        </w:rPr>
        <w:t>SUS item means (1–5 scale</w:t>
      </w:r>
      <w:r>
        <w:rPr>
          <w:rFonts w:ascii="Times New Roman" w:eastAsia="Times New Roman" w:hAnsi="Times New Roman" w:cs="Times New Roman"/>
          <w:sz w:val="18"/>
          <w:szCs w:val="18"/>
        </w:rPr>
        <w:t>) and paired comparisons (N=30).</w:t>
      </w:r>
      <w:r>
        <w:rPr>
          <w:rFonts w:ascii="Times New Roman" w:eastAsia="Times New Roman" w:hAnsi="Times New Roman" w:cs="Times New Roman"/>
          <w:b/>
          <w:bCs/>
          <w:sz w:val="18"/>
          <w:szCs w:val="18"/>
        </w:rPr>
        <w:t xml:space="preserve"> </w:t>
      </w:r>
    </w:p>
    <w:tbl>
      <w:tblPr>
        <w:tblStyle w:val="Style17"/>
        <w:tblW w:w="901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5"/>
        <w:gridCol w:w="930"/>
        <w:gridCol w:w="960"/>
        <w:gridCol w:w="990"/>
        <w:gridCol w:w="1005"/>
        <w:gridCol w:w="1260"/>
        <w:gridCol w:w="885"/>
        <w:gridCol w:w="1140"/>
      </w:tblGrid>
      <w:tr w:rsidR="00F071B9">
        <w:trPr>
          <w:trHeight w:val="900"/>
        </w:trPr>
        <w:tc>
          <w:tcPr>
            <w:tcW w:w="1845" w:type="dxa"/>
            <w:tcBorders>
              <w:top w:val="single" w:sz="4" w:space="0" w:color="000000"/>
              <w:left w:val="single" w:sz="4" w:space="0" w:color="000000"/>
              <w:bottom w:val="single" w:sz="4" w:space="0" w:color="000000"/>
              <w:right w:val="single" w:sz="4" w:space="0" w:color="000000"/>
            </w:tcBorders>
            <w:shd w:val="clear" w:color="auto" w:fill="FCE5CD"/>
            <w:tcMar>
              <w:top w:w="113" w:type="dxa"/>
              <w:left w:w="113" w:type="dxa"/>
              <w:bottom w:w="113" w:type="dxa"/>
              <w:right w:w="113" w:type="dxa"/>
            </w:tcMar>
          </w:tcPr>
          <w:p w:rsidR="00F071B9" w:rsidRDefault="00F071B9">
            <w:pPr>
              <w:spacing w:line="240" w:lineRule="auto"/>
              <w:rPr>
                <w:rFonts w:ascii="Times New Roman" w:eastAsia="Times New Roman" w:hAnsi="Times New Roman" w:cs="Times New Roman"/>
                <w:b/>
                <w:bCs/>
                <w:sz w:val="14"/>
                <w:szCs w:val="14"/>
              </w:rPr>
            </w:pPr>
          </w:p>
          <w:p w:rsidR="00F071B9" w:rsidRDefault="00E543EE">
            <w:pPr>
              <w:spacing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Item</w:t>
            </w:r>
          </w:p>
        </w:tc>
        <w:tc>
          <w:tcPr>
            <w:tcW w:w="930" w:type="dxa"/>
            <w:tcBorders>
              <w:top w:val="single" w:sz="4" w:space="0" w:color="000000"/>
              <w:left w:val="single" w:sz="4" w:space="0" w:color="000000"/>
              <w:bottom w:val="single" w:sz="4" w:space="0" w:color="000000"/>
              <w:right w:val="single" w:sz="4" w:space="0" w:color="000000"/>
            </w:tcBorders>
            <w:shd w:val="clear" w:color="auto" w:fill="FCE5CD"/>
            <w:tcMar>
              <w:top w:w="113" w:type="dxa"/>
              <w:left w:w="113" w:type="dxa"/>
              <w:bottom w:w="113" w:type="dxa"/>
              <w:right w:w="113" w:type="dxa"/>
            </w:tcMar>
          </w:tcPr>
          <w:p w:rsidR="00F071B9" w:rsidRDefault="00F071B9">
            <w:pPr>
              <w:spacing w:line="240" w:lineRule="auto"/>
              <w:rPr>
                <w:rFonts w:ascii="Times New Roman" w:eastAsia="Times New Roman" w:hAnsi="Times New Roman" w:cs="Times New Roman"/>
                <w:b/>
                <w:bCs/>
                <w:sz w:val="14"/>
                <w:szCs w:val="14"/>
              </w:rPr>
            </w:pPr>
          </w:p>
          <w:p w:rsidR="00F071B9" w:rsidRDefault="00E543EE">
            <w:pPr>
              <w:spacing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M (Std)</w:t>
            </w:r>
          </w:p>
        </w:tc>
        <w:tc>
          <w:tcPr>
            <w:tcW w:w="960" w:type="dxa"/>
            <w:tcBorders>
              <w:top w:val="single" w:sz="4" w:space="0" w:color="000000"/>
              <w:left w:val="single" w:sz="4" w:space="0" w:color="000000"/>
              <w:bottom w:val="single" w:sz="4" w:space="0" w:color="000000"/>
              <w:right w:val="single" w:sz="4" w:space="0" w:color="000000"/>
            </w:tcBorders>
            <w:shd w:val="clear" w:color="auto" w:fill="FCE5CD"/>
            <w:tcMar>
              <w:top w:w="113" w:type="dxa"/>
              <w:left w:w="113" w:type="dxa"/>
              <w:bottom w:w="113" w:type="dxa"/>
              <w:right w:w="113" w:type="dxa"/>
            </w:tcMar>
          </w:tcPr>
          <w:p w:rsidR="00F071B9" w:rsidRDefault="00F071B9">
            <w:pPr>
              <w:spacing w:line="240" w:lineRule="auto"/>
              <w:rPr>
                <w:rFonts w:ascii="Times New Roman" w:eastAsia="Times New Roman" w:hAnsi="Times New Roman" w:cs="Times New Roman"/>
                <w:b/>
                <w:bCs/>
                <w:sz w:val="14"/>
                <w:szCs w:val="14"/>
              </w:rPr>
            </w:pPr>
          </w:p>
          <w:p w:rsidR="00F071B9" w:rsidRDefault="00E543EE">
            <w:pPr>
              <w:spacing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SD (Std)</w:t>
            </w:r>
          </w:p>
        </w:tc>
        <w:tc>
          <w:tcPr>
            <w:tcW w:w="990" w:type="dxa"/>
            <w:tcBorders>
              <w:top w:val="single" w:sz="4" w:space="0" w:color="000000"/>
              <w:left w:val="single" w:sz="4" w:space="0" w:color="000000"/>
              <w:bottom w:val="single" w:sz="4" w:space="0" w:color="000000"/>
              <w:right w:val="single" w:sz="4" w:space="0" w:color="000000"/>
            </w:tcBorders>
            <w:shd w:val="clear" w:color="auto" w:fill="FCE5CD"/>
            <w:tcMar>
              <w:top w:w="113" w:type="dxa"/>
              <w:left w:w="113" w:type="dxa"/>
              <w:bottom w:w="113" w:type="dxa"/>
              <w:right w:w="113" w:type="dxa"/>
            </w:tcMar>
          </w:tcPr>
          <w:p w:rsidR="00F071B9" w:rsidRDefault="00F071B9">
            <w:pPr>
              <w:spacing w:line="240" w:lineRule="auto"/>
              <w:rPr>
                <w:rFonts w:ascii="Times New Roman" w:eastAsia="Times New Roman" w:hAnsi="Times New Roman" w:cs="Times New Roman"/>
                <w:b/>
                <w:bCs/>
                <w:sz w:val="14"/>
                <w:szCs w:val="14"/>
              </w:rPr>
            </w:pPr>
          </w:p>
          <w:p w:rsidR="00F071B9" w:rsidRDefault="00E543EE">
            <w:pPr>
              <w:spacing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M (Opt)</w:t>
            </w:r>
          </w:p>
        </w:tc>
        <w:tc>
          <w:tcPr>
            <w:tcW w:w="1005" w:type="dxa"/>
            <w:tcBorders>
              <w:top w:val="single" w:sz="4" w:space="0" w:color="000000"/>
              <w:left w:val="single" w:sz="4" w:space="0" w:color="000000"/>
              <w:bottom w:val="single" w:sz="4" w:space="0" w:color="000000"/>
              <w:right w:val="single" w:sz="4" w:space="0" w:color="000000"/>
            </w:tcBorders>
            <w:shd w:val="clear" w:color="auto" w:fill="FCE5CD"/>
            <w:tcMar>
              <w:top w:w="113" w:type="dxa"/>
              <w:left w:w="113" w:type="dxa"/>
              <w:bottom w:w="113" w:type="dxa"/>
              <w:right w:w="113" w:type="dxa"/>
            </w:tcMar>
          </w:tcPr>
          <w:p w:rsidR="00F071B9" w:rsidRDefault="00F071B9">
            <w:pPr>
              <w:spacing w:line="240" w:lineRule="auto"/>
              <w:rPr>
                <w:rFonts w:ascii="Times New Roman" w:eastAsia="Times New Roman" w:hAnsi="Times New Roman" w:cs="Times New Roman"/>
                <w:b/>
                <w:bCs/>
                <w:sz w:val="14"/>
                <w:szCs w:val="14"/>
              </w:rPr>
            </w:pPr>
          </w:p>
          <w:p w:rsidR="00F071B9" w:rsidRDefault="00E543EE">
            <w:pPr>
              <w:spacing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SD (Opt)</w:t>
            </w:r>
          </w:p>
        </w:tc>
        <w:tc>
          <w:tcPr>
            <w:tcW w:w="1260" w:type="dxa"/>
            <w:tcBorders>
              <w:top w:val="single" w:sz="4" w:space="0" w:color="000000"/>
              <w:left w:val="single" w:sz="4" w:space="0" w:color="000000"/>
              <w:bottom w:val="single" w:sz="4" w:space="0" w:color="000000"/>
              <w:right w:val="single" w:sz="4" w:space="0" w:color="000000"/>
            </w:tcBorders>
            <w:shd w:val="clear" w:color="auto" w:fill="FCE5CD"/>
            <w:tcMar>
              <w:top w:w="113" w:type="dxa"/>
              <w:left w:w="113" w:type="dxa"/>
              <w:bottom w:w="113" w:type="dxa"/>
              <w:right w:w="113" w:type="dxa"/>
            </w:tcMar>
          </w:tcPr>
          <w:p w:rsidR="00F071B9" w:rsidRDefault="00F071B9">
            <w:pPr>
              <w:spacing w:line="240" w:lineRule="auto"/>
              <w:rPr>
                <w:rFonts w:ascii="Times New Roman" w:eastAsia="Times New Roman" w:hAnsi="Times New Roman" w:cs="Times New Roman"/>
                <w:b/>
                <w:bCs/>
                <w:sz w:val="14"/>
                <w:szCs w:val="14"/>
              </w:rPr>
            </w:pPr>
          </w:p>
          <w:p w:rsidR="00F071B9" w:rsidRDefault="00E543EE">
            <w:pPr>
              <w:spacing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Pearson r</w:t>
            </w:r>
          </w:p>
        </w:tc>
        <w:tc>
          <w:tcPr>
            <w:tcW w:w="885" w:type="dxa"/>
            <w:tcBorders>
              <w:top w:val="single" w:sz="4" w:space="0" w:color="000000"/>
              <w:left w:val="single" w:sz="4" w:space="0" w:color="000000"/>
              <w:bottom w:val="single" w:sz="4" w:space="0" w:color="000000"/>
              <w:right w:val="single" w:sz="4" w:space="0" w:color="000000"/>
            </w:tcBorders>
            <w:shd w:val="clear" w:color="auto" w:fill="FCE5CD"/>
            <w:tcMar>
              <w:top w:w="113" w:type="dxa"/>
              <w:left w:w="113" w:type="dxa"/>
              <w:bottom w:w="113" w:type="dxa"/>
              <w:right w:w="113" w:type="dxa"/>
            </w:tcMar>
          </w:tcPr>
          <w:p w:rsidR="00F071B9" w:rsidRDefault="00F071B9">
            <w:pPr>
              <w:spacing w:line="240" w:lineRule="auto"/>
              <w:rPr>
                <w:rFonts w:ascii="Times New Roman" w:eastAsia="Times New Roman" w:hAnsi="Times New Roman" w:cs="Times New Roman"/>
                <w:b/>
                <w:bCs/>
                <w:sz w:val="14"/>
                <w:szCs w:val="14"/>
              </w:rPr>
            </w:pPr>
          </w:p>
          <w:p w:rsidR="00F071B9" w:rsidRDefault="00E543EE">
            <w:pPr>
              <w:spacing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t(29)</w:t>
            </w:r>
          </w:p>
        </w:tc>
        <w:tc>
          <w:tcPr>
            <w:tcW w:w="1140" w:type="dxa"/>
            <w:tcBorders>
              <w:top w:val="single" w:sz="4" w:space="0" w:color="000000"/>
              <w:left w:val="single" w:sz="4" w:space="0" w:color="000000"/>
              <w:bottom w:val="single" w:sz="4" w:space="0" w:color="000000"/>
              <w:right w:val="single" w:sz="4" w:space="0" w:color="000000"/>
            </w:tcBorders>
            <w:shd w:val="clear" w:color="auto" w:fill="FCE5CD"/>
            <w:tcMar>
              <w:top w:w="113" w:type="dxa"/>
              <w:left w:w="113" w:type="dxa"/>
              <w:bottom w:w="113" w:type="dxa"/>
              <w:right w:w="113" w:type="dxa"/>
            </w:tcMar>
          </w:tcPr>
          <w:p w:rsidR="00F071B9" w:rsidRDefault="00F071B9">
            <w:pPr>
              <w:spacing w:line="240" w:lineRule="auto"/>
              <w:rPr>
                <w:rFonts w:ascii="Times New Roman" w:eastAsia="Times New Roman" w:hAnsi="Times New Roman" w:cs="Times New Roman"/>
                <w:b/>
                <w:bCs/>
                <w:sz w:val="14"/>
                <w:szCs w:val="14"/>
              </w:rPr>
            </w:pPr>
          </w:p>
          <w:p w:rsidR="00F071B9" w:rsidRDefault="00E543EE">
            <w:pPr>
              <w:spacing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w:t>
            </w:r>
          </w:p>
        </w:tc>
      </w:tr>
      <w:tr w:rsidR="00F071B9">
        <w:trPr>
          <w:trHeight w:val="915"/>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 “Use frequently”</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3.33</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1.06</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4.47</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0.73</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0.65</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-6.30</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&lt;0.0001</w:t>
            </w:r>
          </w:p>
        </w:tc>
      </w:tr>
      <w:tr w:rsidR="00F071B9">
        <w:trPr>
          <w:trHeight w:val="915"/>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2. “System complex”</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2.97</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1.25</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1.57</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0.90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0.69</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5.79</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&lt;0.0001</w:t>
            </w:r>
          </w:p>
        </w:tc>
      </w:tr>
      <w:tr w:rsidR="00F071B9">
        <w:trPr>
          <w:trHeight w:val="645"/>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3. “Easy to use”</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3.20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1.30</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4.33</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1.09</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0.70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-5.43</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&lt;0.0001</w:t>
            </w:r>
          </w:p>
        </w:tc>
      </w:tr>
      <w:tr w:rsidR="00F071B9">
        <w:trPr>
          <w:trHeight w:val="915"/>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4. “Need technical help”</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3.17</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1.70</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1.73</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0.87</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0.72</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5.14</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&lt;0.0001</w:t>
            </w:r>
          </w:p>
        </w:tc>
      </w:tr>
      <w:tr w:rsidR="00F071B9">
        <w:trPr>
          <w:trHeight w:val="915"/>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5. “Functions integrated”</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3.53</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0.97</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4.23</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1.04</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0.55</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-4.37</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&lt;0.001</w:t>
            </w:r>
          </w:p>
        </w:tc>
      </w:tr>
      <w:tr w:rsidR="00F071B9">
        <w:trPr>
          <w:trHeight w:val="915"/>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6. “Too inconsistent”</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2.80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1.47</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1.53</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0.86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0.58</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6.22</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&lt;0.0001</w:t>
            </w:r>
          </w:p>
        </w:tc>
      </w:tr>
      <w:tr w:rsidR="00F071B9">
        <w:trPr>
          <w:trHeight w:val="645"/>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7. “Learn quickly”</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3.13</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1.01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4.30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0.88</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0.52</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-5.10</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&lt;0.0001</w:t>
            </w:r>
          </w:p>
        </w:tc>
      </w:tr>
      <w:tr w:rsidR="00F071B9">
        <w:trPr>
          <w:trHeight w:val="915"/>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lastRenderedPageBreak/>
              <w:t>8. “Very cumbersome”</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3.03</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1.43</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1.63</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0.61</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0.55</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6.33</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&lt;0.0001</w:t>
            </w:r>
          </w:p>
        </w:tc>
      </w:tr>
      <w:tr w:rsidR="00F071B9">
        <w:trPr>
          <w:trHeight w:val="915"/>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9. “Confident using”</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3.27</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1.14</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4.33</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0.80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0.65</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-5.19</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&lt;0.0001</w:t>
            </w:r>
          </w:p>
        </w:tc>
      </w:tr>
      <w:tr w:rsidR="00F071B9">
        <w:trPr>
          <w:trHeight w:val="900"/>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10.“Need to learn”</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3.17</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1.78</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1.87</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1.17</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0.48</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4.22</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tcPr>
          <w:p w:rsidR="00F071B9" w:rsidRDefault="00E543EE">
            <w:pPr>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&lt;0.001</w:t>
            </w:r>
          </w:p>
        </w:tc>
      </w:tr>
    </w:tbl>
    <w:p w:rsidR="00F071B9" w:rsidRDefault="00F071B9">
      <w:pPr>
        <w:spacing w:before="240" w:after="240"/>
        <w:jc w:val="both"/>
        <w:rPr>
          <w:rFonts w:ascii="Times New Roman" w:eastAsia="Times New Roman" w:hAnsi="Times New Roman" w:cs="Times New Roman"/>
          <w:sz w:val="18"/>
          <w:szCs w:val="18"/>
        </w:rPr>
      </w:pPr>
    </w:p>
    <w:p w:rsidR="00F071B9" w:rsidRDefault="00E543EE">
      <w:pPr>
        <w:spacing w:before="240" w:after="240"/>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val="en-IN"/>
        </w:rPr>
        <w:drawing>
          <wp:inline distT="114300" distB="114300" distL="114300" distR="114300">
            <wp:extent cx="5508625" cy="1992630"/>
            <wp:effectExtent l="12700" t="12700" r="12700" b="12700"/>
            <wp:docPr id="4" name="image1.png"/>
            <wp:cNvGraphicFramePr/>
            <a:graphic xmlns:a="http://schemas.openxmlformats.org/drawingml/2006/main">
              <a:graphicData uri="http://schemas.openxmlformats.org/drawingml/2006/picture">
                <pic:pic xmlns:pic="http://schemas.openxmlformats.org/drawingml/2006/picture">
                  <pic:nvPicPr>
                    <pic:cNvPr id="4" name="image1.png"/>
                    <pic:cNvPicPr preferRelativeResize="0"/>
                  </pic:nvPicPr>
                  <pic:blipFill>
                    <a:blip r:embed="rId10"/>
                    <a:srcRect/>
                    <a:stretch>
                      <a:fillRect/>
                    </a:stretch>
                  </pic:blipFill>
                  <pic:spPr>
                    <a:xfrm>
                      <a:off x="0" y="0"/>
                      <a:ext cx="5508675" cy="1992976"/>
                    </a:xfrm>
                    <a:prstGeom prst="rect">
                      <a:avLst/>
                    </a:prstGeom>
                    <a:ln w="12700">
                      <a:solidFill>
                        <a:srgbClr val="000000"/>
                      </a:solidFill>
                      <a:prstDash val="solid"/>
                    </a:ln>
                  </pic:spPr>
                </pic:pic>
              </a:graphicData>
            </a:graphic>
          </wp:inline>
        </w:drawing>
      </w:r>
    </w:p>
    <w:p w:rsidR="00F071B9" w:rsidRDefault="00E543EE">
      <w:pPr>
        <w:spacing w:before="240" w:after="240"/>
        <w:jc w:val="center"/>
        <w:rPr>
          <w:rFonts w:ascii="Times New Roman" w:eastAsia="Times New Roman" w:hAnsi="Times New Roman" w:cs="Times New Roman"/>
          <w:sz w:val="14"/>
          <w:szCs w:val="14"/>
        </w:rPr>
      </w:pPr>
      <w:r>
        <w:rPr>
          <w:rFonts w:ascii="Times New Roman" w:eastAsia="Times New Roman" w:hAnsi="Times New Roman" w:cs="Times New Roman"/>
          <w:b/>
          <w:bCs/>
          <w:sz w:val="14"/>
          <w:szCs w:val="14"/>
        </w:rPr>
        <w:t>Figure 3.</w:t>
      </w:r>
      <w:r>
        <w:rPr>
          <w:rFonts w:ascii="Times New Roman" w:eastAsia="Times New Roman" w:hAnsi="Times New Roman" w:cs="Times New Roman"/>
          <w:sz w:val="14"/>
          <w:szCs w:val="14"/>
        </w:rPr>
        <w:t xml:space="preserve"> Mean ratings for each SUS item by interface (side-by-side bars).</w:t>
      </w:r>
    </w:p>
    <w:p w:rsidR="00F071B9" w:rsidRDefault="00E543EE">
      <w:pPr>
        <w:pStyle w:val="Heading4"/>
        <w:keepNext w:val="0"/>
        <w:keepLines w:val="0"/>
        <w:spacing w:before="240" w:after="40"/>
        <w:jc w:val="both"/>
        <w:rPr>
          <w:rFonts w:ascii="Times New Roman" w:eastAsia="Times New Roman" w:hAnsi="Times New Roman" w:cs="Times New Roman"/>
          <w:b/>
          <w:bCs/>
          <w:color w:val="000000"/>
          <w:sz w:val="18"/>
          <w:szCs w:val="18"/>
        </w:rPr>
      </w:pPr>
      <w:bookmarkStart w:id="7" w:name="_x8naaogzg0rr" w:colFirst="0" w:colLast="0"/>
      <w:bookmarkEnd w:id="7"/>
      <w:r>
        <w:rPr>
          <w:rFonts w:ascii="Times New Roman" w:eastAsia="Times New Roman" w:hAnsi="Times New Roman" w:cs="Times New Roman"/>
          <w:b/>
          <w:bCs/>
          <w:color w:val="000000"/>
          <w:sz w:val="18"/>
          <w:szCs w:val="18"/>
        </w:rPr>
        <w:t>Reliability Analysis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Cronbach’s α was computed for the SUS items in each condition.</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Table 9.</w:t>
      </w:r>
      <w:r>
        <w:rPr>
          <w:rFonts w:ascii="Times New Roman" w:eastAsia="Times New Roman" w:hAnsi="Times New Roman" w:cs="Times New Roman"/>
          <w:sz w:val="18"/>
          <w:szCs w:val="18"/>
        </w:rPr>
        <w:t xml:space="preserve"> Cronbach’s α (95% CI) and α-if-item-deleted for SUS</w:t>
      </w:r>
    </w:p>
    <w:tbl>
      <w:tblPr>
        <w:tblStyle w:val="Style18"/>
        <w:tblW w:w="5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5"/>
        <w:gridCol w:w="645"/>
        <w:gridCol w:w="1350"/>
        <w:gridCol w:w="1830"/>
      </w:tblGrid>
      <w:tr w:rsidR="00F071B9">
        <w:trPr>
          <w:trHeight w:val="515"/>
        </w:trPr>
        <w:tc>
          <w:tcPr>
            <w:tcW w:w="1245"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Condition</w:t>
            </w:r>
          </w:p>
        </w:tc>
        <w:tc>
          <w:tcPr>
            <w:tcW w:w="645"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α</w:t>
            </w:r>
          </w:p>
        </w:tc>
        <w:tc>
          <w:tcPr>
            <w:tcW w:w="1350"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95% CI</w:t>
            </w:r>
          </w:p>
        </w:tc>
        <w:tc>
          <w:tcPr>
            <w:tcW w:w="1830"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Max α if item deleted</w:t>
            </w:r>
          </w:p>
        </w:tc>
      </w:tr>
      <w:tr w:rsidR="00F071B9">
        <w:trPr>
          <w:trHeight w:val="500"/>
        </w:trPr>
        <w:tc>
          <w:tcPr>
            <w:tcW w:w="1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Standard</w:t>
            </w:r>
          </w:p>
        </w:tc>
        <w:tc>
          <w:tcPr>
            <w:tcW w:w="6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0.88</w:t>
            </w: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[0.80, 0.93]</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0.90</w:t>
            </w:r>
          </w:p>
        </w:tc>
      </w:tr>
      <w:tr w:rsidR="00F071B9">
        <w:trPr>
          <w:trHeight w:val="500"/>
        </w:trPr>
        <w:tc>
          <w:tcPr>
            <w:tcW w:w="1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Optimized</w:t>
            </w:r>
          </w:p>
        </w:tc>
        <w:tc>
          <w:tcPr>
            <w:tcW w:w="6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0.85</w:t>
            </w: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[0.75, 0.91]</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0.87</w:t>
            </w:r>
          </w:p>
        </w:tc>
      </w:tr>
      <w:tr w:rsidR="00F071B9">
        <w:trPr>
          <w:trHeight w:val="500"/>
        </w:trPr>
        <w:tc>
          <w:tcPr>
            <w:tcW w:w="1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Combined</w:t>
            </w:r>
          </w:p>
        </w:tc>
        <w:tc>
          <w:tcPr>
            <w:tcW w:w="6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0.89</w:t>
            </w: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[0.83, 0.93]</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0.90</w:t>
            </w:r>
          </w:p>
        </w:tc>
      </w:tr>
    </w:tbl>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high alpha values (&gt; 0.80) confirm excellent internal consistency. All items contributed positively to reliability.</w:t>
      </w:r>
    </w:p>
    <w:p w:rsidR="00F071B9" w:rsidRDefault="00E543EE">
      <w:pPr>
        <w:pStyle w:val="Heading4"/>
        <w:keepNext w:val="0"/>
        <w:keepLines w:val="0"/>
        <w:spacing w:before="240" w:after="40"/>
        <w:jc w:val="both"/>
        <w:rPr>
          <w:rFonts w:ascii="Times New Roman" w:eastAsia="Times New Roman" w:hAnsi="Times New Roman" w:cs="Times New Roman"/>
          <w:b/>
          <w:bCs/>
          <w:color w:val="000000"/>
          <w:sz w:val="18"/>
          <w:szCs w:val="18"/>
        </w:rPr>
      </w:pPr>
      <w:bookmarkStart w:id="8" w:name="_sv3s3cloao2b" w:colFirst="0" w:colLast="0"/>
      <w:bookmarkEnd w:id="8"/>
      <w:r>
        <w:rPr>
          <w:rFonts w:ascii="Times New Roman" w:eastAsia="Times New Roman" w:hAnsi="Times New Roman" w:cs="Times New Roman"/>
          <w:b/>
          <w:bCs/>
          <w:color w:val="000000"/>
          <w:sz w:val="18"/>
          <w:szCs w:val="18"/>
        </w:rPr>
        <w:t>Normality and Assumptions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Shapiro–Wilk tests confirmed that the SUS total scores met normality assumptions sufficiently for the paired t-test. The nonparametric Wilcoxon test produced identical conclusions, so the results are robust regardless of distributional assumptions.</w:t>
      </w:r>
    </w:p>
    <w:p w:rsidR="00F071B9" w:rsidRDefault="00E543EE">
      <w:pPr>
        <w:spacing w:before="240" w:after="240"/>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val="en-IN"/>
        </w:rPr>
        <w:drawing>
          <wp:inline distT="114300" distB="114300" distL="114300" distR="114300">
            <wp:extent cx="4057015" cy="268414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3" name="image5.png"/>
                    <pic:cNvPicPr preferRelativeResize="0"/>
                  </pic:nvPicPr>
                  <pic:blipFill>
                    <a:blip r:embed="rId11"/>
                    <a:srcRect t="5145" b="5593"/>
                    <a:stretch>
                      <a:fillRect/>
                    </a:stretch>
                  </pic:blipFill>
                  <pic:spPr>
                    <a:xfrm>
                      <a:off x="0" y="0"/>
                      <a:ext cx="4057238" cy="2684640"/>
                    </a:xfrm>
                    <a:prstGeom prst="rect">
                      <a:avLst/>
                    </a:prstGeom>
                  </pic:spPr>
                </pic:pic>
              </a:graphicData>
            </a:graphic>
          </wp:inline>
        </w:drawing>
      </w:r>
    </w:p>
    <w:p w:rsidR="00F071B9" w:rsidRDefault="00E543EE">
      <w:pPr>
        <w:spacing w:before="240" w:after="240"/>
        <w:jc w:val="center"/>
        <w:rPr>
          <w:sz w:val="10"/>
          <w:szCs w:val="10"/>
        </w:rPr>
      </w:pPr>
      <w:r>
        <w:rPr>
          <w:sz w:val="10"/>
          <w:szCs w:val="10"/>
        </w:rPr>
        <w:t>difference scores (Optimized – Standard)</w:t>
      </w:r>
    </w:p>
    <w:p w:rsidR="00F071B9" w:rsidRDefault="00E543EE">
      <w:pPr>
        <w:spacing w:before="240" w:after="240"/>
        <w:jc w:val="center"/>
        <w:rPr>
          <w:rFonts w:ascii="Times New Roman" w:eastAsia="Times New Roman" w:hAnsi="Times New Roman" w:cs="Times New Roman"/>
          <w:sz w:val="14"/>
          <w:szCs w:val="14"/>
        </w:rPr>
      </w:pPr>
      <w:r>
        <w:rPr>
          <w:rFonts w:ascii="Times New Roman" w:eastAsia="Times New Roman" w:hAnsi="Times New Roman" w:cs="Times New Roman"/>
          <w:b/>
          <w:bCs/>
          <w:sz w:val="14"/>
          <w:szCs w:val="14"/>
        </w:rPr>
        <w:t>Figure 4.</w:t>
      </w:r>
      <w:r>
        <w:rPr>
          <w:rFonts w:ascii="Times New Roman" w:eastAsia="Times New Roman" w:hAnsi="Times New Roman" w:cs="Times New Roman"/>
          <w:sz w:val="14"/>
          <w:szCs w:val="14"/>
        </w:rPr>
        <w:t xml:space="preserve"> Histogram of difference scores (Optimized – Standard) with overlaid normal density curve.</w:t>
      </w:r>
    </w:p>
    <w:p w:rsidR="00F071B9" w:rsidRDefault="00F071B9">
      <w:pPr>
        <w:spacing w:before="240" w:after="240"/>
        <w:jc w:val="both"/>
        <w:rPr>
          <w:rFonts w:ascii="Times New Roman" w:eastAsia="Times New Roman" w:hAnsi="Times New Roman" w:cs="Times New Roman"/>
          <w:sz w:val="18"/>
          <w:szCs w:val="18"/>
        </w:rPr>
      </w:pPr>
    </w:p>
    <w:p w:rsidR="00F071B9" w:rsidRDefault="00E543EE">
      <w:pPr>
        <w:spacing w:before="240" w:after="240"/>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val="en-IN"/>
        </w:rPr>
        <w:drawing>
          <wp:inline distT="114300" distB="114300" distL="114300" distR="114300">
            <wp:extent cx="5171440" cy="1864360"/>
            <wp:effectExtent l="12700" t="12700" r="12700" b="1270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referRelativeResize="0"/>
                  </pic:nvPicPr>
                  <pic:blipFill>
                    <a:blip r:embed="rId12"/>
                    <a:srcRect/>
                    <a:stretch>
                      <a:fillRect/>
                    </a:stretch>
                  </pic:blipFill>
                  <pic:spPr>
                    <a:xfrm>
                      <a:off x="0" y="0"/>
                      <a:ext cx="5171994" cy="1864802"/>
                    </a:xfrm>
                    <a:prstGeom prst="rect">
                      <a:avLst/>
                    </a:prstGeom>
                    <a:ln w="12700">
                      <a:solidFill>
                        <a:srgbClr val="000000"/>
                      </a:solidFill>
                      <a:prstDash val="solid"/>
                    </a:ln>
                  </pic:spPr>
                </pic:pic>
              </a:graphicData>
            </a:graphic>
          </wp:inline>
        </w:drawing>
      </w:r>
    </w:p>
    <w:p w:rsidR="00F071B9" w:rsidRDefault="00E543EE">
      <w:pPr>
        <w:spacing w:before="240" w:after="240"/>
        <w:jc w:val="center"/>
        <w:rPr>
          <w:rFonts w:ascii="Times New Roman" w:eastAsia="Times New Roman" w:hAnsi="Times New Roman" w:cs="Times New Roman"/>
          <w:sz w:val="14"/>
          <w:szCs w:val="14"/>
        </w:rPr>
      </w:pPr>
      <w:r>
        <w:rPr>
          <w:rFonts w:ascii="Times New Roman" w:eastAsia="Times New Roman" w:hAnsi="Times New Roman" w:cs="Times New Roman"/>
          <w:b/>
          <w:bCs/>
          <w:sz w:val="14"/>
          <w:szCs w:val="14"/>
        </w:rPr>
        <w:t>Figure 5.</w:t>
      </w:r>
      <w:r>
        <w:rPr>
          <w:rFonts w:ascii="Times New Roman" w:eastAsia="Times New Roman" w:hAnsi="Times New Roman" w:cs="Times New Roman"/>
          <w:sz w:val="14"/>
          <w:szCs w:val="14"/>
        </w:rPr>
        <w:t xml:space="preserve"> Individual participant changes in usability scores (spaghetti plot).</w:t>
      </w:r>
    </w:p>
    <w:p w:rsidR="00F071B9" w:rsidRDefault="00F071B9">
      <w:pPr>
        <w:spacing w:before="240" w:after="240"/>
        <w:jc w:val="both"/>
        <w:rPr>
          <w:rFonts w:ascii="Times New Roman" w:eastAsia="Times New Roman" w:hAnsi="Times New Roman" w:cs="Times New Roman"/>
          <w:sz w:val="18"/>
          <w:szCs w:val="18"/>
        </w:rPr>
      </w:pP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INFERENTIAL STATISTICS AND </w:t>
      </w:r>
      <w:r>
        <w:rPr>
          <w:rFonts w:ascii="Times New Roman" w:eastAsia="Times New Roman" w:hAnsi="Times New Roman" w:cs="Times New Roman"/>
          <w:b/>
          <w:bCs/>
          <w:sz w:val="18"/>
          <w:szCs w:val="18"/>
        </w:rPr>
        <w:t>FINDINGS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 paired-samples t-test was conducted to determine whether the accessibility-optimized mobile e-commerce interface produced significantly higher usability perceptions than the standard interface. This test was appropriate because the study used a </w:t>
      </w:r>
      <w:r>
        <w:rPr>
          <w:rFonts w:ascii="Times New Roman" w:eastAsia="Times New Roman" w:hAnsi="Times New Roman" w:cs="Times New Roman"/>
          <w:sz w:val="18"/>
          <w:szCs w:val="18"/>
        </w:rPr>
        <w:t>within-subjects design in which every participant (N = 30) rated both interfaces.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overall usability perception score (adjusted sum of the 10 SUS items, range 10–50; see Section 5.5) served as the dependent variable. The assumption of normality for the </w:t>
      </w:r>
      <w:r>
        <w:rPr>
          <w:rFonts w:ascii="Times New Roman" w:eastAsia="Times New Roman" w:hAnsi="Times New Roman" w:cs="Times New Roman"/>
          <w:sz w:val="18"/>
          <w:szCs w:val="18"/>
        </w:rPr>
        <w:t>difference scores was satisfactorily met.</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Table 10.</w:t>
      </w:r>
      <w:r>
        <w:rPr>
          <w:rFonts w:ascii="Times New Roman" w:eastAsia="Times New Roman" w:hAnsi="Times New Roman" w:cs="Times New Roman"/>
          <w:sz w:val="18"/>
          <w:szCs w:val="18"/>
        </w:rPr>
        <w:t xml:space="preserve"> Paired-Samples t-Test Results for Overall Usability Perception Score (N = 30)</w:t>
      </w:r>
    </w:p>
    <w:tbl>
      <w:tblPr>
        <w:tblStyle w:val="Style19"/>
        <w:tblW w:w="90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6"/>
        <w:gridCol w:w="1275"/>
        <w:gridCol w:w="705"/>
        <w:gridCol w:w="825"/>
        <w:gridCol w:w="736"/>
        <w:gridCol w:w="1820"/>
        <w:gridCol w:w="1158"/>
      </w:tblGrid>
      <w:tr w:rsidR="00F071B9">
        <w:trPr>
          <w:trHeight w:val="500"/>
        </w:trPr>
        <w:tc>
          <w:tcPr>
            <w:tcW w:w="2505"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lastRenderedPageBreak/>
              <w:t>Interface</w:t>
            </w:r>
          </w:p>
        </w:tc>
        <w:tc>
          <w:tcPr>
            <w:tcW w:w="1275"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Mean</w:t>
            </w:r>
          </w:p>
        </w:tc>
        <w:tc>
          <w:tcPr>
            <w:tcW w:w="705"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SD</w:t>
            </w:r>
          </w:p>
        </w:tc>
        <w:tc>
          <w:tcPr>
            <w:tcW w:w="825"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t(29)</w:t>
            </w:r>
          </w:p>
        </w:tc>
        <w:tc>
          <w:tcPr>
            <w:tcW w:w="736"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p</w:t>
            </w:r>
          </w:p>
        </w:tc>
        <w:tc>
          <w:tcPr>
            <w:tcW w:w="1820"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Mean Difference</w:t>
            </w:r>
          </w:p>
        </w:tc>
        <w:tc>
          <w:tcPr>
            <w:tcW w:w="1158"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 xml:space="preserve">Cohen’s </w:t>
            </w:r>
            <w:r>
              <w:rPr>
                <w:rFonts w:ascii="Times New Roman" w:eastAsia="Times New Roman" w:hAnsi="Times New Roman" w:cs="Times New Roman"/>
                <w:b/>
                <w:bCs/>
                <w:i/>
                <w:iCs/>
                <w:sz w:val="14"/>
                <w:szCs w:val="14"/>
              </w:rPr>
              <w:t>d</w:t>
            </w:r>
          </w:p>
        </w:tc>
      </w:tr>
      <w:tr w:rsidR="00F071B9">
        <w:trPr>
          <w:trHeight w:val="500"/>
        </w:trPr>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Standard Interface</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31.33</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9.42</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5.860 </w:t>
            </w:r>
          </w:p>
        </w:tc>
        <w:tc>
          <w:tcPr>
            <w:tcW w:w="7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&lt;.001</w:t>
            </w:r>
          </w:p>
        </w:tc>
        <w:tc>
          <w:tcPr>
            <w:tcW w:w="1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12.00</w:t>
            </w:r>
          </w:p>
        </w:tc>
        <w:tc>
          <w:tcPr>
            <w:tcW w:w="115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1.070</w:t>
            </w:r>
          </w:p>
        </w:tc>
      </w:tr>
      <w:tr w:rsidR="00F071B9">
        <w:trPr>
          <w:trHeight w:val="500"/>
        </w:trPr>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Accessibility-Optimized Interface</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43.33</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6.40</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t>
            </w:r>
          </w:p>
        </w:tc>
        <w:tc>
          <w:tcPr>
            <w:tcW w:w="7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t>
            </w:r>
          </w:p>
        </w:tc>
        <w:tc>
          <w:tcPr>
            <w:tcW w:w="1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t>
            </w:r>
          </w:p>
        </w:tc>
        <w:tc>
          <w:tcPr>
            <w:tcW w:w="115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71B9" w:rsidRDefault="00E543EE">
            <w:pPr>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t>
            </w:r>
          </w:p>
        </w:tc>
      </w:tr>
    </w:tbl>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Participants rated the accessibility-optimized interface significantly higher than the standard interface, t(29) = 5.860, p &lt; 0.001. The effect size was very large (paired Cohen’s d = 1.070). </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To </w:t>
      </w:r>
      <w:r>
        <w:rPr>
          <w:rFonts w:ascii="Times New Roman" w:eastAsia="Times New Roman" w:hAnsi="Times New Roman" w:cs="Times New Roman"/>
          <w:sz w:val="18"/>
          <w:szCs w:val="18"/>
        </w:rPr>
        <w:t>confirm robustness without relying on normality assumptions, a nonparametric Wilcoxon signed-rank test was also performed. The result was consistent: V = 435, p &lt; .001. Note that V = 435 reflects the sum of positive ranks as reported by R’s wilcox.test fun</w:t>
      </w:r>
      <w:r>
        <w:rPr>
          <w:rFonts w:ascii="Times New Roman" w:eastAsia="Times New Roman" w:hAnsi="Times New Roman" w:cs="Times New Roman"/>
          <w:sz w:val="18"/>
          <w:szCs w:val="18"/>
        </w:rPr>
        <w:t>ction; this is consistent with the direction of results showing near-universal improvement under the optimized interface.</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Key Findings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accessibility-optimized interface (larger font size, larger touch targets, simplified navigation, and reduced visual </w:t>
      </w:r>
      <w:r>
        <w:rPr>
          <w:rFonts w:ascii="Times New Roman" w:eastAsia="Times New Roman" w:hAnsi="Times New Roman" w:cs="Times New Roman"/>
          <w:sz w:val="18"/>
          <w:szCs w:val="18"/>
        </w:rPr>
        <w:t>clutter) produced substantially higher perceived usability among elderly Indian users aged 60 and above, t(29) = 5.860, p &lt; 0.001, Cohen’s d = 1.070. This improvement was both statistically significant and practically meaningful, as shown by the large effe</w:t>
      </w:r>
      <w:r>
        <w:rPr>
          <w:rFonts w:ascii="Times New Roman" w:eastAsia="Times New Roman" w:hAnsi="Times New Roman" w:cs="Times New Roman"/>
          <w:sz w:val="18"/>
          <w:szCs w:val="18"/>
        </w:rPr>
        <w:t>ct size.</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results provide strong empirical support for the research hypothesis and align with the study’s theoretical framework (System Usability Scale and Technology Acceptance Model). They demonstrate that targeted accessibility improvements can meani</w:t>
      </w:r>
      <w:r>
        <w:rPr>
          <w:rFonts w:ascii="Times New Roman" w:eastAsia="Times New Roman" w:hAnsi="Times New Roman" w:cs="Times New Roman"/>
          <w:sz w:val="18"/>
          <w:szCs w:val="18"/>
        </w:rPr>
        <w:t>ngfully reduce barriers for older adults in mobile e-commerce apps, enabling greater independence and confidence in digital shopping.</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These findings are particularly relevant in the Indian context, where a rapidly growing senior population (projected to re</w:t>
      </w:r>
      <w:r>
        <w:rPr>
          <w:rFonts w:ascii="Times New Roman" w:eastAsia="Times New Roman" w:hAnsi="Times New Roman" w:cs="Times New Roman"/>
          <w:sz w:val="18"/>
          <w:szCs w:val="18"/>
        </w:rPr>
        <w:t>ach 230 million by 2036) faces persistent digital literacy and accessibility gaps in mainstream shopping applications. The consistent pattern across the overall score and all 10 individual SUS items reinforces the effectiveness of the optimized design feat</w:t>
      </w:r>
      <w:r>
        <w:rPr>
          <w:rFonts w:ascii="Times New Roman" w:eastAsia="Times New Roman" w:hAnsi="Times New Roman" w:cs="Times New Roman"/>
          <w:sz w:val="18"/>
          <w:szCs w:val="18"/>
        </w:rPr>
        <w:t>ures.</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IMPLICATIONS OF THE STUDY</w:t>
      </w:r>
    </w:p>
    <w:p w:rsidR="00F071B9" w:rsidRDefault="00E543EE">
      <w:pPr>
        <w:spacing w:before="240" w:after="240"/>
        <w:jc w:val="both"/>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Managerial Implications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findings offer clear, actionable guidance for e-commerce platforms, UX designers, and digital service providers operating in India. First, mainstream mobile shopping applications should integrate the tested accessibility features: larger font sizes (18</w:t>
      </w:r>
      <w:r>
        <w:rPr>
          <w:rFonts w:ascii="Times New Roman" w:eastAsia="Times New Roman" w:hAnsi="Times New Roman" w:cs="Times New Roman"/>
          <w:sz w:val="18"/>
          <w:szCs w:val="18"/>
        </w:rPr>
        <w:t xml:space="preserve"> px), larger touch targets (48 px), simplified navigation (1–2 taps to checkout), and reduced visual clutter as standard design options. These low-cost modifications produced a large, statistically significant improvement in usability (Cohen’s </w:t>
      </w:r>
      <w:r>
        <w:rPr>
          <w:rFonts w:ascii="Times New Roman" w:eastAsia="Times New Roman" w:hAnsi="Times New Roman" w:cs="Times New Roman"/>
          <w:i/>
          <w:iCs/>
          <w:sz w:val="18"/>
          <w:szCs w:val="18"/>
        </w:rPr>
        <w:t>d</w:t>
      </w:r>
      <w:r>
        <w:rPr>
          <w:rFonts w:ascii="Times New Roman" w:eastAsia="Times New Roman" w:hAnsi="Times New Roman" w:cs="Times New Roman"/>
          <w:sz w:val="18"/>
          <w:szCs w:val="18"/>
        </w:rPr>
        <w:t xml:space="preserve"> = 1.070) a</w:t>
      </w:r>
      <w:r>
        <w:rPr>
          <w:rFonts w:ascii="Times New Roman" w:eastAsia="Times New Roman" w:hAnsi="Times New Roman" w:cs="Times New Roman"/>
          <w:sz w:val="18"/>
          <w:szCs w:val="18"/>
        </w:rPr>
        <w:t>mong elderly users, suggesting that even small interface changes can substantially reduce task abandonment and increase completion rates.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Platform owners can therefore expect higher customer retention, greater transaction completion, and expanded market re</w:t>
      </w:r>
      <w:r>
        <w:rPr>
          <w:rFonts w:ascii="Times New Roman" w:eastAsia="Times New Roman" w:hAnsi="Times New Roman" w:cs="Times New Roman"/>
          <w:sz w:val="18"/>
          <w:szCs w:val="18"/>
        </w:rPr>
        <w:t>ach among India’s rapidly growing senior population (projected to reach 230 million by 2036). Companies may consider offering an optional accessibility mode that automatically applies these interface settings to larger fonts, increased touch targets, and s</w:t>
      </w:r>
      <w:r>
        <w:rPr>
          <w:rFonts w:ascii="Times New Roman" w:eastAsia="Times New Roman" w:hAnsi="Times New Roman" w:cs="Times New Roman"/>
          <w:sz w:val="18"/>
          <w:szCs w:val="18"/>
        </w:rPr>
        <w:t xml:space="preserve">implified navigation, similar to existing display or language preferences. While this study measured usability perception rather than purchase behaviour, the significant reduction in cognitive and interaction barriers suggests such a feature could support </w:t>
      </w:r>
      <w:r>
        <w:rPr>
          <w:rFonts w:ascii="Times New Roman" w:eastAsia="Times New Roman" w:hAnsi="Times New Roman" w:cs="Times New Roman"/>
          <w:sz w:val="18"/>
          <w:szCs w:val="18"/>
        </w:rPr>
        <w:t>greater task completion among older users. Such inclusive design will also help organisations comply with the Supreme Court’s recognition of the Right to Digital Access under Article 21 and strengthen corporate social responsibility (CSR) credentials. Ulti</w:t>
      </w:r>
      <w:r>
        <w:rPr>
          <w:rFonts w:ascii="Times New Roman" w:eastAsia="Times New Roman" w:hAnsi="Times New Roman" w:cs="Times New Roman"/>
          <w:sz w:val="18"/>
          <w:szCs w:val="18"/>
        </w:rPr>
        <w:t>mately, investing in elderly-friendly interfaces represents both an ethical imperative and a sound business strategy to capture an underserved but increasingly digitally active consumer segment.</w:t>
      </w:r>
    </w:p>
    <w:p w:rsidR="00F071B9" w:rsidRDefault="00E543EE">
      <w:pPr>
        <w:spacing w:before="240" w:after="240"/>
        <w:jc w:val="both"/>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lastRenderedPageBreak/>
        <w:t>Theoretical Implications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study contributes to human-comp</w:t>
      </w:r>
      <w:r>
        <w:rPr>
          <w:rFonts w:ascii="Times New Roman" w:eastAsia="Times New Roman" w:hAnsi="Times New Roman" w:cs="Times New Roman"/>
          <w:sz w:val="18"/>
          <w:szCs w:val="18"/>
        </w:rPr>
        <w:t>uter interaction (HCI) and technology acceptance literature by empirically demonstrating the effectiveness of accessibility-optimised design in a non-Western, elderly Indian context. The large improvement in System Usability Scale (SUS) scores validates Br</w:t>
      </w:r>
      <w:r>
        <w:rPr>
          <w:rFonts w:ascii="Times New Roman" w:eastAsia="Times New Roman" w:hAnsi="Times New Roman" w:cs="Times New Roman"/>
          <w:sz w:val="18"/>
          <w:szCs w:val="18"/>
        </w:rPr>
        <w:t>ooke’s (1996) instrument as a reliable and sensitive measure even when applied to older adults with varying digital literacy levels. More importantly, the results extend the Technology Acceptance Model (Davis, 1989) by showing that targeted reductions in c</w:t>
      </w:r>
      <w:r>
        <w:rPr>
          <w:rFonts w:ascii="Times New Roman" w:eastAsia="Times New Roman" w:hAnsi="Times New Roman" w:cs="Times New Roman"/>
          <w:sz w:val="18"/>
          <w:szCs w:val="18"/>
        </w:rPr>
        <w:t>ognitive and motor demands directly enhance perceived ease of use, which in turn drives stronger usability perceptions thereby strengthening the pathway from design features to behavioural intention in an understudied demographic.</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findings also reinfor</w:t>
      </w:r>
      <w:r>
        <w:rPr>
          <w:rFonts w:ascii="Times New Roman" w:eastAsia="Times New Roman" w:hAnsi="Times New Roman" w:cs="Times New Roman"/>
          <w:sz w:val="18"/>
          <w:szCs w:val="18"/>
        </w:rPr>
        <w:t>ce cognitive load theory and age-related interface design principles (Fisk et al., 2009; Johnson, 2014) by confirming that simplified navigation and larger interface elements meaningfully lower barriers for users experiencing age-related declines in vision</w:t>
      </w:r>
      <w:r>
        <w:rPr>
          <w:rFonts w:ascii="Times New Roman" w:eastAsia="Times New Roman" w:hAnsi="Times New Roman" w:cs="Times New Roman"/>
          <w:sz w:val="18"/>
          <w:szCs w:val="18"/>
        </w:rPr>
        <w:t>, motor precision, and information processing. By conducting the experiment in India, the study adds culturally grounded evidence to the global HCI literature, highlighting the importance of contextual moderators (demographic factors, digital literacy gaps</w:t>
      </w:r>
      <w:r>
        <w:rPr>
          <w:rFonts w:ascii="Times New Roman" w:eastAsia="Times New Roman" w:hAnsi="Times New Roman" w:cs="Times New Roman"/>
          <w:sz w:val="18"/>
          <w:szCs w:val="18"/>
        </w:rPr>
        <w:t>, and regulatory environment) in technology acceptance models. Future research can build on this framework by testing additional moderators such as education level, prior smartphone experience, or regional language preferences, thereby refining theories of</w:t>
      </w:r>
      <w:r>
        <w:rPr>
          <w:rFonts w:ascii="Times New Roman" w:eastAsia="Times New Roman" w:hAnsi="Times New Roman" w:cs="Times New Roman"/>
          <w:sz w:val="18"/>
          <w:szCs w:val="18"/>
        </w:rPr>
        <w:t xml:space="preserve"> inclusive digital design in emerging economies.</w:t>
      </w:r>
    </w:p>
    <w:p w:rsidR="00F071B9" w:rsidRDefault="00E543EE">
      <w:pPr>
        <w:spacing w:before="240" w:after="24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CONCLUSION</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study shows that an accessibility-optimized mobile e-commerce interface significantly improves usability for elderly users in India. Larger text, larger touch targets, and simplified navigation help users complete tasks more successfully, make fewer e</w:t>
      </w:r>
      <w:r>
        <w:rPr>
          <w:rFonts w:ascii="Times New Roman" w:eastAsia="Times New Roman" w:hAnsi="Times New Roman" w:cs="Times New Roman"/>
          <w:sz w:val="18"/>
          <w:szCs w:val="18"/>
        </w:rPr>
        <w:t xml:space="preserve">rrors, and report higher perceived usability through the System Usability Scale. The findings confirm that age-inclusive interface design is essential for making mobile commerce more usable and equitable for India’s growing older population. </w:t>
      </w:r>
    </w:p>
    <w:p w:rsidR="00F071B9" w:rsidRDefault="00F071B9">
      <w:pPr>
        <w:pStyle w:val="Heading1"/>
        <w:keepNext w:val="0"/>
        <w:keepLines w:val="0"/>
        <w:spacing w:before="480"/>
        <w:jc w:val="both"/>
        <w:rPr>
          <w:rFonts w:ascii="Times New Roman" w:eastAsia="Times New Roman" w:hAnsi="Times New Roman" w:cs="Times New Roman"/>
          <w:b/>
          <w:bCs/>
          <w:sz w:val="18"/>
          <w:szCs w:val="18"/>
        </w:rPr>
      </w:pPr>
      <w:bookmarkStart w:id="9" w:name="_1upr37x1m49i" w:colFirst="0" w:colLast="0"/>
      <w:bookmarkEnd w:id="9"/>
    </w:p>
    <w:p w:rsidR="00F071B9" w:rsidRDefault="00F071B9">
      <w:pPr>
        <w:pStyle w:val="Heading1"/>
        <w:keepNext w:val="0"/>
        <w:keepLines w:val="0"/>
        <w:spacing w:before="480"/>
        <w:jc w:val="both"/>
        <w:rPr>
          <w:rFonts w:ascii="Times New Roman" w:eastAsia="Times New Roman" w:hAnsi="Times New Roman" w:cs="Times New Roman"/>
          <w:b/>
          <w:bCs/>
          <w:sz w:val="18"/>
          <w:szCs w:val="18"/>
        </w:rPr>
      </w:pPr>
      <w:bookmarkStart w:id="10" w:name="_nsbuz89azhjx" w:colFirst="0" w:colLast="0"/>
      <w:bookmarkEnd w:id="10"/>
    </w:p>
    <w:p w:rsidR="00F071B9" w:rsidRDefault="00F071B9">
      <w:pPr>
        <w:pStyle w:val="Heading1"/>
        <w:keepNext w:val="0"/>
        <w:keepLines w:val="0"/>
        <w:spacing w:before="480"/>
        <w:jc w:val="both"/>
        <w:rPr>
          <w:rFonts w:ascii="Times New Roman" w:eastAsia="Times New Roman" w:hAnsi="Times New Roman" w:cs="Times New Roman"/>
          <w:b/>
          <w:bCs/>
          <w:sz w:val="18"/>
          <w:szCs w:val="18"/>
        </w:rPr>
      </w:pPr>
      <w:bookmarkStart w:id="11" w:name="_ns7h0jabypbo" w:colFirst="0" w:colLast="0"/>
      <w:bookmarkEnd w:id="11"/>
    </w:p>
    <w:p w:rsidR="00F071B9" w:rsidRDefault="00F071B9">
      <w:pPr>
        <w:pStyle w:val="Heading1"/>
        <w:keepNext w:val="0"/>
        <w:keepLines w:val="0"/>
        <w:spacing w:before="480"/>
        <w:jc w:val="both"/>
        <w:rPr>
          <w:rFonts w:ascii="Times New Roman" w:eastAsia="Times New Roman" w:hAnsi="Times New Roman" w:cs="Times New Roman"/>
          <w:b/>
          <w:bCs/>
          <w:sz w:val="18"/>
          <w:szCs w:val="18"/>
        </w:rPr>
      </w:pPr>
      <w:bookmarkStart w:id="12" w:name="_jemgy0vcetz" w:colFirst="0" w:colLast="0"/>
      <w:bookmarkEnd w:id="12"/>
    </w:p>
    <w:p w:rsidR="00F071B9" w:rsidRDefault="00F071B9">
      <w:pPr>
        <w:pStyle w:val="Heading1"/>
        <w:keepNext w:val="0"/>
        <w:keepLines w:val="0"/>
        <w:spacing w:before="480"/>
        <w:jc w:val="both"/>
        <w:rPr>
          <w:rFonts w:ascii="Times New Roman" w:eastAsia="Times New Roman" w:hAnsi="Times New Roman" w:cs="Times New Roman"/>
          <w:b/>
          <w:bCs/>
          <w:sz w:val="18"/>
          <w:szCs w:val="18"/>
        </w:rPr>
      </w:pPr>
      <w:bookmarkStart w:id="13" w:name="_uzogqx7tbo84" w:colFirst="0" w:colLast="0"/>
      <w:bookmarkEnd w:id="13"/>
    </w:p>
    <w:p w:rsidR="00F071B9" w:rsidRDefault="00F071B9">
      <w:pPr>
        <w:pStyle w:val="Heading1"/>
        <w:keepNext w:val="0"/>
        <w:keepLines w:val="0"/>
        <w:spacing w:before="480"/>
        <w:jc w:val="both"/>
        <w:rPr>
          <w:rFonts w:ascii="Times New Roman" w:eastAsia="Times New Roman" w:hAnsi="Times New Roman" w:cs="Times New Roman"/>
          <w:b/>
          <w:bCs/>
          <w:sz w:val="18"/>
          <w:szCs w:val="18"/>
        </w:rPr>
      </w:pPr>
      <w:bookmarkStart w:id="14" w:name="_3a0duc2r2yu2" w:colFirst="0" w:colLast="0"/>
      <w:bookmarkEnd w:id="14"/>
    </w:p>
    <w:p w:rsidR="00F071B9" w:rsidRDefault="00F071B9">
      <w:pPr>
        <w:pStyle w:val="Heading1"/>
        <w:keepNext w:val="0"/>
        <w:keepLines w:val="0"/>
        <w:spacing w:before="480"/>
        <w:jc w:val="both"/>
        <w:rPr>
          <w:rFonts w:ascii="Times New Roman" w:eastAsia="Times New Roman" w:hAnsi="Times New Roman" w:cs="Times New Roman"/>
          <w:b/>
          <w:bCs/>
          <w:sz w:val="18"/>
          <w:szCs w:val="18"/>
        </w:rPr>
      </w:pPr>
      <w:bookmarkStart w:id="15" w:name="_6wwvcpqkv3sb" w:colFirst="0" w:colLast="0"/>
      <w:bookmarkEnd w:id="15"/>
    </w:p>
    <w:p w:rsidR="00F071B9" w:rsidRDefault="00F071B9">
      <w:pPr>
        <w:pStyle w:val="Heading1"/>
        <w:keepNext w:val="0"/>
        <w:keepLines w:val="0"/>
        <w:spacing w:before="480"/>
        <w:jc w:val="both"/>
        <w:rPr>
          <w:rFonts w:ascii="Times New Roman" w:eastAsia="Times New Roman" w:hAnsi="Times New Roman" w:cs="Times New Roman"/>
          <w:b/>
          <w:bCs/>
          <w:sz w:val="18"/>
          <w:szCs w:val="18"/>
        </w:rPr>
      </w:pPr>
      <w:bookmarkStart w:id="16" w:name="_jgntu04mlf3w" w:colFirst="0" w:colLast="0"/>
      <w:bookmarkEnd w:id="16"/>
    </w:p>
    <w:p w:rsidR="00F071B9" w:rsidRDefault="00F071B9">
      <w:pPr>
        <w:pStyle w:val="Heading1"/>
        <w:keepNext w:val="0"/>
        <w:keepLines w:val="0"/>
        <w:spacing w:before="480"/>
        <w:jc w:val="both"/>
        <w:rPr>
          <w:rFonts w:ascii="Times New Roman" w:eastAsia="Times New Roman" w:hAnsi="Times New Roman" w:cs="Times New Roman"/>
          <w:b/>
          <w:bCs/>
          <w:sz w:val="18"/>
          <w:szCs w:val="18"/>
        </w:rPr>
      </w:pPr>
      <w:bookmarkStart w:id="17" w:name="_twov6fhub3p5" w:colFirst="0" w:colLast="0"/>
      <w:bookmarkEnd w:id="17"/>
    </w:p>
    <w:p w:rsidR="00F071B9" w:rsidRDefault="00F071B9">
      <w:pPr>
        <w:pStyle w:val="Heading1"/>
        <w:keepNext w:val="0"/>
        <w:keepLines w:val="0"/>
        <w:spacing w:before="480"/>
        <w:jc w:val="both"/>
        <w:rPr>
          <w:rFonts w:ascii="Times New Roman" w:eastAsia="Times New Roman" w:hAnsi="Times New Roman" w:cs="Times New Roman"/>
          <w:b/>
          <w:bCs/>
          <w:sz w:val="18"/>
          <w:szCs w:val="18"/>
        </w:rPr>
      </w:pPr>
      <w:bookmarkStart w:id="18" w:name="_ssdvmcpdrc9j" w:colFirst="0" w:colLast="0"/>
      <w:bookmarkEnd w:id="18"/>
    </w:p>
    <w:p w:rsidR="00F071B9" w:rsidRDefault="00E543EE">
      <w:pPr>
        <w:pStyle w:val="Heading1"/>
        <w:keepNext w:val="0"/>
        <w:keepLines w:val="0"/>
        <w:spacing w:before="480"/>
        <w:jc w:val="both"/>
        <w:rPr>
          <w:rFonts w:ascii="Times New Roman" w:eastAsia="Times New Roman" w:hAnsi="Times New Roman" w:cs="Times New Roman"/>
          <w:b/>
          <w:bCs/>
          <w:sz w:val="18"/>
          <w:szCs w:val="18"/>
        </w:rPr>
      </w:pPr>
      <w:bookmarkStart w:id="19" w:name="_3ym3r53uvflk" w:colFirst="0" w:colLast="0"/>
      <w:bookmarkEnd w:id="19"/>
      <w:r>
        <w:rPr>
          <w:rFonts w:ascii="Times New Roman" w:eastAsia="Times New Roman" w:hAnsi="Times New Roman" w:cs="Times New Roman"/>
          <w:b/>
          <w:bCs/>
          <w:sz w:val="18"/>
          <w:szCs w:val="18"/>
        </w:rPr>
        <w:lastRenderedPageBreak/>
        <w:t>Ref</w:t>
      </w:r>
      <w:r>
        <w:rPr>
          <w:rFonts w:ascii="Times New Roman" w:eastAsia="Times New Roman" w:hAnsi="Times New Roman" w:cs="Times New Roman"/>
          <w:b/>
          <w:bCs/>
          <w:sz w:val="18"/>
          <w:szCs w:val="18"/>
        </w:rPr>
        <w:t>erences (APA 7th Edition)</w:t>
      </w:r>
    </w:p>
    <w:p w:rsidR="00F071B9" w:rsidRDefault="00E543EE">
      <w:pPr>
        <w:spacing w:before="240" w:after="24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Bangor, A., Kortum, P. T., &amp; Miller, J. T. (2008). An empirical evaluation of the System Usability Scale. </w:t>
      </w:r>
      <w:r>
        <w:rPr>
          <w:rFonts w:ascii="Times New Roman" w:eastAsia="Times New Roman" w:hAnsi="Times New Roman" w:cs="Times New Roman"/>
          <w:i/>
          <w:iCs/>
          <w:sz w:val="18"/>
          <w:szCs w:val="18"/>
        </w:rPr>
        <w:t>International Journal of Human–Computer Interaction, 24</w:t>
      </w:r>
      <w:r>
        <w:rPr>
          <w:rFonts w:ascii="Times New Roman" w:eastAsia="Times New Roman" w:hAnsi="Times New Roman" w:cs="Times New Roman"/>
          <w:sz w:val="18"/>
          <w:szCs w:val="18"/>
        </w:rPr>
        <w:t>(6), 574–594.</w:t>
      </w:r>
      <w:hyperlink r:id="rId13">
        <w:r>
          <w:rPr>
            <w:rFonts w:ascii="Times New Roman" w:eastAsia="Times New Roman" w:hAnsi="Times New Roman" w:cs="Times New Roman"/>
            <w:sz w:val="18"/>
            <w:szCs w:val="18"/>
          </w:rPr>
          <w:t xml:space="preserve"> </w:t>
        </w:r>
      </w:hyperlink>
      <w:hyperlink r:id="rId14">
        <w:r>
          <w:rPr>
            <w:rFonts w:ascii="Times New Roman" w:eastAsia="Times New Roman" w:hAnsi="Times New Roman" w:cs="Times New Roman"/>
            <w:color w:val="1155CC"/>
            <w:sz w:val="18"/>
            <w:szCs w:val="18"/>
            <w:u w:val="single"/>
          </w:rPr>
          <w:t>https://doi.org/10.1080/10447310802205776</w:t>
        </w:r>
      </w:hyperlink>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BarrierBreak. (2025). </w:t>
      </w:r>
      <w:r>
        <w:rPr>
          <w:rFonts w:ascii="Times New Roman" w:eastAsia="Times New Roman" w:hAnsi="Times New Roman" w:cs="Times New Roman"/>
          <w:i/>
          <w:iCs/>
          <w:sz w:val="18"/>
          <w:szCs w:val="18"/>
        </w:rPr>
        <w:t>Digital accessibility report: India</w:t>
      </w:r>
      <w:r>
        <w:rPr>
          <w:rFonts w:ascii="Times New Roman" w:eastAsia="Times New Roman" w:hAnsi="Times New Roman" w:cs="Times New Roman"/>
          <w:sz w:val="18"/>
          <w:szCs w:val="18"/>
        </w:rPr>
        <w:t>.</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Brooke, J. (1996). SUS: A quick and dirty usability scale. In P. W. Jordan, B. Thomas, I</w:t>
      </w:r>
      <w:r>
        <w:rPr>
          <w:rFonts w:ascii="Times New Roman" w:eastAsia="Times New Roman" w:hAnsi="Times New Roman" w:cs="Times New Roman"/>
          <w:sz w:val="18"/>
          <w:szCs w:val="18"/>
        </w:rPr>
        <w:t xml:space="preserve">. L. McClelland, &amp; B. Weerdmeester (Eds.), </w:t>
      </w:r>
      <w:r>
        <w:rPr>
          <w:rFonts w:ascii="Times New Roman" w:eastAsia="Times New Roman" w:hAnsi="Times New Roman" w:cs="Times New Roman"/>
          <w:i/>
          <w:iCs/>
          <w:sz w:val="18"/>
          <w:szCs w:val="18"/>
        </w:rPr>
        <w:t>Usability evaluation in industry</w:t>
      </w:r>
      <w:r>
        <w:rPr>
          <w:rFonts w:ascii="Times New Roman" w:eastAsia="Times New Roman" w:hAnsi="Times New Roman" w:cs="Times New Roman"/>
          <w:sz w:val="18"/>
          <w:szCs w:val="18"/>
        </w:rPr>
        <w:t xml:space="preserve"> (pp. 189–194). Taylor &amp; Francis.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Clark, C., &amp; Kimmons, R. (n.d.). Cognitive load theory. In EdTech Books Encyclopedia.</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Davis, F. D. (1989). Perceived usefulness, perceived ease of </w:t>
      </w:r>
      <w:r>
        <w:rPr>
          <w:rFonts w:ascii="Times New Roman" w:eastAsia="Times New Roman" w:hAnsi="Times New Roman" w:cs="Times New Roman"/>
          <w:sz w:val="18"/>
          <w:szCs w:val="18"/>
        </w:rPr>
        <w:t>use, and user acceptance of information technology. MIS Quarterly, 13(3), 319–340.</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Kumar, R. (2005). Usability engineering. In Human computer interaction. Laxmi Publications.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Fisk, A. D., Rogers, W. A., Charness, N., Czaja, S. J., &amp; Sharit, J. (2009). </w:t>
      </w:r>
      <w:r>
        <w:rPr>
          <w:rFonts w:ascii="Times New Roman" w:eastAsia="Times New Roman" w:hAnsi="Times New Roman" w:cs="Times New Roman"/>
          <w:i/>
          <w:iCs/>
          <w:sz w:val="18"/>
          <w:szCs w:val="18"/>
        </w:rPr>
        <w:t>Desi</w:t>
      </w:r>
      <w:r>
        <w:rPr>
          <w:rFonts w:ascii="Times New Roman" w:eastAsia="Times New Roman" w:hAnsi="Times New Roman" w:cs="Times New Roman"/>
          <w:i/>
          <w:iCs/>
          <w:sz w:val="18"/>
          <w:szCs w:val="18"/>
        </w:rPr>
        <w:t>gning for older adults: Principles and creative human factors approaches</w:t>
      </w:r>
      <w:r>
        <w:rPr>
          <w:rFonts w:ascii="Times New Roman" w:eastAsia="Times New Roman" w:hAnsi="Times New Roman" w:cs="Times New Roman"/>
          <w:sz w:val="18"/>
          <w:szCs w:val="18"/>
        </w:rPr>
        <w:t xml:space="preserve"> (2nd ed.). CRC Press.</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HelpAge India. (2025). </w:t>
      </w:r>
      <w:r>
        <w:rPr>
          <w:rFonts w:ascii="Times New Roman" w:eastAsia="Times New Roman" w:hAnsi="Times New Roman" w:cs="Times New Roman"/>
          <w:i/>
          <w:iCs/>
          <w:sz w:val="18"/>
          <w:szCs w:val="18"/>
        </w:rPr>
        <w:t>Understanding intergenerational dynamics and perceptions on ageing</w:t>
      </w:r>
      <w:r>
        <w:rPr>
          <w:rFonts w:ascii="Times New Roman" w:eastAsia="Times New Roman" w:hAnsi="Times New Roman" w:cs="Times New Roman"/>
          <w:sz w:val="18"/>
          <w:szCs w:val="18"/>
        </w:rPr>
        <w:t>.</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Johnson, J. (2014). </w:t>
      </w:r>
      <w:r>
        <w:rPr>
          <w:rFonts w:ascii="Times New Roman" w:eastAsia="Times New Roman" w:hAnsi="Times New Roman" w:cs="Times New Roman"/>
          <w:i/>
          <w:iCs/>
          <w:sz w:val="18"/>
          <w:szCs w:val="18"/>
        </w:rPr>
        <w:t xml:space="preserve">Designing with the mind in mind: Simple guide to </w:t>
      </w:r>
      <w:r>
        <w:rPr>
          <w:rFonts w:ascii="Times New Roman" w:eastAsia="Times New Roman" w:hAnsi="Times New Roman" w:cs="Times New Roman"/>
          <w:i/>
          <w:iCs/>
          <w:sz w:val="18"/>
          <w:szCs w:val="18"/>
        </w:rPr>
        <w:t>understanding user interface design guidelines</w:t>
      </w:r>
      <w:r>
        <w:rPr>
          <w:rFonts w:ascii="Times New Roman" w:eastAsia="Times New Roman" w:hAnsi="Times New Roman" w:cs="Times New Roman"/>
          <w:sz w:val="18"/>
          <w:szCs w:val="18"/>
        </w:rPr>
        <w:t xml:space="preserve"> (2nd ed.). Morgan Kaufmann.</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Lewis, J. R. (2018). Measuring perceived usability: The CSUQ, SUS, and UMUX. </w:t>
      </w:r>
      <w:r>
        <w:rPr>
          <w:rFonts w:ascii="Times New Roman" w:eastAsia="Times New Roman" w:hAnsi="Times New Roman" w:cs="Times New Roman"/>
          <w:i/>
          <w:iCs/>
          <w:sz w:val="18"/>
          <w:szCs w:val="18"/>
        </w:rPr>
        <w:t>International Journal of Human–Computer Interaction, 34</w:t>
      </w:r>
      <w:r>
        <w:rPr>
          <w:rFonts w:ascii="Times New Roman" w:eastAsia="Times New Roman" w:hAnsi="Times New Roman" w:cs="Times New Roman"/>
          <w:sz w:val="18"/>
          <w:szCs w:val="18"/>
        </w:rPr>
        <w:t>(12), 1148–1156. https://doi.org/10.1080/10447318</w:t>
      </w:r>
      <w:r>
        <w:rPr>
          <w:rFonts w:ascii="Times New Roman" w:eastAsia="Times New Roman" w:hAnsi="Times New Roman" w:cs="Times New Roman"/>
          <w:sz w:val="18"/>
          <w:szCs w:val="18"/>
        </w:rPr>
        <w:t>.2017.1418805</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Lewis, J. R. (2019). Measuring perceived usability: SUS, UMUX, and CSUQ ratings for four everyday products. </w:t>
      </w:r>
      <w:r>
        <w:rPr>
          <w:rFonts w:ascii="Times New Roman" w:eastAsia="Times New Roman" w:hAnsi="Times New Roman" w:cs="Times New Roman"/>
          <w:i/>
          <w:iCs/>
          <w:sz w:val="18"/>
          <w:szCs w:val="18"/>
        </w:rPr>
        <w:t>International Journal of Human–Computer Interaction, 35</w:t>
      </w:r>
      <w:r>
        <w:rPr>
          <w:rFonts w:ascii="Times New Roman" w:eastAsia="Times New Roman" w:hAnsi="Times New Roman" w:cs="Times New Roman"/>
          <w:sz w:val="18"/>
          <w:szCs w:val="18"/>
        </w:rPr>
        <w:t>(15), 1404–1419. https://doi.org/10.1080/10447318.2018.1533152</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Nielsen, J. (199</w:t>
      </w:r>
      <w:r>
        <w:rPr>
          <w:rFonts w:ascii="Times New Roman" w:eastAsia="Times New Roman" w:hAnsi="Times New Roman" w:cs="Times New Roman"/>
          <w:sz w:val="18"/>
          <w:szCs w:val="18"/>
        </w:rPr>
        <w:t xml:space="preserve">3). </w:t>
      </w:r>
      <w:r>
        <w:rPr>
          <w:rFonts w:ascii="Times New Roman" w:eastAsia="Times New Roman" w:hAnsi="Times New Roman" w:cs="Times New Roman"/>
          <w:i/>
          <w:iCs/>
          <w:sz w:val="18"/>
          <w:szCs w:val="18"/>
        </w:rPr>
        <w:t>Usability engineering</w:t>
      </w:r>
      <w:r>
        <w:rPr>
          <w:rFonts w:ascii="Times New Roman" w:eastAsia="Times New Roman" w:hAnsi="Times New Roman" w:cs="Times New Roman"/>
          <w:sz w:val="18"/>
          <w:szCs w:val="18"/>
        </w:rPr>
        <w:t>. Academic Press.</w:t>
      </w:r>
    </w:p>
    <w:p w:rsidR="00F071B9" w:rsidRDefault="00E543EE">
      <w:pPr>
        <w:spacing w:before="240" w:after="24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Sweller, J. (1988). Cognitive load during problem solving: Effects on learning. </w:t>
      </w:r>
      <w:r>
        <w:rPr>
          <w:rFonts w:ascii="Times New Roman" w:eastAsia="Times New Roman" w:hAnsi="Times New Roman" w:cs="Times New Roman"/>
          <w:i/>
          <w:iCs/>
          <w:sz w:val="18"/>
          <w:szCs w:val="18"/>
        </w:rPr>
        <w:t>Cognitive Science, 12</w:t>
      </w:r>
      <w:r>
        <w:rPr>
          <w:rFonts w:ascii="Times New Roman" w:eastAsia="Times New Roman" w:hAnsi="Times New Roman" w:cs="Times New Roman"/>
          <w:sz w:val="18"/>
          <w:szCs w:val="18"/>
        </w:rPr>
        <w:t>(2), 257–285.</w:t>
      </w:r>
      <w:hyperlink r:id="rId15">
        <w:r>
          <w:rPr>
            <w:rFonts w:ascii="Times New Roman" w:eastAsia="Times New Roman" w:hAnsi="Times New Roman" w:cs="Times New Roman"/>
            <w:sz w:val="18"/>
            <w:szCs w:val="18"/>
          </w:rPr>
          <w:t xml:space="preserve"> </w:t>
        </w:r>
      </w:hyperlink>
      <w:hyperlink r:id="rId16">
        <w:r>
          <w:rPr>
            <w:rFonts w:ascii="Times New Roman" w:eastAsia="Times New Roman" w:hAnsi="Times New Roman" w:cs="Times New Roman"/>
            <w:color w:val="1155CC"/>
            <w:sz w:val="18"/>
            <w:szCs w:val="18"/>
            <w:u w:val="single"/>
          </w:rPr>
          <w:t>https://doi.org/10.1207/s15516709cog1202_4</w:t>
        </w:r>
      </w:hyperlink>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International Institute for Population Sciences. (2020). Longitudinal ageing study in India (LASI): Wave 1, 2017–18 (Vol. 1). Ministry of Health and Family Welfare, Government of India. h</w:t>
      </w:r>
      <w:r>
        <w:rPr>
          <w:rFonts w:ascii="Times New Roman" w:eastAsia="Times New Roman" w:hAnsi="Times New Roman" w:cs="Times New Roman"/>
          <w:sz w:val="18"/>
          <w:szCs w:val="18"/>
        </w:rPr>
        <w:t>ttps://iipsindia.ac.in/sites/default/files/iips_lasi_wave1.pdf</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Internet and Mobile Association of India. (2024). India internet report 2024. IAMAI. </w:t>
      </w:r>
      <w:hyperlink r:id="rId17">
        <w:r>
          <w:rPr>
            <w:rFonts w:ascii="Times New Roman" w:eastAsia="Times New Roman" w:hAnsi="Times New Roman" w:cs="Times New Roman"/>
            <w:color w:val="1155CC"/>
            <w:sz w:val="18"/>
            <w:szCs w:val="18"/>
            <w:u w:val="single"/>
          </w:rPr>
          <w:t>https://www.iamai.in/research</w:t>
        </w:r>
      </w:hyperlink>
      <w:r>
        <w:rPr>
          <w:rFonts w:ascii="Times New Roman" w:eastAsia="Times New Roman" w:hAnsi="Times New Roman" w:cs="Times New Roman"/>
          <w:sz w:val="18"/>
          <w:szCs w:val="18"/>
        </w:rPr>
        <w:t xml:space="preserve"> </w:t>
      </w:r>
    </w:p>
    <w:p w:rsidR="00F071B9" w:rsidRDefault="00E543EE">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Keelery, S. (2025). Smartpho</w:t>
      </w:r>
      <w:r>
        <w:rPr>
          <w:rFonts w:ascii="Times New Roman" w:eastAsia="Times New Roman" w:hAnsi="Times New Roman" w:cs="Times New Roman"/>
          <w:sz w:val="18"/>
          <w:szCs w:val="18"/>
        </w:rPr>
        <w:t xml:space="preserve">ne penetration rate in India 2010–2025. Statista. </w:t>
      </w:r>
      <w:hyperlink r:id="rId18">
        <w:r>
          <w:rPr>
            <w:rFonts w:ascii="Times New Roman" w:eastAsia="Times New Roman" w:hAnsi="Times New Roman" w:cs="Times New Roman"/>
            <w:color w:val="1155CC"/>
            <w:sz w:val="18"/>
            <w:szCs w:val="18"/>
            <w:u w:val="single"/>
          </w:rPr>
          <w:t>https://www.statista.com/statistics/257048/</w:t>
        </w:r>
      </w:hyperlink>
      <w:r>
        <w:rPr>
          <w:rFonts w:ascii="Times New Roman" w:eastAsia="Times New Roman" w:hAnsi="Times New Roman" w:cs="Times New Roman"/>
          <w:sz w:val="18"/>
          <w:szCs w:val="18"/>
        </w:rPr>
        <w:t xml:space="preserve"> smartphone-user-penetration-in-india/</w:t>
      </w:r>
    </w:p>
    <w:p w:rsidR="00F071B9" w:rsidRDefault="00F071B9">
      <w:pPr>
        <w:spacing w:before="240" w:after="240"/>
        <w:jc w:val="both"/>
        <w:rPr>
          <w:rFonts w:ascii="Times New Roman" w:eastAsia="Times New Roman" w:hAnsi="Times New Roman" w:cs="Times New Roman"/>
          <w:sz w:val="18"/>
          <w:szCs w:val="18"/>
        </w:rPr>
      </w:pPr>
    </w:p>
    <w:p w:rsidR="00F071B9" w:rsidRDefault="00F071B9">
      <w:pPr>
        <w:spacing w:before="240" w:after="240"/>
        <w:jc w:val="both"/>
        <w:rPr>
          <w:rFonts w:ascii="Times New Roman" w:eastAsia="Times New Roman" w:hAnsi="Times New Roman" w:cs="Times New Roman"/>
          <w:color w:val="1155CC"/>
          <w:sz w:val="18"/>
          <w:szCs w:val="18"/>
          <w:u w:val="single"/>
        </w:rPr>
      </w:pPr>
    </w:p>
    <w:p w:rsidR="00F071B9" w:rsidRDefault="00F071B9">
      <w:pPr>
        <w:spacing w:before="240" w:after="240"/>
        <w:jc w:val="both"/>
        <w:rPr>
          <w:rFonts w:ascii="Times New Roman" w:eastAsia="Times New Roman" w:hAnsi="Times New Roman" w:cs="Times New Roman"/>
          <w:b/>
          <w:bCs/>
          <w:sz w:val="18"/>
          <w:szCs w:val="18"/>
        </w:rPr>
      </w:pPr>
    </w:p>
    <w:p w:rsidR="00F071B9" w:rsidRDefault="00F071B9">
      <w:pPr>
        <w:spacing w:before="240" w:after="240"/>
        <w:jc w:val="both"/>
        <w:rPr>
          <w:rFonts w:ascii="Times New Roman" w:eastAsia="Times New Roman" w:hAnsi="Times New Roman" w:cs="Times New Roman"/>
          <w:b/>
          <w:bCs/>
          <w:sz w:val="18"/>
          <w:szCs w:val="18"/>
        </w:rPr>
      </w:pPr>
    </w:p>
    <w:p w:rsidR="00F071B9" w:rsidRDefault="00F071B9">
      <w:pPr>
        <w:spacing w:before="240" w:after="240"/>
        <w:jc w:val="both"/>
        <w:rPr>
          <w:rFonts w:ascii="Times New Roman" w:eastAsia="Times New Roman" w:hAnsi="Times New Roman" w:cs="Times New Roman"/>
          <w:b/>
          <w:bCs/>
          <w:sz w:val="18"/>
          <w:szCs w:val="18"/>
        </w:rPr>
      </w:pPr>
    </w:p>
    <w:p w:rsidR="00F071B9" w:rsidRDefault="00F071B9">
      <w:pPr>
        <w:spacing w:before="240" w:after="240"/>
        <w:jc w:val="both"/>
        <w:rPr>
          <w:rFonts w:ascii="Times New Roman" w:eastAsia="Times New Roman" w:hAnsi="Times New Roman" w:cs="Times New Roman"/>
          <w:b/>
          <w:bCs/>
          <w:sz w:val="18"/>
          <w:szCs w:val="18"/>
        </w:rPr>
      </w:pPr>
    </w:p>
    <w:p w:rsidR="00F071B9" w:rsidRDefault="00F071B9">
      <w:pPr>
        <w:spacing w:before="240" w:after="240"/>
        <w:rPr>
          <w:rFonts w:ascii="Times New Roman" w:eastAsia="Times New Roman" w:hAnsi="Times New Roman" w:cs="Times New Roman"/>
          <w:b/>
          <w:bCs/>
          <w:sz w:val="18"/>
          <w:szCs w:val="18"/>
        </w:rPr>
      </w:pPr>
    </w:p>
    <w:p w:rsidR="00F071B9" w:rsidRDefault="00F071B9">
      <w:pPr>
        <w:spacing w:before="240" w:after="240"/>
        <w:rPr>
          <w:rFonts w:ascii="Times New Roman" w:eastAsia="Times New Roman" w:hAnsi="Times New Roman" w:cs="Times New Roman"/>
          <w:b/>
          <w:bCs/>
          <w:sz w:val="18"/>
          <w:szCs w:val="18"/>
        </w:rPr>
      </w:pPr>
    </w:p>
    <w:p w:rsidR="00F071B9" w:rsidRDefault="00F071B9">
      <w:pPr>
        <w:spacing w:before="240" w:after="240"/>
        <w:rPr>
          <w:rFonts w:ascii="Times New Roman" w:eastAsia="Times New Roman" w:hAnsi="Times New Roman" w:cs="Times New Roman"/>
          <w:b/>
          <w:bCs/>
          <w:sz w:val="18"/>
          <w:szCs w:val="18"/>
        </w:rPr>
      </w:pPr>
    </w:p>
    <w:p w:rsidR="00F071B9" w:rsidRDefault="00F071B9">
      <w:pPr>
        <w:spacing w:before="240" w:after="240"/>
        <w:rPr>
          <w:rFonts w:ascii="Times New Roman" w:eastAsia="Times New Roman" w:hAnsi="Times New Roman" w:cs="Times New Roman"/>
          <w:b/>
          <w:bCs/>
          <w:sz w:val="18"/>
          <w:szCs w:val="18"/>
        </w:rPr>
      </w:pPr>
    </w:p>
    <w:p w:rsidR="00F071B9" w:rsidRDefault="00F071B9">
      <w:pPr>
        <w:spacing w:before="240" w:after="240"/>
        <w:rPr>
          <w:rFonts w:ascii="Times New Roman" w:eastAsia="Times New Roman" w:hAnsi="Times New Roman" w:cs="Times New Roman"/>
          <w:b/>
          <w:bCs/>
          <w:sz w:val="18"/>
          <w:szCs w:val="18"/>
        </w:rPr>
      </w:pPr>
    </w:p>
    <w:p w:rsidR="00F071B9" w:rsidRDefault="00F071B9">
      <w:pPr>
        <w:spacing w:before="240" w:after="240"/>
        <w:rPr>
          <w:rFonts w:ascii="Times New Roman" w:eastAsia="Times New Roman" w:hAnsi="Times New Roman" w:cs="Times New Roman"/>
          <w:b/>
          <w:bCs/>
          <w:sz w:val="18"/>
          <w:szCs w:val="18"/>
        </w:rPr>
      </w:pPr>
    </w:p>
    <w:p w:rsidR="00F071B9" w:rsidRDefault="00F071B9">
      <w:pPr>
        <w:spacing w:before="240" w:after="240"/>
        <w:rPr>
          <w:rFonts w:ascii="Times New Roman" w:eastAsia="Times New Roman" w:hAnsi="Times New Roman" w:cs="Times New Roman"/>
          <w:b/>
          <w:bCs/>
          <w:sz w:val="18"/>
          <w:szCs w:val="18"/>
        </w:rPr>
      </w:pPr>
    </w:p>
    <w:p w:rsidR="00F071B9" w:rsidRDefault="00F071B9">
      <w:pPr>
        <w:spacing w:before="240" w:after="240"/>
        <w:rPr>
          <w:rFonts w:ascii="Times New Roman" w:eastAsia="Times New Roman" w:hAnsi="Times New Roman" w:cs="Times New Roman"/>
          <w:b/>
          <w:bCs/>
          <w:sz w:val="18"/>
          <w:szCs w:val="18"/>
        </w:rPr>
      </w:pPr>
    </w:p>
    <w:p w:rsidR="00F071B9" w:rsidRDefault="00F071B9">
      <w:pPr>
        <w:spacing w:before="240" w:after="240"/>
        <w:rPr>
          <w:rFonts w:ascii="Times New Roman" w:eastAsia="Times New Roman" w:hAnsi="Times New Roman" w:cs="Times New Roman"/>
          <w:b/>
          <w:bCs/>
          <w:sz w:val="18"/>
          <w:szCs w:val="18"/>
        </w:rPr>
      </w:pPr>
    </w:p>
    <w:p w:rsidR="00F071B9" w:rsidRDefault="00F071B9">
      <w:pPr>
        <w:spacing w:before="240" w:after="240"/>
        <w:rPr>
          <w:rFonts w:ascii="Times New Roman" w:eastAsia="Times New Roman" w:hAnsi="Times New Roman" w:cs="Times New Roman"/>
          <w:b/>
          <w:bCs/>
          <w:sz w:val="18"/>
          <w:szCs w:val="18"/>
        </w:rPr>
      </w:pPr>
    </w:p>
    <w:p w:rsidR="00F071B9" w:rsidRDefault="00F071B9">
      <w:pPr>
        <w:spacing w:before="240" w:after="240"/>
        <w:rPr>
          <w:rFonts w:ascii="Times New Roman" w:eastAsia="Times New Roman" w:hAnsi="Times New Roman" w:cs="Times New Roman"/>
          <w:b/>
          <w:bCs/>
          <w:sz w:val="18"/>
          <w:szCs w:val="18"/>
        </w:rPr>
      </w:pPr>
    </w:p>
    <w:p w:rsidR="00F071B9" w:rsidRDefault="00F071B9">
      <w:pPr>
        <w:spacing w:before="240" w:after="240"/>
        <w:rPr>
          <w:rFonts w:ascii="Times New Roman" w:eastAsia="Times New Roman" w:hAnsi="Times New Roman" w:cs="Times New Roman"/>
          <w:b/>
          <w:bCs/>
          <w:sz w:val="18"/>
          <w:szCs w:val="18"/>
        </w:rPr>
      </w:pPr>
    </w:p>
    <w:p w:rsidR="00F071B9" w:rsidRDefault="00F071B9">
      <w:pPr>
        <w:spacing w:before="240" w:after="240"/>
        <w:rPr>
          <w:rFonts w:ascii="Times New Roman" w:eastAsia="Times New Roman" w:hAnsi="Times New Roman" w:cs="Times New Roman"/>
          <w:b/>
          <w:bCs/>
          <w:sz w:val="18"/>
          <w:szCs w:val="18"/>
        </w:rPr>
      </w:pPr>
    </w:p>
    <w:p w:rsidR="00F071B9" w:rsidRDefault="00F071B9">
      <w:pPr>
        <w:spacing w:before="240" w:after="240"/>
        <w:rPr>
          <w:rFonts w:ascii="Times New Roman" w:eastAsia="Times New Roman" w:hAnsi="Times New Roman" w:cs="Times New Roman"/>
          <w:b/>
          <w:bCs/>
          <w:sz w:val="18"/>
          <w:szCs w:val="18"/>
        </w:rPr>
      </w:pPr>
    </w:p>
    <w:p w:rsidR="00F071B9" w:rsidRDefault="00F071B9">
      <w:pPr>
        <w:spacing w:before="240" w:after="240"/>
        <w:rPr>
          <w:rFonts w:ascii="Times New Roman" w:eastAsia="Times New Roman" w:hAnsi="Times New Roman" w:cs="Times New Roman"/>
          <w:b/>
          <w:bCs/>
          <w:sz w:val="18"/>
          <w:szCs w:val="18"/>
        </w:rPr>
      </w:pPr>
    </w:p>
    <w:p w:rsidR="00F071B9" w:rsidRDefault="00F071B9">
      <w:pPr>
        <w:spacing w:before="240" w:after="240"/>
        <w:rPr>
          <w:rFonts w:ascii="Times New Roman" w:eastAsia="Times New Roman" w:hAnsi="Times New Roman" w:cs="Times New Roman"/>
          <w:b/>
          <w:bCs/>
          <w:sz w:val="18"/>
          <w:szCs w:val="18"/>
        </w:rPr>
      </w:pPr>
    </w:p>
    <w:p w:rsidR="00F071B9" w:rsidRDefault="00F071B9">
      <w:pPr>
        <w:spacing w:before="240" w:after="240"/>
        <w:rPr>
          <w:rFonts w:ascii="Times New Roman" w:eastAsia="Times New Roman" w:hAnsi="Times New Roman" w:cs="Times New Roman"/>
          <w:b/>
          <w:bCs/>
          <w:sz w:val="18"/>
          <w:szCs w:val="18"/>
        </w:rPr>
      </w:pPr>
    </w:p>
    <w:p w:rsidR="00F071B9" w:rsidRDefault="00F071B9">
      <w:pPr>
        <w:spacing w:before="240" w:after="240"/>
        <w:rPr>
          <w:rFonts w:ascii="Times New Roman" w:eastAsia="Times New Roman" w:hAnsi="Times New Roman" w:cs="Times New Roman"/>
          <w:b/>
          <w:bCs/>
          <w:sz w:val="18"/>
          <w:szCs w:val="18"/>
        </w:rPr>
      </w:pPr>
    </w:p>
    <w:p w:rsidR="00F071B9" w:rsidRDefault="00F071B9">
      <w:pPr>
        <w:spacing w:before="240" w:after="240"/>
        <w:rPr>
          <w:rFonts w:ascii="Times New Roman" w:eastAsia="Times New Roman" w:hAnsi="Times New Roman" w:cs="Times New Roman"/>
          <w:b/>
          <w:bCs/>
          <w:sz w:val="18"/>
          <w:szCs w:val="18"/>
        </w:rPr>
      </w:pPr>
    </w:p>
    <w:p w:rsidR="00F071B9" w:rsidRDefault="00F071B9">
      <w:pPr>
        <w:spacing w:before="240" w:after="240"/>
        <w:rPr>
          <w:rFonts w:ascii="Times New Roman" w:eastAsia="Times New Roman" w:hAnsi="Times New Roman" w:cs="Times New Roman"/>
          <w:b/>
          <w:bCs/>
          <w:sz w:val="18"/>
          <w:szCs w:val="18"/>
        </w:rPr>
      </w:pPr>
    </w:p>
    <w:p w:rsidR="00F071B9" w:rsidRDefault="00F071B9">
      <w:pPr>
        <w:spacing w:before="240" w:after="240"/>
        <w:rPr>
          <w:rFonts w:ascii="Times New Roman" w:eastAsia="Times New Roman" w:hAnsi="Times New Roman" w:cs="Times New Roman"/>
          <w:b/>
          <w:bCs/>
          <w:sz w:val="18"/>
          <w:szCs w:val="18"/>
        </w:rPr>
      </w:pPr>
    </w:p>
    <w:p w:rsidR="00F071B9" w:rsidRDefault="00F071B9">
      <w:pPr>
        <w:spacing w:before="240" w:after="240"/>
        <w:rPr>
          <w:rFonts w:ascii="Times New Roman" w:eastAsia="Times New Roman" w:hAnsi="Times New Roman" w:cs="Times New Roman"/>
          <w:b/>
          <w:bCs/>
          <w:sz w:val="18"/>
          <w:szCs w:val="18"/>
        </w:rPr>
      </w:pPr>
    </w:p>
    <w:p w:rsidR="00F071B9" w:rsidRDefault="00E543EE">
      <w:pPr>
        <w:spacing w:before="240" w:after="24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APPENDICES</w:t>
      </w:r>
    </w:p>
    <w:p w:rsidR="00F071B9" w:rsidRDefault="00E543EE">
      <w:pPr>
        <w:spacing w:before="240" w:after="24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Appendix A: </w:t>
      </w:r>
      <w:r>
        <w:rPr>
          <w:rFonts w:ascii="Times New Roman" w:eastAsia="Times New Roman" w:hAnsi="Times New Roman" w:cs="Times New Roman"/>
          <w:b/>
          <w:bCs/>
          <w:sz w:val="18"/>
          <w:szCs w:val="18"/>
        </w:rPr>
        <w:t>Demographic Questionnaire</w:t>
      </w:r>
    </w:p>
    <w:p w:rsidR="00F071B9" w:rsidRDefault="00E543EE">
      <w:pPr>
        <w:spacing w:before="240" w:after="24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Participant Information Form</w:t>
      </w:r>
    </w:p>
    <w:p w:rsidR="00F071B9" w:rsidRDefault="00E543EE">
      <w:pP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Please answer the following questions. Your responses will be kept confidential and used only for research purposes.</w:t>
      </w:r>
    </w:p>
    <w:p w:rsidR="00F071B9" w:rsidRDefault="00E543EE">
      <w:pPr>
        <w:numPr>
          <w:ilvl w:val="0"/>
          <w:numId w:val="5"/>
        </w:numPr>
        <w:spacing w:before="240"/>
        <w:rPr>
          <w:sz w:val="18"/>
          <w:szCs w:val="18"/>
        </w:rPr>
      </w:pPr>
      <w:r>
        <w:rPr>
          <w:rFonts w:ascii="Times New Roman" w:eastAsia="Times New Roman" w:hAnsi="Times New Roman" w:cs="Times New Roman"/>
          <w:b/>
          <w:bCs/>
          <w:sz w:val="18"/>
          <w:szCs w:val="18"/>
        </w:rPr>
        <w:t>Age:</w:t>
      </w:r>
      <w:r>
        <w:rPr>
          <w:rFonts w:ascii="Times New Roman" w:eastAsia="Times New Roman" w:hAnsi="Times New Roman" w:cs="Times New Roman"/>
          <w:b/>
          <w:bCs/>
          <w:sz w:val="18"/>
          <w:szCs w:val="18"/>
        </w:rPr>
        <w:br/>
      </w:r>
      <w:r>
        <w:rPr>
          <w:rFonts w:ascii="Times New Roman" w:eastAsia="Times New Roman" w:hAnsi="Times New Roman" w:cs="Times New Roman"/>
          <w:sz w:val="18"/>
          <w:szCs w:val="18"/>
        </w:rPr>
        <w:t xml:space="preserve"> ☐ 60–65</w:t>
      </w:r>
      <w:r>
        <w:rPr>
          <w:rFonts w:ascii="Times New Roman" w:eastAsia="Times New Roman" w:hAnsi="Times New Roman" w:cs="Times New Roman"/>
          <w:sz w:val="18"/>
          <w:szCs w:val="18"/>
        </w:rPr>
        <w:br/>
        <w:t xml:space="preserve"> ☐ 66–70</w:t>
      </w:r>
      <w:r>
        <w:rPr>
          <w:rFonts w:ascii="Times New Roman" w:eastAsia="Times New Roman" w:hAnsi="Times New Roman" w:cs="Times New Roman"/>
          <w:sz w:val="18"/>
          <w:szCs w:val="18"/>
        </w:rPr>
        <w:br/>
        <w:t xml:space="preserve"> ☐ 71–75</w:t>
      </w:r>
      <w:r>
        <w:rPr>
          <w:rFonts w:ascii="Times New Roman" w:eastAsia="Times New Roman" w:hAnsi="Times New Roman" w:cs="Times New Roman"/>
          <w:sz w:val="18"/>
          <w:szCs w:val="18"/>
        </w:rPr>
        <w:br/>
        <w:t xml:space="preserve"> ☐ 76 and above</w:t>
      </w:r>
    </w:p>
    <w:p w:rsidR="00F071B9" w:rsidRDefault="00E543EE">
      <w:pPr>
        <w:numPr>
          <w:ilvl w:val="0"/>
          <w:numId w:val="5"/>
        </w:numPr>
        <w:rPr>
          <w:sz w:val="18"/>
          <w:szCs w:val="18"/>
        </w:rPr>
      </w:pPr>
      <w:r>
        <w:rPr>
          <w:rFonts w:ascii="Times New Roman" w:eastAsia="Times New Roman" w:hAnsi="Times New Roman" w:cs="Times New Roman"/>
          <w:b/>
          <w:bCs/>
          <w:sz w:val="18"/>
          <w:szCs w:val="18"/>
        </w:rPr>
        <w:lastRenderedPageBreak/>
        <w:t>Gender:</w:t>
      </w:r>
      <w:r>
        <w:rPr>
          <w:rFonts w:ascii="Times New Roman" w:eastAsia="Times New Roman" w:hAnsi="Times New Roman" w:cs="Times New Roman"/>
          <w:b/>
          <w:bCs/>
          <w:sz w:val="18"/>
          <w:szCs w:val="18"/>
        </w:rPr>
        <w:br/>
      </w:r>
      <w:r>
        <w:rPr>
          <w:rFonts w:ascii="Times New Roman" w:eastAsia="Times New Roman" w:hAnsi="Times New Roman" w:cs="Times New Roman"/>
          <w:sz w:val="18"/>
          <w:szCs w:val="18"/>
        </w:rPr>
        <w:t xml:space="preserve"> ☐ Male</w:t>
      </w:r>
      <w:r>
        <w:rPr>
          <w:rFonts w:ascii="Times New Roman" w:eastAsia="Times New Roman" w:hAnsi="Times New Roman" w:cs="Times New Roman"/>
          <w:sz w:val="18"/>
          <w:szCs w:val="18"/>
        </w:rPr>
        <w:br/>
        <w:t xml:space="preserve"> ☐ Female</w:t>
      </w:r>
      <w:r>
        <w:rPr>
          <w:rFonts w:ascii="Times New Roman" w:eastAsia="Times New Roman" w:hAnsi="Times New Roman" w:cs="Times New Roman"/>
          <w:sz w:val="18"/>
          <w:szCs w:val="18"/>
        </w:rPr>
        <w:br/>
        <w:t xml:space="preserve"> ☐ Prefer </w:t>
      </w:r>
      <w:r>
        <w:rPr>
          <w:rFonts w:ascii="Times New Roman" w:eastAsia="Times New Roman" w:hAnsi="Times New Roman" w:cs="Times New Roman"/>
          <w:sz w:val="18"/>
          <w:szCs w:val="18"/>
        </w:rPr>
        <w:t>not to say</w:t>
      </w:r>
    </w:p>
    <w:p w:rsidR="00F071B9" w:rsidRDefault="00E543EE">
      <w:pPr>
        <w:numPr>
          <w:ilvl w:val="0"/>
          <w:numId w:val="5"/>
        </w:numPr>
        <w:rPr>
          <w:sz w:val="18"/>
          <w:szCs w:val="18"/>
        </w:rPr>
      </w:pPr>
      <w:r>
        <w:rPr>
          <w:rFonts w:ascii="Times New Roman" w:eastAsia="Times New Roman" w:hAnsi="Times New Roman" w:cs="Times New Roman"/>
          <w:b/>
          <w:bCs/>
          <w:sz w:val="18"/>
          <w:szCs w:val="18"/>
        </w:rPr>
        <w:t>How comfortable are you using a smartphone?</w:t>
      </w:r>
      <w:r>
        <w:rPr>
          <w:rFonts w:ascii="Times New Roman" w:eastAsia="Times New Roman" w:hAnsi="Times New Roman" w:cs="Times New Roman"/>
          <w:b/>
          <w:bCs/>
          <w:sz w:val="18"/>
          <w:szCs w:val="18"/>
        </w:rPr>
        <w:br/>
      </w:r>
      <w:r>
        <w:rPr>
          <w:rFonts w:ascii="Times New Roman" w:eastAsia="Times New Roman" w:hAnsi="Times New Roman" w:cs="Times New Roman"/>
          <w:sz w:val="18"/>
          <w:szCs w:val="18"/>
        </w:rPr>
        <w:t xml:space="preserve"> (1 = Not comfortable, 5 = Very comfortable)</w:t>
      </w:r>
      <w:r>
        <w:rPr>
          <w:rFonts w:ascii="Times New Roman" w:eastAsia="Times New Roman" w:hAnsi="Times New Roman" w:cs="Times New Roman"/>
          <w:sz w:val="18"/>
          <w:szCs w:val="18"/>
        </w:rPr>
        <w:br/>
        <w:t xml:space="preserve"> ☐ 1 ☐ 2 ☐ 3 ☐ 4 ☐ 5</w:t>
      </w:r>
    </w:p>
    <w:p w:rsidR="00F071B9" w:rsidRDefault="00E543EE">
      <w:pPr>
        <w:numPr>
          <w:ilvl w:val="0"/>
          <w:numId w:val="5"/>
        </w:numPr>
        <w:rPr>
          <w:sz w:val="18"/>
          <w:szCs w:val="18"/>
        </w:rPr>
      </w:pPr>
      <w:r>
        <w:rPr>
          <w:rFonts w:ascii="Times New Roman" w:eastAsia="Times New Roman" w:hAnsi="Times New Roman" w:cs="Times New Roman"/>
          <w:b/>
          <w:bCs/>
          <w:sz w:val="18"/>
          <w:szCs w:val="18"/>
        </w:rPr>
        <w:t>How often do you use mobile applications?</w:t>
      </w:r>
      <w:r>
        <w:rPr>
          <w:rFonts w:ascii="Times New Roman" w:eastAsia="Times New Roman" w:hAnsi="Times New Roman" w:cs="Times New Roman"/>
          <w:b/>
          <w:bCs/>
          <w:sz w:val="18"/>
          <w:szCs w:val="18"/>
        </w:rPr>
        <w:br/>
      </w:r>
      <w:r>
        <w:rPr>
          <w:rFonts w:ascii="Times New Roman" w:eastAsia="Times New Roman" w:hAnsi="Times New Roman" w:cs="Times New Roman"/>
          <w:sz w:val="18"/>
          <w:szCs w:val="18"/>
        </w:rPr>
        <w:t xml:space="preserve"> ☐ Rarely</w:t>
      </w:r>
      <w:r>
        <w:rPr>
          <w:rFonts w:ascii="Times New Roman" w:eastAsia="Times New Roman" w:hAnsi="Times New Roman" w:cs="Times New Roman"/>
          <w:sz w:val="18"/>
          <w:szCs w:val="18"/>
        </w:rPr>
        <w:br/>
        <w:t xml:space="preserve"> ☐ Sometimes</w:t>
      </w:r>
      <w:r>
        <w:rPr>
          <w:rFonts w:ascii="Times New Roman" w:eastAsia="Times New Roman" w:hAnsi="Times New Roman" w:cs="Times New Roman"/>
          <w:sz w:val="18"/>
          <w:szCs w:val="18"/>
        </w:rPr>
        <w:br/>
        <w:t xml:space="preserve"> ☐ Frequently</w:t>
      </w:r>
      <w:r>
        <w:rPr>
          <w:rFonts w:ascii="Times New Roman" w:eastAsia="Times New Roman" w:hAnsi="Times New Roman" w:cs="Times New Roman"/>
          <w:sz w:val="18"/>
          <w:szCs w:val="18"/>
        </w:rPr>
        <w:br/>
        <w:t xml:space="preserve"> ☐ Daily</w:t>
      </w:r>
    </w:p>
    <w:p w:rsidR="00F071B9" w:rsidRDefault="00E543EE">
      <w:pPr>
        <w:numPr>
          <w:ilvl w:val="0"/>
          <w:numId w:val="5"/>
        </w:numPr>
        <w:rPr>
          <w:sz w:val="18"/>
          <w:szCs w:val="18"/>
        </w:rPr>
      </w:pPr>
      <w:r>
        <w:rPr>
          <w:rFonts w:ascii="Times New Roman" w:eastAsia="Times New Roman" w:hAnsi="Times New Roman" w:cs="Times New Roman"/>
          <w:b/>
          <w:bCs/>
          <w:sz w:val="18"/>
          <w:szCs w:val="18"/>
        </w:rPr>
        <w:t xml:space="preserve">Have you used any online shopping (e-commerce) </w:t>
      </w:r>
      <w:r>
        <w:rPr>
          <w:rFonts w:ascii="Times New Roman" w:eastAsia="Times New Roman" w:hAnsi="Times New Roman" w:cs="Times New Roman"/>
          <w:b/>
          <w:bCs/>
          <w:sz w:val="18"/>
          <w:szCs w:val="18"/>
        </w:rPr>
        <w:t>apps before?</w:t>
      </w:r>
      <w:r>
        <w:rPr>
          <w:rFonts w:ascii="Times New Roman" w:eastAsia="Times New Roman" w:hAnsi="Times New Roman" w:cs="Times New Roman"/>
          <w:b/>
          <w:bCs/>
          <w:sz w:val="18"/>
          <w:szCs w:val="18"/>
        </w:rPr>
        <w:br/>
      </w:r>
      <w:r>
        <w:rPr>
          <w:rFonts w:ascii="Times New Roman" w:eastAsia="Times New Roman" w:hAnsi="Times New Roman" w:cs="Times New Roman"/>
          <w:sz w:val="18"/>
          <w:szCs w:val="18"/>
        </w:rPr>
        <w:t xml:space="preserve"> ☐ Yes</w:t>
      </w:r>
      <w:r>
        <w:rPr>
          <w:rFonts w:ascii="Times New Roman" w:eastAsia="Times New Roman" w:hAnsi="Times New Roman" w:cs="Times New Roman"/>
          <w:sz w:val="18"/>
          <w:szCs w:val="18"/>
        </w:rPr>
        <w:br/>
        <w:t xml:space="preserve"> ☐ No</w:t>
      </w:r>
    </w:p>
    <w:p w:rsidR="00F071B9" w:rsidRDefault="00E543EE">
      <w:pPr>
        <w:numPr>
          <w:ilvl w:val="0"/>
          <w:numId w:val="5"/>
        </w:numPr>
        <w:spacing w:after="240"/>
        <w:rPr>
          <w:sz w:val="18"/>
          <w:szCs w:val="18"/>
        </w:rPr>
      </w:pPr>
      <w:r>
        <w:rPr>
          <w:rFonts w:ascii="Times New Roman" w:eastAsia="Times New Roman" w:hAnsi="Times New Roman" w:cs="Times New Roman"/>
          <w:b/>
          <w:bCs/>
          <w:sz w:val="18"/>
          <w:szCs w:val="18"/>
        </w:rPr>
        <w:t>If yes, which apps have you used?</w:t>
      </w:r>
      <w:r>
        <w:rPr>
          <w:rFonts w:ascii="Times New Roman" w:eastAsia="Times New Roman" w:hAnsi="Times New Roman" w:cs="Times New Roman"/>
          <w:b/>
          <w:bCs/>
          <w:sz w:val="18"/>
          <w:szCs w:val="18"/>
        </w:rPr>
        <w:br/>
      </w:r>
      <w:r>
        <w:rPr>
          <w:rFonts w:ascii="Times New Roman" w:eastAsia="Times New Roman" w:hAnsi="Times New Roman" w:cs="Times New Roman"/>
          <w:sz w:val="18"/>
          <w:szCs w:val="18"/>
        </w:rPr>
        <w:t xml:space="preserve"> (Open-ended) ___________________________</w:t>
      </w:r>
    </w:p>
    <w:p w:rsidR="00F071B9" w:rsidRDefault="00F071B9">
      <w:pPr>
        <w:spacing w:before="240" w:after="240"/>
        <w:rPr>
          <w:rFonts w:ascii="Times New Roman" w:eastAsia="Times New Roman" w:hAnsi="Times New Roman" w:cs="Times New Roman"/>
          <w:sz w:val="18"/>
          <w:szCs w:val="18"/>
        </w:rPr>
      </w:pPr>
    </w:p>
    <w:p w:rsidR="00F071B9" w:rsidRDefault="00E543EE">
      <w:pPr>
        <w:spacing w:before="240" w:after="240"/>
        <w:rPr>
          <w:rFonts w:ascii="Times New Roman" w:eastAsia="Times New Roman" w:hAnsi="Times New Roman" w:cs="Times New Roman"/>
          <w:i/>
          <w:iCs/>
          <w:sz w:val="18"/>
          <w:szCs w:val="18"/>
        </w:rPr>
      </w:pPr>
      <w:r>
        <w:rPr>
          <w:rFonts w:ascii="Times New Roman" w:eastAsia="Times New Roman" w:hAnsi="Times New Roman" w:cs="Times New Roman"/>
          <w:b/>
          <w:bCs/>
          <w:sz w:val="18"/>
          <w:szCs w:val="18"/>
        </w:rPr>
        <w:t>Appendix B: System Usability Scale (Large Font Version)</w:t>
      </w:r>
    </w:p>
    <w:p w:rsidR="00F071B9" w:rsidRDefault="00E543EE">
      <w:pPr>
        <w:spacing w:before="240" w:after="24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System Usability Questionnaire</w:t>
      </w:r>
    </w:p>
    <w:p w:rsidR="00F071B9" w:rsidRDefault="00E543EE">
      <w:pP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Please indicate how much you agree or disagree with the following </w:t>
      </w:r>
      <w:r>
        <w:rPr>
          <w:rFonts w:ascii="Times New Roman" w:eastAsia="Times New Roman" w:hAnsi="Times New Roman" w:cs="Times New Roman"/>
          <w:sz w:val="18"/>
          <w:szCs w:val="18"/>
        </w:rPr>
        <w:t>statements.</w:t>
      </w:r>
    </w:p>
    <w:p w:rsidR="00F071B9" w:rsidRDefault="00E543EE">
      <w:pPr>
        <w:spacing w:before="240" w:after="24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Scale:</w:t>
      </w:r>
      <w:r>
        <w:rPr>
          <w:rFonts w:ascii="Times New Roman" w:eastAsia="Times New Roman" w:hAnsi="Times New Roman" w:cs="Times New Roman"/>
          <w:b/>
          <w:bCs/>
          <w:sz w:val="18"/>
          <w:szCs w:val="18"/>
        </w:rPr>
        <w:br/>
      </w:r>
      <w:r>
        <w:rPr>
          <w:rFonts w:ascii="Times New Roman" w:eastAsia="Times New Roman" w:hAnsi="Times New Roman" w:cs="Times New Roman"/>
          <w:sz w:val="18"/>
          <w:szCs w:val="18"/>
        </w:rPr>
        <w:t xml:space="preserve"> 1 = Strongly Disagree</w:t>
      </w:r>
      <w:r>
        <w:rPr>
          <w:rFonts w:ascii="Times New Roman" w:eastAsia="Times New Roman" w:hAnsi="Times New Roman" w:cs="Times New Roman"/>
          <w:sz w:val="18"/>
          <w:szCs w:val="18"/>
        </w:rPr>
        <w:br/>
        <w:t xml:space="preserve"> 2 = Disagree</w:t>
      </w:r>
      <w:r>
        <w:rPr>
          <w:rFonts w:ascii="Times New Roman" w:eastAsia="Times New Roman" w:hAnsi="Times New Roman" w:cs="Times New Roman"/>
          <w:sz w:val="18"/>
          <w:szCs w:val="18"/>
        </w:rPr>
        <w:br/>
        <w:t xml:space="preserve"> 3 = Neutral</w:t>
      </w:r>
      <w:r>
        <w:rPr>
          <w:rFonts w:ascii="Times New Roman" w:eastAsia="Times New Roman" w:hAnsi="Times New Roman" w:cs="Times New Roman"/>
          <w:sz w:val="18"/>
          <w:szCs w:val="18"/>
        </w:rPr>
        <w:br/>
        <w:t xml:space="preserve"> 4 = Agree</w:t>
      </w:r>
      <w:r>
        <w:rPr>
          <w:rFonts w:ascii="Times New Roman" w:eastAsia="Times New Roman" w:hAnsi="Times New Roman" w:cs="Times New Roman"/>
          <w:sz w:val="18"/>
          <w:szCs w:val="18"/>
        </w:rPr>
        <w:br/>
        <w:t xml:space="preserve"> 5 = Strongly Agree</w:t>
      </w:r>
    </w:p>
    <w:p w:rsidR="00F071B9" w:rsidRDefault="00E543EE">
      <w:pPr>
        <w:numPr>
          <w:ilvl w:val="0"/>
          <w:numId w:val="6"/>
        </w:numPr>
        <w:spacing w:before="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think that I would like to use this system frequently.</w:t>
      </w:r>
    </w:p>
    <w:p w:rsidR="00F071B9" w:rsidRDefault="00E543EE">
      <w:pPr>
        <w:numPr>
          <w:ilvl w:val="0"/>
          <w:numId w:val="6"/>
        </w:num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found the system unnecessarily complex.</w:t>
      </w:r>
    </w:p>
    <w:p w:rsidR="00F071B9" w:rsidRDefault="00E543EE">
      <w:pPr>
        <w:numPr>
          <w:ilvl w:val="0"/>
          <w:numId w:val="6"/>
        </w:num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thought the system was easy to use.</w:t>
      </w:r>
    </w:p>
    <w:p w:rsidR="00F071B9" w:rsidRDefault="00E543EE">
      <w:pPr>
        <w:numPr>
          <w:ilvl w:val="0"/>
          <w:numId w:val="6"/>
        </w:num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 think that I </w:t>
      </w:r>
      <w:r>
        <w:rPr>
          <w:rFonts w:ascii="Times New Roman" w:eastAsia="Times New Roman" w:hAnsi="Times New Roman" w:cs="Times New Roman"/>
          <w:sz w:val="18"/>
          <w:szCs w:val="18"/>
        </w:rPr>
        <w:t>would need the support of a technical person to use this system.</w:t>
      </w:r>
    </w:p>
    <w:p w:rsidR="00F071B9" w:rsidRDefault="00E543EE">
      <w:pPr>
        <w:numPr>
          <w:ilvl w:val="0"/>
          <w:numId w:val="6"/>
        </w:num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found the various functions in this system were well integrated.</w:t>
      </w:r>
    </w:p>
    <w:p w:rsidR="00F071B9" w:rsidRDefault="00E543EE">
      <w:pPr>
        <w:numPr>
          <w:ilvl w:val="0"/>
          <w:numId w:val="6"/>
        </w:num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thought there was too much inconsistency in this system.</w:t>
      </w:r>
    </w:p>
    <w:p w:rsidR="00F071B9" w:rsidRDefault="00E543EE">
      <w:pPr>
        <w:numPr>
          <w:ilvl w:val="0"/>
          <w:numId w:val="6"/>
        </w:num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would imagine that most people would learn to use this system v</w:t>
      </w:r>
      <w:r>
        <w:rPr>
          <w:rFonts w:ascii="Times New Roman" w:eastAsia="Times New Roman" w:hAnsi="Times New Roman" w:cs="Times New Roman"/>
          <w:sz w:val="18"/>
          <w:szCs w:val="18"/>
        </w:rPr>
        <w:t>ery quickly.</w:t>
      </w:r>
    </w:p>
    <w:p w:rsidR="00F071B9" w:rsidRDefault="00E543EE">
      <w:pPr>
        <w:numPr>
          <w:ilvl w:val="0"/>
          <w:numId w:val="6"/>
        </w:num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found the system very cumbersome to use.</w:t>
      </w:r>
    </w:p>
    <w:p w:rsidR="00F071B9" w:rsidRDefault="00E543EE">
      <w:pPr>
        <w:numPr>
          <w:ilvl w:val="0"/>
          <w:numId w:val="6"/>
        </w:num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felt very confident using the system.</w:t>
      </w:r>
    </w:p>
    <w:p w:rsidR="00F071B9" w:rsidRDefault="00E543EE">
      <w:pPr>
        <w:numPr>
          <w:ilvl w:val="0"/>
          <w:numId w:val="6"/>
        </w:num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needed to learn a lot of things before I could get going with this system.</w:t>
      </w:r>
    </w:p>
    <w:p w:rsidR="00F071B9" w:rsidRDefault="00F071B9">
      <w:pPr>
        <w:spacing w:before="240" w:after="240"/>
      </w:pPr>
    </w:p>
    <w:p w:rsidR="00F071B9" w:rsidRDefault="00F071B9">
      <w:pPr>
        <w:spacing w:before="240" w:after="240"/>
      </w:pPr>
    </w:p>
    <w:p w:rsidR="00F071B9" w:rsidRDefault="00F071B9">
      <w:pPr>
        <w:spacing w:before="240" w:after="240"/>
      </w:pPr>
    </w:p>
    <w:p w:rsidR="00F071B9" w:rsidRDefault="00F071B9">
      <w:pPr>
        <w:spacing w:before="240" w:after="240"/>
      </w:pPr>
    </w:p>
    <w:p w:rsidR="00F071B9" w:rsidRDefault="00F071B9">
      <w:pPr>
        <w:spacing w:before="240" w:after="240"/>
      </w:pPr>
    </w:p>
    <w:p w:rsidR="00F071B9" w:rsidRDefault="00F071B9"/>
    <w:sectPr w:rsidR="00F071B9">
      <w:footerReference w:type="default" r:id="rId19"/>
      <w:footerReference w:type="first" r:id="rId20"/>
      <w:pgSz w:w="11909" w:h="16834"/>
      <w:pgMar w:top="1440" w:right="1440" w:bottom="1440" w:left="17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3EE" w:rsidRDefault="00E543EE">
      <w:pPr>
        <w:spacing w:line="240" w:lineRule="auto"/>
      </w:pPr>
      <w:r>
        <w:separator/>
      </w:r>
    </w:p>
  </w:endnote>
  <w:endnote w:type="continuationSeparator" w:id="0">
    <w:p w:rsidR="00E543EE" w:rsidRDefault="00E543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1BAECE4B-7E56-475A-8BEE-5662D354BD81}"/>
  </w:font>
  <w:font w:name="Cambria">
    <w:panose1 w:val="02040503050406030204"/>
    <w:charset w:val="00"/>
    <w:family w:val="roman"/>
    <w:pitch w:val="variable"/>
    <w:sig w:usb0="E00006FF" w:usb1="420024FF" w:usb2="02000000" w:usb3="00000000" w:csb0="0000019F" w:csb1="00000000"/>
    <w:embedRegular r:id="rId2" w:fontKey="{D70FE084-9C98-469F-90C6-155492AED5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1B9" w:rsidRDefault="00E543E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fldChar w:fldCharType="begin"/>
    </w:r>
    <w:r>
      <w:rPr>
        <w:rFonts w:ascii="Times New Roman" w:eastAsia="Times New Roman" w:hAnsi="Times New Roman" w:cs="Times New Roman"/>
        <w:sz w:val="16"/>
        <w:szCs w:val="16"/>
      </w:rPr>
      <w:instrText>PAGE</w:instrText>
    </w:r>
    <w:r w:rsidR="003A13FA">
      <w:rPr>
        <w:rFonts w:ascii="Times New Roman" w:eastAsia="Times New Roman" w:hAnsi="Times New Roman" w:cs="Times New Roman"/>
        <w:sz w:val="16"/>
        <w:szCs w:val="16"/>
      </w:rPr>
      <w:fldChar w:fldCharType="separate"/>
    </w:r>
    <w:r w:rsidR="003A13FA">
      <w:rPr>
        <w:rFonts w:ascii="Times New Roman" w:eastAsia="Times New Roman" w:hAnsi="Times New Roman" w:cs="Times New Roman"/>
        <w:noProof/>
        <w:sz w:val="16"/>
        <w:szCs w:val="16"/>
      </w:rPr>
      <w:t>20</w:t>
    </w:r>
    <w:r>
      <w:rPr>
        <w:rFonts w:ascii="Times New Roman" w:eastAsia="Times New Roman" w:hAnsi="Times New Roman" w:cs="Times New Roman"/>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1B9" w:rsidRDefault="00E543EE">
    <w:pPr>
      <w:jc w:val="right"/>
    </w:pPr>
    <w:r>
      <w:fldChar w:fldCharType="begin"/>
    </w:r>
    <w:r>
      <w:instrText>PAGE</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3EE" w:rsidRDefault="00E543EE">
      <w:r>
        <w:separator/>
      </w:r>
    </w:p>
  </w:footnote>
  <w:footnote w:type="continuationSeparator" w:id="0">
    <w:p w:rsidR="00E543EE" w:rsidRDefault="00E543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start w:val="1"/>
      <w:numFmt w:val="decimal"/>
      <w:lvlText w:val="%1."/>
      <w:lvlJc w:val="left"/>
      <w:pPr>
        <w:ind w:left="720" w:hanging="360"/>
      </w:pPr>
      <w:rPr>
        <w:rFonts w:ascii="Times New Roman" w:eastAsia="Times New Roman" w:hAnsi="Times New Roman" w:cs="Times New Roman"/>
        <w:b w:val="0"/>
        <w:bCs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BF205925"/>
    <w:multiLevelType w:val="multilevel"/>
    <w:tmpl w:val="BF2059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CF092B84"/>
    <w:multiLevelType w:val="multilevel"/>
    <w:tmpl w:val="CF092B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nsid w:val="0053208E"/>
    <w:multiLevelType w:val="multilevel"/>
    <w:tmpl w:val="00532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nsid w:val="03D62ECE"/>
    <w:multiLevelType w:val="multilevel"/>
    <w:tmpl w:val="03D62E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59ADCABA"/>
    <w:multiLevelType w:val="multilevel"/>
    <w:tmpl w:val="59ADC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071B9"/>
    <w:rsid w:val="003A13FA"/>
    <w:rsid w:val="00E543EE"/>
    <w:rsid w:val="00F071B9"/>
    <w:rsid w:val="10742D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IN" w:eastAsia="en-IN" w:bidi="ar-SA"/>
      </w:rPr>
    </w:rPrDefault>
    <w:pPrDefault/>
  </w:docDefaults>
  <w:latentStyles w:defLockedState="0" w:defUIPriority="0" w:defSemiHidden="0" w:defUnhideWhenUsed="0" w:defQFormat="0" w:count="267">
    <w:lsdException w:name="Normal" w:qFormat="1"/>
    <w:lsdException w:name="heading 2"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76" w:lineRule="auto"/>
    </w:pPr>
    <w:rPr>
      <w:sz w:val="22"/>
      <w:szCs w:val="22"/>
      <w:lang w:val="zh-CN"/>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qFormat/>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qFormat/>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pPr>
      <w:keepNext/>
      <w:keepLines/>
      <w:spacing w:after="320"/>
    </w:pPr>
    <w:rPr>
      <w:color w:val="666666"/>
      <w:sz w:val="30"/>
      <w:szCs w:val="30"/>
    </w:rPr>
  </w:style>
  <w:style w:type="paragraph" w:styleId="Title">
    <w:name w:val="Title"/>
    <w:basedOn w:val="Normal"/>
    <w:next w:val="Normal"/>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Style10">
    <w:name w:val="_Style 10"/>
    <w:basedOn w:val="TableNormal0"/>
    <w:tblPr>
      <w:tblCellMar>
        <w:top w:w="100" w:type="dxa"/>
        <w:left w:w="100" w:type="dxa"/>
        <w:bottom w:w="100" w:type="dxa"/>
        <w:right w:w="100" w:type="dxa"/>
      </w:tblCellMar>
    </w:tblPr>
  </w:style>
  <w:style w:type="table" w:customStyle="1" w:styleId="Style11">
    <w:name w:val="_Style 11"/>
    <w:basedOn w:val="TableNormal0"/>
    <w:qFormat/>
    <w:tblPr>
      <w:tblCellMar>
        <w:top w:w="100" w:type="dxa"/>
        <w:left w:w="100" w:type="dxa"/>
        <w:bottom w:w="100" w:type="dxa"/>
        <w:right w:w="100" w:type="dxa"/>
      </w:tblCellMar>
    </w:tblPr>
  </w:style>
  <w:style w:type="table" w:customStyle="1" w:styleId="Style12">
    <w:name w:val="_Style 12"/>
    <w:basedOn w:val="TableNormal0"/>
    <w:qFormat/>
    <w:tblPr>
      <w:tblCellMar>
        <w:top w:w="100" w:type="dxa"/>
        <w:left w:w="100" w:type="dxa"/>
        <w:bottom w:w="100" w:type="dxa"/>
        <w:right w:w="100" w:type="dxa"/>
      </w:tblCellMar>
    </w:tblPr>
  </w:style>
  <w:style w:type="table" w:customStyle="1" w:styleId="Style13">
    <w:name w:val="_Style 13"/>
    <w:basedOn w:val="TableNormal0"/>
    <w:qFormat/>
    <w:tblPr>
      <w:tblCellMar>
        <w:top w:w="100" w:type="dxa"/>
        <w:left w:w="100" w:type="dxa"/>
        <w:bottom w:w="100" w:type="dxa"/>
        <w:right w:w="100" w:type="dxa"/>
      </w:tblCellMar>
    </w:tblPr>
  </w:style>
  <w:style w:type="table" w:customStyle="1" w:styleId="Style14">
    <w:name w:val="_Style 14"/>
    <w:basedOn w:val="TableNormal0"/>
    <w:qFormat/>
    <w:tblPr>
      <w:tblCellMar>
        <w:top w:w="100" w:type="dxa"/>
        <w:left w:w="100" w:type="dxa"/>
        <w:bottom w:w="100" w:type="dxa"/>
        <w:right w:w="100" w:type="dxa"/>
      </w:tblCellMar>
    </w:tblPr>
  </w:style>
  <w:style w:type="table" w:customStyle="1" w:styleId="Style15">
    <w:name w:val="_Style 15"/>
    <w:basedOn w:val="TableNormal0"/>
    <w:qFormat/>
    <w:tblPr>
      <w:tblCellMar>
        <w:top w:w="100" w:type="dxa"/>
        <w:left w:w="100" w:type="dxa"/>
        <w:bottom w:w="100" w:type="dxa"/>
        <w:right w:w="100" w:type="dxa"/>
      </w:tblCellMar>
    </w:tblPr>
  </w:style>
  <w:style w:type="table" w:customStyle="1" w:styleId="Style16">
    <w:name w:val="_Style 16"/>
    <w:basedOn w:val="TableNormal0"/>
    <w:qFormat/>
    <w:tblPr>
      <w:tblCellMar>
        <w:top w:w="100" w:type="dxa"/>
        <w:left w:w="100" w:type="dxa"/>
        <w:bottom w:w="100" w:type="dxa"/>
        <w:right w:w="100" w:type="dxa"/>
      </w:tblCellMar>
    </w:tblPr>
  </w:style>
  <w:style w:type="table" w:customStyle="1" w:styleId="Style17">
    <w:name w:val="_Style 17"/>
    <w:basedOn w:val="TableNormal0"/>
    <w:qFormat/>
    <w:tblPr>
      <w:tblCellMar>
        <w:top w:w="100" w:type="dxa"/>
        <w:left w:w="100" w:type="dxa"/>
        <w:bottom w:w="100" w:type="dxa"/>
        <w:right w:w="100" w:type="dxa"/>
      </w:tblCellMar>
    </w:tblPr>
    <w:tcPr>
      <w:shd w:val="clear" w:color="auto" w:fill="171717"/>
    </w:tcPr>
  </w:style>
  <w:style w:type="table" w:customStyle="1" w:styleId="Style18">
    <w:name w:val="_Style 18"/>
    <w:basedOn w:val="TableNormal0"/>
    <w:qFormat/>
    <w:tblPr>
      <w:tblCellMar>
        <w:top w:w="100" w:type="dxa"/>
        <w:left w:w="100" w:type="dxa"/>
        <w:bottom w:w="100" w:type="dxa"/>
        <w:right w:w="100" w:type="dxa"/>
      </w:tblCellMar>
    </w:tblPr>
  </w:style>
  <w:style w:type="table" w:customStyle="1" w:styleId="Style19">
    <w:name w:val="_Style 19"/>
    <w:basedOn w:val="TableNormal0"/>
    <w:qFormat/>
    <w:tblPr>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en-IN" w:eastAsia="en-IN" w:bidi="ar-SA"/>
      </w:rPr>
    </w:rPrDefault>
    <w:pPrDefault/>
  </w:docDefaults>
  <w:latentStyles w:defLockedState="0" w:defUIPriority="0" w:defSemiHidden="0" w:defUnhideWhenUsed="0" w:defQFormat="0" w:count="267">
    <w:lsdException w:name="Normal" w:qFormat="1"/>
    <w:lsdException w:name="heading 2"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76" w:lineRule="auto"/>
    </w:pPr>
    <w:rPr>
      <w:sz w:val="22"/>
      <w:szCs w:val="22"/>
      <w:lang w:val="zh-CN"/>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qFormat/>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qFormat/>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pPr>
      <w:keepNext/>
      <w:keepLines/>
      <w:spacing w:after="320"/>
    </w:pPr>
    <w:rPr>
      <w:color w:val="666666"/>
      <w:sz w:val="30"/>
      <w:szCs w:val="30"/>
    </w:rPr>
  </w:style>
  <w:style w:type="paragraph" w:styleId="Title">
    <w:name w:val="Title"/>
    <w:basedOn w:val="Normal"/>
    <w:next w:val="Normal"/>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Style10">
    <w:name w:val="_Style 10"/>
    <w:basedOn w:val="TableNormal0"/>
    <w:tblPr>
      <w:tblCellMar>
        <w:top w:w="100" w:type="dxa"/>
        <w:left w:w="100" w:type="dxa"/>
        <w:bottom w:w="100" w:type="dxa"/>
        <w:right w:w="100" w:type="dxa"/>
      </w:tblCellMar>
    </w:tblPr>
  </w:style>
  <w:style w:type="table" w:customStyle="1" w:styleId="Style11">
    <w:name w:val="_Style 11"/>
    <w:basedOn w:val="TableNormal0"/>
    <w:qFormat/>
    <w:tblPr>
      <w:tblCellMar>
        <w:top w:w="100" w:type="dxa"/>
        <w:left w:w="100" w:type="dxa"/>
        <w:bottom w:w="100" w:type="dxa"/>
        <w:right w:w="100" w:type="dxa"/>
      </w:tblCellMar>
    </w:tblPr>
  </w:style>
  <w:style w:type="table" w:customStyle="1" w:styleId="Style12">
    <w:name w:val="_Style 12"/>
    <w:basedOn w:val="TableNormal0"/>
    <w:qFormat/>
    <w:tblPr>
      <w:tblCellMar>
        <w:top w:w="100" w:type="dxa"/>
        <w:left w:w="100" w:type="dxa"/>
        <w:bottom w:w="100" w:type="dxa"/>
        <w:right w:w="100" w:type="dxa"/>
      </w:tblCellMar>
    </w:tblPr>
  </w:style>
  <w:style w:type="table" w:customStyle="1" w:styleId="Style13">
    <w:name w:val="_Style 13"/>
    <w:basedOn w:val="TableNormal0"/>
    <w:qFormat/>
    <w:tblPr>
      <w:tblCellMar>
        <w:top w:w="100" w:type="dxa"/>
        <w:left w:w="100" w:type="dxa"/>
        <w:bottom w:w="100" w:type="dxa"/>
        <w:right w:w="100" w:type="dxa"/>
      </w:tblCellMar>
    </w:tblPr>
  </w:style>
  <w:style w:type="table" w:customStyle="1" w:styleId="Style14">
    <w:name w:val="_Style 14"/>
    <w:basedOn w:val="TableNormal0"/>
    <w:qFormat/>
    <w:tblPr>
      <w:tblCellMar>
        <w:top w:w="100" w:type="dxa"/>
        <w:left w:w="100" w:type="dxa"/>
        <w:bottom w:w="100" w:type="dxa"/>
        <w:right w:w="100" w:type="dxa"/>
      </w:tblCellMar>
    </w:tblPr>
  </w:style>
  <w:style w:type="table" w:customStyle="1" w:styleId="Style15">
    <w:name w:val="_Style 15"/>
    <w:basedOn w:val="TableNormal0"/>
    <w:qFormat/>
    <w:tblPr>
      <w:tblCellMar>
        <w:top w:w="100" w:type="dxa"/>
        <w:left w:w="100" w:type="dxa"/>
        <w:bottom w:w="100" w:type="dxa"/>
        <w:right w:w="100" w:type="dxa"/>
      </w:tblCellMar>
    </w:tblPr>
  </w:style>
  <w:style w:type="table" w:customStyle="1" w:styleId="Style16">
    <w:name w:val="_Style 16"/>
    <w:basedOn w:val="TableNormal0"/>
    <w:qFormat/>
    <w:tblPr>
      <w:tblCellMar>
        <w:top w:w="100" w:type="dxa"/>
        <w:left w:w="100" w:type="dxa"/>
        <w:bottom w:w="100" w:type="dxa"/>
        <w:right w:w="100" w:type="dxa"/>
      </w:tblCellMar>
    </w:tblPr>
  </w:style>
  <w:style w:type="table" w:customStyle="1" w:styleId="Style17">
    <w:name w:val="_Style 17"/>
    <w:basedOn w:val="TableNormal0"/>
    <w:qFormat/>
    <w:tblPr>
      <w:tblCellMar>
        <w:top w:w="100" w:type="dxa"/>
        <w:left w:w="100" w:type="dxa"/>
        <w:bottom w:w="100" w:type="dxa"/>
        <w:right w:w="100" w:type="dxa"/>
      </w:tblCellMar>
    </w:tblPr>
    <w:tcPr>
      <w:shd w:val="clear" w:color="auto" w:fill="171717"/>
    </w:tcPr>
  </w:style>
  <w:style w:type="table" w:customStyle="1" w:styleId="Style18">
    <w:name w:val="_Style 18"/>
    <w:basedOn w:val="TableNormal0"/>
    <w:qFormat/>
    <w:tblPr>
      <w:tblCellMar>
        <w:top w:w="100" w:type="dxa"/>
        <w:left w:w="100" w:type="dxa"/>
        <w:bottom w:w="100" w:type="dxa"/>
        <w:right w:w="100" w:type="dxa"/>
      </w:tblCellMar>
    </w:tblPr>
  </w:style>
  <w:style w:type="table" w:customStyle="1" w:styleId="Style19">
    <w:name w:val="_Style 19"/>
    <w:basedOn w:val="TableNormal0"/>
    <w:qFormat/>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80/10447310802205776" TargetMode="External"/><Relationship Id="rId18" Type="http://schemas.openxmlformats.org/officeDocument/2006/relationships/hyperlink" Target="https://www.statista.com/statistics/257048/"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iamai.in/research" TargetMode="External"/><Relationship Id="rId2" Type="http://schemas.openxmlformats.org/officeDocument/2006/relationships/styles" Target="styles.xml"/><Relationship Id="rId16" Type="http://schemas.openxmlformats.org/officeDocument/2006/relationships/hyperlink" Target="https://doi.org/10.1207/s15516709cog1202_4"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i.org/10.1207/s15516709cog1202_4"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80/10447310802205776"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7197</Words>
  <Characters>41026</Characters>
  <Application>Microsoft Office Word</Application>
  <DocSecurity>0</DocSecurity>
  <Lines>341</Lines>
  <Paragraphs>96</Paragraphs>
  <ScaleCrop>false</ScaleCrop>
  <Company/>
  <LinksUpToDate>false</LinksUpToDate>
  <CharactersWithSpaces>48127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KIIT</dc:creator>
  <cp:lastModifiedBy>qwert</cp:lastModifiedBy>
  <cp:revision>2</cp:revision>
  <dcterms:created xsi:type="dcterms:W3CDTF">2026-05-01T21:42:00Z</dcterms:created>
  <dcterms:modified xsi:type="dcterms:W3CDTF">2026-05-02T11:12:00Z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1033-12.2.0.23202</vt:lpwstr>
  </property>
  <property fmtid="{D5CDD505-2E9C-101B-9397-08002B2CF9AE}" pid="3" name="ICV">
    <vt:lpwstr>BFFD1153F71942E1B789891B2AC398C4_12</vt:lpwstr>
  </property>
</Properties>
</file>