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F547D" w14:textId="77777777" w:rsidR="00E171B9"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Compliance among SMEs in the Food Processing Industry in the Philippines and Thailand: A Systematic Literature Review of Socio-Cultural Influences and Best Practices</w:t>
      </w:r>
    </w:p>
    <w:p w14:paraId="7D491892" w14:textId="77777777" w:rsidR="00E171B9" w:rsidRDefault="00E171B9" w:rsidP="007A4331">
      <w:pPr>
        <w:rPr>
          <w:rFonts w:ascii="Times New Roman" w:eastAsia="Times New Roman" w:hAnsi="Times New Roman" w:cs="Times New Roman"/>
          <w:i/>
          <w:iCs/>
          <w:sz w:val="24"/>
          <w:szCs w:val="24"/>
        </w:rPr>
      </w:pPr>
    </w:p>
    <w:p w14:paraId="6223E72E" w14:textId="77777777" w:rsidR="00E171B9" w:rsidRDefault="00E171B9">
      <w:pPr>
        <w:jc w:val="center"/>
        <w:rPr>
          <w:rFonts w:ascii="Times New Roman" w:eastAsia="Times New Roman" w:hAnsi="Times New Roman" w:cs="Times New Roman"/>
          <w:sz w:val="24"/>
          <w:szCs w:val="24"/>
        </w:rPr>
      </w:pPr>
    </w:p>
    <w:p w14:paraId="1668C7F9" w14:textId="77777777" w:rsidR="00E171B9"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4CCC6363"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undertakes a systematic literature review of sustainability compliance among small and medium enterprises (SMEs) in the food processing industry in the Philippines and Thailand. Guided by the PRISMA framework, the review synthesizes 25 peer-reviewed journal articles published between 2015 and 2025. The study examines environmental and social sustainability practices, structural constraints, and socio-cultural influences affecting SME compliance.</w:t>
      </w:r>
    </w:p>
    <w:p w14:paraId="580DB53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indicate that sustainability adoption remains uneven and largely compliance-driven, shaped by regulatory pressures, market demands, and cost considerations (</w:t>
      </w:r>
      <w:proofErr w:type="spellStart"/>
      <w:r>
        <w:rPr>
          <w:rFonts w:ascii="Times New Roman" w:eastAsia="Times New Roman" w:hAnsi="Times New Roman" w:cs="Times New Roman"/>
          <w:sz w:val="24"/>
          <w:szCs w:val="24"/>
        </w:rPr>
        <w:t>Klewitz</w:t>
      </w:r>
      <w:proofErr w:type="spellEnd"/>
      <w:r>
        <w:rPr>
          <w:rFonts w:ascii="Times New Roman" w:eastAsia="Times New Roman" w:hAnsi="Times New Roman" w:cs="Times New Roman"/>
          <w:sz w:val="24"/>
          <w:szCs w:val="24"/>
        </w:rPr>
        <w:t xml:space="preserve"> &amp; Hansen, 2016; Testa et al., 2018). In the Philippines, sustainability practices are often community-oriented and embedded in local social systems, while Thailand demonstrates more formalized compliance due to stronger integration into global supply chains (Zhu et al., 2016; Khan et al., 2020).</w:t>
      </w:r>
    </w:p>
    <w:p w14:paraId="20ECE5AE"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factors such as collectivism, family ownership structures, and relational norms significantly influence sustainability behavior in both contexts (</w:t>
      </w: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et al., 2023; Tran et al., 2025). The study argues for culturally responsive and context-sensitive sustainability frameworks that integrate informal institutions and local practices.</w:t>
      </w:r>
    </w:p>
    <w:p w14:paraId="3B3405A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Sustainability compliance; Small and medium enterprises (SMEs); Food processing industry; Philippines; Thailand; Socio-cultural influences; Environmental sustainability; Systematic literature review (SLR); PRISMA framework; ASEAN SMEs; Green practices; Sustainable development.</w:t>
      </w:r>
    </w:p>
    <w:p w14:paraId="55C8948E" w14:textId="77777777" w:rsidR="00E171B9" w:rsidRDefault="00000000">
      <w:pPr>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sz w:val="24"/>
          <w:szCs w:val="24"/>
        </w:rPr>
        <w:t>1. Introduction</w:t>
      </w:r>
    </w:p>
    <w:p w14:paraId="0AF7E5BA"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Sustainability has become a defining paradigm in contemporary economic governance, particularly with the global adoption of Environmental, Social, and Governance (ESG) frameworks and the Sustainable Development Goals (SDGs) (Bansal &amp; </w:t>
      </w:r>
      <w:proofErr w:type="spellStart"/>
      <w:r>
        <w:rPr>
          <w:rFonts w:ascii="Times New Roman" w:eastAsia="Times New Roman" w:hAnsi="Times New Roman" w:cs="Times New Roman"/>
          <w:sz w:val="24"/>
          <w:szCs w:val="24"/>
        </w:rPr>
        <w:t>DesJardine</w:t>
      </w:r>
      <w:proofErr w:type="spellEnd"/>
      <w:r>
        <w:rPr>
          <w:rFonts w:ascii="Times New Roman" w:eastAsia="Times New Roman" w:hAnsi="Times New Roman" w:cs="Times New Roman"/>
          <w:sz w:val="24"/>
          <w:szCs w:val="24"/>
        </w:rPr>
        <w:t>, 2015). These frameworks emphasize the need for businesses to balance economic performance with environmental stewardship and social responsibility. Within Southeast Asia, small and medium-sized enterprises (SMEs) play a crucial role in economic development, employment generation, and resilience, accounting for a significant share of national economies (Ayyagari et al., 2015).</w:t>
      </w:r>
    </w:p>
    <w:p w14:paraId="6334D7C0"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SMEs are predominantly concentrated in </w:t>
      </w:r>
      <w:proofErr w:type="spellStart"/>
      <w:r>
        <w:rPr>
          <w:rFonts w:ascii="Times New Roman" w:eastAsia="Times New Roman" w:hAnsi="Times New Roman" w:cs="Times New Roman"/>
          <w:sz w:val="24"/>
          <w:szCs w:val="24"/>
        </w:rPr>
        <w:t>agri</w:t>
      </w:r>
      <w:proofErr w:type="spellEnd"/>
      <w:r>
        <w:rPr>
          <w:rFonts w:ascii="Times New Roman" w:eastAsia="Times New Roman" w:hAnsi="Times New Roman" w:cs="Times New Roman"/>
          <w:sz w:val="24"/>
          <w:szCs w:val="24"/>
        </w:rPr>
        <w:t xml:space="preserve">-based and food processing industries. However, these enterprises often operate under financial, technological, and institutional constraints that limit their ability to adopt sustainability practices effectively (Luken &amp; Stares, 2015; Li et al., 2020). In contrast, Thailand presents a more industrialized </w:t>
      </w:r>
      <w:r>
        <w:rPr>
          <w:rFonts w:ascii="Times New Roman" w:eastAsia="Times New Roman" w:hAnsi="Times New Roman" w:cs="Times New Roman"/>
          <w:sz w:val="24"/>
          <w:szCs w:val="24"/>
        </w:rPr>
        <w:lastRenderedPageBreak/>
        <w:t>SME sector with stronger integration into global supply chains. This integration necessitates stricter compliance with international sustainability standards, thereby encouraging more structured sustainability practices (Zhu et al., 2016; Khan et al., 2020).</w:t>
      </w:r>
    </w:p>
    <w:p w14:paraId="7D45D004"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structural and economic differences, both countries share similar socio-cultural characteristics, including collectivist orientations, family-based enterprise structures, and reliance on informal institutions. These factors significantly influence business behavior and decision-making processes, including sustainability adoption (Hofstede, 2011; Tran et al., 2025). Increasingly, scholars argue that sustainability compliance cannot be fully understood without examining these socio-cultural dimensions, as they shape how enterprises interpret, prioritize, and implement sustainability practices (Revell &amp; Blackburn, 2017).</w:t>
      </w:r>
    </w:p>
    <w:p w14:paraId="7A4A1F89" w14:textId="77777777" w:rsidR="00E171B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these contexts, this study conducts a systematic literature review to examine sustainability compliance among SMEs in the food processing industry in the Philippines and Thailand, with particular attention to socio-cultural influences and emerging best practices.</w:t>
      </w:r>
    </w:p>
    <w:p w14:paraId="08A8D52A" w14:textId="77777777" w:rsidR="00E171B9"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0" w:name="_heading=h.wp06zwlee8l7" w:colFirst="0" w:colLast="0"/>
      <w:bookmarkEnd w:id="0"/>
      <w:r>
        <w:rPr>
          <w:rFonts w:ascii="Times New Roman" w:eastAsia="Times New Roman" w:hAnsi="Times New Roman" w:cs="Times New Roman"/>
          <w:b/>
          <w:bCs/>
          <w:color w:val="000000"/>
          <w:sz w:val="24"/>
          <w:szCs w:val="24"/>
        </w:rPr>
        <w:t>Objectives of the Study</w:t>
      </w:r>
    </w:p>
    <w:p w14:paraId="5006729D" w14:textId="77777777" w:rsidR="00E171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w:t>
      </w:r>
    </w:p>
    <w:p w14:paraId="2267E061" w14:textId="77777777" w:rsidR="00E171B9" w:rsidRDefault="00000000">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Examine how sustainability compliance is characterized and practiced among SMEs in the food processing industry in the Philippines and Thailand according to existing literature;</w:t>
      </w:r>
    </w:p>
    <w:p w14:paraId="0617BFEF"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key socio-cultural factors influencing sustainability adoption in both countries;</w:t>
      </w:r>
    </w:p>
    <w:p w14:paraId="582AED5E"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Compare sustainability practices and compliance mechanisms between Philippine and Thai SMEs;</w:t>
      </w:r>
    </w:p>
    <w:p w14:paraId="01E11C2C" w14:textId="77777777" w:rsidR="00E171B9" w:rsidRDefault="00000000">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barriers and drivers affecting sustainability implementation; and</w:t>
      </w:r>
    </w:p>
    <w:p w14:paraId="3402827A" w14:textId="77777777" w:rsidR="00E171B9"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best practices related to sustainability compliance among SMEs in the Philippines and Thailand.</w:t>
      </w:r>
    </w:p>
    <w:p w14:paraId="5F544887" w14:textId="77777777" w:rsidR="00E171B9" w:rsidRDefault="00000000">
      <w:pPr>
        <w:pStyle w:val="Heading2"/>
        <w:keepNext w:val="0"/>
        <w:keepLines w:val="0"/>
        <w:spacing w:before="360"/>
        <w:rPr>
          <w:rFonts w:ascii="Times New Roman" w:eastAsia="Times New Roman" w:hAnsi="Times New Roman" w:cs="Times New Roman"/>
          <w:b/>
          <w:bCs/>
          <w:color w:val="000000"/>
          <w:sz w:val="24"/>
          <w:szCs w:val="24"/>
        </w:rPr>
      </w:pPr>
      <w:bookmarkStart w:id="1" w:name="_heading=h.e1q2inine2dy" w:colFirst="0" w:colLast="0"/>
      <w:bookmarkEnd w:id="1"/>
      <w:r>
        <w:rPr>
          <w:rFonts w:ascii="Times New Roman" w:eastAsia="Times New Roman" w:hAnsi="Times New Roman" w:cs="Times New Roman"/>
          <w:b/>
          <w:bCs/>
          <w:color w:val="000000"/>
          <w:sz w:val="24"/>
          <w:szCs w:val="24"/>
        </w:rPr>
        <w:t>Research Questions</w:t>
      </w:r>
    </w:p>
    <w:p w14:paraId="3F6F5B74" w14:textId="77777777" w:rsidR="00E171B9"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guide the analysis, this study seeks to answer the following questions:</w:t>
      </w:r>
    </w:p>
    <w:p w14:paraId="2E144703" w14:textId="77777777" w:rsidR="00E171B9" w:rsidRDefault="00000000">
      <w:pPr>
        <w:numPr>
          <w:ilvl w:val="0"/>
          <w:numId w:val="2"/>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How is sustainability compliance characterized and practiced among SMEs in the food processing industry in the Philippines and Thailand according to existing literature?</w:t>
      </w:r>
    </w:p>
    <w:p w14:paraId="5AF4F7B5"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socio-cultural factors influence sustainability practices in these SMEs?</w:t>
      </w:r>
    </w:p>
    <w:p w14:paraId="02CFCEBF"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How do sustainability approaches differ between SMEs in the Philippines and Thailand?</w:t>
      </w:r>
    </w:p>
    <w:p w14:paraId="793B2FC1" w14:textId="77777777" w:rsidR="00E171B9" w:rsidRDefault="00000000">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major barriers and drivers of sustainability compliance in both contexts?</w:t>
      </w:r>
    </w:p>
    <w:p w14:paraId="6EA3EC0F" w14:textId="77777777" w:rsidR="00E171B9" w:rsidRDefault="00000000">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What best practices related to sustainability compliance are identified among SMEs in the Philippines and Thailand?</w:t>
      </w:r>
    </w:p>
    <w:p w14:paraId="21A3F06A" w14:textId="77777777" w:rsidR="00E171B9" w:rsidRDefault="00000000">
      <w:pPr>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Methodology</w:t>
      </w:r>
    </w:p>
    <w:p w14:paraId="294ADAD1"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adopts a </w:t>
      </w:r>
      <w:r>
        <w:rPr>
          <w:rFonts w:ascii="Times New Roman" w:eastAsia="Times New Roman" w:hAnsi="Times New Roman" w:cs="Times New Roman"/>
          <w:b/>
          <w:bCs/>
          <w:sz w:val="24"/>
          <w:szCs w:val="24"/>
        </w:rPr>
        <w:t>Systematic Literature Review (SLR)</w:t>
      </w:r>
      <w:r>
        <w:rPr>
          <w:rFonts w:ascii="Times New Roman" w:eastAsia="Times New Roman" w:hAnsi="Times New Roman" w:cs="Times New Roman"/>
          <w:sz w:val="24"/>
          <w:szCs w:val="24"/>
        </w:rPr>
        <w:t xml:space="preserve"> approach to generate a comprehensive, transparent, and analytically rigorous synthesis of existing research on sustainability compliance among small and medium enterprises (SMEs) in the food processing industry in the Philippines and Thailand. The SLR method is particularly appropriate for this inquiry because it enables the integration of fragmented findings across multiple studies while maintaining a structured and replicable research process. By consolidating both empirical and theoretical contributions, the study identifies recurring patterns, contextual differences, and emerging best practices relevant to sustainability adoption among SMEs.</w:t>
      </w:r>
    </w:p>
    <w:p w14:paraId="37B9424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is guided by the PRISMA framework developed by David Moher et al. (2009), ensuring a transparent and systematic process of identification, screening, eligibility assessment, and inclusion of relevant studies. Furthermore, the study follows established procedures in evidence-based management research, particularly the structured review approach of David Tranfield et al. (2003) and the methodological guidance of Yu Xiao and Maria Watson (2019). For data analysis, the study employs Thematic Analysis as proposed by Virginia Braun and Victoria Clarke (2006), which allows for the systematic identification, organization, and interpretation of key themes across the selected studies.</w:t>
      </w:r>
    </w:p>
    <w:p w14:paraId="5930095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methodological rigor and transparency, the review is guided by the Preferred Reporting Items for Systematic Reviews and Meta-Analyses (PRISMA) framework developed by David Moher et al. (2009). The PRISMA protocol provides a systematic procedure for identifying, screening, and selecting scholarly works, thereby minimizing bias and enhancing the reliability of the findings. The use of this framework strengthens the study’s credibility by ensuring that the selection of literature follows a clearly defined and replicable process.</w:t>
      </w:r>
    </w:p>
    <w:p w14:paraId="22E311E5"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Search Strategy</w:t>
      </w:r>
    </w:p>
    <w:p w14:paraId="7C323602"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and structured search strategy was employed to identify relevant literature on sustainability compliance among SMEs in the food processing sector. The search was conducted across major academic databases, including Scopus, ScienceDirect, SpringerLink, and Google Scholar, which are widely recognized for their extensive coverage of peer-reviewed journals in the fields of sustainability, business management, and development studies. These databases were selected to ensure both breadth and depth in capturing interdisciplinary perspectives that are essential to understanding the complex nature of sustainability practices.</w:t>
      </w:r>
    </w:p>
    <w:p w14:paraId="2D4EF74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search process utilized a carefully constructed set of keywords designed to capture the central themes of the study. These included terms such as “SME sustainability Philippines food processing,” “Thailand SME environmental compliance,” and “ASEAN socio-cultural sustainability SMEs.” Additional variations and related terms were incorporated to broaden the scope of the search and ensure that relevant studies were not overlooked. Boolean operators such as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OR were systematically applied to refine search results, allowing for both specificity and inclusivity in retrieving literature.</w:t>
      </w:r>
    </w:p>
    <w:p w14:paraId="4971C8C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comprehensiveness of the review, backward and forward citation tracking was employed, following the methodological guidance of Xiao and Watson (2019). This involved examining the reference lists of selected studies to identify foundational works, as well as analyzing more recent publications that cited key articles. This iterative process ensured that both seminal and emerging contributions to the field were included, thereby strengthening the overall robustness of the literature base.</w:t>
      </w:r>
    </w:p>
    <w:p w14:paraId="2D30F7B4"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2.2 Inclusion and Exclusion Criteria</w:t>
      </w:r>
    </w:p>
    <w:p w14:paraId="4A9B73B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selection of studies was guided by clearly defined inclusion and exclusion criteria to ensure the quality, relevance, and consistency of the literature reviewed. These criteria were established prior to the screening process in order to minimize bias and align with established standards in systematic review methodology (</w:t>
      </w:r>
      <w:proofErr w:type="spellStart"/>
      <w:r>
        <w:rPr>
          <w:rFonts w:ascii="Times New Roman" w:eastAsia="Times New Roman" w:hAnsi="Times New Roman" w:cs="Times New Roman"/>
          <w:sz w:val="24"/>
          <w:szCs w:val="24"/>
        </w:rPr>
        <w:t>Tranfield</w:t>
      </w:r>
      <w:proofErr w:type="spellEnd"/>
      <w:r>
        <w:rPr>
          <w:rFonts w:ascii="Times New Roman" w:eastAsia="Times New Roman" w:hAnsi="Times New Roman" w:cs="Times New Roman"/>
          <w:sz w:val="24"/>
          <w:szCs w:val="24"/>
        </w:rPr>
        <w:t xml:space="preserve"> et al., 2003).</w:t>
      </w:r>
    </w:p>
    <w:p w14:paraId="48B2ACE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included in the review if they were peer-reviewed journal articles or scholarly book chapters, ensuring a high level of academic rigor. Only publications released between 2015 and 2025 were considered, as this time frame captures recent developments and contemporary trends in sustainability practices. Furthermore, the selected studies were required to focus explicitly on SMEs, particularly within the food processing sector or closely related industries, and to address sustainability practices encompassing environmental, social, or governance dimensions. Preference was given to studies situated within the Philippines and Thailand, although research conducted in comparable Southeast Asian contexts was also considered where relevant.</w:t>
      </w:r>
    </w:p>
    <w:p w14:paraId="099F5AE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studies were excluded if they were not published in English, due to limitations in translation and potential issues in interpretation. Non-empirical works, such as opinion pieces, editorials, and articles lacking methodological rigor, were also excluded to maintain the credibility of the analysis. Additionally, studies that did not directly address SMEs or sustainability-related issues were removed during the screening process. Duplicate records identified across databases were eliminated at the initial stage to ensure accuracy and efficiency in the selection process.</w:t>
      </w:r>
    </w:p>
    <w:p w14:paraId="416F32F9"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Study Selection and Screening Process</w:t>
      </w:r>
    </w:p>
    <w:p w14:paraId="6203593D"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selection process followed a multi-stage screening procedure consistent with the PRISMA framework. The initial search yielded approximately 120 records, which were compiled and organized for systematic review. During the first stage, duplicate entries were identified and removed. This was followed by a preliminary screening of titles and abstracts to assess the relevance of each study to the research objectives. At this stage, studies that clearly did not meet the inclusion criteria were excluded, resulting in a reduced pool of approximately 80 articles.</w:t>
      </w:r>
    </w:p>
    <w:p w14:paraId="358370B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Subsequently, a full-text review was conducted to evaluate the methodological quality, analytical depth, and contextual relevance of the remaining studies. This stage involved a more detailed assessment of each article’s research design, data sources, and key findings. Through this process, the number of eligible studies was further narrowed down to 40. From these, 25 studies were selected for final inclusion based on their direct relevance to sustainability compliance among SMEs in the Philippines and Thailand, as well as their contribution to the broader research objectives.</w:t>
      </w:r>
    </w:p>
    <w:p w14:paraId="0E892555"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systematic and staged approach ensured that the final set of studies was both comprehensive and analytically robust, thereby enhancing the validity of the review.</w:t>
      </w:r>
    </w:p>
    <w:p w14:paraId="3E69EE78"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Data Analysis</w:t>
      </w:r>
    </w:p>
    <w:p w14:paraId="00EE3B1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interpret and synthesize the selected studies, this research employed a thematic analysis approach based on the framework developed by Braun and Clarke (2006). This method is </w:t>
      </w:r>
      <w:r>
        <w:rPr>
          <w:rFonts w:ascii="Times New Roman" w:eastAsia="Times New Roman" w:hAnsi="Times New Roman" w:cs="Times New Roman"/>
          <w:sz w:val="24"/>
          <w:szCs w:val="24"/>
        </w:rPr>
        <w:lastRenderedPageBreak/>
        <w:t>particularly suited for systematic literature reviews, as it allows for the identification of recurring patterns and themes across diverse studies while preserving contextual nuances.</w:t>
      </w:r>
    </w:p>
    <w:p w14:paraId="4E5E0F30"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began with a structured data extraction process, wherein relevant information from each study was systematically recorded using a standardized matrix. Key variables included the authors and year of publication, country of focus, research methodology, type of SME, sustainability practices identified, challenges encountered, socio-cultural influences, and reported best practices. This ensured consistency and comparability across all selected studies.</w:t>
      </w:r>
    </w:p>
    <w:p w14:paraId="09798DDE"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data extraction, the studies were subjected to open coding, an inductive process through which key concepts and recurring ideas were identified and labeled. Rather than relying on predefined categories, this approach allowed themes to emerge organically from the data, thereby capturing the complexity and diversity of sustainability practices in different contexts.</w:t>
      </w:r>
    </w:p>
    <w:p w14:paraId="17442C0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identified codes were then organized into broader thematic categories aligned with the objectives of the study. These themes included environmental sustainability practices, social sustainability initiatives, structural and institutional constraints, socio-cultural influences, and emerging best practices. This categorization enabled a more structured and coherent analysis of the data.</w:t>
      </w:r>
    </w:p>
    <w:p w14:paraId="2D59F31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critical component of the analysis involved a cross-country comparison between the Philippines and Thailand. This comparative approach facilitated the identification of both similarities and differences in sustainability practices, as well as the contextual factors that shape these practices. By examining variations in institutional frameworks, cultural norms, and economic conditions, the study was able to generate more nuanced insights into the dynamics of sustainability compliance.</w:t>
      </w:r>
    </w:p>
    <w:p w14:paraId="6ECF9E6E"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synthesized themes were interpreted in relation to the research questions and existing theoretical perspectives on SME sustainability. Particular emphasis was placed on understanding how socio-cultural embeddedness influences sustainability behavior, thereby providing a deeper and more contextually grounded interpretation of the findings. This integrative approach strengthens the analytical depth of the study and supports the development of more informed and context-sensitive policy recommendations.</w:t>
      </w:r>
    </w:p>
    <w:p w14:paraId="2DFDE370" w14:textId="77777777" w:rsidR="00E171B9" w:rsidRDefault="00000000">
      <w:pPr>
        <w:pStyle w:val="Heading2"/>
        <w:keepNext w:val="0"/>
        <w:keepLines w:val="0"/>
        <w:spacing w:before="360" w:line="240" w:lineRule="auto"/>
      </w:pPr>
      <w:bookmarkStart w:id="2" w:name="_heading=h.i0pen1rlf4ga" w:colFirst="0" w:colLast="0"/>
      <w:bookmarkEnd w:id="2"/>
      <w:r>
        <w:rPr>
          <w:rFonts w:ascii="Times New Roman" w:eastAsia="Times New Roman" w:hAnsi="Times New Roman" w:cs="Times New Roman"/>
          <w:b/>
          <w:bCs/>
          <w:color w:val="000000"/>
          <w:sz w:val="24"/>
          <w:szCs w:val="24"/>
        </w:rPr>
        <w:t>2.5 Study Selection Process (PRISMA Flow Diagram)</w:t>
      </w:r>
    </w:p>
    <w:p w14:paraId="000B14BC" w14:textId="77777777" w:rsidR="00E171B9" w:rsidRDefault="00E171B9"/>
    <w:p w14:paraId="442729FE" w14:textId="77777777" w:rsidR="00E171B9" w:rsidRDefault="00E171B9"/>
    <w:p w14:paraId="2D82C9DF" w14:textId="77777777" w:rsidR="00E171B9" w:rsidRDefault="00000000">
      <w:r>
        <w:rPr>
          <w:noProof/>
        </w:rPr>
        <w:drawing>
          <wp:anchor distT="0" distB="0" distL="0" distR="0" simplePos="0" relativeHeight="251658240" behindDoc="1" locked="0" layoutInCell="1" allowOverlap="1" wp14:anchorId="2B26C814" wp14:editId="09D676EB">
            <wp:simplePos x="0" y="0"/>
            <wp:positionH relativeFrom="column">
              <wp:posOffset>-201295</wp:posOffset>
            </wp:positionH>
            <wp:positionV relativeFrom="paragraph">
              <wp:posOffset>209550</wp:posOffset>
            </wp:positionV>
            <wp:extent cx="6129655" cy="785050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srcRect/>
                    <a:stretch>
                      <a:fillRect/>
                    </a:stretch>
                  </pic:blipFill>
                  <pic:spPr>
                    <a:xfrm>
                      <a:off x="0" y="0"/>
                      <a:ext cx="6129594" cy="7850638"/>
                    </a:xfrm>
                    <a:prstGeom prst="rect">
                      <a:avLst/>
                    </a:prstGeom>
                  </pic:spPr>
                </pic:pic>
              </a:graphicData>
            </a:graphic>
          </wp:anchor>
        </w:drawing>
      </w:r>
    </w:p>
    <w:p w14:paraId="0D8733E6" w14:textId="77777777" w:rsidR="00E171B9" w:rsidRDefault="00E171B9"/>
    <w:p w14:paraId="16DEC7C3" w14:textId="77777777" w:rsidR="00E171B9" w:rsidRDefault="00E171B9"/>
    <w:p w14:paraId="7BA24912" w14:textId="77777777" w:rsidR="00E171B9" w:rsidRDefault="00E171B9"/>
    <w:p w14:paraId="1BDA3173" w14:textId="77777777" w:rsidR="00E171B9" w:rsidRDefault="00E171B9"/>
    <w:p w14:paraId="1CA7D0A3" w14:textId="77777777" w:rsidR="00E171B9" w:rsidRDefault="00E171B9"/>
    <w:p w14:paraId="6CFBB81B" w14:textId="77777777" w:rsidR="00E171B9" w:rsidRDefault="00E171B9"/>
    <w:p w14:paraId="0FD2DB2C" w14:textId="77777777" w:rsidR="00E171B9" w:rsidRDefault="00E171B9"/>
    <w:p w14:paraId="272EE819" w14:textId="77777777" w:rsidR="00E171B9" w:rsidRDefault="00E171B9"/>
    <w:p w14:paraId="4D8ADB00" w14:textId="77777777" w:rsidR="00E171B9" w:rsidRDefault="00E171B9"/>
    <w:p w14:paraId="6300799F" w14:textId="77777777" w:rsidR="00E171B9" w:rsidRDefault="00E171B9"/>
    <w:p w14:paraId="2446B4CF" w14:textId="77777777" w:rsidR="00E171B9" w:rsidRDefault="00E171B9"/>
    <w:p w14:paraId="47934031" w14:textId="77777777" w:rsidR="00E171B9" w:rsidRDefault="00E171B9"/>
    <w:p w14:paraId="77126D37" w14:textId="77777777" w:rsidR="00E171B9" w:rsidRDefault="00E171B9"/>
    <w:p w14:paraId="18F4D9E2" w14:textId="77777777" w:rsidR="00E171B9" w:rsidRDefault="00E171B9"/>
    <w:p w14:paraId="0457732B" w14:textId="77777777" w:rsidR="00E171B9" w:rsidRDefault="00E171B9"/>
    <w:p w14:paraId="29E9F7B6" w14:textId="77777777" w:rsidR="00E171B9" w:rsidRDefault="00E171B9"/>
    <w:p w14:paraId="0FD0D8B6" w14:textId="77777777" w:rsidR="00E171B9" w:rsidRDefault="00E171B9"/>
    <w:p w14:paraId="5A167E8E" w14:textId="77777777" w:rsidR="00E171B9" w:rsidRDefault="00E171B9"/>
    <w:p w14:paraId="2C01EF85" w14:textId="77777777" w:rsidR="00E171B9" w:rsidRDefault="00E171B9"/>
    <w:p w14:paraId="614E844D" w14:textId="77777777" w:rsidR="00E171B9" w:rsidRDefault="00E171B9"/>
    <w:p w14:paraId="1C3666A6" w14:textId="77777777" w:rsidR="00E171B9" w:rsidRDefault="00E171B9"/>
    <w:p w14:paraId="6E0CBEA0" w14:textId="77777777" w:rsidR="00E171B9" w:rsidRDefault="00000000">
      <w:r>
        <w:rPr>
          <w:noProof/>
        </w:rPr>
        <mc:AlternateContent>
          <mc:Choice Requires="wps">
            <w:drawing>
              <wp:anchor distT="0" distB="0" distL="0" distR="0" simplePos="0" relativeHeight="251657216" behindDoc="1" locked="0" layoutInCell="1" allowOverlap="1" wp14:anchorId="039CCC13" wp14:editId="314D98F2">
                <wp:simplePos x="0" y="0"/>
                <wp:positionH relativeFrom="column">
                  <wp:posOffset>786130</wp:posOffset>
                </wp:positionH>
                <wp:positionV relativeFrom="paragraph">
                  <wp:posOffset>266700</wp:posOffset>
                </wp:positionV>
                <wp:extent cx="4295140" cy="842010"/>
                <wp:effectExtent l="0" t="0" r="0" b="0"/>
                <wp:wrapNone/>
                <wp:docPr id="1" name="Rectangle 1"/>
                <wp:cNvGraphicFramePr/>
                <a:graphic xmlns:a="http://schemas.openxmlformats.org/drawingml/2006/main">
                  <a:graphicData uri="http://schemas.microsoft.com/office/word/2010/wordprocessingShape">
                    <wps:wsp>
                      <wps:cNvSpPr/>
                      <wps:spPr>
                        <a:xfrm>
                          <a:off x="3203302" y="3363743"/>
                          <a:ext cx="4285397" cy="832514"/>
                        </a:xfrm>
                        <a:prstGeom prst="rect">
                          <a:avLst/>
                        </a:prstGeom>
                        <a:solidFill>
                          <a:srgbClr val="FFFFFF"/>
                        </a:solidFill>
                        <a:ln>
                          <a:noFill/>
                        </a:ln>
                      </wps:spPr>
                      <wps:txbx>
                        <w:txbxContent>
                          <w:p w14:paraId="50981949" w14:textId="77777777" w:rsidR="00E171B9" w:rsidRDefault="00000000">
                            <w:pPr>
                              <w:spacing w:before="240" w:after="240" w:line="240" w:lineRule="auto"/>
                              <w:jc w:val="both"/>
                            </w:pPr>
                            <w:r>
                              <w:rPr>
                                <w:rFonts w:ascii="Times New Roman" w:eastAsia="Times New Roman" w:hAnsi="Times New Roman" w:cs="Times New Roman"/>
                                <w:b/>
                                <w:color w:val="000000"/>
                                <w:sz w:val="24"/>
                              </w:rPr>
                              <w:t>Figure 1. PRISMA Flow Diagram of Study Selection Process</w:t>
                            </w:r>
                          </w:p>
                          <w:p w14:paraId="760EE44D" w14:textId="77777777" w:rsidR="00E171B9" w:rsidRDefault="00E171B9">
                            <w:pPr>
                              <w:spacing w:line="258" w:lineRule="auto"/>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61.9pt;margin-top:21pt;height:66.3pt;width:338.2pt;z-index:-251657216;mso-width-relative:page;mso-height-relative:page;" fillcolor="#FFFFFF" filled="t" stroked="f" coordsize="21600,21600" o:gfxdata="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OM7K9YAAAAKAQAADwAAAAAAAAABACAAAAAiAAAAZHJzL2Rvd25yZXYueG1s&#10;UEsBAhQAFAAAAAgAh07iQDCozfr6AQAA9wMAAA4AAAAAAAAAAQAgAAAAJQEAAGRycy9lMm9Eb2Mu&#10;eG1sUEsFBgAAAAAGAAYAWQEAAJEFAAAAAA==&#10;">
                <v:fill on="t" focussize="0,0"/>
                <v:stroke on="f"/>
                <v:imagedata o:title=""/>
                <o:lock v:ext="edit" aspectratio="f"/>
                <v:textbox inset="7.1988188976378pt,3.59842519685039pt,7.1988188976378pt,3.59842519685039pt">
                  <w:txbxContent>
                    <w:p w14:paraId="6D9845BC">
                      <w:pPr>
                        <w:spacing w:before="240" w:after="240" w:line="240" w:lineRule="auto"/>
                        <w:ind w:left="0" w:right="0" w:firstLine="0"/>
                        <w:jc w:val="both"/>
                      </w:pPr>
                      <w:r>
                        <w:rPr>
                          <w:rFonts w:ascii="Times New Roman" w:hAnsi="Times New Roman" w:eastAsia="Times New Roman" w:cs="Times New Roman"/>
                          <w:b/>
                          <w:i w:val="0"/>
                          <w:smallCaps w:val="0"/>
                          <w:strike w:val="0"/>
                          <w:color w:val="000000"/>
                          <w:sz w:val="24"/>
                          <w:vertAlign w:val="baseline"/>
                        </w:rPr>
                        <w:t>Figure 1. PRISMA Flow Diagram of Study Selection Process</w:t>
                      </w:r>
                    </w:p>
                    <w:p w14:paraId="612B98A3">
                      <w:pPr>
                        <w:spacing w:before="0" w:after="160" w:line="258" w:lineRule="auto"/>
                        <w:ind w:left="0" w:right="0" w:firstLine="0"/>
                        <w:jc w:val="left"/>
                      </w:pPr>
                    </w:p>
                  </w:txbxContent>
                </v:textbox>
              </v:rect>
            </w:pict>
          </mc:Fallback>
        </mc:AlternateContent>
      </w:r>
    </w:p>
    <w:p w14:paraId="79F9F589"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054D7AE4"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08702285"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50E909CE" w14:textId="77777777" w:rsidR="00E171B9" w:rsidRDefault="00E171B9">
      <w:pPr>
        <w:spacing w:before="280" w:after="0" w:line="240" w:lineRule="auto"/>
        <w:jc w:val="both"/>
        <w:rPr>
          <w:rFonts w:ascii="Times New Roman" w:eastAsia="Times New Roman" w:hAnsi="Times New Roman" w:cs="Times New Roman"/>
          <w:b/>
          <w:bCs/>
          <w:sz w:val="24"/>
          <w:szCs w:val="24"/>
        </w:rPr>
      </w:pPr>
    </w:p>
    <w:p w14:paraId="1729F43D" w14:textId="77777777" w:rsidR="00E171B9" w:rsidRDefault="00E171B9">
      <w:pPr>
        <w:pStyle w:val="Heading1"/>
        <w:keepNext w:val="0"/>
        <w:keepLines w:val="0"/>
        <w:spacing w:before="480" w:after="120" w:line="240" w:lineRule="auto"/>
        <w:jc w:val="both"/>
        <w:rPr>
          <w:rFonts w:ascii="Times New Roman" w:eastAsia="Times New Roman" w:hAnsi="Times New Roman" w:cs="Times New Roman"/>
          <w:color w:val="000000"/>
          <w:sz w:val="24"/>
          <w:szCs w:val="24"/>
        </w:rPr>
      </w:pPr>
      <w:bookmarkStart w:id="3" w:name="_heading=h.r5w8huykhhhk" w:colFirst="0" w:colLast="0"/>
      <w:bookmarkEnd w:id="3"/>
    </w:p>
    <w:p w14:paraId="3F8B77D1" w14:textId="77777777" w:rsidR="00E171B9" w:rsidRDefault="00000000">
      <w:pPr>
        <w:pStyle w:val="Heading1"/>
        <w:keepNext w:val="0"/>
        <w:keepLines w:val="0"/>
        <w:spacing w:before="480" w:after="120" w:line="240" w:lineRule="auto"/>
        <w:jc w:val="both"/>
        <w:rPr>
          <w:rFonts w:ascii="Times New Roman" w:eastAsia="Times New Roman" w:hAnsi="Times New Roman" w:cs="Times New Roman"/>
          <w:b/>
          <w:bCs/>
          <w:color w:val="000000"/>
          <w:sz w:val="24"/>
          <w:szCs w:val="24"/>
        </w:rPr>
      </w:pPr>
      <w:bookmarkStart w:id="4" w:name="_heading=h.qrnrfiouebo0" w:colFirst="0" w:colLast="0"/>
      <w:bookmarkEnd w:id="4"/>
      <w:r>
        <w:rPr>
          <w:rFonts w:ascii="Times New Roman" w:eastAsia="Times New Roman" w:hAnsi="Times New Roman" w:cs="Times New Roman"/>
          <w:b/>
          <w:bCs/>
          <w:color w:val="000000"/>
          <w:sz w:val="24"/>
          <w:szCs w:val="24"/>
        </w:rPr>
        <w:t>3. Results and Discussion</w:t>
      </w:r>
    </w:p>
    <w:p w14:paraId="6480547B"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5" w:name="_heading=h.v5qkme50xswv" w:colFirst="0" w:colLast="0"/>
      <w:bookmarkEnd w:id="5"/>
      <w:r>
        <w:rPr>
          <w:rFonts w:ascii="Times New Roman" w:eastAsia="Times New Roman" w:hAnsi="Times New Roman" w:cs="Times New Roman"/>
          <w:b/>
          <w:bCs/>
          <w:color w:val="000000"/>
          <w:sz w:val="24"/>
          <w:szCs w:val="24"/>
        </w:rPr>
        <w:t>3.1 Sustainability Compliance Practices among SMEs in the Philippines and Thailand</w:t>
      </w:r>
    </w:p>
    <w:p w14:paraId="2A35DE6F"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characterizes sustainability compliance among SMEs in the food processing industry in both the Philippines and Thailand as largely incremental, adaptive, and operational rather than fully strategic or institutionally embedded. SMEs commonly implement selective environmental and social practices aligned with immediate operational needs and financial capacities rather than comprehensive sustainability frameworks. </w:t>
      </w:r>
      <w:proofErr w:type="spellStart"/>
      <w:r>
        <w:rPr>
          <w:rFonts w:ascii="Times New Roman" w:eastAsia="Times New Roman" w:hAnsi="Times New Roman" w:cs="Times New Roman"/>
          <w:sz w:val="24"/>
          <w:szCs w:val="24"/>
        </w:rPr>
        <w:t>Klewitz</w:t>
      </w:r>
      <w:proofErr w:type="spellEnd"/>
      <w:r>
        <w:rPr>
          <w:rFonts w:ascii="Times New Roman" w:eastAsia="Times New Roman" w:hAnsi="Times New Roman" w:cs="Times New Roman"/>
          <w:sz w:val="24"/>
          <w:szCs w:val="24"/>
        </w:rPr>
        <w:t xml:space="preserve"> and Hansen (2016) </w:t>
      </w:r>
      <w:r>
        <w:rPr>
          <w:rFonts w:ascii="Times New Roman" w:eastAsia="Times New Roman" w:hAnsi="Times New Roman" w:cs="Times New Roman"/>
          <w:sz w:val="24"/>
          <w:szCs w:val="24"/>
        </w:rPr>
        <w:lastRenderedPageBreak/>
        <w:t>argue that sustainability-oriented innovation in SMEs often develops gradually because of limited organizational resources and managerial capacities.</w:t>
      </w:r>
    </w:p>
    <w:p w14:paraId="6FA30371"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sustainability practices are commonly informal and community-oriented. SMEs frequently engage in localized waste reduction, recycling activities, and resource conservation measures motivated by cost-efficiency and community accountability rather than formal certification systems. </w:t>
      </w:r>
      <w:proofErr w:type="spellStart"/>
      <w:r>
        <w:rPr>
          <w:rFonts w:ascii="Times New Roman" w:eastAsia="Times New Roman" w:hAnsi="Times New Roman" w:cs="Times New Roman"/>
          <w:sz w:val="24"/>
          <w:szCs w:val="24"/>
        </w:rPr>
        <w:t>Gadenne</w:t>
      </w:r>
      <w:proofErr w:type="spellEnd"/>
      <w:r>
        <w:rPr>
          <w:rFonts w:ascii="Times New Roman" w:eastAsia="Times New Roman" w:hAnsi="Times New Roman" w:cs="Times New Roman"/>
          <w:sz w:val="24"/>
          <w:szCs w:val="24"/>
        </w:rPr>
        <w:t xml:space="preserve"> et al. (2019) and Jenkins (2015) emphasize that many SMEs adopt environmentally responsible practices because of relational obligations within local communities and social expectations from employees and customers.</w:t>
      </w:r>
    </w:p>
    <w:p w14:paraId="5BC7EBF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Thai SMEs demonstrate more formalized sustainability compliance due to stronger integration into global production networks and export-oriented food supply chains. Zhu et al. (2016) and Khan et al. (2020) note that Thai SMEs are more likely to adopt internationally recognized standards such as Hazard Analysis and Critical Control Points (HACCP), Good Manufacturing Practices (GMP), and green supply chain management systems. Participation in global value chains creates pressure for compliance with environmental and quality standards, making sustainability closely associated with competitiveness and market access.</w:t>
      </w:r>
    </w:p>
    <w:p w14:paraId="1FB3CAAE" w14:textId="77777777" w:rsidR="00E171B9"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literature therefore suggests two distinct sustainability pathways. Philippine SMEs rely more heavily on socially embedded and community-driven sustainability practices, while Thai SMEs demonstrate more structured and compliance-oriented approaches shaped by institutional support and global market integration. This supports the argument of Revell and Blackburn (2017) that sustainability among SMEs is highly context-dependent rather than universally standardized.</w:t>
      </w:r>
    </w:p>
    <w:p w14:paraId="4F734349"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6" w:name="_heading=h.4jbm9doyfj5i" w:colFirst="0" w:colLast="0"/>
      <w:bookmarkEnd w:id="6"/>
      <w:r>
        <w:rPr>
          <w:rFonts w:ascii="Times New Roman" w:eastAsia="Times New Roman" w:hAnsi="Times New Roman" w:cs="Times New Roman"/>
          <w:b/>
          <w:bCs/>
          <w:color w:val="000000"/>
          <w:sz w:val="24"/>
          <w:szCs w:val="24"/>
        </w:rPr>
        <w:t>3.2 Socio-Cultural Factors Influencing Sustainability Practices</w:t>
      </w:r>
    </w:p>
    <w:p w14:paraId="13E92BB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factors significantly influence sustainability behavior among SMEs in both the Philippines and Thailand. Existing literature emphasizes that sustainability practices cannot be fully understood through economic or regulatory perspectives alone because business practices in Southeast Asia are deeply embedded within cultural norms and social relationships (Hofstede, 2011).</w:t>
      </w:r>
    </w:p>
    <w:p w14:paraId="733E463E"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 context, the cultural principle of </w:t>
      </w:r>
      <w:proofErr w:type="spellStart"/>
      <w:r>
        <w:rPr>
          <w:rFonts w:ascii="Times New Roman" w:eastAsia="Times New Roman" w:hAnsi="Times New Roman" w:cs="Times New Roman"/>
          <w:i/>
          <w:iCs/>
          <w:sz w:val="24"/>
          <w:szCs w:val="24"/>
        </w:rPr>
        <w:t>pakikisama</w:t>
      </w:r>
      <w:proofErr w:type="spellEnd"/>
      <w:r>
        <w:rPr>
          <w:rFonts w:ascii="Times New Roman" w:eastAsia="Times New Roman" w:hAnsi="Times New Roman" w:cs="Times New Roman"/>
          <w:sz w:val="24"/>
          <w:szCs w:val="24"/>
        </w:rPr>
        <w:t>, which emphasizes social harmony and interpersonal relationships, strongly influences sustainability behavior. SMEs often prioritize maintaining trust and positive relationships with employees, customers, and surrounding communities. Jenkins (2015) argues that such relational dynamics function as informal governance mechanisms encouraging ethical and socially responsible behavior even where regulatory enforcement is weak.</w:t>
      </w:r>
    </w:p>
    <w:p w14:paraId="3719BF05"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Thai SMEs demonstrate sustainability practices shaped by collectivist values and the cultural norm of </w:t>
      </w:r>
      <w:proofErr w:type="spellStart"/>
      <w:r>
        <w:rPr>
          <w:rFonts w:ascii="Times New Roman" w:eastAsia="Times New Roman" w:hAnsi="Times New Roman" w:cs="Times New Roman"/>
          <w:i/>
          <w:iCs/>
          <w:sz w:val="24"/>
          <w:szCs w:val="24"/>
        </w:rPr>
        <w:t>kreng</w:t>
      </w:r>
      <w:proofErr w:type="spellEnd"/>
      <w:r>
        <w:rPr>
          <w:rFonts w:ascii="Times New Roman" w:eastAsia="Times New Roman" w:hAnsi="Times New Roman" w:cs="Times New Roman"/>
          <w:i/>
          <w:iCs/>
          <w:sz w:val="24"/>
          <w:szCs w:val="24"/>
        </w:rPr>
        <w:t xml:space="preserve"> jai</w:t>
      </w:r>
      <w:r>
        <w:rPr>
          <w:rFonts w:ascii="Times New Roman" w:eastAsia="Times New Roman" w:hAnsi="Times New Roman" w:cs="Times New Roman"/>
          <w:sz w:val="24"/>
          <w:szCs w:val="24"/>
        </w:rPr>
        <w:t>, which emphasizes consideration for others and avoidance of social conflict. Hofstede (2011) explains that hierarchical and collectivist orientations within Thai organizations reinforce compliance through social expectations and respect for institutional authority.</w:t>
      </w:r>
    </w:p>
    <w:p w14:paraId="71C1FE7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both countries, the prevalence of family-owned enterprises further strengthens socio-cultural influences on sustainability practices. Perrini (2016) and </w:t>
      </w: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et al. (2023) observe that family-run SMEs tend to prioritize long-term reputation, social legitimacy, and intergenerational continuity over short-term profit maximization. Sustainability practices </w:t>
      </w:r>
      <w:r>
        <w:rPr>
          <w:rFonts w:ascii="Times New Roman" w:eastAsia="Times New Roman" w:hAnsi="Times New Roman" w:cs="Times New Roman"/>
          <w:sz w:val="24"/>
          <w:szCs w:val="24"/>
        </w:rPr>
        <w:lastRenderedPageBreak/>
        <w:t>therefore emerge not only from regulatory requirements but also from culturally embedded social expectations.</w:t>
      </w:r>
    </w:p>
    <w:p w14:paraId="3A4B879A"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7" w:name="_heading=h.82xlbwflv6ik" w:colFirst="0" w:colLast="0"/>
      <w:bookmarkEnd w:id="7"/>
      <w:r>
        <w:rPr>
          <w:rFonts w:ascii="Times New Roman" w:eastAsia="Times New Roman" w:hAnsi="Times New Roman" w:cs="Times New Roman"/>
          <w:b/>
          <w:bCs/>
          <w:color w:val="000000"/>
          <w:sz w:val="24"/>
          <w:szCs w:val="24"/>
        </w:rPr>
        <w:t>3.3 Comparative Sustainability Approaches in the Philippines and Thailand</w:t>
      </w:r>
    </w:p>
    <w:p w14:paraId="7E9DE24D"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literature demonstrates important differences in sustainability approaches between SMEs in the Philippines and Thailand.</w:t>
      </w:r>
    </w:p>
    <w:p w14:paraId="09FFAF7E"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 SMEs generally adopt informal and community-based sustainability approaches. Environmental practices are integrated into everyday operational routines through localized waste management systems, recycling initiatives, and resource conservation strategies. These practices are motivated primarily by cost reduction, social responsibility, and relational obligations rather than formal certification requirements (Li et al., 2020).</w:t>
      </w:r>
    </w:p>
    <w:p w14:paraId="30FC30A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Thai SMEs demonstrate more formalized and export-oriented sustainability practices. Thailand’s stronger integration into global food supply chains requires SMEs to comply with international environmental and quality standards. Zhu et al. (2016) and Testa et al. (2018) argue that global production networks encourage Thai SMEs to adopt structured sustainability management systems, green technologies, and internationally recognized certifications.</w:t>
      </w:r>
    </w:p>
    <w:p w14:paraId="55E2E27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differences, similarities also exist. SMEs in both countries experience financial limitations, limited technical expertise, and operational pressures that hinder comprehensive sustainability adoption. Furthermore, both Philippine and Thai SMEs rely heavily on socio-cultural norms, family ownership structures, and relational networks in shaping sustainability behavior.</w:t>
      </w:r>
    </w:p>
    <w:p w14:paraId="7C15BAE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suggest that sustainability compliance among SMEs does not follow a single developmental pathway. Instead, sustainability practices emerge through the interaction of institutional conditions, economic pressures, and socio-cultural dynamics specific to each national context.</w:t>
      </w:r>
    </w:p>
    <w:p w14:paraId="68AF1B8F"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8" w:name="_heading=h.hdd9qs97b5y2" w:colFirst="0" w:colLast="0"/>
      <w:bookmarkEnd w:id="8"/>
      <w:r>
        <w:rPr>
          <w:rFonts w:ascii="Times New Roman" w:eastAsia="Times New Roman" w:hAnsi="Times New Roman" w:cs="Times New Roman"/>
          <w:b/>
          <w:bCs/>
          <w:color w:val="000000"/>
          <w:sz w:val="24"/>
          <w:szCs w:val="24"/>
        </w:rPr>
        <w:t>3.4 Barriers and Drivers of Sustainability Compliance</w:t>
      </w:r>
    </w:p>
    <w:p w14:paraId="20C1244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identifies several barriers that constrain sustainability adoption among SMEs in both the Philippines and Thailand. Financial limitations remain the most significant obstacle, as many SMEs lack sufficient capital to invest in environmentally sustainable technologies, certification systems, and infrastructure improvements (World Bank, 2020). Ayyagari et al. (2015) and Luken and Stares (2015) similarly emphasize that resource scarcity limits SMEs’ ability to fully implement sustainability initiatives.</w:t>
      </w:r>
    </w:p>
    <w:p w14:paraId="2C997DC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these barriers are compounded by weak institutional support, inconsistent regulatory enforcement, and limited access to technical knowledge. Li et al. (2020) argue that many SMEs operate within informal economic environments where sustainability compliance is not consistently monitored or incentivized.</w:t>
      </w:r>
    </w:p>
    <w:p w14:paraId="177B07CC"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Thai SMEs also face challenges regarding the high costs associated with international certifications and continuous compliance upgrading. Testa et al. (2018) and Filippini and Srinivasan (2021) note that export-oriented SMEs experience constant pressure to align with evolving sustainability requirements imposed by global production networks.</w:t>
      </w:r>
    </w:p>
    <w:p w14:paraId="65E6E20B"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the same time, the literature identifies important drivers of sustainability compliance. In Thailand, participation in global supply chains strongly motivates SMEs to adopt formal sustainability practices. International buyers and multinational corporations often require compliance with environmental and food safety standards, thereby creating market-based incentives for sustainability adoption (Zhu et al., 2016; Khan et al., 2020).</w:t>
      </w:r>
    </w:p>
    <w:p w14:paraId="657A9E07"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Philippines, community accountability, relational trust, and social legitimacy serve as important informal drivers of sustainability behavior. SMEs often engage in sustainability-related activities to maintain positive relationships with stakeholders and preserve community reputation. Cost-saving opportunities associated with waste reduction and energy efficiency also encourage sustainability adoption in both countries.</w:t>
      </w:r>
    </w:p>
    <w:p w14:paraId="2C0D712C"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sustainability compliance among SMEs is shaped by a complex interaction between structural constraints and contextual drivers rather than by regulatory enforcement alone.</w:t>
      </w:r>
    </w:p>
    <w:p w14:paraId="1ABB7DC7" w14:textId="77777777" w:rsidR="00E171B9" w:rsidRDefault="00000000">
      <w:pPr>
        <w:pStyle w:val="Heading2"/>
        <w:keepNext w:val="0"/>
        <w:keepLines w:val="0"/>
        <w:spacing w:before="360" w:line="240" w:lineRule="auto"/>
        <w:jc w:val="both"/>
        <w:rPr>
          <w:rFonts w:ascii="Times New Roman" w:eastAsia="Times New Roman" w:hAnsi="Times New Roman" w:cs="Times New Roman"/>
          <w:b/>
          <w:bCs/>
          <w:color w:val="000000"/>
          <w:sz w:val="24"/>
          <w:szCs w:val="24"/>
        </w:rPr>
      </w:pPr>
      <w:bookmarkStart w:id="9" w:name="_heading=h.glm7i9rgq973" w:colFirst="0" w:colLast="0"/>
      <w:bookmarkEnd w:id="9"/>
      <w:r>
        <w:rPr>
          <w:rFonts w:ascii="Times New Roman" w:eastAsia="Times New Roman" w:hAnsi="Times New Roman" w:cs="Times New Roman"/>
          <w:b/>
          <w:bCs/>
          <w:color w:val="000000"/>
          <w:sz w:val="24"/>
          <w:szCs w:val="24"/>
        </w:rPr>
        <w:t>3.5 Emerging Best Practices Related to Sustainability Compliance</w:t>
      </w:r>
    </w:p>
    <w:p w14:paraId="25D4F82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structural and institutional limitations, SMEs in both the Philippines and Thailand demonstrate adaptive and context-sensitive sustainability practices that may serve as emerging best practices within Southeast Asia.</w:t>
      </w:r>
    </w:p>
    <w:p w14:paraId="76401D12"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Philippines, community-based sustainability initiatives represent a significant best practice. These include cooperative-led waste management systems, localized recycling programs, and resource-sharing arrangements among SMEs. Such practices are often low-cost, socially embedded, and highly adaptable to local conditions. </w:t>
      </w:r>
      <w:proofErr w:type="spellStart"/>
      <w:r>
        <w:rPr>
          <w:rFonts w:ascii="Times New Roman" w:eastAsia="Times New Roman" w:hAnsi="Times New Roman" w:cs="Times New Roman"/>
          <w:sz w:val="24"/>
          <w:szCs w:val="24"/>
        </w:rPr>
        <w:t>Gadenne</w:t>
      </w:r>
      <w:proofErr w:type="spellEnd"/>
      <w:r>
        <w:rPr>
          <w:rFonts w:ascii="Times New Roman" w:eastAsia="Times New Roman" w:hAnsi="Times New Roman" w:cs="Times New Roman"/>
          <w:sz w:val="24"/>
          <w:szCs w:val="24"/>
        </w:rPr>
        <w:t xml:space="preserve"> et al. (2019) emphasize that community participation and relational accountability strengthen sustainability orientation even in resource-constrained settings.</w:t>
      </w:r>
    </w:p>
    <w:p w14:paraId="14A82AE3"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Thai SMEs demonstrate best practices associated with formal sustainability integration. Participation in global value chains has encouraged many firms to adopt green production technologies, environmental management systems, and internationally recognized standards such as HACCP and GMP. Zhu et al. (2016) and Khan et al. (2020) suggest that these structured approaches improve both environmental performance and market competitiveness.</w:t>
      </w:r>
    </w:p>
    <w:p w14:paraId="1281F6F2"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contexts, the literature highlights the importance of combining local adaptability with institutional support. Nguyen et al. (2025) and García-Granero et al. (2018) argue that sustainability initiatives are most effective when they align economic feasibility, socio-cultural conditions, and environmental objectives.</w:t>
      </w:r>
    </w:p>
    <w:p w14:paraId="1EEB6966"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synthesize the findings of the reviewed studies, Table 1 presents a comparative overview of sustainability compliance practices among SMEs in the Philippines and Thailand. The table highlights the major similarities and differences in sustainability orientation, barriers, socio-cultural influences, governance mechanisms, and sustainability motivations identified across the literature. This comparative synthesis demonstrates how differing institutional environments and cultural contexts shape distinct sustainability pathways among SMEs in both countries.</w:t>
      </w:r>
    </w:p>
    <w:p w14:paraId="48372C78" w14:textId="77777777" w:rsidR="00E171B9" w:rsidRDefault="00000000">
      <w:pPr>
        <w:pStyle w:val="Heading2"/>
        <w:keepNext w:val="0"/>
        <w:keepLines w:val="0"/>
        <w:spacing w:before="360" w:line="240" w:lineRule="auto"/>
        <w:jc w:val="both"/>
        <w:rPr>
          <w:rFonts w:ascii="Times New Roman" w:eastAsia="Times New Roman" w:hAnsi="Times New Roman" w:cs="Times New Roman"/>
          <w:color w:val="000000"/>
          <w:sz w:val="24"/>
          <w:szCs w:val="24"/>
        </w:rPr>
      </w:pPr>
      <w:bookmarkStart w:id="10" w:name="_heading=h.nz2xu4ttdp9i" w:colFirst="0" w:colLast="0"/>
      <w:bookmarkEnd w:id="10"/>
      <w:r>
        <w:rPr>
          <w:rFonts w:ascii="Times New Roman" w:eastAsia="Times New Roman" w:hAnsi="Times New Roman" w:cs="Times New Roman"/>
          <w:color w:val="000000"/>
          <w:sz w:val="24"/>
          <w:szCs w:val="24"/>
        </w:rPr>
        <w:t>Comparative Synthesis of Sustainability Compliance among SMEs</w:t>
      </w:r>
    </w:p>
    <w:tbl>
      <w:tblPr>
        <w:tblStyle w:val="Style10"/>
        <w:tblW w:w="902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937"/>
        <w:gridCol w:w="3652"/>
        <w:gridCol w:w="3436"/>
      </w:tblGrid>
      <w:tr w:rsidR="00E171B9" w14:paraId="408F3A9A" w14:textId="77777777">
        <w:trPr>
          <w:trHeight w:val="500"/>
        </w:trPr>
        <w:tc>
          <w:tcPr>
            <w:tcW w:w="1936" w:type="dxa"/>
            <w:tcBorders>
              <w:top w:val="single" w:sz="4" w:space="0" w:color="000000"/>
              <w:left w:val="single" w:sz="4" w:space="0" w:color="000000"/>
              <w:bottom w:val="single" w:sz="4" w:space="0" w:color="000000"/>
              <w:right w:val="single" w:sz="4" w:space="0" w:color="000000"/>
              <w:tl2br w:val="nil"/>
            </w:tcBorders>
            <w:shd w:val="clear" w:color="auto" w:fill="FFFFFF"/>
            <w:tcMar>
              <w:top w:w="100" w:type="dxa"/>
              <w:left w:w="100" w:type="dxa"/>
              <w:bottom w:w="100" w:type="dxa"/>
              <w:right w:w="100" w:type="dxa"/>
            </w:tcMar>
          </w:tcPr>
          <w:p w14:paraId="07B1DD33"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Dimension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D7FACB1"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Philippines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10E0DC" w14:textId="77777777" w:rsidR="00E171B9" w:rsidRDefault="00000000">
            <w:pPr>
              <w:spacing w:before="280" w:after="28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Thailand</w:t>
            </w:r>
          </w:p>
        </w:tc>
      </w:tr>
      <w:tr w:rsidR="00E171B9" w14:paraId="6244A970"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C80840"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Sustainability Orientation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1F16515"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Informal and community-based</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4BF8456"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Formalized and export-oriented</w:t>
            </w:r>
          </w:p>
        </w:tc>
      </w:tr>
      <w:tr w:rsidR="00E171B9" w14:paraId="733C7231"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F25287E"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Main Drivers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F8F5ED0"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legitimacy, community accountability, cost efficiency</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A3520E9"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 market requirements, supply-chain pressures</w:t>
            </w:r>
          </w:p>
        </w:tc>
      </w:tr>
      <w:tr w:rsidR="00E171B9" w14:paraId="19D37A39" w14:textId="77777777">
        <w:trPr>
          <w:trHeight w:val="105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F5C30D"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Key Barriers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48B04D"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Weak institutional support, limited finance, lack of technical expertise</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A04713"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certification costs, continuous compliance requirements</w:t>
            </w:r>
          </w:p>
        </w:tc>
      </w:tr>
      <w:tr w:rsidR="00E171B9" w14:paraId="7CCDDE78"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10499C6"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Socio-Cultural Influence</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88C1C32" w14:textId="77777777" w:rsidR="00E171B9" w:rsidRDefault="00000000">
            <w:pPr>
              <w:spacing w:before="280"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Pakikisama</w:t>
            </w:r>
            <w:proofErr w:type="spellEnd"/>
            <w:r>
              <w:rPr>
                <w:rFonts w:ascii="Times New Roman" w:eastAsia="Times New Roman" w:hAnsi="Times New Roman" w:cs="Times New Roman"/>
                <w:color w:val="000000"/>
                <w:sz w:val="24"/>
                <w:szCs w:val="24"/>
              </w:rPr>
              <w:t>, relational trust, community ties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22266C9" w14:textId="77777777" w:rsidR="00E171B9" w:rsidRDefault="00000000">
            <w:pPr>
              <w:spacing w:before="280"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Kreng</w:t>
            </w:r>
            <w:proofErr w:type="spellEnd"/>
            <w:r>
              <w:rPr>
                <w:rFonts w:ascii="Times New Roman" w:eastAsia="Times New Roman" w:hAnsi="Times New Roman" w:cs="Times New Roman"/>
                <w:i/>
                <w:iCs/>
                <w:color w:val="000000"/>
                <w:sz w:val="24"/>
                <w:szCs w:val="24"/>
              </w:rPr>
              <w:t xml:space="preserve"> jai</w:t>
            </w:r>
            <w:r>
              <w:rPr>
                <w:rFonts w:ascii="Times New Roman" w:eastAsia="Times New Roman" w:hAnsi="Times New Roman" w:cs="Times New Roman"/>
                <w:color w:val="000000"/>
                <w:sz w:val="24"/>
                <w:szCs w:val="24"/>
              </w:rPr>
              <w:t>, hierarchy, collectivist norms</w:t>
            </w:r>
          </w:p>
        </w:tc>
      </w:tr>
      <w:tr w:rsidR="00E171B9" w14:paraId="1C96005B" w14:textId="77777777">
        <w:trPr>
          <w:trHeight w:val="105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0DC9D4F"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Common Practices</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A8B7F8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Recycling, localized waste management, cooperative initiatives</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4A8D8E7"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HACCP, GMP, green technologies, supply-chain compliance</w:t>
            </w:r>
          </w:p>
        </w:tc>
      </w:tr>
      <w:tr w:rsidR="00E171B9" w14:paraId="51449A6A"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1986A8A"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Governance Mechanism</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F3C14EA"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Informal social accountability</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EFB1440"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and market-based compliance</w:t>
            </w:r>
          </w:p>
        </w:tc>
      </w:tr>
      <w:tr w:rsidR="00E171B9" w14:paraId="3CFCE81D"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FE4B311"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Enterprise Structure</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3B675D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Family-owned and community-centered</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9D434DD"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Export-oriented and globally integrated</w:t>
            </w:r>
          </w:p>
        </w:tc>
      </w:tr>
      <w:tr w:rsidR="00E171B9" w14:paraId="5FDB7FDC" w14:textId="77777777">
        <w:trPr>
          <w:trHeight w:val="785"/>
        </w:trPr>
        <w:tc>
          <w:tcPr>
            <w:tcW w:w="1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D61749B" w14:textId="77777777" w:rsidR="00E171B9" w:rsidRDefault="00000000">
            <w:pPr>
              <w:spacing w:before="280" w:after="28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Sustainability Motivation</w:t>
            </w:r>
          </w:p>
        </w:tc>
        <w:tc>
          <w:tcPr>
            <w:tcW w:w="36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C33082"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responsibility and operational survival</w:t>
            </w:r>
          </w:p>
        </w:tc>
        <w:tc>
          <w:tcPr>
            <w:tcW w:w="34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28A8AC" w14:textId="77777777" w:rsidR="00E171B9" w:rsidRDefault="00000000">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Competitiveness and international market access</w:t>
            </w:r>
          </w:p>
        </w:tc>
      </w:tr>
    </w:tbl>
    <w:p w14:paraId="02C50FAA" w14:textId="77777777" w:rsidR="00E171B9" w:rsidRDefault="00000000">
      <w:pPr>
        <w:pStyle w:val="Heading1"/>
        <w:keepNext w:val="0"/>
        <w:keepLines w:val="0"/>
        <w:spacing w:before="480" w:after="120" w:line="240" w:lineRule="auto"/>
        <w:jc w:val="both"/>
        <w:rPr>
          <w:rFonts w:ascii="Times New Roman" w:eastAsia="Times New Roman" w:hAnsi="Times New Roman" w:cs="Times New Roman"/>
          <w:b/>
          <w:bCs/>
          <w:color w:val="000000"/>
          <w:sz w:val="24"/>
          <w:szCs w:val="24"/>
        </w:rPr>
      </w:pPr>
      <w:bookmarkStart w:id="11" w:name="_heading=h.gydx20tdg6u3" w:colFirst="0" w:colLast="0"/>
      <w:bookmarkEnd w:id="11"/>
      <w:r>
        <w:rPr>
          <w:rFonts w:ascii="Times New Roman" w:eastAsia="Times New Roman" w:hAnsi="Times New Roman" w:cs="Times New Roman"/>
          <w:b/>
          <w:bCs/>
          <w:color w:val="000000"/>
          <w:sz w:val="24"/>
          <w:szCs w:val="24"/>
        </w:rPr>
        <w:t>4. Conclusion</w:t>
      </w:r>
    </w:p>
    <w:p w14:paraId="5CF6A015"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concludes that sustainability compliance among SMEs in the Philippines and Thailand is uneven, incremental, and deeply shaped by structural constraints and contextual </w:t>
      </w:r>
      <w:r>
        <w:rPr>
          <w:rFonts w:ascii="Times New Roman" w:eastAsia="Times New Roman" w:hAnsi="Times New Roman" w:cs="Times New Roman"/>
          <w:sz w:val="24"/>
          <w:szCs w:val="24"/>
        </w:rPr>
        <w:lastRenderedPageBreak/>
        <w:t>realities. Rather than reflecting a linear progression toward standardized sustainability models, SME compliance emerges as a gradual and adaptive process influenced by financial limitations, institutional conditions, and socio-cultural dynamics.</w:t>
      </w:r>
    </w:p>
    <w:p w14:paraId="7C682FBA"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sustainability practices among SMEs are not solely driven by formal regulations or market incentives. Instead, sustainability behavior is strongly shaped by community relationships, cultural norms, and informal governance mechanisms. Philippine SMEs tend to rely on socially embedded and community-oriented sustainability practices, while Thai SMEs demonstrate more formalized and export-driven approaches shaped by global value chains and institutional integration.</w:t>
      </w:r>
    </w:p>
    <w:p w14:paraId="43FBEB34"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persistent barriers, SMEs in both countries demonstrate adaptability by developing localized and context-sensitive sustainability strategies. These findings suggest the need to move beyond one-size-fits-all sustainability frameworks toward more flexible and culturally responsive approaches that recognize the diversity of SME experiences across Southeast Asia.</w:t>
      </w:r>
    </w:p>
    <w:p w14:paraId="327B14D0"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policy perspective, sustainability initiatives should integrate financial assistance, technical capacity-building, and community-based approaches to support long-term sustainability adoption among SMEs. Effective sustainability strategies must balance formal institutional mechanisms with locally embedded socio-cultural practices, ensuring that sustainability frameworks remain both globally relevant and contextually grounded.</w:t>
      </w:r>
    </w:p>
    <w:p w14:paraId="36DA511F" w14:textId="77777777" w:rsidR="00E171B9"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sustainability compliance among SMEs is best understood as a dynamic and socially embedded process shaped by the interaction of economic conditions, institutional structures, and cultural values. Recognizing this complexity can contribute to more inclusive, adaptive, and effective sustainability policies for SMEs in Southeast Asia.</w:t>
      </w:r>
    </w:p>
    <w:p w14:paraId="7066D8C4" w14:textId="77777777" w:rsidR="00E171B9" w:rsidRDefault="00000000">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References</w:t>
      </w:r>
    </w:p>
    <w:p w14:paraId="3496D47C"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P., &amp; </w:t>
      </w:r>
      <w:proofErr w:type="spellStart"/>
      <w:r>
        <w:rPr>
          <w:rFonts w:ascii="Times New Roman" w:eastAsia="Times New Roman" w:hAnsi="Times New Roman" w:cs="Times New Roman"/>
          <w:sz w:val="24"/>
          <w:szCs w:val="24"/>
        </w:rPr>
        <w:t>DesJardine</w:t>
      </w:r>
      <w:proofErr w:type="spellEnd"/>
      <w:r>
        <w:rPr>
          <w:rFonts w:ascii="Times New Roman" w:eastAsia="Times New Roman" w:hAnsi="Times New Roman" w:cs="Times New Roman"/>
          <w:sz w:val="24"/>
          <w:szCs w:val="24"/>
        </w:rPr>
        <w:t xml:space="preserve">, M. (2015). Business sustainability: It is about time. </w:t>
      </w:r>
      <w:r>
        <w:rPr>
          <w:rFonts w:ascii="Times New Roman" w:eastAsia="Times New Roman" w:hAnsi="Times New Roman" w:cs="Times New Roman"/>
          <w:i/>
          <w:iCs/>
          <w:sz w:val="24"/>
          <w:szCs w:val="24"/>
        </w:rPr>
        <w:t>Organization &amp; Environment, 28</w:t>
      </w:r>
      <w:r>
        <w:rPr>
          <w:rFonts w:ascii="Times New Roman" w:eastAsia="Times New Roman" w:hAnsi="Times New Roman" w:cs="Times New Roman"/>
          <w:sz w:val="24"/>
          <w:szCs w:val="24"/>
        </w:rPr>
        <w:t>(3), 292–305.</w:t>
      </w:r>
    </w:p>
    <w:p w14:paraId="19626780"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Braun, V., &amp; Clarke, V. (2006). Using thematic analysis in psychology. </w:t>
      </w:r>
      <w:r>
        <w:rPr>
          <w:rFonts w:ascii="Times New Roman" w:eastAsia="Times New Roman" w:hAnsi="Times New Roman" w:cs="Times New Roman"/>
          <w:i/>
          <w:iCs/>
          <w:sz w:val="24"/>
          <w:szCs w:val="24"/>
        </w:rPr>
        <w:t>Qualitative Research in Psychology, 3</w:t>
      </w:r>
      <w:r>
        <w:rPr>
          <w:rFonts w:ascii="Times New Roman" w:eastAsia="Times New Roman" w:hAnsi="Times New Roman" w:cs="Times New Roman"/>
          <w:sz w:val="24"/>
          <w:szCs w:val="24"/>
        </w:rPr>
        <w:t>(2), 77–101.</w:t>
      </w:r>
    </w:p>
    <w:p w14:paraId="6F2953C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Río, P., Carrillo-Hermosilla, J., &amp; </w:t>
      </w:r>
      <w:proofErr w:type="spellStart"/>
      <w:r>
        <w:rPr>
          <w:rFonts w:ascii="Times New Roman" w:eastAsia="Times New Roman" w:hAnsi="Times New Roman" w:cs="Times New Roman"/>
          <w:sz w:val="24"/>
          <w:szCs w:val="24"/>
        </w:rPr>
        <w:t>Könnölä</w:t>
      </w:r>
      <w:proofErr w:type="spellEnd"/>
      <w:r>
        <w:rPr>
          <w:rFonts w:ascii="Times New Roman" w:eastAsia="Times New Roman" w:hAnsi="Times New Roman" w:cs="Times New Roman"/>
          <w:sz w:val="24"/>
          <w:szCs w:val="24"/>
        </w:rPr>
        <w:t xml:space="preserve">, T. (2016). Policy strategies to promote eco-innovation in SMEs. </w:t>
      </w:r>
      <w:r>
        <w:rPr>
          <w:rFonts w:ascii="Times New Roman" w:eastAsia="Times New Roman" w:hAnsi="Times New Roman" w:cs="Times New Roman"/>
          <w:i/>
          <w:iCs/>
          <w:sz w:val="24"/>
          <w:szCs w:val="24"/>
        </w:rPr>
        <w:t>Ecological Economics, 125</w:t>
      </w:r>
      <w:r>
        <w:rPr>
          <w:rFonts w:ascii="Times New Roman" w:eastAsia="Times New Roman" w:hAnsi="Times New Roman" w:cs="Times New Roman"/>
          <w:sz w:val="24"/>
          <w:szCs w:val="24"/>
        </w:rPr>
        <w:t>, 70–83.</w:t>
      </w:r>
    </w:p>
    <w:p w14:paraId="1F8078B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Filippini, M., &amp; Srinivasan, S. (2021). Environmental compliance and firm performance: Evidence from SMEs. </w:t>
      </w:r>
      <w:r>
        <w:rPr>
          <w:rFonts w:ascii="Times New Roman" w:eastAsia="Times New Roman" w:hAnsi="Times New Roman" w:cs="Times New Roman"/>
          <w:i/>
          <w:iCs/>
          <w:sz w:val="24"/>
          <w:szCs w:val="24"/>
        </w:rPr>
        <w:t>Journal of Environmental Economics and Management, 106</w:t>
      </w:r>
      <w:r>
        <w:rPr>
          <w:rFonts w:ascii="Times New Roman" w:eastAsia="Times New Roman" w:hAnsi="Times New Roman" w:cs="Times New Roman"/>
          <w:sz w:val="24"/>
          <w:szCs w:val="24"/>
        </w:rPr>
        <w:t>, 102–118.</w:t>
      </w:r>
    </w:p>
    <w:p w14:paraId="1EA4334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Gadenne, D., Kennedy, J., &amp; McKeiver, C. (2019). An empirical study of environmental awareness and practices in SMEs. </w:t>
      </w:r>
      <w:r>
        <w:rPr>
          <w:rFonts w:ascii="Times New Roman" w:eastAsia="Times New Roman" w:hAnsi="Times New Roman" w:cs="Times New Roman"/>
          <w:i/>
          <w:iCs/>
          <w:sz w:val="24"/>
          <w:szCs w:val="24"/>
        </w:rPr>
        <w:t>Journal of Environmental Management, 234</w:t>
      </w:r>
      <w:r>
        <w:rPr>
          <w:rFonts w:ascii="Times New Roman" w:eastAsia="Times New Roman" w:hAnsi="Times New Roman" w:cs="Times New Roman"/>
          <w:sz w:val="24"/>
          <w:szCs w:val="24"/>
        </w:rPr>
        <w:t>, 98–110.</w:t>
      </w:r>
    </w:p>
    <w:p w14:paraId="1C506ECF" w14:textId="77777777" w:rsidR="00E171B9" w:rsidRDefault="00000000">
      <w:pPr>
        <w:spacing w:before="280"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Harsanto</w:t>
      </w:r>
      <w:proofErr w:type="spellEnd"/>
      <w:r>
        <w:rPr>
          <w:rFonts w:ascii="Times New Roman" w:eastAsia="Times New Roman" w:hAnsi="Times New Roman" w:cs="Times New Roman"/>
          <w:sz w:val="24"/>
          <w:szCs w:val="24"/>
        </w:rPr>
        <w:t xml:space="preserve">, B., Mulyana, A., &amp; Wahyuni-TD, I. S. (2023). Sustainability-oriented innovation in SMEs: A systematic review. </w:t>
      </w:r>
      <w:r>
        <w:rPr>
          <w:rFonts w:ascii="Times New Roman" w:eastAsia="Times New Roman" w:hAnsi="Times New Roman" w:cs="Times New Roman"/>
          <w:i/>
          <w:iCs/>
          <w:sz w:val="24"/>
          <w:szCs w:val="24"/>
        </w:rPr>
        <w:t>Sustainability, 15</w:t>
      </w:r>
      <w:r>
        <w:rPr>
          <w:rFonts w:ascii="Times New Roman" w:eastAsia="Times New Roman" w:hAnsi="Times New Roman" w:cs="Times New Roman"/>
          <w:sz w:val="24"/>
          <w:szCs w:val="24"/>
        </w:rPr>
        <w:t>(4), 2234.</w:t>
      </w:r>
    </w:p>
    <w:p w14:paraId="54B7B545"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Hillary, R. (2017). Environmental management systems and SMEs: A review. </w:t>
      </w:r>
      <w:r>
        <w:rPr>
          <w:rFonts w:ascii="Times New Roman" w:eastAsia="Times New Roman" w:hAnsi="Times New Roman" w:cs="Times New Roman"/>
          <w:i/>
          <w:iCs/>
          <w:sz w:val="24"/>
          <w:szCs w:val="24"/>
        </w:rPr>
        <w:t>Business Strategy and the Environment, 26</w:t>
      </w:r>
      <w:r>
        <w:rPr>
          <w:rFonts w:ascii="Times New Roman" w:eastAsia="Times New Roman" w:hAnsi="Times New Roman" w:cs="Times New Roman"/>
          <w:sz w:val="24"/>
          <w:szCs w:val="24"/>
        </w:rPr>
        <w:t>(2), 76–89.</w:t>
      </w:r>
    </w:p>
    <w:p w14:paraId="26B1E92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Hofstede, G. (2011). </w:t>
      </w:r>
      <w:proofErr w:type="spellStart"/>
      <w:r>
        <w:rPr>
          <w:rFonts w:ascii="Times New Roman" w:eastAsia="Times New Roman" w:hAnsi="Times New Roman" w:cs="Times New Roman"/>
          <w:sz w:val="24"/>
          <w:szCs w:val="24"/>
        </w:rPr>
        <w:t>Dimensionalizing</w:t>
      </w:r>
      <w:proofErr w:type="spellEnd"/>
      <w:r>
        <w:rPr>
          <w:rFonts w:ascii="Times New Roman" w:eastAsia="Times New Roman" w:hAnsi="Times New Roman" w:cs="Times New Roman"/>
          <w:sz w:val="24"/>
          <w:szCs w:val="24"/>
        </w:rPr>
        <w:t xml:space="preserve"> cultures: The Hofstede model in context. </w:t>
      </w:r>
      <w:r>
        <w:rPr>
          <w:rFonts w:ascii="Times New Roman" w:eastAsia="Times New Roman" w:hAnsi="Times New Roman" w:cs="Times New Roman"/>
          <w:i/>
          <w:iCs/>
          <w:sz w:val="24"/>
          <w:szCs w:val="24"/>
        </w:rPr>
        <w:t>Online Readings in Psychology and Culture, 2</w:t>
      </w:r>
      <w:r>
        <w:rPr>
          <w:rFonts w:ascii="Times New Roman" w:eastAsia="Times New Roman" w:hAnsi="Times New Roman" w:cs="Times New Roman"/>
          <w:sz w:val="24"/>
          <w:szCs w:val="24"/>
        </w:rPr>
        <w:t>(1).</w:t>
      </w:r>
    </w:p>
    <w:p w14:paraId="1249D21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Jenkins, H. (2015). SMEs and corporate social responsibility: Business as usual? </w:t>
      </w:r>
      <w:r>
        <w:rPr>
          <w:rFonts w:ascii="Times New Roman" w:eastAsia="Times New Roman" w:hAnsi="Times New Roman" w:cs="Times New Roman"/>
          <w:i/>
          <w:iCs/>
          <w:sz w:val="24"/>
          <w:szCs w:val="24"/>
        </w:rPr>
        <w:t>Journal of Business Ethics, 67</w:t>
      </w:r>
      <w:r>
        <w:rPr>
          <w:rFonts w:ascii="Times New Roman" w:eastAsia="Times New Roman" w:hAnsi="Times New Roman" w:cs="Times New Roman"/>
          <w:sz w:val="24"/>
          <w:szCs w:val="24"/>
        </w:rPr>
        <w:t>(3), 241–256.</w:t>
      </w:r>
    </w:p>
    <w:p w14:paraId="350D5ED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Klewitz, J., &amp; Hansen, E. (2016). Sustainability-oriented innovation of SMEs: A systematic review. </w:t>
      </w:r>
      <w:r>
        <w:rPr>
          <w:rFonts w:ascii="Times New Roman" w:eastAsia="Times New Roman" w:hAnsi="Times New Roman" w:cs="Times New Roman"/>
          <w:i/>
          <w:iCs/>
          <w:sz w:val="24"/>
          <w:szCs w:val="24"/>
        </w:rPr>
        <w:t>Journal of Cleaner Production, 65</w:t>
      </w:r>
      <w:r>
        <w:rPr>
          <w:rFonts w:ascii="Times New Roman" w:eastAsia="Times New Roman" w:hAnsi="Times New Roman" w:cs="Times New Roman"/>
          <w:sz w:val="24"/>
          <w:szCs w:val="24"/>
        </w:rPr>
        <w:t>, 57–75.</w:t>
      </w:r>
    </w:p>
    <w:p w14:paraId="5CFB8D68"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X., Wu, Q., &amp; Li, D. (2020). SME sustainability performance and green innovation. </w:t>
      </w:r>
      <w:r>
        <w:rPr>
          <w:rFonts w:ascii="Times New Roman" w:eastAsia="Times New Roman" w:hAnsi="Times New Roman" w:cs="Times New Roman"/>
          <w:i/>
          <w:iCs/>
          <w:sz w:val="24"/>
          <w:szCs w:val="24"/>
        </w:rPr>
        <w:t>International Journal of Production Economics, 219</w:t>
      </w:r>
      <w:r>
        <w:rPr>
          <w:rFonts w:ascii="Times New Roman" w:eastAsia="Times New Roman" w:hAnsi="Times New Roman" w:cs="Times New Roman"/>
          <w:sz w:val="24"/>
          <w:szCs w:val="24"/>
        </w:rPr>
        <w:t>, 102–115.</w:t>
      </w:r>
    </w:p>
    <w:p w14:paraId="396CB6E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Luken, R., &amp; Stares, R. (2015). SMEs and environmental performance: A global perspective. </w:t>
      </w:r>
      <w:r>
        <w:rPr>
          <w:rFonts w:ascii="Times New Roman" w:eastAsia="Times New Roman" w:hAnsi="Times New Roman" w:cs="Times New Roman"/>
          <w:i/>
          <w:iCs/>
          <w:sz w:val="24"/>
          <w:szCs w:val="24"/>
        </w:rPr>
        <w:t>Journal of Industrial Ecology, 9</w:t>
      </w:r>
      <w:r>
        <w:rPr>
          <w:rFonts w:ascii="Times New Roman" w:eastAsia="Times New Roman" w:hAnsi="Times New Roman" w:cs="Times New Roman"/>
          <w:sz w:val="24"/>
          <w:szCs w:val="24"/>
        </w:rPr>
        <w:t>(3), 53–66.</w:t>
      </w:r>
    </w:p>
    <w:p w14:paraId="1AB2B4BC"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D. T., Pham, T. H., &amp; Tran, Q. T. (2025). Green practices in ASEAN SMEs: Drivers and barriers. </w:t>
      </w:r>
      <w:r>
        <w:rPr>
          <w:rFonts w:ascii="Times New Roman" w:eastAsia="Times New Roman" w:hAnsi="Times New Roman" w:cs="Times New Roman"/>
          <w:i/>
          <w:iCs/>
          <w:sz w:val="24"/>
          <w:szCs w:val="24"/>
        </w:rPr>
        <w:t>Sustainability Review</w:t>
      </w:r>
      <w:r>
        <w:rPr>
          <w:rFonts w:ascii="Times New Roman" w:eastAsia="Times New Roman" w:hAnsi="Times New Roman" w:cs="Times New Roman"/>
          <w:sz w:val="24"/>
          <w:szCs w:val="24"/>
        </w:rPr>
        <w:t>.</w:t>
      </w:r>
    </w:p>
    <w:p w14:paraId="54CC55D4"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Perrini, F. (2016). SMEs and CSR theory: Evidence and implications. </w:t>
      </w:r>
      <w:r>
        <w:rPr>
          <w:rFonts w:ascii="Times New Roman" w:eastAsia="Times New Roman" w:hAnsi="Times New Roman" w:cs="Times New Roman"/>
          <w:i/>
          <w:iCs/>
          <w:sz w:val="24"/>
          <w:szCs w:val="24"/>
        </w:rPr>
        <w:t>Journal of Business Ethics, 67</w:t>
      </w:r>
      <w:r>
        <w:rPr>
          <w:rFonts w:ascii="Times New Roman" w:eastAsia="Times New Roman" w:hAnsi="Times New Roman" w:cs="Times New Roman"/>
          <w:sz w:val="24"/>
          <w:szCs w:val="24"/>
        </w:rPr>
        <w:t>(3), 305–316.</w:t>
      </w:r>
    </w:p>
    <w:p w14:paraId="3E05956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Revell, A., &amp; Blackburn, R. (2017). The business case for sustainability in SMEs. </w:t>
      </w:r>
      <w:r>
        <w:rPr>
          <w:rFonts w:ascii="Times New Roman" w:eastAsia="Times New Roman" w:hAnsi="Times New Roman" w:cs="Times New Roman"/>
          <w:i/>
          <w:iCs/>
          <w:sz w:val="24"/>
          <w:szCs w:val="24"/>
        </w:rPr>
        <w:t>Business Strategy and the Environment, 16</w:t>
      </w:r>
      <w:r>
        <w:rPr>
          <w:rFonts w:ascii="Times New Roman" w:eastAsia="Times New Roman" w:hAnsi="Times New Roman" w:cs="Times New Roman"/>
          <w:sz w:val="24"/>
          <w:szCs w:val="24"/>
        </w:rPr>
        <w:t>(6), 404–420.</w:t>
      </w:r>
    </w:p>
    <w:p w14:paraId="7742A0FB"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Schaltegger, S., &amp; Wagner, M. (2017). Sustainable entrepreneurship and innovation. </w:t>
      </w:r>
      <w:r>
        <w:rPr>
          <w:rFonts w:ascii="Times New Roman" w:eastAsia="Times New Roman" w:hAnsi="Times New Roman" w:cs="Times New Roman"/>
          <w:i/>
          <w:iCs/>
          <w:sz w:val="24"/>
          <w:szCs w:val="24"/>
        </w:rPr>
        <w:t>Journal of Business Venturing, 26</w:t>
      </w:r>
      <w:r>
        <w:rPr>
          <w:rFonts w:ascii="Times New Roman" w:eastAsia="Times New Roman" w:hAnsi="Times New Roman" w:cs="Times New Roman"/>
          <w:sz w:val="24"/>
          <w:szCs w:val="24"/>
        </w:rPr>
        <w:t>(2), 222–237.</w:t>
      </w:r>
    </w:p>
    <w:p w14:paraId="5226BF55"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Stubbs, W., &amp; Cocklin, C. (2015). Conceptualizing sustainability models. </w:t>
      </w:r>
      <w:r>
        <w:rPr>
          <w:rFonts w:ascii="Times New Roman" w:eastAsia="Times New Roman" w:hAnsi="Times New Roman" w:cs="Times New Roman"/>
          <w:i/>
          <w:iCs/>
          <w:sz w:val="24"/>
          <w:szCs w:val="24"/>
        </w:rPr>
        <w:t>Organization &amp; Environment, 21</w:t>
      </w:r>
      <w:r>
        <w:rPr>
          <w:rFonts w:ascii="Times New Roman" w:eastAsia="Times New Roman" w:hAnsi="Times New Roman" w:cs="Times New Roman"/>
          <w:sz w:val="24"/>
          <w:szCs w:val="24"/>
        </w:rPr>
        <w:t>(2), 103–127.</w:t>
      </w:r>
    </w:p>
    <w:p w14:paraId="33870D5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Q. T., Nguyen, T. H., &amp; Le, D. T. (2025). Socio-cultural influences on SME sustainability practices. </w:t>
      </w:r>
      <w:r>
        <w:rPr>
          <w:rFonts w:ascii="Times New Roman" w:eastAsia="Times New Roman" w:hAnsi="Times New Roman" w:cs="Times New Roman"/>
          <w:i/>
          <w:iCs/>
          <w:sz w:val="24"/>
          <w:szCs w:val="24"/>
        </w:rPr>
        <w:t>Environment, Development and Sustainability</w:t>
      </w:r>
      <w:r>
        <w:rPr>
          <w:rFonts w:ascii="Times New Roman" w:eastAsia="Times New Roman" w:hAnsi="Times New Roman" w:cs="Times New Roman"/>
          <w:sz w:val="24"/>
          <w:szCs w:val="24"/>
        </w:rPr>
        <w:t>.</w:t>
      </w:r>
    </w:p>
    <w:p w14:paraId="5F17F7A1"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T. H. (2018). Sustainability in food supply chains in Southeast Asia. </w:t>
      </w:r>
      <w:r>
        <w:rPr>
          <w:rFonts w:ascii="Times New Roman" w:eastAsia="Times New Roman" w:hAnsi="Times New Roman" w:cs="Times New Roman"/>
          <w:i/>
          <w:iCs/>
          <w:sz w:val="24"/>
          <w:szCs w:val="24"/>
        </w:rPr>
        <w:t>International Journal of Supply Chain Management</w:t>
      </w:r>
      <w:r>
        <w:rPr>
          <w:rFonts w:ascii="Times New Roman" w:eastAsia="Times New Roman" w:hAnsi="Times New Roman" w:cs="Times New Roman"/>
          <w:sz w:val="24"/>
          <w:szCs w:val="24"/>
        </w:rPr>
        <w:t>.</w:t>
      </w:r>
    </w:p>
    <w:p w14:paraId="3583D5B3"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Yoshino, N., Taghizadeh-</w:t>
      </w:r>
      <w:proofErr w:type="spellStart"/>
      <w:r>
        <w:rPr>
          <w:rFonts w:ascii="Times New Roman" w:eastAsia="Times New Roman" w:hAnsi="Times New Roman" w:cs="Times New Roman"/>
          <w:sz w:val="24"/>
          <w:szCs w:val="24"/>
        </w:rPr>
        <w:t>Hesary</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Nakahigashi</w:t>
      </w:r>
      <w:proofErr w:type="spellEnd"/>
      <w:r>
        <w:rPr>
          <w:rFonts w:ascii="Times New Roman" w:eastAsia="Times New Roman" w:hAnsi="Times New Roman" w:cs="Times New Roman"/>
          <w:sz w:val="24"/>
          <w:szCs w:val="24"/>
        </w:rPr>
        <w:t xml:space="preserve">, M. (2023). Green finance and SME sustainability in Asia. </w:t>
      </w:r>
      <w:r>
        <w:rPr>
          <w:rFonts w:ascii="Times New Roman" w:eastAsia="Times New Roman" w:hAnsi="Times New Roman" w:cs="Times New Roman"/>
          <w:i/>
          <w:iCs/>
          <w:sz w:val="24"/>
          <w:szCs w:val="24"/>
        </w:rPr>
        <w:t>Asia-Pacific Journal of Economics</w:t>
      </w:r>
      <w:r>
        <w:rPr>
          <w:rFonts w:ascii="Times New Roman" w:eastAsia="Times New Roman" w:hAnsi="Times New Roman" w:cs="Times New Roman"/>
          <w:sz w:val="24"/>
          <w:szCs w:val="24"/>
        </w:rPr>
        <w:t>.</w:t>
      </w:r>
    </w:p>
    <w:p w14:paraId="1DA9F152"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Zhu, Q., Sarkis, J., &amp; Lai, K. H. (2016). Green supply chain management and SME performance. </w:t>
      </w:r>
      <w:r>
        <w:rPr>
          <w:rFonts w:ascii="Times New Roman" w:eastAsia="Times New Roman" w:hAnsi="Times New Roman" w:cs="Times New Roman"/>
          <w:i/>
          <w:iCs/>
          <w:sz w:val="24"/>
          <w:szCs w:val="24"/>
        </w:rPr>
        <w:t>Journal of Cleaner Production, 112</w:t>
      </w:r>
      <w:r>
        <w:rPr>
          <w:rFonts w:ascii="Times New Roman" w:eastAsia="Times New Roman" w:hAnsi="Times New Roman" w:cs="Times New Roman"/>
          <w:sz w:val="24"/>
          <w:szCs w:val="24"/>
        </w:rPr>
        <w:t>, 413–420.</w:t>
      </w:r>
    </w:p>
    <w:p w14:paraId="1B9BA099"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Ayyagari, M., Beck, T., &amp; </w:t>
      </w:r>
      <w:proofErr w:type="spellStart"/>
      <w:r>
        <w:rPr>
          <w:rFonts w:ascii="Times New Roman" w:eastAsia="Times New Roman" w:hAnsi="Times New Roman" w:cs="Times New Roman"/>
          <w:sz w:val="24"/>
          <w:szCs w:val="24"/>
        </w:rPr>
        <w:t>Demirgüç</w:t>
      </w:r>
      <w:proofErr w:type="spellEnd"/>
      <w:r>
        <w:rPr>
          <w:rFonts w:ascii="Times New Roman" w:eastAsia="Times New Roman" w:hAnsi="Times New Roman" w:cs="Times New Roman"/>
          <w:sz w:val="24"/>
          <w:szCs w:val="24"/>
        </w:rPr>
        <w:t xml:space="preserve">-Kunt, A. (2015). Small and medium enterprises across the globe. </w:t>
      </w:r>
      <w:r>
        <w:rPr>
          <w:rFonts w:ascii="Times New Roman" w:eastAsia="Times New Roman" w:hAnsi="Times New Roman" w:cs="Times New Roman"/>
          <w:i/>
          <w:iCs/>
          <w:sz w:val="24"/>
          <w:szCs w:val="24"/>
        </w:rPr>
        <w:t>World Bank Research Observer, 30</w:t>
      </w:r>
      <w:r>
        <w:rPr>
          <w:rFonts w:ascii="Times New Roman" w:eastAsia="Times New Roman" w:hAnsi="Times New Roman" w:cs="Times New Roman"/>
          <w:sz w:val="24"/>
          <w:szCs w:val="24"/>
        </w:rPr>
        <w:t>(2), 199–222.</w:t>
      </w:r>
    </w:p>
    <w:p w14:paraId="3C6CBDD6"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S. A. R., Zhang, Y., &amp; Anees, M. (2020). Role of green supply chain management in SMEs. </w:t>
      </w:r>
      <w:r>
        <w:rPr>
          <w:rFonts w:ascii="Times New Roman" w:eastAsia="Times New Roman" w:hAnsi="Times New Roman" w:cs="Times New Roman"/>
          <w:i/>
          <w:iCs/>
          <w:sz w:val="24"/>
          <w:szCs w:val="24"/>
        </w:rPr>
        <w:t>Journal of Cleaner Production, 267</w:t>
      </w:r>
      <w:r>
        <w:rPr>
          <w:rFonts w:ascii="Times New Roman" w:eastAsia="Times New Roman" w:hAnsi="Times New Roman" w:cs="Times New Roman"/>
          <w:sz w:val="24"/>
          <w:szCs w:val="24"/>
        </w:rPr>
        <w:t>, 122–135.</w:t>
      </w:r>
    </w:p>
    <w:p w14:paraId="32BB93AF"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Testa, F., </w:t>
      </w:r>
      <w:proofErr w:type="spellStart"/>
      <w:r>
        <w:rPr>
          <w:rFonts w:ascii="Times New Roman" w:eastAsia="Times New Roman" w:hAnsi="Times New Roman" w:cs="Times New Roman"/>
          <w:sz w:val="24"/>
          <w:szCs w:val="24"/>
        </w:rPr>
        <w:t>Boiral</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Iraldo</w:t>
      </w:r>
      <w:proofErr w:type="spellEnd"/>
      <w:r>
        <w:rPr>
          <w:rFonts w:ascii="Times New Roman" w:eastAsia="Times New Roman" w:hAnsi="Times New Roman" w:cs="Times New Roman"/>
          <w:sz w:val="24"/>
          <w:szCs w:val="24"/>
        </w:rPr>
        <w:t xml:space="preserve">, F. (2018). Internalization of environmental practices in SMEs. </w:t>
      </w:r>
      <w:r>
        <w:rPr>
          <w:rFonts w:ascii="Times New Roman" w:eastAsia="Times New Roman" w:hAnsi="Times New Roman" w:cs="Times New Roman"/>
          <w:i/>
          <w:iCs/>
          <w:sz w:val="24"/>
          <w:szCs w:val="24"/>
        </w:rPr>
        <w:t>Business Strategy and the Environment, 27</w:t>
      </w:r>
      <w:r>
        <w:rPr>
          <w:rFonts w:ascii="Times New Roman" w:eastAsia="Times New Roman" w:hAnsi="Times New Roman" w:cs="Times New Roman"/>
          <w:sz w:val="24"/>
          <w:szCs w:val="24"/>
        </w:rPr>
        <w:t>(5), 671–684.</w:t>
      </w:r>
    </w:p>
    <w:p w14:paraId="611D6B5A" w14:textId="77777777" w:rsidR="00E171B9"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García-Granero, E. M., Piedra-Muñoz, L., &amp; Galdeano-Gómez, E. (2018). Measuring eco-innovation in SMEs. </w:t>
      </w:r>
      <w:r>
        <w:rPr>
          <w:rFonts w:ascii="Times New Roman" w:eastAsia="Times New Roman" w:hAnsi="Times New Roman" w:cs="Times New Roman"/>
          <w:i/>
          <w:iCs/>
          <w:sz w:val="24"/>
          <w:szCs w:val="24"/>
        </w:rPr>
        <w:t>Journal of Business Research, 89</w:t>
      </w:r>
      <w:r>
        <w:rPr>
          <w:rFonts w:ascii="Times New Roman" w:eastAsia="Times New Roman" w:hAnsi="Times New Roman" w:cs="Times New Roman"/>
          <w:sz w:val="24"/>
          <w:szCs w:val="24"/>
        </w:rPr>
        <w:t>, 212–221.</w:t>
      </w:r>
    </w:p>
    <w:p w14:paraId="40AC402D" w14:textId="77777777" w:rsidR="00E171B9" w:rsidRDefault="00E171B9">
      <w:pPr>
        <w:spacing w:before="280" w:line="240" w:lineRule="auto"/>
        <w:jc w:val="both"/>
        <w:rPr>
          <w:rFonts w:ascii="Times New Roman" w:eastAsia="Times New Roman" w:hAnsi="Times New Roman" w:cs="Times New Roman"/>
          <w:color w:val="EE0000"/>
          <w:sz w:val="24"/>
          <w:szCs w:val="24"/>
        </w:rPr>
      </w:pPr>
    </w:p>
    <w:sectPr w:rsidR="00E171B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45676" w14:textId="77777777" w:rsidR="00AC4C1B" w:rsidRDefault="00AC4C1B">
      <w:pPr>
        <w:spacing w:line="240" w:lineRule="auto"/>
      </w:pPr>
      <w:r>
        <w:separator/>
      </w:r>
    </w:p>
  </w:endnote>
  <w:endnote w:type="continuationSeparator" w:id="0">
    <w:p w14:paraId="692BD229" w14:textId="77777777" w:rsidR="00AC4C1B" w:rsidRDefault="00AC4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58E5A4-2AF1-4B45-A9C7-D598DBA2F6D5}"/>
    <w:embedItalic r:id="rId2" w:fontKey="{041B17CB-1497-46D8-83BE-CA62263CB68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0FC7B984-D82C-4EAB-BC41-87E625F0DD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BC1FD" w14:textId="77777777" w:rsidR="00AC4C1B" w:rsidRDefault="00AC4C1B">
      <w:pPr>
        <w:spacing w:after="0"/>
      </w:pPr>
      <w:r>
        <w:separator/>
      </w:r>
    </w:p>
  </w:footnote>
  <w:footnote w:type="continuationSeparator" w:id="0">
    <w:p w14:paraId="389BA8AE" w14:textId="77777777" w:rsidR="00AC4C1B" w:rsidRDefault="00AC4C1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40881573">
    <w:abstractNumId w:val="1"/>
  </w:num>
  <w:num w:numId="2" w16cid:durableId="1358385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B9"/>
    <w:rsid w:val="00684D2C"/>
    <w:rsid w:val="007A4331"/>
    <w:rsid w:val="00AC4C1B"/>
    <w:rsid w:val="00E0283F"/>
    <w:rsid w:val="00E171B9"/>
    <w:rsid w:val="00E965BD"/>
    <w:rsid w:val="00F23C8F"/>
    <w:rsid w:val="0F46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7226C"/>
  <w15:docId w15:val="{50B4A04A-A9A5-45FE-B1A3-FECE62C1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qFormat/>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qFormat/>
    <w:pPr>
      <w:keepNext/>
      <w:keepLines/>
      <w:spacing w:before="160" w:after="80"/>
      <w:outlineLvl w:val="2"/>
    </w:pPr>
    <w:rPr>
      <w:color w:val="2F5496"/>
      <w:sz w:val="28"/>
      <w:szCs w:val="28"/>
    </w:rPr>
  </w:style>
  <w:style w:type="paragraph" w:styleId="Heading4">
    <w:name w:val="heading 4"/>
    <w:basedOn w:val="Normal"/>
    <w:next w:val="Normal"/>
    <w:qFormat/>
    <w:pPr>
      <w:keepNext/>
      <w:keepLines/>
      <w:spacing w:before="80" w:after="40"/>
      <w:outlineLvl w:val="3"/>
    </w:pPr>
    <w:rPr>
      <w:i/>
      <w:iCs/>
      <w:color w:val="2F5496"/>
    </w:rPr>
  </w:style>
  <w:style w:type="paragraph" w:styleId="Heading5">
    <w:name w:val="heading 5"/>
    <w:basedOn w:val="Normal"/>
    <w:next w:val="Normal"/>
    <w:qFormat/>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rPr>
      <w:color w:val="595959"/>
      <w:sz w:val="28"/>
      <w:szCs w:val="28"/>
    </w:rPr>
  </w:style>
  <w:style w:type="paragraph" w:styleId="Title">
    <w:name w:val="Title"/>
    <w:basedOn w:val="Normal"/>
    <w:next w:val="Normal"/>
    <w:qFormat/>
    <w:pPr>
      <w:spacing w:after="80" w:line="240" w:lineRule="auto"/>
    </w:pPr>
    <w:rPr>
      <w:sz w:val="56"/>
      <w:szCs w:val="56"/>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aQD0sAl6C1uawNHh+ooeE3P1A==">CgMxLjAyDmgud3AwNnp3bGVlOGw3Mg5oLmUxcTJpbmluZTJkeTIOaC5pMHBlbjFybGY0Z2EyDmgucjV3OGh1eWtoaGhrMg5oLnFybnJmaW91ZWJvMDIOaC52NXFrbWU1MHhzd3YyDmguNGpibTlkb3lmajVpMg5oLjgyeGxid2ZsdjZpazIOaC5oZGQ5cXM5N2I1eTIyDmguZ2xtN2k5cmdxOTczMg5oLm56Mnh1NHR0ZHA5aTIOaC5neWR4MjB0ZGc2dTM4AHIhMVZvcXEzYjExd1g1U0Y1VEhZRDlUNVVmNHdTNzZyazY3</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4720</Words>
  <Characters>26908</Characters>
  <Application>Microsoft Office Word</Application>
  <DocSecurity>0</DocSecurity>
  <Lines>224</Lines>
  <Paragraphs>63</Paragraphs>
  <ScaleCrop>false</ScaleCrop>
  <Company/>
  <LinksUpToDate>false</LinksUpToDate>
  <CharactersWithSpaces>31565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theaisha1707@gmail.com</cp:lastModifiedBy>
  <cp:revision>4</cp:revision>
  <dcterms:created xsi:type="dcterms:W3CDTF">2026-05-01T22:09:00Z</dcterms:created>
  <dcterms:modified xsi:type="dcterms:W3CDTF">2026-05-04T08:44:00Z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eyJoZGlkIjoiYjAzZDI1OGQwY2YyYjA5ZTM5N2YxYjk4NjE2MWZmOWUiLCJ1c2VySWQiOiI3MDUwNjI3OTEzODUifQ==</vt:lpwstr>
  </property>
  <property fmtid="{D5CDD505-2E9C-101B-9397-08002B2CF9AE}" pid="3" name="KSOProductBuildVer">
    <vt:lpwstr>1033-12.1.0.25830</vt:lpwstr>
  </property>
  <property fmtid="{D5CDD505-2E9C-101B-9397-08002B2CF9AE}" pid="4" name="ICV">
    <vt:lpwstr>AA5605D0F2214A138506BDED3E666F31_12</vt:lpwstr>
  </property>
</Properties>
</file>