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A93A" w14:textId="49E50BA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FROM ADMINISTRATIVE SYSTEMS TO PATIENT OUTCOMES: A STRUCTURAL EQUATION MODEL</w:t>
      </w:r>
    </w:p>
    <w:p w14:paraId="4594132A" w14:textId="77777777"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 xml:space="preserve">OF NURSING CLINICAL PERFORMANCE </w:t>
      </w:r>
    </w:p>
    <w:p w14:paraId="401FEEE3" w14:textId="72CD35C1" w:rsidR="00D03B00" w:rsidRPr="00D03B00" w:rsidRDefault="00D03B00" w:rsidP="00D03B00">
      <w:pPr>
        <w:pStyle w:val="NoSpacing"/>
        <w:jc w:val="center"/>
        <w:rPr>
          <w:rFonts w:ascii="Times New Roman" w:hAnsi="Times New Roman" w:cs="Times New Roman"/>
          <w:b/>
          <w:bCs/>
          <w:sz w:val="36"/>
          <w:szCs w:val="36"/>
        </w:rPr>
      </w:pPr>
      <w:r w:rsidRPr="00D03B00">
        <w:rPr>
          <w:rFonts w:ascii="Times New Roman" w:hAnsi="Times New Roman" w:cs="Times New Roman"/>
          <w:b/>
          <w:bCs/>
          <w:sz w:val="36"/>
          <w:szCs w:val="36"/>
        </w:rPr>
        <w:t>IN HEALTHCARE ORGANIZATIONS</w:t>
      </w:r>
    </w:p>
    <w:p w14:paraId="6D366BF2" w14:textId="77777777" w:rsidR="00D03B00" w:rsidRPr="00D03B00" w:rsidRDefault="00D03B00" w:rsidP="00D03B00">
      <w:pPr>
        <w:pStyle w:val="NoSpacing"/>
        <w:jc w:val="center"/>
        <w:rPr>
          <w:rFonts w:ascii="Times New Roman" w:hAnsi="Times New Roman" w:cs="Times New Roman"/>
          <w:b/>
          <w:bCs/>
        </w:rPr>
      </w:pPr>
    </w:p>
    <w:p w14:paraId="08C04196" w14:textId="77777777" w:rsidR="00D03B00" w:rsidRPr="00D03B00" w:rsidRDefault="00D03B00" w:rsidP="00D03B00">
      <w:pPr>
        <w:pStyle w:val="NoSpacing"/>
        <w:jc w:val="center"/>
        <w:rPr>
          <w:rFonts w:ascii="Times New Roman" w:hAnsi="Times New Roman" w:cs="Times New Roman"/>
          <w:b/>
          <w:bCs/>
        </w:rPr>
      </w:pPr>
      <w:bookmarkStart w:id="0" w:name="_GoBack"/>
      <w:bookmarkEnd w:id="0"/>
    </w:p>
    <w:p w14:paraId="57560F7F" w14:textId="2A665AE0"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ABSTRACT</w:t>
      </w:r>
    </w:p>
    <w:p w14:paraId="1B9D71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Background:</w:t>
      </w:r>
      <w:r w:rsidRPr="00D03B00">
        <w:rPr>
          <w:rFonts w:ascii="Times New Roman" w:hAnsi="Times New Roman" w:cs="Times New Roman"/>
          <w:sz w:val="24"/>
          <w:szCs w:val="24"/>
        </w:rPr>
        <w:t> Administrative systems are integral to healthcare delivery, yet their influence on nursing clinical performance and patient outcomes remains insufficiently examined through integrated, mechanism-based models. Increasing administrative demands, fragmented information systems, and inefficient workflows have been linked to reduced nursing efficiency, burnout, and compromised patient care, underscoring the need for a comprehensive analytical framework.</w:t>
      </w:r>
    </w:p>
    <w:p w14:paraId="022A3A7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Objective:</w:t>
      </w:r>
      <w:r w:rsidRPr="00D03B00">
        <w:rPr>
          <w:rFonts w:ascii="Times New Roman" w:hAnsi="Times New Roman" w:cs="Times New Roman"/>
          <w:sz w:val="24"/>
          <w:szCs w:val="24"/>
        </w:rPr>
        <w:t> This study aimed to examine the direct and indirect effects of administrative system efficiency on nursing clinical outcomes and patient outcomes, identify key mediating mechanisms, and develop an evidence-based intervention framework.</w:t>
      </w:r>
    </w:p>
    <w:p w14:paraId="2910EAD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Methods:</w:t>
      </w:r>
      <w:r w:rsidRPr="00D03B00">
        <w:rPr>
          <w:rFonts w:ascii="Times New Roman" w:hAnsi="Times New Roman" w:cs="Times New Roman"/>
          <w:sz w:val="24"/>
          <w:szCs w:val="24"/>
        </w:rPr>
        <w:t> A cross-sectional, explanatory design was conducted among 200 healthcare professionals, including staff nurses, nurse administrators, and administrative personnel from three tertiary hospitals. Data were collected using validated Likert-scale instruments measuring administrative system efficiency, mediating organizational factors, nursing clinical outcomes, and patient outcomes. Structural Equation Modeling (SEM) using maximum likelihood estimation was employed to test hypothesized relationships, while bootstrapping procedures were used to assess mediation effects. Model fit was evaluated using standard indices, including CFI, TLI, RMSEA, and SRMR.</w:t>
      </w:r>
    </w:p>
    <w:p w14:paraId="090E72F6" w14:textId="7209FC85"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Results:</w:t>
      </w:r>
      <w:r w:rsidRPr="00D03B00">
        <w:rPr>
          <w:rFonts w:ascii="Times New Roman" w:hAnsi="Times New Roman" w:cs="Times New Roman"/>
          <w:sz w:val="24"/>
          <w:szCs w:val="24"/>
        </w:rPr>
        <w:t> Administrative system efficiency significantly predicted nursing clinical outcomes (β =</w:t>
      </w:r>
      <w:r>
        <w:rPr>
          <w:rFonts w:ascii="Times New Roman" w:hAnsi="Times New Roman" w:cs="Times New Roman"/>
          <w:sz w:val="24"/>
          <w:szCs w:val="24"/>
        </w:rPr>
        <w:t xml:space="preserve"> </w:t>
      </w:r>
      <w:r w:rsidRPr="00D03B00">
        <w:rPr>
          <w:rFonts w:ascii="Times New Roman" w:hAnsi="Times New Roman" w:cs="Times New Roman"/>
          <w:sz w:val="24"/>
          <w:szCs w:val="24"/>
        </w:rPr>
        <w:t>.28, p &lt; .01). This relationship was partially mediated by reduced administrative burden, information accuracy and accessibility, communication and coordination efficiency, and resource availability and support, with reduced administrative burden showing the strongest indirect effect. Nursing clinical outcomes demonstrated a strong positive effect on patient outcomes (β = .71, p &lt; .001). The overall model demonstrated excellent fit (CFI = .96, TLI = .95, RMSEA = .045, SRMR = .041), supporting the hypothesized structural relationships.</w:t>
      </w:r>
    </w:p>
    <w:p w14:paraId="0A5CEF9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Conclusion:</w:t>
      </w:r>
      <w:r w:rsidRPr="00D03B00">
        <w:rPr>
          <w:rFonts w:ascii="Times New Roman" w:hAnsi="Times New Roman" w:cs="Times New Roman"/>
          <w:sz w:val="24"/>
          <w:szCs w:val="24"/>
        </w:rPr>
        <w:t> Administrative system efficiency is a critical determinant of both nursing performance and patient outcomes. Improvements in administrative workflows, information systems, and organizational support mechanisms can significantly enhance healthcare quality. A systems-based, multi-level intervention approach is essential for achieving sustainable improvements in clinical and patient outcomes.</w:t>
      </w:r>
    </w:p>
    <w:p w14:paraId="2A60D58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Keywords:</w:t>
      </w:r>
      <w:r w:rsidRPr="00D03B00">
        <w:rPr>
          <w:rFonts w:ascii="Times New Roman" w:hAnsi="Times New Roman" w:cs="Times New Roman"/>
          <w:sz w:val="24"/>
          <w:szCs w:val="24"/>
        </w:rPr>
        <w:t> Administrative systems; Nursing outcomes; Structural equation modeling; Workflow efficiency; Patient care</w:t>
      </w:r>
    </w:p>
    <w:p w14:paraId="1F47E368" w14:textId="06FBEC89" w:rsidR="00D03B00" w:rsidRDefault="00D03B00" w:rsidP="00EB0DBC">
      <w:pPr>
        <w:pStyle w:val="NoSpacing"/>
      </w:pPr>
    </w:p>
    <w:p w14:paraId="470BC987" w14:textId="4649CD4D" w:rsidR="00D03B00" w:rsidRPr="00D03B00" w:rsidRDefault="00D03B00" w:rsidP="00D03B00">
      <w:pPr>
        <w:rPr>
          <w:rFonts w:ascii="Times New Roman" w:hAnsi="Times New Roman" w:cs="Times New Roman"/>
          <w:b/>
          <w:bCs/>
          <w:sz w:val="28"/>
          <w:szCs w:val="28"/>
        </w:rPr>
      </w:pPr>
      <w:r w:rsidRPr="00D03B00">
        <w:rPr>
          <w:rFonts w:ascii="Times New Roman" w:hAnsi="Times New Roman" w:cs="Times New Roman"/>
          <w:b/>
          <w:bCs/>
          <w:sz w:val="28"/>
          <w:szCs w:val="28"/>
        </w:rPr>
        <w:t>INTRODUCTION</w:t>
      </w:r>
    </w:p>
    <w:p w14:paraId="58EB1E17"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Healthcare delivery in the Philippines operates within a devolved system characterized by varying levels of administrative capacity, resource allocation, and service integration across local government units (LGUs). While nurses remain central to patient care across hospitals and community settings, their performance is significantly shaped by the efficiency of administrative systems that govern documentation, communication, scheduling, and resource management. The implementation of the Universal Health Care Act has intensified the need for integrated, efficient, and patient-centered administrative processes, as it mandates coordinated care across different levels of the health system. Despite policy advancements, structural and operational challenges persist. Reports from the Department of Health highlight ongoing issues related to fragmented health information systems, duplication of reporting requirements, and inconsistent administrative workflows across healthcare facilities (Department of Health [DOH], 2022). These inefficiencies are particularly evident in public hospitals and primary care settings, where nurses are required to comply with multiple documentation systems for national programs, local reporting, and facility-level requirements. </w:t>
      </w:r>
    </w:p>
    <w:p w14:paraId="243EEBDF" w14:textId="77777777" w:rsidR="00EB0DBC" w:rsidRDefault="00EB0DBC" w:rsidP="00527A8A">
      <w:pPr>
        <w:pStyle w:val="NoSpacing"/>
        <w:rPr>
          <w:rFonts w:ascii="Times New Roman" w:hAnsi="Times New Roman" w:cs="Times New Roman"/>
          <w:sz w:val="24"/>
          <w:szCs w:val="24"/>
        </w:rPr>
      </w:pPr>
    </w:p>
    <w:p w14:paraId="13731C7B"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The burden of administrative tasks among Filipino nurses has been further underscored in national workforce assessments. According to the World Health Organization (2021), nurses in the Philippines frequently experience high workloads due not only to patient volume but also to extensive administrative and reporting responsibilities, which reduce time for direct patient care and contribute to fatigue and decreased job satisfaction. This is compounded by the uneven adoption of electronic health records (EHRs), with many facilities relying on hybrid systems that require both manual and digital documentation. </w:t>
      </w:r>
    </w:p>
    <w:p w14:paraId="37DD5F31" w14:textId="77777777" w:rsidR="00EB0DBC" w:rsidRDefault="00EB0DBC" w:rsidP="00527A8A">
      <w:pPr>
        <w:pStyle w:val="NoSpacing"/>
        <w:rPr>
          <w:rFonts w:ascii="Times New Roman" w:hAnsi="Times New Roman" w:cs="Times New Roman"/>
          <w:sz w:val="24"/>
          <w:szCs w:val="24"/>
        </w:rPr>
      </w:pPr>
    </w:p>
    <w:p w14:paraId="5244D23C"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Local studies from academic institutions such as the University of the Philippines Manila further reveal that inefficiencies in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particularly in information management and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are associated with delays in clinical decision-making and reduced coordination among healthcare teams (UP Manila Health Policy Development Hub, 2021). These findings highlight the critical role of accurate, accessible, and timely information in ensuring safe and effective patient care. </w:t>
      </w:r>
    </w:p>
    <w:p w14:paraId="47CE9C55" w14:textId="77777777" w:rsidR="00EB0DBC" w:rsidRDefault="00EB0DBC" w:rsidP="00527A8A">
      <w:pPr>
        <w:pStyle w:val="NoSpacing"/>
        <w:rPr>
          <w:rFonts w:ascii="Times New Roman" w:hAnsi="Times New Roman" w:cs="Times New Roman"/>
          <w:sz w:val="24"/>
          <w:szCs w:val="24"/>
        </w:rPr>
      </w:pPr>
    </w:p>
    <w:p w14:paraId="0CD4AD43"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In community settings, administrative challenges are even more pronounced. Nurses working alongside Barangay Health Workers often manage multiple roles, including program implementation, reporting, and coordination with LGU health offices. According to DOH (2023), the expansion of primary care services under UHC has increased documentation and monitoring requirements at the barangay level, placing additional strain on already limited human resources. These conditions underscore the importance of streamlined administrative systems in supporting frontline healthcare workers. Moreover, disparities in resource availability across regions further complicate administrative efficiency. The WHO Philippines Health System Review (2021) notes that differences in infrastructure, staffing, and technological capacity across LGUs result in inconsistent implementation of administrative systems, leading to variability in care quality and patient outcomes. Facilities with limited access to integrated information systems and adequate staffing are more likely to experience workflow inefficiencies, communication breakdowns, and missed care. </w:t>
      </w:r>
    </w:p>
    <w:p w14:paraId="7D8A9213" w14:textId="77777777" w:rsidR="00EB0DBC" w:rsidRDefault="00EB0DBC" w:rsidP="00527A8A">
      <w:pPr>
        <w:pStyle w:val="NoSpacing"/>
        <w:rPr>
          <w:rFonts w:ascii="Times New Roman" w:hAnsi="Times New Roman" w:cs="Times New Roman"/>
          <w:sz w:val="24"/>
          <w:szCs w:val="24"/>
        </w:rPr>
      </w:pPr>
    </w:p>
    <w:p w14:paraId="1C36A9E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lastRenderedPageBreak/>
        <w:t>Inefficient administrative systems</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characterized by redundant documentation, lack of interoperability, and fragmented communication</w:t>
      </w:r>
      <w:r w:rsidR="00EB0DBC">
        <w:rPr>
          <w:rFonts w:ascii="Times New Roman" w:hAnsi="Times New Roman" w:cs="Times New Roman"/>
          <w:sz w:val="24"/>
          <w:szCs w:val="24"/>
        </w:rPr>
        <w:t xml:space="preserve">, </w:t>
      </w:r>
      <w:r w:rsidRPr="00527A8A">
        <w:rPr>
          <w:rFonts w:ascii="Times New Roman" w:hAnsi="Times New Roman" w:cs="Times New Roman"/>
          <w:sz w:val="24"/>
          <w:szCs w:val="24"/>
        </w:rPr>
        <w:t xml:space="preserve">have been linked to missed nursing care, increased risk of errors, and lower patient satisfaction in both global and local contexts. In the Philippines, these issues are magnified by high patient loads and workforce shortages, particularly in government hospitals where overcrowding remains a persistent challenge (DOH, 2022). Despite these realities, Philippine-based research has largely focused on workforce migration, staffing shortages, and clinical competencies, with limited attention to the structural and administrative determinants of nursing performance. There is a critical need for empirically grounded models that explain how administrative systems influence both nursing and patient outcomes within the local context. </w:t>
      </w:r>
    </w:p>
    <w:p w14:paraId="48E3166D" w14:textId="77777777" w:rsidR="00EB0DBC" w:rsidRDefault="00EB0DBC" w:rsidP="00527A8A">
      <w:pPr>
        <w:pStyle w:val="NoSpacing"/>
        <w:rPr>
          <w:rFonts w:ascii="Times New Roman" w:hAnsi="Times New Roman" w:cs="Times New Roman"/>
          <w:sz w:val="24"/>
          <w:szCs w:val="24"/>
        </w:rPr>
      </w:pPr>
    </w:p>
    <w:p w14:paraId="182191FF" w14:textId="77777777" w:rsidR="00EB0DBC" w:rsidRDefault="00527A8A" w:rsidP="00527A8A">
      <w:pPr>
        <w:pStyle w:val="NoSpacing"/>
        <w:rPr>
          <w:rFonts w:ascii="Times New Roman" w:hAnsi="Times New Roman" w:cs="Times New Roman"/>
          <w:sz w:val="24"/>
          <w:szCs w:val="24"/>
        </w:rPr>
      </w:pPr>
      <w:r w:rsidRPr="00527A8A">
        <w:rPr>
          <w:rFonts w:ascii="Times New Roman" w:hAnsi="Times New Roman" w:cs="Times New Roman"/>
          <w:sz w:val="24"/>
          <w:szCs w:val="24"/>
        </w:rPr>
        <w:t xml:space="preserve">To address this gap, the present study adopts a systems-based approach and employs Structural Equation Modeling (SEM) to examine the direct and indirect relationships between administrative system efficiency, mediating organizational mechanisms, nursing clinical outcomes, and patient outcomes. By grounding the analysis in the Philippine healthcare setting, this study aims to generate contextually relevant evidence that can inform policy, organizational strategies, and practice improvements. </w:t>
      </w:r>
    </w:p>
    <w:p w14:paraId="76467319" w14:textId="77777777" w:rsidR="00EB0DBC" w:rsidRDefault="00EB0DBC" w:rsidP="00527A8A">
      <w:pPr>
        <w:pStyle w:val="NoSpacing"/>
        <w:rPr>
          <w:rFonts w:ascii="Times New Roman" w:hAnsi="Times New Roman" w:cs="Times New Roman"/>
          <w:sz w:val="24"/>
          <w:szCs w:val="24"/>
        </w:rPr>
      </w:pPr>
    </w:p>
    <w:p w14:paraId="17A775B2" w14:textId="5AEAA19A" w:rsidR="00527A8A" w:rsidRPr="00527A8A" w:rsidRDefault="00527A8A" w:rsidP="00527A8A">
      <w:pPr>
        <w:pStyle w:val="NoSpacing"/>
        <w:rPr>
          <w:rFonts w:ascii="Times New Roman" w:hAnsi="Times New Roman" w:cs="Times New Roman"/>
          <w:b/>
          <w:bCs/>
          <w:sz w:val="24"/>
          <w:szCs w:val="24"/>
        </w:rPr>
      </w:pPr>
      <w:r w:rsidRPr="00527A8A">
        <w:rPr>
          <w:rFonts w:ascii="Times New Roman" w:hAnsi="Times New Roman" w:cs="Times New Roman"/>
          <w:sz w:val="24"/>
          <w:szCs w:val="24"/>
        </w:rPr>
        <w:t>Aligned with health system strengthening priorities articulated by the World Health Organization and national reform efforts under UHC, this research positions administrative systems as critical enablers of healthcare quality, efficiency, and sustainability. Understanding these relationships is essential for designing interventions that not only improve organizational processes but also enhance patient care outcomes across diverse healthcare settings in the Philippines.</w:t>
      </w:r>
      <w:r w:rsidRPr="00527A8A">
        <w:rPr>
          <w:rFonts w:ascii="Times New Roman" w:hAnsi="Times New Roman" w:cs="Times New Roman"/>
          <w:b/>
          <w:bCs/>
          <w:sz w:val="24"/>
          <w:szCs w:val="24"/>
        </w:rPr>
        <w:t xml:space="preserve"> </w:t>
      </w:r>
    </w:p>
    <w:p w14:paraId="51E5F7F2" w14:textId="77777777" w:rsidR="00527A8A" w:rsidRDefault="00527A8A" w:rsidP="00D03B00">
      <w:pPr>
        <w:rPr>
          <w:rFonts w:ascii="Times New Roman" w:hAnsi="Times New Roman" w:cs="Times New Roman"/>
          <w:b/>
          <w:bCs/>
          <w:sz w:val="24"/>
          <w:szCs w:val="24"/>
        </w:rPr>
      </w:pPr>
    </w:p>
    <w:p w14:paraId="1481C0D2" w14:textId="07BA845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Research Objectives</w:t>
      </w:r>
    </w:p>
    <w:p w14:paraId="50CEE240"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determine the direct effect of administrative system efficiency on nursing clinical outcomes</w:t>
      </w:r>
    </w:p>
    <w:p w14:paraId="2BCA804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identify mediating mechanisms linking administrative systems to nursing outcomes</w:t>
      </w:r>
    </w:p>
    <w:p w14:paraId="12A8D5A7"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examine the relationship between nursing clinical outcomes and patient outcomes</w:t>
      </w:r>
    </w:p>
    <w:p w14:paraId="72192CAD" w14:textId="77777777" w:rsidR="00D03B00" w:rsidRPr="00EB0DBC" w:rsidRDefault="00D03B00" w:rsidP="00EB0DBC">
      <w:pPr>
        <w:pStyle w:val="NoSpacing"/>
        <w:numPr>
          <w:ilvl w:val="0"/>
          <w:numId w:val="2"/>
        </w:numPr>
        <w:rPr>
          <w:rFonts w:ascii="Times New Roman" w:hAnsi="Times New Roman" w:cs="Times New Roman"/>
          <w:sz w:val="24"/>
          <w:szCs w:val="24"/>
        </w:rPr>
      </w:pPr>
      <w:r w:rsidRPr="00EB0DBC">
        <w:rPr>
          <w:rFonts w:ascii="Times New Roman" w:hAnsi="Times New Roman" w:cs="Times New Roman"/>
          <w:sz w:val="24"/>
          <w:szCs w:val="24"/>
        </w:rPr>
        <w:t>To develop an evidence-based intervention framework for healthcare organizations</w:t>
      </w:r>
    </w:p>
    <w:p w14:paraId="4AD3CDDA" w14:textId="03A82685" w:rsidR="00D03B00" w:rsidRDefault="00D03B00" w:rsidP="00EB0DBC">
      <w:pPr>
        <w:pStyle w:val="NoSpacing"/>
      </w:pPr>
    </w:p>
    <w:p w14:paraId="2D3A4F7E" w14:textId="77777777" w:rsidR="00EB0DBC" w:rsidRDefault="00EB0DBC" w:rsidP="00EB0DBC">
      <w:pPr>
        <w:pStyle w:val="NoSpacing"/>
        <w:rPr>
          <w:rFonts w:ascii="Times New Roman" w:hAnsi="Times New Roman" w:cs="Times New Roman"/>
          <w:b/>
          <w:bCs/>
          <w:sz w:val="28"/>
          <w:szCs w:val="28"/>
        </w:rPr>
      </w:pPr>
    </w:p>
    <w:p w14:paraId="28AB4FB0" w14:textId="77777777" w:rsidR="00EB0DBC" w:rsidRDefault="00EB0DBC" w:rsidP="00EB0DBC">
      <w:pPr>
        <w:pStyle w:val="NoSpacing"/>
        <w:rPr>
          <w:rFonts w:ascii="Times New Roman" w:hAnsi="Times New Roman" w:cs="Times New Roman"/>
          <w:b/>
          <w:bCs/>
          <w:sz w:val="28"/>
          <w:szCs w:val="28"/>
        </w:rPr>
      </w:pPr>
    </w:p>
    <w:p w14:paraId="202528F7" w14:textId="77777777" w:rsidR="00EB0DBC" w:rsidRDefault="00EB0DBC" w:rsidP="00EB0DBC">
      <w:pPr>
        <w:pStyle w:val="NoSpacing"/>
        <w:rPr>
          <w:rFonts w:ascii="Times New Roman" w:hAnsi="Times New Roman" w:cs="Times New Roman"/>
          <w:b/>
          <w:bCs/>
          <w:sz w:val="28"/>
          <w:szCs w:val="28"/>
        </w:rPr>
      </w:pPr>
    </w:p>
    <w:p w14:paraId="613F0335" w14:textId="77777777" w:rsidR="00EB0DBC" w:rsidRDefault="00EB0DBC" w:rsidP="00EB0DBC">
      <w:pPr>
        <w:pStyle w:val="NoSpacing"/>
        <w:rPr>
          <w:rFonts w:ascii="Times New Roman" w:hAnsi="Times New Roman" w:cs="Times New Roman"/>
          <w:b/>
          <w:bCs/>
          <w:sz w:val="28"/>
          <w:szCs w:val="28"/>
        </w:rPr>
      </w:pPr>
    </w:p>
    <w:p w14:paraId="0F300AE0" w14:textId="4CA140C7" w:rsidR="00EB0DBC" w:rsidRPr="00EB0DBC" w:rsidRDefault="00EB0DBC" w:rsidP="00EB0DBC">
      <w:pPr>
        <w:pStyle w:val="NoSpacing"/>
        <w:rPr>
          <w:rFonts w:ascii="Times New Roman" w:hAnsi="Times New Roman" w:cs="Times New Roman"/>
          <w:b/>
          <w:bCs/>
          <w:sz w:val="28"/>
          <w:szCs w:val="28"/>
        </w:rPr>
      </w:pPr>
      <w:r>
        <w:rPr>
          <w:rFonts w:ascii="Times New Roman" w:hAnsi="Times New Roman" w:cs="Times New Roman"/>
          <w:b/>
          <w:bCs/>
          <w:sz w:val="28"/>
          <w:szCs w:val="28"/>
        </w:rPr>
        <w:t>METHODOLOGY</w:t>
      </w:r>
    </w:p>
    <w:p w14:paraId="4D98C888" w14:textId="77777777" w:rsidR="00EB0DBC" w:rsidRDefault="00EB0DBC" w:rsidP="00EB0DBC">
      <w:pPr>
        <w:pStyle w:val="NoSpacing"/>
      </w:pPr>
    </w:p>
    <w:p w14:paraId="3A8CF857" w14:textId="4B59C2F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Research Design</w:t>
      </w:r>
    </w:p>
    <w:p w14:paraId="4D1FFAC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study employed a cross-sectional, explanatory sequential mixed-methods design to examine the relationships among administrative system efficiency, mediating organizational mechanisms, nursing clinical outcomes, and patient outcomes. The quantitative phase served as the primary component, utilizing Structural Equation Modeling (SEM) to test hypothesized relationships and pathways. Although the design allows for qualitative follow-up to enrich interpretation, the </w:t>
      </w:r>
      <w:r w:rsidRPr="00D03B00">
        <w:rPr>
          <w:rFonts w:ascii="Times New Roman" w:hAnsi="Times New Roman" w:cs="Times New Roman"/>
          <w:sz w:val="24"/>
          <w:szCs w:val="24"/>
        </w:rPr>
        <w:lastRenderedPageBreak/>
        <w:t>present analysis focuses on the quantitative explanatory model, which is appropriate for testing complex, multivariate relationships within healthcare systems.</w:t>
      </w:r>
    </w:p>
    <w:p w14:paraId="5EE43740" w14:textId="496AFE31" w:rsidR="00D03B00" w:rsidRPr="00D03B00" w:rsidRDefault="00D03B00" w:rsidP="00EB0DBC">
      <w:pPr>
        <w:pStyle w:val="NoSpacing"/>
      </w:pPr>
    </w:p>
    <w:p w14:paraId="74286A5D" w14:textId="5A1C40C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Setting and Participants</w:t>
      </w:r>
    </w:p>
    <w:p w14:paraId="4D8563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study was conducted in three tertiary-level hospitals characterized by high patient volume, diverse clinical services, and established administrative infrastructures. These settings were selected to ensure sufficient variability in administrative systems and organizational processes.</w:t>
      </w:r>
    </w:p>
    <w:p w14:paraId="1133E2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total of 200 participants were recruited using a stratified sampling approach to ensure representation across key professional roles involved in both clinical care and administrative processes. The sample comprised staff nurses, nurse administrators, and administrative personnel. Eligibility criteria included at least one year of professional experience within the organization and active involvement in either patient care delivery or administrative operations. This ensured that participants possessed adequate familiarity with institutional systems and workflows.</w:t>
      </w:r>
    </w:p>
    <w:p w14:paraId="0E85FB42" w14:textId="08EE4B25" w:rsidR="00D03B00" w:rsidRPr="00D03B00" w:rsidRDefault="00D03B00" w:rsidP="00EB0DBC">
      <w:pPr>
        <w:pStyle w:val="NoSpacing"/>
      </w:pPr>
    </w:p>
    <w:p w14:paraId="4504DEE1" w14:textId="3FECCC4C" w:rsidR="00D03B00" w:rsidRPr="00D03B00" w:rsidRDefault="00EB0DBC" w:rsidP="00D03B00">
      <w:pPr>
        <w:rPr>
          <w:rFonts w:ascii="Times New Roman" w:hAnsi="Times New Roman" w:cs="Times New Roman"/>
          <w:b/>
          <w:bCs/>
          <w:sz w:val="24"/>
          <w:szCs w:val="24"/>
        </w:rPr>
      </w:pPr>
      <w:r>
        <w:rPr>
          <w:rFonts w:ascii="Times New Roman" w:hAnsi="Times New Roman" w:cs="Times New Roman"/>
          <w:b/>
          <w:bCs/>
          <w:sz w:val="24"/>
          <w:szCs w:val="24"/>
        </w:rPr>
        <w:t>Data Gathering Procedure</w:t>
      </w:r>
    </w:p>
    <w:p w14:paraId="66E737A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Data were collected using a structured, self-administered questionnaire composed of validated scales adapted to the context of hospital administrative systems and nursing performance. All items were measured using a five-point Likert scale ranging from strongly disagree to strongly agree.</w:t>
      </w:r>
    </w:p>
    <w:p w14:paraId="4F4EDA4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Administrative System Efficiency (ASE) was operationalized as a latent construct reflecting the effectiveness of organizational systems that support clinical practice. Indicators included documentation efficiency, information system quality, scheduling efficiency, resource management, policy clarity, communication systems, and technology integration. These dimensions collectively captured the extent to which administrative infrastructures facilitate or hinder nursing work processes.</w:t>
      </w:r>
    </w:p>
    <w:p w14:paraId="1F19DDF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Four mediating variables were included to explain the mechanisms through which administrative systems influence outcomes. Reduced Administrative Burden (RAB) assessed the extent to which administrative tasks were minimized or streamlined, allowing nurses to focus on patient care. Information Accuracy and Accessibility (IAA) measured the availability, reliability, and timeliness of clinical information necessary for decision-making. Communication and Coordination Efficiency (CCE) evaluated the effectiveness of information exchange and teamwork across departments, while Resource Availability and Support (RAS) captured perceptions of staffing adequacy and access to necessary materials and equipment.</w:t>
      </w:r>
    </w:p>
    <w:p w14:paraId="3E6541B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Nursing Clinical Outcomes (NCO) were conceptualized as a multidimensional construct encompassing quality of care, patient safety, nurse satisfaction, and intention to remain in the organization. Patient Outcomes (PO) included patient satisfaction, perceived quality of care, clinical outcomes, and safety indicators. These outcome variables reflect both subjective and objective dimensions of healthcare quality.</w:t>
      </w:r>
    </w:p>
    <w:p w14:paraId="4D9611E5" w14:textId="3984FF05" w:rsidR="00D03B00" w:rsidRPr="00D03B00" w:rsidRDefault="00D03B00" w:rsidP="00EB0DBC">
      <w:pPr>
        <w:pStyle w:val="NoSpacing"/>
      </w:pPr>
    </w:p>
    <w:p w14:paraId="11395BEE" w14:textId="53EC5558"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Data Analysis</w:t>
      </w:r>
    </w:p>
    <w:p w14:paraId="608875D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Data analysis was conducted using Structural Equation Modeling (SEM) with the Analysis of Moment Structures (AMOS) software. The analysis followed a two-step approach, beginning with the assessment of the measurement model to evaluate construct validity and reliability, followed by the testing of the structural model to examine hypothesized relationships.</w:t>
      </w:r>
    </w:p>
    <w:p w14:paraId="6E1E157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Convergent validity was assessed through standardized factor loadings, with values exceeding .70 considered acceptable. Composite reliability and average variance extracted (AVE) were also evaluated to ensure internal consistency and construct validity. Discriminant validity was confirmed by comparing the square root of AVE with inter-construct correlations.</w:t>
      </w:r>
    </w:p>
    <w:p w14:paraId="132A7E4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structural model was then analyzed to determine the direct and indirect effects among variables. Bootstrapping procedures with 5,000 resamples were employed to test the significance of mediation pathways. Model fit was evaluated using multiple indices, including the Comparative Fit Index (CFI), Tucker-Lewis Index (TLI), Root Mean Square Error of Approximation (RMSEA), and Standardized Root Mean Square Residual (SRMR). Acceptable model fit was determined based on established thresholds, including CFI and TLI values greater than .90 and RMSEA and SRMR values below .08.</w:t>
      </w:r>
    </w:p>
    <w:p w14:paraId="603C246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hypothesized SEM framework illustrating the relationships among administrative system efficiency, mediating variables, nursing clinical outcomes, and patient outcomes is presented in Figure 1.</w:t>
      </w:r>
    </w:p>
    <w:p w14:paraId="7E4DEB8B" w14:textId="7A664B95" w:rsidR="00D03B00" w:rsidRPr="00D03B00" w:rsidRDefault="00D03B00" w:rsidP="00D03B00">
      <w:pPr>
        <w:rPr>
          <w:rFonts w:ascii="Times New Roman" w:hAnsi="Times New Roman" w:cs="Times New Roman"/>
          <w:sz w:val="24"/>
          <w:szCs w:val="24"/>
        </w:rPr>
      </w:pPr>
    </w:p>
    <w:p w14:paraId="5A54F60F" w14:textId="77777777" w:rsidR="00EB0DBC" w:rsidRDefault="00EB0DBC" w:rsidP="00EB0DBC">
      <w:pPr>
        <w:ind w:left="1440" w:hanging="900"/>
        <w:rPr>
          <w:rFonts w:ascii="Times New Roman" w:hAnsi="Times New Roman" w:cs="Times New Roman"/>
          <w:b/>
          <w:bCs/>
          <w:sz w:val="24"/>
          <w:szCs w:val="24"/>
        </w:rPr>
      </w:pPr>
    </w:p>
    <w:p w14:paraId="616E7795" w14:textId="77777777" w:rsidR="00EB0DBC" w:rsidRDefault="00EB0DBC" w:rsidP="00EB0DBC">
      <w:pPr>
        <w:ind w:left="1440" w:hanging="900"/>
        <w:rPr>
          <w:rFonts w:ascii="Times New Roman" w:hAnsi="Times New Roman" w:cs="Times New Roman"/>
          <w:b/>
          <w:bCs/>
          <w:sz w:val="24"/>
          <w:szCs w:val="24"/>
        </w:rPr>
      </w:pPr>
    </w:p>
    <w:p w14:paraId="08E9E4FD" w14:textId="77777777" w:rsidR="00EB0DBC" w:rsidRDefault="00EB0DBC" w:rsidP="00EB0DBC">
      <w:pPr>
        <w:ind w:left="1440" w:hanging="900"/>
        <w:rPr>
          <w:rFonts w:ascii="Times New Roman" w:hAnsi="Times New Roman" w:cs="Times New Roman"/>
          <w:b/>
          <w:bCs/>
          <w:sz w:val="24"/>
          <w:szCs w:val="24"/>
        </w:rPr>
      </w:pPr>
    </w:p>
    <w:p w14:paraId="4B3198B4" w14:textId="77777777" w:rsidR="00EB0DBC" w:rsidRDefault="00EB0DBC" w:rsidP="00EB0DBC">
      <w:pPr>
        <w:ind w:left="1440" w:hanging="900"/>
        <w:rPr>
          <w:rFonts w:ascii="Times New Roman" w:hAnsi="Times New Roman" w:cs="Times New Roman"/>
          <w:b/>
          <w:bCs/>
          <w:sz w:val="24"/>
          <w:szCs w:val="24"/>
        </w:rPr>
      </w:pPr>
    </w:p>
    <w:p w14:paraId="6FCB7654" w14:textId="77777777" w:rsidR="00EB0DBC" w:rsidRDefault="00EB0DBC" w:rsidP="00EB0DBC">
      <w:pPr>
        <w:ind w:left="1440" w:hanging="900"/>
        <w:rPr>
          <w:rFonts w:ascii="Times New Roman" w:hAnsi="Times New Roman" w:cs="Times New Roman"/>
          <w:b/>
          <w:bCs/>
          <w:sz w:val="24"/>
          <w:szCs w:val="24"/>
        </w:rPr>
      </w:pPr>
    </w:p>
    <w:p w14:paraId="45761586" w14:textId="77777777" w:rsidR="00EB0DBC" w:rsidRDefault="00EB0DBC" w:rsidP="00EB0DBC">
      <w:pPr>
        <w:ind w:left="1440" w:hanging="900"/>
        <w:rPr>
          <w:rFonts w:ascii="Times New Roman" w:hAnsi="Times New Roman" w:cs="Times New Roman"/>
          <w:b/>
          <w:bCs/>
          <w:sz w:val="24"/>
          <w:szCs w:val="24"/>
        </w:rPr>
      </w:pPr>
    </w:p>
    <w:p w14:paraId="36247A9A" w14:textId="77777777" w:rsidR="00EB0DBC" w:rsidRDefault="00EB0DBC" w:rsidP="00EB0DBC">
      <w:pPr>
        <w:ind w:left="1440" w:hanging="900"/>
        <w:rPr>
          <w:rFonts w:ascii="Times New Roman" w:hAnsi="Times New Roman" w:cs="Times New Roman"/>
          <w:b/>
          <w:bCs/>
          <w:sz w:val="24"/>
          <w:szCs w:val="24"/>
        </w:rPr>
      </w:pPr>
    </w:p>
    <w:p w14:paraId="182167FD" w14:textId="77777777" w:rsidR="00EB0DBC" w:rsidRDefault="00EB0DBC" w:rsidP="00EB0DBC">
      <w:pPr>
        <w:ind w:left="1440" w:hanging="1440"/>
        <w:rPr>
          <w:rFonts w:ascii="Times New Roman" w:hAnsi="Times New Roman" w:cs="Times New Roman"/>
          <w:b/>
          <w:bCs/>
          <w:sz w:val="24"/>
          <w:szCs w:val="24"/>
        </w:rPr>
      </w:pPr>
      <w:r w:rsidRPr="00D03B00">
        <w:rPr>
          <w:rFonts w:ascii="Times New Roman" w:hAnsi="Times New Roman" w:cs="Times New Roman"/>
          <w:b/>
          <w:bCs/>
          <w:sz w:val="24"/>
          <w:szCs w:val="24"/>
        </w:rPr>
        <w:t>Figure 1</w:t>
      </w:r>
      <w:r>
        <w:rPr>
          <w:rFonts w:ascii="Times New Roman" w:hAnsi="Times New Roman" w:cs="Times New Roman"/>
          <w:b/>
          <w:bCs/>
          <w:sz w:val="24"/>
          <w:szCs w:val="24"/>
        </w:rPr>
        <w:t xml:space="preserve">. </w:t>
      </w:r>
    </w:p>
    <w:p w14:paraId="3F9DC346" w14:textId="25827078" w:rsidR="00EB0DBC" w:rsidRPr="00EB0DBC" w:rsidRDefault="00EB0DBC" w:rsidP="00EB0DBC">
      <w:pPr>
        <w:ind w:left="1440" w:hanging="1440"/>
        <w:rPr>
          <w:rFonts w:ascii="Times New Roman" w:hAnsi="Times New Roman" w:cs="Times New Roman"/>
          <w:b/>
          <w:bCs/>
          <w:sz w:val="24"/>
          <w:szCs w:val="24"/>
        </w:rPr>
      </w:pPr>
      <w:r w:rsidRPr="00EB0DBC">
        <w:rPr>
          <w:rFonts w:ascii="Times New Roman" w:hAnsi="Times New Roman" w:cs="Times New Roman"/>
          <w:i/>
          <w:iCs/>
          <w:sz w:val="24"/>
          <w:szCs w:val="24"/>
        </w:rPr>
        <w:t>Proposed Structural Equation Model of Administrative Systems and Healthcare Outcomes</w:t>
      </w:r>
    </w:p>
    <w:p w14:paraId="3FC33A3B" w14:textId="66427F0C" w:rsidR="00EB0DBC" w:rsidRDefault="00EB0DBC" w:rsidP="00EB0DBC">
      <w:pPr>
        <w:ind w:left="1440" w:hanging="1530"/>
        <w:rPr>
          <w:rFonts w:ascii="Times New Roman" w:hAnsi="Times New Roman" w:cs="Times New Roman"/>
          <w:b/>
          <w:bCs/>
          <w:sz w:val="24"/>
          <w:szCs w:val="24"/>
        </w:rPr>
      </w:pPr>
      <w:r>
        <w:rPr>
          <w:noProof/>
          <w:lang w:val="en-IN" w:eastAsia="en-IN"/>
        </w:rPr>
        <w:lastRenderedPageBreak/>
        <w:drawing>
          <wp:anchor distT="0" distB="0" distL="114300" distR="114300" simplePos="0" relativeHeight="251658240" behindDoc="0" locked="0" layoutInCell="1" allowOverlap="1" wp14:anchorId="40D0C744" wp14:editId="2010E6DF">
            <wp:simplePos x="0" y="0"/>
            <wp:positionH relativeFrom="margin">
              <wp:posOffset>552450</wp:posOffset>
            </wp:positionH>
            <wp:positionV relativeFrom="paragraph">
              <wp:posOffset>158750</wp:posOffset>
            </wp:positionV>
            <wp:extent cx="5029200" cy="3126740"/>
            <wp:effectExtent l="0" t="0" r="0" b="0"/>
            <wp:wrapSquare wrapText="bothSides"/>
            <wp:docPr id="138071035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730"/>
                    <a:stretch>
                      <a:fillRect/>
                    </a:stretch>
                  </pic:blipFill>
                  <pic:spPr bwMode="auto">
                    <a:xfrm>
                      <a:off x="0" y="0"/>
                      <a:ext cx="5029200" cy="312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438AE" w14:textId="2BB193EE" w:rsidR="00EB0DBC" w:rsidRDefault="00EB0DBC" w:rsidP="00EB0DBC">
      <w:pPr>
        <w:ind w:left="1440" w:hanging="900"/>
        <w:rPr>
          <w:rFonts w:ascii="Times New Roman" w:hAnsi="Times New Roman" w:cs="Times New Roman"/>
          <w:b/>
          <w:bCs/>
          <w:sz w:val="24"/>
          <w:szCs w:val="24"/>
        </w:rPr>
      </w:pPr>
    </w:p>
    <w:p w14:paraId="32852847" w14:textId="0A472426" w:rsidR="00EB0DBC" w:rsidRDefault="00EB0DBC" w:rsidP="00EB0DBC">
      <w:pPr>
        <w:ind w:left="1440" w:hanging="900"/>
        <w:rPr>
          <w:rFonts w:ascii="Times New Roman" w:hAnsi="Times New Roman" w:cs="Times New Roman"/>
          <w:b/>
          <w:bCs/>
          <w:sz w:val="24"/>
          <w:szCs w:val="24"/>
        </w:rPr>
      </w:pPr>
    </w:p>
    <w:p w14:paraId="3E6CFF40" w14:textId="45D39394" w:rsidR="00EB0DBC" w:rsidRDefault="00EB0DBC" w:rsidP="00EB0DBC">
      <w:pPr>
        <w:ind w:left="1440" w:hanging="900"/>
        <w:rPr>
          <w:rFonts w:ascii="Times New Roman" w:hAnsi="Times New Roman" w:cs="Times New Roman"/>
          <w:b/>
          <w:bCs/>
          <w:sz w:val="24"/>
          <w:szCs w:val="24"/>
        </w:rPr>
      </w:pPr>
    </w:p>
    <w:p w14:paraId="040845B4" w14:textId="527A140C" w:rsidR="00EB0DBC" w:rsidRDefault="00EB0DBC" w:rsidP="00EB0DBC">
      <w:pPr>
        <w:ind w:left="1440" w:hanging="900"/>
        <w:rPr>
          <w:rFonts w:ascii="Times New Roman" w:hAnsi="Times New Roman" w:cs="Times New Roman"/>
          <w:b/>
          <w:bCs/>
          <w:sz w:val="24"/>
          <w:szCs w:val="24"/>
        </w:rPr>
      </w:pPr>
    </w:p>
    <w:p w14:paraId="1CDF3BB4" w14:textId="209ED726" w:rsidR="00EB0DBC" w:rsidRDefault="00EB0DBC" w:rsidP="00EB0DBC">
      <w:pPr>
        <w:ind w:left="1440" w:hanging="900"/>
        <w:rPr>
          <w:rFonts w:ascii="Times New Roman" w:hAnsi="Times New Roman" w:cs="Times New Roman"/>
          <w:b/>
          <w:bCs/>
          <w:sz w:val="24"/>
          <w:szCs w:val="24"/>
        </w:rPr>
      </w:pPr>
    </w:p>
    <w:p w14:paraId="5AD7269D" w14:textId="2ED19025" w:rsidR="00EB0DBC" w:rsidRDefault="00EB0DBC" w:rsidP="00EB0DBC">
      <w:pPr>
        <w:ind w:left="1440" w:hanging="900"/>
        <w:rPr>
          <w:rFonts w:ascii="Times New Roman" w:hAnsi="Times New Roman" w:cs="Times New Roman"/>
          <w:b/>
          <w:bCs/>
          <w:sz w:val="24"/>
          <w:szCs w:val="24"/>
        </w:rPr>
      </w:pPr>
    </w:p>
    <w:p w14:paraId="61FC14E8" w14:textId="77777777" w:rsidR="00EB0DBC" w:rsidRDefault="00EB0DBC" w:rsidP="00EB0DBC">
      <w:pPr>
        <w:ind w:left="1440" w:hanging="900"/>
        <w:rPr>
          <w:rFonts w:ascii="Times New Roman" w:hAnsi="Times New Roman" w:cs="Times New Roman"/>
          <w:b/>
          <w:bCs/>
          <w:sz w:val="24"/>
          <w:szCs w:val="24"/>
        </w:rPr>
      </w:pPr>
    </w:p>
    <w:p w14:paraId="769B78F3" w14:textId="77777777" w:rsidR="00EB0DBC" w:rsidRDefault="00EB0DBC" w:rsidP="00EB0DBC">
      <w:pPr>
        <w:ind w:left="1440" w:hanging="900"/>
        <w:rPr>
          <w:rFonts w:ascii="Times New Roman" w:hAnsi="Times New Roman" w:cs="Times New Roman"/>
          <w:b/>
          <w:bCs/>
          <w:sz w:val="24"/>
          <w:szCs w:val="24"/>
        </w:rPr>
      </w:pPr>
    </w:p>
    <w:p w14:paraId="3D8427F4" w14:textId="77777777" w:rsidR="00EB0DBC" w:rsidRDefault="00EB0DBC" w:rsidP="00EB0DBC">
      <w:pPr>
        <w:ind w:left="1440" w:hanging="900"/>
        <w:rPr>
          <w:rFonts w:ascii="Times New Roman" w:hAnsi="Times New Roman" w:cs="Times New Roman"/>
          <w:b/>
          <w:bCs/>
          <w:sz w:val="24"/>
          <w:szCs w:val="24"/>
        </w:rPr>
      </w:pPr>
    </w:p>
    <w:p w14:paraId="70A70331"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b/>
          <w:bCs/>
          <w:sz w:val="24"/>
          <w:szCs w:val="24"/>
        </w:rPr>
        <w:t>Note.</w:t>
      </w:r>
      <w:r w:rsidRPr="00D03B00">
        <w:rPr>
          <w:rFonts w:ascii="Times New Roman" w:hAnsi="Times New Roman" w:cs="Times New Roman"/>
          <w:sz w:val="24"/>
          <w:szCs w:val="24"/>
        </w:rPr>
        <w:t> ASE = Administrative System Efficiency; RAB = Reduced Administrative Burden; IAA = Information Accuracy and Accessibility; CCE = Communication and Coordination Efficiency; RAS = Resource Availability and Support; NCO = Nursing Clinical Outcomes; PO = Patient Outcomes. Arrows represent hypothesized direct and indirect relationships.</w:t>
      </w:r>
    </w:p>
    <w:p w14:paraId="52326E24" w14:textId="11FD94CF" w:rsidR="00D03B00" w:rsidRPr="00D03B00" w:rsidRDefault="00D03B00" w:rsidP="00D03B00">
      <w:pPr>
        <w:rPr>
          <w:rFonts w:ascii="Times New Roman" w:hAnsi="Times New Roman" w:cs="Times New Roman"/>
          <w:sz w:val="24"/>
          <w:szCs w:val="24"/>
        </w:rPr>
      </w:pPr>
    </w:p>
    <w:p w14:paraId="73B83C8F" w14:textId="10B842CC"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Ethical Considerations</w:t>
      </w:r>
    </w:p>
    <w:p w14:paraId="7DF81FD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Ethical approval for the study was obtained from the appropriate institutional review board prior to data collection. Participants were informed of the study’s purpose, procedures, and their rights, including the voluntary nature of participation and the option to withdraw at any time without penalty. Informed consent was obtained from all participants before data collection. To ensure confidentiality, no identifying information was collected, and all responses were anonymized and securely stored. Data were used solely for research purposes in accordance with ethical standards for human </w:t>
      </w:r>
      <w:proofErr w:type="gramStart"/>
      <w:r w:rsidRPr="00D03B00">
        <w:rPr>
          <w:rFonts w:ascii="Times New Roman" w:hAnsi="Times New Roman" w:cs="Times New Roman"/>
          <w:sz w:val="24"/>
          <w:szCs w:val="24"/>
        </w:rPr>
        <w:t>subjects</w:t>
      </w:r>
      <w:proofErr w:type="gramEnd"/>
      <w:r w:rsidRPr="00D03B00">
        <w:rPr>
          <w:rFonts w:ascii="Times New Roman" w:hAnsi="Times New Roman" w:cs="Times New Roman"/>
          <w:sz w:val="24"/>
          <w:szCs w:val="24"/>
        </w:rPr>
        <w:t xml:space="preserve"> research.</w:t>
      </w:r>
    </w:p>
    <w:p w14:paraId="32EAC93C" w14:textId="77777777" w:rsidR="00D03B00" w:rsidRPr="00D03B00" w:rsidRDefault="00D03B00" w:rsidP="00510BE6">
      <w:pPr>
        <w:pStyle w:val="NoSpacing"/>
      </w:pPr>
    </w:p>
    <w:p w14:paraId="7436D0F2" w14:textId="688C4DB6" w:rsidR="00D03B00" w:rsidRPr="00510BE6" w:rsidRDefault="00D03B00" w:rsidP="00D03B00">
      <w:pPr>
        <w:rPr>
          <w:rFonts w:ascii="Times New Roman" w:hAnsi="Times New Roman" w:cs="Times New Roman"/>
          <w:b/>
          <w:bCs/>
          <w:caps/>
          <w:sz w:val="28"/>
          <w:szCs w:val="28"/>
        </w:rPr>
      </w:pPr>
      <w:r w:rsidRPr="00510BE6">
        <w:rPr>
          <w:rFonts w:ascii="Times New Roman" w:hAnsi="Times New Roman" w:cs="Times New Roman"/>
          <w:b/>
          <w:bCs/>
          <w:caps/>
          <w:sz w:val="28"/>
          <w:szCs w:val="28"/>
        </w:rPr>
        <w:t>Results</w:t>
      </w:r>
    </w:p>
    <w:p w14:paraId="1F12839C" w14:textId="77777777" w:rsidR="00510BE6" w:rsidRDefault="00510BE6" w:rsidP="00510BE6">
      <w:pPr>
        <w:pStyle w:val="NoSpacing"/>
      </w:pPr>
    </w:p>
    <w:p w14:paraId="75FABF0F" w14:textId="6CE16CA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2F809910" w14:textId="7753D652"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The first objective examined whether administrative system efficiency (ASE) directly predicts nursing clinical outcomes (NCO). Results </w:t>
      </w:r>
      <w:r w:rsidR="00510BE6">
        <w:rPr>
          <w:rFonts w:ascii="Times New Roman" w:hAnsi="Times New Roman" w:cs="Times New Roman"/>
          <w:sz w:val="24"/>
          <w:szCs w:val="24"/>
        </w:rPr>
        <w:t xml:space="preserve">(Table 1) </w:t>
      </w:r>
      <w:r w:rsidRPr="00D03B00">
        <w:rPr>
          <w:rFonts w:ascii="Times New Roman" w:hAnsi="Times New Roman" w:cs="Times New Roman"/>
          <w:sz w:val="24"/>
          <w:szCs w:val="24"/>
        </w:rPr>
        <w:t xml:space="preserve">from the structural model revealed a statistically significant positive relationship between ASE and NCO (β = .28, p &lt; .01). This indicates that improvements in administrative systems—such as more efficient documentation processes, better scheduling, and enhanced communication systems—are associated with better </w:t>
      </w:r>
      <w:r w:rsidRPr="00D03B00">
        <w:rPr>
          <w:rFonts w:ascii="Times New Roman" w:hAnsi="Times New Roman" w:cs="Times New Roman"/>
          <w:sz w:val="24"/>
          <w:szCs w:val="24"/>
        </w:rPr>
        <w:lastRenderedPageBreak/>
        <w:t>nursing performance outcomes, including quality of care, patient safety, nurse satisfaction, and retention intention.</w:t>
      </w:r>
    </w:p>
    <w:p w14:paraId="55E8E735" w14:textId="77777777" w:rsidR="00510BE6" w:rsidRDefault="00510BE6" w:rsidP="00510BE6">
      <w:pPr>
        <w:pStyle w:val="NoSpacing"/>
      </w:pPr>
    </w:p>
    <w:p w14:paraId="1D168F35" w14:textId="4B24F370"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Table 1</w:t>
      </w:r>
    </w:p>
    <w:p w14:paraId="6E499E00" w14:textId="15603AE3" w:rsidR="00510BE6" w:rsidRDefault="00510BE6" w:rsidP="00510BE6">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Administrative System Efficiency on Nursing Clinical Outcomes</w:t>
      </w:r>
    </w:p>
    <w:p w14:paraId="07114D6E"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510BE6" w14:paraId="0894DC7E" w14:textId="77777777" w:rsidTr="00510BE6">
        <w:tc>
          <w:tcPr>
            <w:tcW w:w="1714" w:type="dxa"/>
            <w:tcBorders>
              <w:left w:val="single" w:sz="4" w:space="0" w:color="FFFFFF" w:themeColor="background1"/>
              <w:right w:val="single" w:sz="4" w:space="0" w:color="FFFFFF" w:themeColor="background1"/>
            </w:tcBorders>
          </w:tcPr>
          <w:p w14:paraId="3E7192C2" w14:textId="05243AA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261800CF" w14:textId="5CCEBFDE"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Pr="00510BE6">
              <w:rPr>
                <w:rFonts w:ascii="Aptos Narrow" w:hAnsi="Aptos Narrow" w:cs="Times New Roman"/>
                <w:b/>
                <w:bCs/>
                <w:sz w:val="24"/>
                <w:szCs w:val="24"/>
              </w:rPr>
              <w:t>β</w:t>
            </w:r>
          </w:p>
        </w:tc>
        <w:tc>
          <w:tcPr>
            <w:tcW w:w="1037" w:type="dxa"/>
            <w:tcBorders>
              <w:left w:val="single" w:sz="4" w:space="0" w:color="FFFFFF" w:themeColor="background1"/>
              <w:right w:val="single" w:sz="4" w:space="0" w:color="FFFFFF" w:themeColor="background1"/>
            </w:tcBorders>
          </w:tcPr>
          <w:p w14:paraId="01E3C0FF" w14:textId="5699FF59"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630" w:type="dxa"/>
            <w:tcBorders>
              <w:left w:val="single" w:sz="4" w:space="0" w:color="FFFFFF" w:themeColor="background1"/>
              <w:right w:val="single" w:sz="4" w:space="0" w:color="FFFFFF" w:themeColor="background1"/>
            </w:tcBorders>
          </w:tcPr>
          <w:p w14:paraId="196FA82B" w14:textId="79981845"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tcPr>
          <w:p w14:paraId="6B932F92" w14:textId="0E04696F" w:rsidR="00510BE6" w:rsidRPr="00510BE6" w:rsidRDefault="00510BE6" w:rsidP="00510BE6">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6B68410A" w14:textId="77777777" w:rsidTr="00510BE6">
        <w:tc>
          <w:tcPr>
            <w:tcW w:w="1714" w:type="dxa"/>
            <w:tcBorders>
              <w:left w:val="single" w:sz="4" w:space="0" w:color="FFFFFF" w:themeColor="background1"/>
              <w:right w:val="single" w:sz="4" w:space="0" w:color="FFFFFF" w:themeColor="background1"/>
            </w:tcBorders>
          </w:tcPr>
          <w:p w14:paraId="51DB8957" w14:textId="6F7544F1" w:rsidR="00510BE6" w:rsidRPr="00510BE6" w:rsidRDefault="00510BE6" w:rsidP="00510BE6">
            <w:pPr>
              <w:pStyle w:val="NoSpacing"/>
              <w:rPr>
                <w:rFonts w:ascii="Times New Roman" w:hAnsi="Times New Roman" w:cs="Times New Roman"/>
                <w:sz w:val="24"/>
                <w:szCs w:val="24"/>
              </w:rPr>
            </w:pPr>
            <w:r>
              <w:rPr>
                <w:rFonts w:ascii="Times New Roman" w:hAnsi="Times New Roman" w:cs="Times New Roman"/>
                <w:sz w:val="24"/>
                <w:szCs w:val="24"/>
              </w:rPr>
              <w:t>ASE</w:t>
            </w:r>
            <w:r>
              <w:rPr>
                <w:rFonts w:ascii="Aptos Narrow" w:hAnsi="Aptos Narrow" w:cs="Times New Roman"/>
                <w:sz w:val="24"/>
                <w:szCs w:val="24"/>
              </w:rPr>
              <w:t>→</w:t>
            </w:r>
            <w:r>
              <w:rPr>
                <w:rFonts w:ascii="Times New Roman" w:hAnsi="Times New Roman" w:cs="Times New Roman"/>
                <w:sz w:val="24"/>
                <w:szCs w:val="24"/>
              </w:rPr>
              <w:t>NCO</w:t>
            </w:r>
          </w:p>
        </w:tc>
        <w:tc>
          <w:tcPr>
            <w:tcW w:w="2601" w:type="dxa"/>
            <w:tcBorders>
              <w:left w:val="single" w:sz="4" w:space="0" w:color="FFFFFF" w:themeColor="background1"/>
              <w:right w:val="single" w:sz="4" w:space="0" w:color="FFFFFF" w:themeColor="background1"/>
            </w:tcBorders>
          </w:tcPr>
          <w:p w14:paraId="6E30B7F4" w14:textId="20FFD2C4"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0.28</w:t>
            </w:r>
          </w:p>
        </w:tc>
        <w:tc>
          <w:tcPr>
            <w:tcW w:w="1037" w:type="dxa"/>
            <w:tcBorders>
              <w:left w:val="single" w:sz="4" w:space="0" w:color="FFFFFF" w:themeColor="background1"/>
              <w:right w:val="single" w:sz="4" w:space="0" w:color="FFFFFF" w:themeColor="background1"/>
            </w:tcBorders>
          </w:tcPr>
          <w:p w14:paraId="5E0DF450" w14:textId="4AF4EFC1"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0.07</w:t>
            </w:r>
          </w:p>
        </w:tc>
        <w:tc>
          <w:tcPr>
            <w:tcW w:w="1630" w:type="dxa"/>
            <w:tcBorders>
              <w:left w:val="single" w:sz="4" w:space="0" w:color="FFFFFF" w:themeColor="background1"/>
              <w:right w:val="single" w:sz="4" w:space="0" w:color="FFFFFF" w:themeColor="background1"/>
            </w:tcBorders>
          </w:tcPr>
          <w:p w14:paraId="586297D3" w14:textId="70D2D38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right w:val="single" w:sz="4" w:space="0" w:color="FFFFFF" w:themeColor="background1"/>
            </w:tcBorders>
          </w:tcPr>
          <w:p w14:paraId="59674FAB" w14:textId="238957B9" w:rsidR="00510BE6" w:rsidRPr="00510BE6" w:rsidRDefault="00510BE6" w:rsidP="00510BE6">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0DC17224" w14:textId="77777777" w:rsidR="00510BE6" w:rsidRPr="00510BE6" w:rsidRDefault="00510BE6" w:rsidP="00510BE6">
      <w:pPr>
        <w:pStyle w:val="NoSpacing"/>
        <w:rPr>
          <w:rFonts w:ascii="Times New Roman" w:hAnsi="Times New Roman" w:cs="Times New Roman"/>
          <w:i/>
          <w:iCs/>
          <w:sz w:val="24"/>
          <w:szCs w:val="24"/>
        </w:rPr>
      </w:pPr>
    </w:p>
    <w:p w14:paraId="3A6C7E3E" w14:textId="77777777" w:rsidR="00510BE6" w:rsidRDefault="00510BE6" w:rsidP="00510BE6">
      <w:pPr>
        <w:pStyle w:val="NoSpacing"/>
      </w:pPr>
    </w:p>
    <w:p w14:paraId="737CC2F7" w14:textId="58F6F19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Although the effect size is moderate, the finding suggests that administrative systems </w:t>
      </w:r>
      <w:r w:rsidR="00510BE6">
        <w:rPr>
          <w:rFonts w:ascii="Times New Roman" w:hAnsi="Times New Roman" w:cs="Times New Roman"/>
          <w:sz w:val="24"/>
          <w:szCs w:val="24"/>
        </w:rPr>
        <w:t xml:space="preserve">meaningfully influence </w:t>
      </w:r>
      <w:r w:rsidRPr="00D03B00">
        <w:rPr>
          <w:rFonts w:ascii="Times New Roman" w:hAnsi="Times New Roman" w:cs="Times New Roman"/>
          <w:sz w:val="24"/>
          <w:szCs w:val="24"/>
        </w:rPr>
        <w:t>nursing practice. This direct pathway confirms that administrative efficiency is not merely supportive but functions as an active determinant of clinical performance.</w:t>
      </w:r>
    </w:p>
    <w:p w14:paraId="14507ADD" w14:textId="77777777" w:rsidR="00D03B00" w:rsidRPr="00D03B00" w:rsidRDefault="00D03B00" w:rsidP="00510BE6">
      <w:pPr>
        <w:pStyle w:val="NoSpacing"/>
      </w:pPr>
    </w:p>
    <w:p w14:paraId="6E8630F2" w14:textId="50461F2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Mediating Mechanisms Linking Administrative Systems to Nursing Outcomes</w:t>
      </w:r>
    </w:p>
    <w:p w14:paraId="2D10AAC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second objective explored the mediating roles of reduced administrative burden (RAB), information accuracy and accessibility (IAA), communication and coordination efficiency (CCE), and resource availability and support (RAS) in the relationship between ASE and NCO.</w:t>
      </w:r>
    </w:p>
    <w:p w14:paraId="737364E2" w14:textId="77777777"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Bootstrapping analysis revealed that all four mediators significantly transmitted the effect of administrative system efficiency to nursing outcomes. Specifically, ASE was found to significantly predict each mediator, which in turn significantly influenced NCO. Among the mediators, reduced administrative burden demonstrated the strongest indirect effect, suggesting that minimizing non-clinical workload plays a critical role in enhancing nursing performance.</w:t>
      </w:r>
    </w:p>
    <w:p w14:paraId="694D2E3C" w14:textId="77777777" w:rsidR="00510BE6" w:rsidRDefault="00510BE6" w:rsidP="00510BE6">
      <w:pPr>
        <w:pStyle w:val="NoSpacing"/>
      </w:pPr>
    </w:p>
    <w:p w14:paraId="3BA72D1E" w14:textId="4826B407" w:rsidR="00510BE6" w:rsidRDefault="00510BE6" w:rsidP="00510BE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w:t>
      </w:r>
      <w:r w:rsidR="00B77779">
        <w:rPr>
          <w:rFonts w:ascii="Times New Roman" w:hAnsi="Times New Roman" w:cs="Times New Roman"/>
          <w:b/>
          <w:bCs/>
          <w:sz w:val="24"/>
          <w:szCs w:val="24"/>
        </w:rPr>
        <w:t>2</w:t>
      </w:r>
    </w:p>
    <w:p w14:paraId="177AA022" w14:textId="21CA8BF9" w:rsidR="00510BE6" w:rsidRDefault="00B77779" w:rsidP="00510BE6">
      <w:pPr>
        <w:pStyle w:val="NoSpacing"/>
        <w:rPr>
          <w:rFonts w:ascii="Times New Roman" w:hAnsi="Times New Roman" w:cs="Times New Roman"/>
          <w:i/>
          <w:iCs/>
          <w:sz w:val="24"/>
          <w:szCs w:val="24"/>
        </w:rPr>
      </w:pPr>
      <w:r>
        <w:rPr>
          <w:rFonts w:ascii="Times New Roman" w:hAnsi="Times New Roman" w:cs="Times New Roman"/>
          <w:i/>
          <w:iCs/>
          <w:sz w:val="24"/>
          <w:szCs w:val="24"/>
        </w:rPr>
        <w:t>Mediation Effects of Administrative System Efficiency on Nursing Clinical Outcomes</w:t>
      </w:r>
    </w:p>
    <w:p w14:paraId="565DEFB9" w14:textId="77777777" w:rsidR="00510BE6" w:rsidRDefault="00510BE6" w:rsidP="00510BE6">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2150"/>
        <w:gridCol w:w="2522"/>
        <w:gridCol w:w="971"/>
        <w:gridCol w:w="1531"/>
        <w:gridCol w:w="2368"/>
      </w:tblGrid>
      <w:tr w:rsidR="00510BE6" w14:paraId="51891213" w14:textId="77777777" w:rsidTr="00B77779">
        <w:tc>
          <w:tcPr>
            <w:tcW w:w="1958" w:type="dxa"/>
            <w:tcBorders>
              <w:left w:val="single" w:sz="4" w:space="0" w:color="FFFFFF" w:themeColor="background1"/>
              <w:right w:val="single" w:sz="4" w:space="0" w:color="FFFFFF" w:themeColor="background1"/>
            </w:tcBorders>
            <w:vAlign w:val="center"/>
          </w:tcPr>
          <w:p w14:paraId="6CC26EF6"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522" w:type="dxa"/>
            <w:tcBorders>
              <w:left w:val="single" w:sz="4" w:space="0" w:color="FFFFFF" w:themeColor="background1"/>
              <w:right w:val="single" w:sz="4" w:space="0" w:color="FFFFFF" w:themeColor="background1"/>
            </w:tcBorders>
            <w:vAlign w:val="center"/>
          </w:tcPr>
          <w:p w14:paraId="7A27BCA3" w14:textId="0F12FB00"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00B77779">
              <w:rPr>
                <w:rFonts w:ascii="Times New Roman" w:hAnsi="Times New Roman" w:cs="Times New Roman"/>
                <w:b/>
                <w:bCs/>
                <w:sz w:val="24"/>
                <w:szCs w:val="24"/>
              </w:rPr>
              <w:t>EFFECT</w:t>
            </w:r>
          </w:p>
        </w:tc>
        <w:tc>
          <w:tcPr>
            <w:tcW w:w="971" w:type="dxa"/>
            <w:tcBorders>
              <w:left w:val="single" w:sz="4" w:space="0" w:color="FFFFFF" w:themeColor="background1"/>
              <w:right w:val="single" w:sz="4" w:space="0" w:color="FFFFFF" w:themeColor="background1"/>
            </w:tcBorders>
            <w:vAlign w:val="center"/>
          </w:tcPr>
          <w:p w14:paraId="617CC15C"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531" w:type="dxa"/>
            <w:tcBorders>
              <w:left w:val="single" w:sz="4" w:space="0" w:color="FFFFFF" w:themeColor="background1"/>
              <w:right w:val="single" w:sz="4" w:space="0" w:color="FFFFFF" w:themeColor="background1"/>
            </w:tcBorders>
            <w:vAlign w:val="center"/>
          </w:tcPr>
          <w:p w14:paraId="0A12C1EA"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vAlign w:val="center"/>
          </w:tcPr>
          <w:p w14:paraId="0CA5D92C" w14:textId="77777777" w:rsidR="00510BE6" w:rsidRPr="00510BE6" w:rsidRDefault="00510BE6" w:rsidP="00B77779">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510BE6" w14:paraId="2254F61E" w14:textId="77777777" w:rsidTr="00B77779">
        <w:tc>
          <w:tcPr>
            <w:tcW w:w="1958" w:type="dxa"/>
            <w:tcBorders>
              <w:left w:val="single" w:sz="4" w:space="0" w:color="FFFFFF" w:themeColor="background1"/>
              <w:bottom w:val="single" w:sz="4" w:space="0" w:color="FFFFFF" w:themeColor="background1"/>
              <w:right w:val="single" w:sz="4" w:space="0" w:color="FFFFFF" w:themeColor="background1"/>
            </w:tcBorders>
          </w:tcPr>
          <w:p w14:paraId="1287395F" w14:textId="78C1FE49" w:rsidR="00510BE6" w:rsidRPr="00B77779" w:rsidRDefault="00510BE6"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ASE→RAB→NCO</w:t>
            </w:r>
          </w:p>
        </w:tc>
        <w:tc>
          <w:tcPr>
            <w:tcW w:w="2522" w:type="dxa"/>
            <w:tcBorders>
              <w:left w:val="single" w:sz="4" w:space="0" w:color="FFFFFF" w:themeColor="background1"/>
              <w:bottom w:val="single" w:sz="4" w:space="0" w:color="FFFFFF" w:themeColor="background1"/>
              <w:right w:val="single" w:sz="4" w:space="0" w:color="FFFFFF" w:themeColor="background1"/>
            </w:tcBorders>
          </w:tcPr>
          <w:p w14:paraId="68B0BC83" w14:textId="56D10F04"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B77779">
              <w:rPr>
                <w:rFonts w:ascii="Times New Roman" w:hAnsi="Times New Roman" w:cs="Times New Roman"/>
                <w:sz w:val="24"/>
                <w:szCs w:val="24"/>
              </w:rPr>
              <w:t>1</w:t>
            </w:r>
            <w:r>
              <w:rPr>
                <w:rFonts w:ascii="Times New Roman" w:hAnsi="Times New Roman" w:cs="Times New Roman"/>
                <w:sz w:val="24"/>
                <w:szCs w:val="24"/>
              </w:rPr>
              <w:t>8</w:t>
            </w:r>
          </w:p>
        </w:tc>
        <w:tc>
          <w:tcPr>
            <w:tcW w:w="971" w:type="dxa"/>
            <w:tcBorders>
              <w:left w:val="single" w:sz="4" w:space="0" w:color="FFFFFF" w:themeColor="background1"/>
              <w:bottom w:val="single" w:sz="4" w:space="0" w:color="FFFFFF" w:themeColor="background1"/>
              <w:right w:val="single" w:sz="4" w:space="0" w:color="FFFFFF" w:themeColor="background1"/>
            </w:tcBorders>
          </w:tcPr>
          <w:p w14:paraId="5F3CE6F9" w14:textId="23E81E8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0.0</w:t>
            </w:r>
            <w:r w:rsidR="00B77779">
              <w:rPr>
                <w:rFonts w:ascii="Times New Roman" w:hAnsi="Times New Roman" w:cs="Times New Roman"/>
                <w:sz w:val="24"/>
                <w:szCs w:val="24"/>
              </w:rPr>
              <w:t>5</w:t>
            </w:r>
          </w:p>
        </w:tc>
        <w:tc>
          <w:tcPr>
            <w:tcW w:w="1531" w:type="dxa"/>
            <w:tcBorders>
              <w:left w:val="single" w:sz="4" w:space="0" w:color="FFFFFF" w:themeColor="background1"/>
              <w:bottom w:val="single" w:sz="4" w:space="0" w:color="FFFFFF" w:themeColor="background1"/>
              <w:right w:val="single" w:sz="4" w:space="0" w:color="FFFFFF" w:themeColor="background1"/>
            </w:tcBorders>
          </w:tcPr>
          <w:p w14:paraId="3E75C230"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left w:val="single" w:sz="4" w:space="0" w:color="FFFFFF" w:themeColor="background1"/>
              <w:bottom w:val="single" w:sz="4" w:space="0" w:color="FFFFFF" w:themeColor="background1"/>
              <w:right w:val="single" w:sz="4" w:space="0" w:color="FFFFFF" w:themeColor="background1"/>
            </w:tcBorders>
          </w:tcPr>
          <w:p w14:paraId="46A77C36" w14:textId="77777777" w:rsidR="00510BE6" w:rsidRPr="00510BE6" w:rsidRDefault="00510BE6" w:rsidP="00A85E8D">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146FCC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4F37C" w14:textId="474FEC4D"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ASE→IAA→NCO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DD415" w14:textId="7B888474"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032B" w14:textId="3F4E6255"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C64C9" w14:textId="3D1F2B06"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33687" w14:textId="6FC25E5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2CCDED23" w14:textId="77777777" w:rsidTr="00B77779">
        <w:tc>
          <w:tcPr>
            <w:tcW w:w="1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E1471" w14:textId="45A0D956"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ASE→CCE→NCO</w:t>
            </w:r>
          </w:p>
        </w:tc>
        <w:tc>
          <w:tcPr>
            <w:tcW w:w="2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31AE6" w14:textId="32D91FDC"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BE078" w14:textId="4EA80CBE"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F1942" w14:textId="1FFDBC5A"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38E5A0" w14:textId="642F8EAD"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r w:rsidR="00B77779" w14:paraId="6FC38D0C" w14:textId="77777777" w:rsidTr="00B77779">
        <w:tc>
          <w:tcPr>
            <w:tcW w:w="1958" w:type="dxa"/>
            <w:tcBorders>
              <w:top w:val="single" w:sz="4" w:space="0" w:color="FFFFFF" w:themeColor="background1"/>
              <w:left w:val="single" w:sz="4" w:space="0" w:color="FFFFFF" w:themeColor="background1"/>
              <w:right w:val="single" w:sz="4" w:space="0" w:color="FFFFFF" w:themeColor="background1"/>
            </w:tcBorders>
          </w:tcPr>
          <w:p w14:paraId="77D2D373" w14:textId="5395EF39" w:rsidR="00B77779" w:rsidRPr="00B77779" w:rsidRDefault="00B77779" w:rsidP="00B77779">
            <w:pPr>
              <w:pStyle w:val="NoSpacing"/>
              <w:rPr>
                <w:rFonts w:ascii="Times New Roman" w:hAnsi="Times New Roman" w:cs="Times New Roman"/>
                <w:sz w:val="24"/>
                <w:szCs w:val="24"/>
              </w:rPr>
            </w:pPr>
            <w:r w:rsidRPr="00B77779">
              <w:rPr>
                <w:rFonts w:ascii="Times New Roman" w:hAnsi="Times New Roman" w:cs="Times New Roman"/>
                <w:sz w:val="24"/>
                <w:szCs w:val="24"/>
              </w:rPr>
              <w:t>ASE→RAS→NCO</w:t>
            </w:r>
          </w:p>
        </w:tc>
        <w:tc>
          <w:tcPr>
            <w:tcW w:w="2522" w:type="dxa"/>
            <w:tcBorders>
              <w:top w:val="single" w:sz="4" w:space="0" w:color="FFFFFF" w:themeColor="background1"/>
              <w:left w:val="single" w:sz="4" w:space="0" w:color="FFFFFF" w:themeColor="background1"/>
              <w:right w:val="single" w:sz="4" w:space="0" w:color="FFFFFF" w:themeColor="background1"/>
            </w:tcBorders>
          </w:tcPr>
          <w:p w14:paraId="6E06D87D" w14:textId="748DB269"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0.18</w:t>
            </w:r>
          </w:p>
        </w:tc>
        <w:tc>
          <w:tcPr>
            <w:tcW w:w="971" w:type="dxa"/>
            <w:tcBorders>
              <w:top w:val="single" w:sz="4" w:space="0" w:color="FFFFFF" w:themeColor="background1"/>
              <w:left w:val="single" w:sz="4" w:space="0" w:color="FFFFFF" w:themeColor="background1"/>
              <w:right w:val="single" w:sz="4" w:space="0" w:color="FFFFFF" w:themeColor="background1"/>
            </w:tcBorders>
          </w:tcPr>
          <w:p w14:paraId="17AC1B0A" w14:textId="7B026A8A"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0.05</w:t>
            </w:r>
          </w:p>
        </w:tc>
        <w:tc>
          <w:tcPr>
            <w:tcW w:w="1531" w:type="dxa"/>
            <w:tcBorders>
              <w:top w:val="single" w:sz="4" w:space="0" w:color="FFFFFF" w:themeColor="background1"/>
              <w:left w:val="single" w:sz="4" w:space="0" w:color="FFFFFF" w:themeColor="background1"/>
              <w:right w:val="single" w:sz="4" w:space="0" w:color="FFFFFF" w:themeColor="background1"/>
            </w:tcBorders>
          </w:tcPr>
          <w:p w14:paraId="40960A33" w14:textId="26BE2ED7"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&lt;.01</w:t>
            </w:r>
          </w:p>
        </w:tc>
        <w:tc>
          <w:tcPr>
            <w:tcW w:w="2368" w:type="dxa"/>
            <w:tcBorders>
              <w:top w:val="single" w:sz="4" w:space="0" w:color="FFFFFF" w:themeColor="background1"/>
              <w:left w:val="single" w:sz="4" w:space="0" w:color="FFFFFF" w:themeColor="background1"/>
              <w:right w:val="single" w:sz="4" w:space="0" w:color="FFFFFF" w:themeColor="background1"/>
            </w:tcBorders>
          </w:tcPr>
          <w:p w14:paraId="57122FE0" w14:textId="6917A793" w:rsidR="00B77779" w:rsidRDefault="00B77779" w:rsidP="00B77779">
            <w:pPr>
              <w:pStyle w:val="NoSpacing"/>
              <w:jc w:val="center"/>
              <w:rPr>
                <w:rFonts w:ascii="Times New Roman" w:hAnsi="Times New Roman" w:cs="Times New Roman"/>
                <w:sz w:val="24"/>
                <w:szCs w:val="24"/>
              </w:rPr>
            </w:pPr>
            <w:r>
              <w:rPr>
                <w:rFonts w:ascii="Times New Roman" w:hAnsi="Times New Roman" w:cs="Times New Roman"/>
                <w:sz w:val="24"/>
                <w:szCs w:val="24"/>
              </w:rPr>
              <w:t>Significant</w:t>
            </w:r>
          </w:p>
        </w:tc>
      </w:tr>
    </w:tbl>
    <w:p w14:paraId="55586853" w14:textId="77777777" w:rsidR="00510BE6" w:rsidRPr="00D03B00" w:rsidRDefault="00510BE6" w:rsidP="00510BE6">
      <w:pPr>
        <w:pStyle w:val="NoSpacing"/>
      </w:pPr>
    </w:p>
    <w:p w14:paraId="7B068174" w14:textId="77777777" w:rsidR="00B77779" w:rsidRDefault="00B77779" w:rsidP="00B77779">
      <w:pPr>
        <w:pStyle w:val="NoSpacing"/>
      </w:pPr>
    </w:p>
    <w:p w14:paraId="2CF229D7" w14:textId="2BF1EC64"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Information accuracy and accessibility also emerged as a strong mediator, highlighting the importance of reliable and timely data in clinical decision-making. Similarly, communication efficiency and resource availability contributed significantly to improved coordination of care and operational effectiveness.</w:t>
      </w:r>
    </w:p>
    <w:p w14:paraId="613BDAC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These findings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indicating that administrative systems influence nursing outcomes both directly and indirectly through multiple organizational mechanisms.</w:t>
      </w:r>
    </w:p>
    <w:p w14:paraId="5044A436" w14:textId="77777777" w:rsidR="00D03B00" w:rsidRPr="00D03B00" w:rsidRDefault="00D03B00" w:rsidP="00B77779">
      <w:pPr>
        <w:pStyle w:val="NoSpacing"/>
      </w:pPr>
    </w:p>
    <w:p w14:paraId="745C93FD" w14:textId="53B710B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1EA65217" w14:textId="6D48806B"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third objective assessed whether nursing clinical outcomes significantly predict patient outcomes. T</w:t>
      </w:r>
      <w:r w:rsidR="00B77779">
        <w:rPr>
          <w:rFonts w:ascii="Times New Roman" w:hAnsi="Times New Roman" w:cs="Times New Roman"/>
          <w:sz w:val="24"/>
          <w:szCs w:val="24"/>
        </w:rPr>
        <w:t xml:space="preserve">able 3 </w:t>
      </w:r>
      <w:r w:rsidRPr="00D03B00">
        <w:rPr>
          <w:rFonts w:ascii="Times New Roman" w:hAnsi="Times New Roman" w:cs="Times New Roman"/>
          <w:sz w:val="24"/>
          <w:szCs w:val="24"/>
        </w:rPr>
        <w:t>demonstrated a strong and statistically significant relationship between NCO and patient outcomes (PO) (β = .71, p &lt; .001). This indicates that improvements in nursing performance are strongly associated with enhanced patient satisfaction, better perceived quality of care, improved clinical outcomes, and safer healthcare delivery.</w:t>
      </w:r>
    </w:p>
    <w:p w14:paraId="0C101B37" w14:textId="77777777" w:rsidR="00B77779" w:rsidRDefault="00B77779" w:rsidP="00B77779">
      <w:pPr>
        <w:pStyle w:val="NoSpacing"/>
      </w:pPr>
    </w:p>
    <w:p w14:paraId="6D4F1491" w14:textId="42E6C650" w:rsidR="00B77779" w:rsidRDefault="00B77779" w:rsidP="00B77779">
      <w:pPr>
        <w:pStyle w:val="NoSpacing"/>
        <w:rPr>
          <w:rFonts w:ascii="Times New Roman" w:hAnsi="Times New Roman" w:cs="Times New Roman"/>
          <w:b/>
          <w:bCs/>
          <w:sz w:val="24"/>
          <w:szCs w:val="24"/>
        </w:rPr>
      </w:pPr>
      <w:r>
        <w:rPr>
          <w:rFonts w:ascii="Times New Roman" w:hAnsi="Times New Roman" w:cs="Times New Roman"/>
          <w:b/>
          <w:bCs/>
          <w:sz w:val="24"/>
          <w:szCs w:val="24"/>
        </w:rPr>
        <w:t>Table 3</w:t>
      </w:r>
    </w:p>
    <w:p w14:paraId="0DD4F01F" w14:textId="607189D8" w:rsidR="00B77779" w:rsidRDefault="00B77779" w:rsidP="00B77779">
      <w:pPr>
        <w:pStyle w:val="NoSpacing"/>
        <w:rPr>
          <w:rFonts w:ascii="Times New Roman" w:hAnsi="Times New Roman" w:cs="Times New Roman"/>
          <w:i/>
          <w:iCs/>
          <w:sz w:val="24"/>
          <w:szCs w:val="24"/>
        </w:rPr>
      </w:pPr>
      <w:r>
        <w:rPr>
          <w:rFonts w:ascii="Times New Roman" w:hAnsi="Times New Roman" w:cs="Times New Roman"/>
          <w:i/>
          <w:iCs/>
          <w:sz w:val="24"/>
          <w:szCs w:val="24"/>
        </w:rPr>
        <w:t>Direct Effects of Nursing Clinical Outcomes on Patient Outcomes</w:t>
      </w:r>
    </w:p>
    <w:p w14:paraId="3D0C890A" w14:textId="77777777" w:rsidR="00B77779" w:rsidRDefault="00B77779" w:rsidP="00B77779">
      <w:pPr>
        <w:pStyle w:val="NoSpacing"/>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1714"/>
        <w:gridCol w:w="2601"/>
        <w:gridCol w:w="1037"/>
        <w:gridCol w:w="1630"/>
        <w:gridCol w:w="2368"/>
      </w:tblGrid>
      <w:tr w:rsidR="00B77779" w14:paraId="63ACD330" w14:textId="77777777" w:rsidTr="00A85E8D">
        <w:tc>
          <w:tcPr>
            <w:tcW w:w="1714" w:type="dxa"/>
            <w:tcBorders>
              <w:left w:val="single" w:sz="4" w:space="0" w:color="FFFFFF" w:themeColor="background1"/>
              <w:right w:val="single" w:sz="4" w:space="0" w:color="FFFFFF" w:themeColor="background1"/>
            </w:tcBorders>
          </w:tcPr>
          <w:p w14:paraId="24F20BD1"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PATH</w:t>
            </w:r>
          </w:p>
        </w:tc>
        <w:tc>
          <w:tcPr>
            <w:tcW w:w="2601" w:type="dxa"/>
            <w:tcBorders>
              <w:left w:val="single" w:sz="4" w:space="0" w:color="FFFFFF" w:themeColor="background1"/>
              <w:right w:val="single" w:sz="4" w:space="0" w:color="FFFFFF" w:themeColor="background1"/>
            </w:tcBorders>
          </w:tcPr>
          <w:p w14:paraId="74BC19D4"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 xml:space="preserve">STANDARDIZED </w:t>
            </w:r>
            <w:r w:rsidRPr="00510BE6">
              <w:rPr>
                <w:rFonts w:ascii="Aptos Narrow" w:hAnsi="Aptos Narrow" w:cs="Times New Roman"/>
                <w:b/>
                <w:bCs/>
                <w:sz w:val="24"/>
                <w:szCs w:val="24"/>
              </w:rPr>
              <w:t>β</w:t>
            </w:r>
          </w:p>
        </w:tc>
        <w:tc>
          <w:tcPr>
            <w:tcW w:w="1037" w:type="dxa"/>
            <w:tcBorders>
              <w:left w:val="single" w:sz="4" w:space="0" w:color="FFFFFF" w:themeColor="background1"/>
              <w:right w:val="single" w:sz="4" w:space="0" w:color="FFFFFF" w:themeColor="background1"/>
            </w:tcBorders>
          </w:tcPr>
          <w:p w14:paraId="6F37D01A"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SE</w:t>
            </w:r>
          </w:p>
        </w:tc>
        <w:tc>
          <w:tcPr>
            <w:tcW w:w="1630" w:type="dxa"/>
            <w:tcBorders>
              <w:left w:val="single" w:sz="4" w:space="0" w:color="FFFFFF" w:themeColor="background1"/>
              <w:right w:val="single" w:sz="4" w:space="0" w:color="FFFFFF" w:themeColor="background1"/>
            </w:tcBorders>
          </w:tcPr>
          <w:p w14:paraId="4B375979"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P-VALUE</w:t>
            </w:r>
          </w:p>
        </w:tc>
        <w:tc>
          <w:tcPr>
            <w:tcW w:w="2368" w:type="dxa"/>
            <w:tcBorders>
              <w:left w:val="single" w:sz="4" w:space="0" w:color="FFFFFF" w:themeColor="background1"/>
              <w:right w:val="single" w:sz="4" w:space="0" w:color="FFFFFF" w:themeColor="background1"/>
            </w:tcBorders>
          </w:tcPr>
          <w:p w14:paraId="257063AE" w14:textId="77777777" w:rsidR="00B77779" w:rsidRPr="00510BE6" w:rsidRDefault="00B77779" w:rsidP="00A85E8D">
            <w:pPr>
              <w:pStyle w:val="NoSpacing"/>
              <w:jc w:val="center"/>
              <w:rPr>
                <w:rFonts w:ascii="Times New Roman" w:hAnsi="Times New Roman" w:cs="Times New Roman"/>
                <w:b/>
                <w:bCs/>
                <w:sz w:val="24"/>
                <w:szCs w:val="24"/>
              </w:rPr>
            </w:pPr>
            <w:r w:rsidRPr="00510BE6">
              <w:rPr>
                <w:rFonts w:ascii="Times New Roman" w:hAnsi="Times New Roman" w:cs="Times New Roman"/>
                <w:b/>
                <w:bCs/>
                <w:sz w:val="24"/>
                <w:szCs w:val="24"/>
              </w:rPr>
              <w:t>INTERPRETATION</w:t>
            </w:r>
          </w:p>
        </w:tc>
      </w:tr>
      <w:tr w:rsidR="00B77779" w14:paraId="0A83FAD7" w14:textId="77777777" w:rsidTr="00A85E8D">
        <w:tc>
          <w:tcPr>
            <w:tcW w:w="1714" w:type="dxa"/>
            <w:tcBorders>
              <w:left w:val="single" w:sz="4" w:space="0" w:color="FFFFFF" w:themeColor="background1"/>
              <w:right w:val="single" w:sz="4" w:space="0" w:color="FFFFFF" w:themeColor="background1"/>
            </w:tcBorders>
          </w:tcPr>
          <w:p w14:paraId="782ED57D" w14:textId="60463F7F" w:rsidR="00B77779" w:rsidRPr="00510BE6" w:rsidRDefault="00B77779" w:rsidP="00A85E8D">
            <w:pPr>
              <w:pStyle w:val="NoSpacing"/>
              <w:rPr>
                <w:rFonts w:ascii="Times New Roman" w:hAnsi="Times New Roman" w:cs="Times New Roman"/>
                <w:sz w:val="24"/>
                <w:szCs w:val="24"/>
              </w:rPr>
            </w:pPr>
            <w:r w:rsidRPr="00B77779">
              <w:rPr>
                <w:rFonts w:ascii="Times New Roman" w:hAnsi="Times New Roman" w:cs="Times New Roman"/>
                <w:sz w:val="24"/>
                <w:szCs w:val="24"/>
              </w:rPr>
              <w:t>NCO</w:t>
            </w:r>
            <w:r>
              <w:rPr>
                <w:rFonts w:ascii="Aptos Narrow" w:hAnsi="Aptos Narrow" w:cs="Times New Roman"/>
                <w:sz w:val="24"/>
                <w:szCs w:val="24"/>
              </w:rPr>
              <w:t>→</w:t>
            </w:r>
            <w:r>
              <w:rPr>
                <w:rFonts w:ascii="Times New Roman" w:hAnsi="Times New Roman" w:cs="Times New Roman"/>
                <w:sz w:val="24"/>
                <w:szCs w:val="24"/>
              </w:rPr>
              <w:t>PO</w:t>
            </w:r>
          </w:p>
        </w:tc>
        <w:tc>
          <w:tcPr>
            <w:tcW w:w="2601" w:type="dxa"/>
            <w:tcBorders>
              <w:left w:val="single" w:sz="4" w:space="0" w:color="FFFFFF" w:themeColor="background1"/>
              <w:right w:val="single" w:sz="4" w:space="0" w:color="FFFFFF" w:themeColor="background1"/>
            </w:tcBorders>
          </w:tcPr>
          <w:p w14:paraId="37C122AF" w14:textId="51D8A0C2"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0.71</w:t>
            </w:r>
          </w:p>
        </w:tc>
        <w:tc>
          <w:tcPr>
            <w:tcW w:w="1037" w:type="dxa"/>
            <w:tcBorders>
              <w:left w:val="single" w:sz="4" w:space="0" w:color="FFFFFF" w:themeColor="background1"/>
              <w:right w:val="single" w:sz="4" w:space="0" w:color="FFFFFF" w:themeColor="background1"/>
            </w:tcBorders>
          </w:tcPr>
          <w:p w14:paraId="075C5A3C" w14:textId="439FB073"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0.06</w:t>
            </w:r>
          </w:p>
        </w:tc>
        <w:tc>
          <w:tcPr>
            <w:tcW w:w="1630" w:type="dxa"/>
            <w:tcBorders>
              <w:left w:val="single" w:sz="4" w:space="0" w:color="FFFFFF" w:themeColor="background1"/>
              <w:right w:val="single" w:sz="4" w:space="0" w:color="FFFFFF" w:themeColor="background1"/>
            </w:tcBorders>
          </w:tcPr>
          <w:p w14:paraId="7CFE6E49" w14:textId="60411700"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&lt;.001</w:t>
            </w:r>
          </w:p>
        </w:tc>
        <w:tc>
          <w:tcPr>
            <w:tcW w:w="2368" w:type="dxa"/>
            <w:tcBorders>
              <w:left w:val="single" w:sz="4" w:space="0" w:color="FFFFFF" w:themeColor="background1"/>
              <w:right w:val="single" w:sz="4" w:space="0" w:color="FFFFFF" w:themeColor="background1"/>
            </w:tcBorders>
          </w:tcPr>
          <w:p w14:paraId="47D9D317" w14:textId="6AAF3131" w:rsidR="00B77779" w:rsidRPr="00510BE6" w:rsidRDefault="00B77779" w:rsidP="00A85E8D">
            <w:pPr>
              <w:pStyle w:val="NoSpacing"/>
              <w:jc w:val="center"/>
              <w:rPr>
                <w:rFonts w:ascii="Times New Roman" w:hAnsi="Times New Roman" w:cs="Times New Roman"/>
                <w:sz w:val="24"/>
                <w:szCs w:val="24"/>
              </w:rPr>
            </w:pPr>
            <w:r>
              <w:rPr>
                <w:rFonts w:ascii="Times New Roman" w:hAnsi="Times New Roman" w:cs="Times New Roman"/>
                <w:sz w:val="24"/>
                <w:szCs w:val="24"/>
              </w:rPr>
              <w:t>Highly Significant</w:t>
            </w:r>
          </w:p>
        </w:tc>
      </w:tr>
    </w:tbl>
    <w:p w14:paraId="0F05D1D2" w14:textId="77777777" w:rsidR="00B77779" w:rsidRPr="00D03B00" w:rsidRDefault="00B77779" w:rsidP="00D03B00">
      <w:pPr>
        <w:rPr>
          <w:rFonts w:ascii="Times New Roman" w:hAnsi="Times New Roman" w:cs="Times New Roman"/>
          <w:sz w:val="24"/>
          <w:szCs w:val="24"/>
        </w:rPr>
      </w:pPr>
    </w:p>
    <w:p w14:paraId="6DA7F586"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magnitude of this effect suggests that nursing outcomes serve as a critical pathway through which organizational systems ultimately impact patient-level results. This finding reinforces the central role of nursing in healthcare quality and validates the inclusion of nursing outcomes as a key mediator in the broader system model.</w:t>
      </w:r>
    </w:p>
    <w:p w14:paraId="5F830638" w14:textId="77777777" w:rsidR="00D03B00" w:rsidRPr="00D03B00" w:rsidRDefault="00D03B00" w:rsidP="00B77779">
      <w:pPr>
        <w:pStyle w:val="NoSpacing"/>
      </w:pPr>
    </w:p>
    <w:p w14:paraId="40928BF4" w14:textId="5DFF1C03"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Evidence-Based Intervention Framework Based on the SEM Results</w:t>
      </w:r>
    </w:p>
    <w:p w14:paraId="510FE1E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final objective aimed to synthesize the SEM findings into an evidence-based intervention framework. The structural model demonstrated good fit (χ²/</w:t>
      </w:r>
      <w:proofErr w:type="spellStart"/>
      <w:r w:rsidRPr="00D03B00">
        <w:rPr>
          <w:rFonts w:ascii="Times New Roman" w:hAnsi="Times New Roman" w:cs="Times New Roman"/>
          <w:sz w:val="24"/>
          <w:szCs w:val="24"/>
        </w:rPr>
        <w:t>df</w:t>
      </w:r>
      <w:proofErr w:type="spellEnd"/>
      <w:r w:rsidRPr="00D03B00">
        <w:rPr>
          <w:rFonts w:ascii="Times New Roman" w:hAnsi="Times New Roman" w:cs="Times New Roman"/>
          <w:sz w:val="24"/>
          <w:szCs w:val="24"/>
        </w:rPr>
        <w:t xml:space="preserve"> = 1.47, CFI = .96, TLI = .95, RMSEA = .045, SRMR = .041), indicating that the proposed model adequately represents the relationships among variables.</w:t>
      </w:r>
    </w:p>
    <w:p w14:paraId="695A926A" w14:textId="48949184" w:rsid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w:t>
      </w:r>
      <w:r w:rsidR="005645CE">
        <w:rPr>
          <w:rFonts w:ascii="Times New Roman" w:hAnsi="Times New Roman" w:cs="Times New Roman"/>
          <w:sz w:val="24"/>
          <w:szCs w:val="24"/>
        </w:rPr>
        <w:t>able 4</w:t>
      </w:r>
      <w:r w:rsidRPr="00D03B00">
        <w:rPr>
          <w:rFonts w:ascii="Times New Roman" w:hAnsi="Times New Roman" w:cs="Times New Roman"/>
          <w:sz w:val="24"/>
          <w:szCs w:val="24"/>
        </w:rPr>
        <w:t xml:space="preserve"> suggest</w:t>
      </w:r>
      <w:r w:rsidR="005645CE">
        <w:rPr>
          <w:rFonts w:ascii="Times New Roman" w:hAnsi="Times New Roman" w:cs="Times New Roman"/>
          <w:sz w:val="24"/>
          <w:szCs w:val="24"/>
        </w:rPr>
        <w:t>s</w:t>
      </w:r>
      <w:r w:rsidRPr="00D03B00">
        <w:rPr>
          <w:rFonts w:ascii="Times New Roman" w:hAnsi="Times New Roman" w:cs="Times New Roman"/>
          <w:sz w:val="24"/>
          <w:szCs w:val="24"/>
        </w:rPr>
        <w:t xml:space="preserve"> that interventions should target both direct and indirect pathways. Specifically, improving administrative system efficiency alone is beneficial, but greater impact can be achieved by addressing key mediating mechanisms such as reducing administrative burden, enhancing information systems, improving communication processes, and ensuring adequate resource support.</w:t>
      </w:r>
    </w:p>
    <w:p w14:paraId="17A677EE" w14:textId="77777777" w:rsidR="00B77779" w:rsidRDefault="00B77779" w:rsidP="00B77779">
      <w:pPr>
        <w:pStyle w:val="NoSpacing"/>
      </w:pPr>
    </w:p>
    <w:p w14:paraId="2A14429B" w14:textId="77777777" w:rsidR="005645CE" w:rsidRDefault="005645CE" w:rsidP="00B77779">
      <w:pPr>
        <w:pStyle w:val="NoSpacing"/>
      </w:pPr>
    </w:p>
    <w:p w14:paraId="0EEA17EE" w14:textId="77777777" w:rsidR="005645CE" w:rsidRDefault="005645CE" w:rsidP="00B77779">
      <w:pPr>
        <w:pStyle w:val="NoSpacing"/>
      </w:pPr>
    </w:p>
    <w:p w14:paraId="599CF4C6" w14:textId="77777777" w:rsidR="005645CE" w:rsidRDefault="005645CE" w:rsidP="00B77779">
      <w:pPr>
        <w:pStyle w:val="NoSpacing"/>
      </w:pPr>
    </w:p>
    <w:p w14:paraId="14C81911" w14:textId="77777777" w:rsidR="005645CE" w:rsidRDefault="005645CE" w:rsidP="00B77779">
      <w:pPr>
        <w:pStyle w:val="NoSpacing"/>
      </w:pPr>
    </w:p>
    <w:p w14:paraId="4CD4C676" w14:textId="30570C5F" w:rsidR="00B77779" w:rsidRPr="00B77779" w:rsidRDefault="00B77779" w:rsidP="00B77779">
      <w:pPr>
        <w:pStyle w:val="NoSpacing"/>
        <w:rPr>
          <w:rFonts w:ascii="Times New Roman" w:hAnsi="Times New Roman" w:cs="Times New Roman"/>
          <w:b/>
          <w:bCs/>
          <w:sz w:val="24"/>
          <w:szCs w:val="24"/>
        </w:rPr>
      </w:pPr>
      <w:r w:rsidRPr="00B77779">
        <w:rPr>
          <w:rFonts w:ascii="Times New Roman" w:hAnsi="Times New Roman" w:cs="Times New Roman"/>
          <w:b/>
          <w:bCs/>
          <w:sz w:val="24"/>
          <w:szCs w:val="24"/>
        </w:rPr>
        <w:t xml:space="preserve">Table 4. </w:t>
      </w:r>
    </w:p>
    <w:p w14:paraId="2102EB11" w14:textId="04C382E5" w:rsidR="00B77779" w:rsidRDefault="00B77779" w:rsidP="00B77779">
      <w:pPr>
        <w:pStyle w:val="NoSpacing"/>
        <w:rPr>
          <w:rFonts w:ascii="Times New Roman" w:hAnsi="Times New Roman" w:cs="Times New Roman"/>
          <w:i/>
          <w:iCs/>
          <w:sz w:val="24"/>
          <w:szCs w:val="24"/>
        </w:rPr>
      </w:pPr>
      <w:r w:rsidRPr="00B77779">
        <w:rPr>
          <w:rFonts w:ascii="Times New Roman" w:hAnsi="Times New Roman" w:cs="Times New Roman"/>
          <w:i/>
          <w:iCs/>
          <w:sz w:val="24"/>
          <w:szCs w:val="24"/>
        </w:rPr>
        <w:t>Summary of Structural Model Fit Indices</w:t>
      </w:r>
    </w:p>
    <w:p w14:paraId="0642CF56" w14:textId="77777777" w:rsidR="00B77779" w:rsidRDefault="00B77779" w:rsidP="00B77779">
      <w:pPr>
        <w:pStyle w:val="NoSpacing"/>
        <w:rPr>
          <w:rFonts w:ascii="Times New Roman" w:hAnsi="Times New Roman" w:cs="Times New Roman"/>
          <w:i/>
          <w:iCs/>
          <w:sz w:val="24"/>
          <w:szCs w:val="24"/>
        </w:rPr>
      </w:pPr>
    </w:p>
    <w:tbl>
      <w:tblPr>
        <w:tblStyle w:val="TableGrid"/>
        <w:tblW w:w="9355" w:type="dxa"/>
        <w:tblLook w:val="04A0" w:firstRow="1" w:lastRow="0" w:firstColumn="1" w:lastColumn="0" w:noHBand="0" w:noVBand="1"/>
      </w:tblPr>
      <w:tblGrid>
        <w:gridCol w:w="1885"/>
        <w:gridCol w:w="1710"/>
        <w:gridCol w:w="2610"/>
        <w:gridCol w:w="3150"/>
      </w:tblGrid>
      <w:tr w:rsidR="00B77779" w14:paraId="1DF594FB" w14:textId="77777777" w:rsidTr="005645CE">
        <w:tc>
          <w:tcPr>
            <w:tcW w:w="1885" w:type="dxa"/>
            <w:tcBorders>
              <w:left w:val="single" w:sz="4" w:space="0" w:color="FFFFFF" w:themeColor="background1"/>
              <w:right w:val="single" w:sz="4" w:space="0" w:color="FFFFFF" w:themeColor="background1"/>
            </w:tcBorders>
            <w:vAlign w:val="center"/>
          </w:tcPr>
          <w:p w14:paraId="6988B246" w14:textId="348107D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FIT INDEX</w:t>
            </w:r>
          </w:p>
        </w:tc>
        <w:tc>
          <w:tcPr>
            <w:tcW w:w="1710" w:type="dxa"/>
            <w:tcBorders>
              <w:left w:val="single" w:sz="4" w:space="0" w:color="FFFFFF" w:themeColor="background1"/>
              <w:right w:val="single" w:sz="4" w:space="0" w:color="FFFFFF" w:themeColor="background1"/>
            </w:tcBorders>
            <w:vAlign w:val="center"/>
          </w:tcPr>
          <w:p w14:paraId="3C2C1C78" w14:textId="3A97E3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VALUE</w:t>
            </w:r>
          </w:p>
        </w:tc>
        <w:tc>
          <w:tcPr>
            <w:tcW w:w="2610" w:type="dxa"/>
            <w:tcBorders>
              <w:left w:val="single" w:sz="4" w:space="0" w:color="FFFFFF" w:themeColor="background1"/>
              <w:right w:val="single" w:sz="4" w:space="0" w:color="FFFFFF" w:themeColor="background1"/>
            </w:tcBorders>
            <w:vAlign w:val="center"/>
          </w:tcPr>
          <w:p w14:paraId="034CF6CC" w14:textId="5BAC3979"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RECOMMENDED THRESHOLD</w:t>
            </w:r>
          </w:p>
        </w:tc>
        <w:tc>
          <w:tcPr>
            <w:tcW w:w="3150" w:type="dxa"/>
            <w:tcBorders>
              <w:left w:val="single" w:sz="4" w:space="0" w:color="FFFFFF" w:themeColor="background1"/>
              <w:right w:val="single" w:sz="4" w:space="0" w:color="FFFFFF" w:themeColor="background1"/>
            </w:tcBorders>
            <w:vAlign w:val="center"/>
          </w:tcPr>
          <w:p w14:paraId="3AA4A35C" w14:textId="75DE648B" w:rsidR="00B77779" w:rsidRPr="00B77779" w:rsidRDefault="00B77779" w:rsidP="005645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B77779" w14:paraId="16E003BB" w14:textId="77777777" w:rsidTr="005645CE">
        <w:tc>
          <w:tcPr>
            <w:tcW w:w="1885" w:type="dxa"/>
            <w:tcBorders>
              <w:left w:val="single" w:sz="4" w:space="0" w:color="FFFFFF" w:themeColor="background1"/>
              <w:bottom w:val="single" w:sz="4" w:space="0" w:color="FFFFFF" w:themeColor="background1"/>
              <w:right w:val="single" w:sz="4" w:space="0" w:color="FFFFFF" w:themeColor="background1"/>
            </w:tcBorders>
          </w:tcPr>
          <w:p w14:paraId="71612537" w14:textId="294ADDA7" w:rsidR="00B77779" w:rsidRPr="005645CE" w:rsidRDefault="005645CE" w:rsidP="00B77779">
            <w:pPr>
              <w:pStyle w:val="NoSpacing"/>
              <w:rPr>
                <w:rFonts w:ascii="Times New Roman" w:hAnsi="Times New Roman" w:cs="Times New Roman"/>
                <w:sz w:val="24"/>
                <w:szCs w:val="24"/>
              </w:rPr>
            </w:pPr>
            <w:r>
              <w:rPr>
                <w:rFonts w:ascii="Aptos Narrow" w:hAnsi="Aptos Narrow" w:cs="Times New Roman"/>
                <w:sz w:val="24"/>
                <w:szCs w:val="24"/>
              </w:rPr>
              <w:t>χ</w:t>
            </w:r>
            <w:r w:rsidRPr="005645CE">
              <w:rPr>
                <w:rFonts w:ascii="Times New Roman" w:hAnsi="Times New Roman" w:cs="Times New Roman"/>
                <w:sz w:val="24"/>
                <w:szCs w:val="24"/>
                <w:vertAlign w:val="superscript"/>
              </w:rPr>
              <w:t>2</w:t>
            </w:r>
            <w:r w:rsidRPr="005645CE">
              <w:rPr>
                <w:rFonts w:ascii="Times New Roman" w:hAnsi="Times New Roman" w:cs="Times New Roman"/>
                <w:sz w:val="24"/>
                <w:szCs w:val="24"/>
              </w:rPr>
              <w:t>/</w:t>
            </w:r>
            <w:proofErr w:type="spellStart"/>
            <w:r w:rsidRPr="005645CE">
              <w:rPr>
                <w:rFonts w:ascii="Times New Roman" w:hAnsi="Times New Roman" w:cs="Times New Roman"/>
                <w:sz w:val="24"/>
                <w:szCs w:val="24"/>
              </w:rPr>
              <w:t>df</w:t>
            </w:r>
            <w:proofErr w:type="spellEnd"/>
          </w:p>
        </w:tc>
        <w:tc>
          <w:tcPr>
            <w:tcW w:w="1710" w:type="dxa"/>
            <w:tcBorders>
              <w:left w:val="single" w:sz="4" w:space="0" w:color="FFFFFF" w:themeColor="background1"/>
              <w:bottom w:val="single" w:sz="4" w:space="0" w:color="FFFFFF" w:themeColor="background1"/>
              <w:right w:val="single" w:sz="4" w:space="0" w:color="FFFFFF" w:themeColor="background1"/>
            </w:tcBorders>
          </w:tcPr>
          <w:p w14:paraId="36DDAC7C" w14:textId="693ACE90"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1.47</w:t>
            </w:r>
          </w:p>
        </w:tc>
        <w:tc>
          <w:tcPr>
            <w:tcW w:w="2610" w:type="dxa"/>
            <w:tcBorders>
              <w:left w:val="single" w:sz="4" w:space="0" w:color="FFFFFF" w:themeColor="background1"/>
              <w:bottom w:val="single" w:sz="4" w:space="0" w:color="FFFFFF" w:themeColor="background1"/>
              <w:right w:val="single" w:sz="4" w:space="0" w:color="FFFFFF" w:themeColor="background1"/>
            </w:tcBorders>
          </w:tcPr>
          <w:p w14:paraId="712EF479" w14:textId="7978BC32"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&lt; 3.00</w:t>
            </w:r>
          </w:p>
        </w:tc>
        <w:tc>
          <w:tcPr>
            <w:tcW w:w="3150" w:type="dxa"/>
            <w:tcBorders>
              <w:left w:val="single" w:sz="4" w:space="0" w:color="FFFFFF" w:themeColor="background1"/>
              <w:bottom w:val="single" w:sz="4" w:space="0" w:color="FFFFFF" w:themeColor="background1"/>
              <w:right w:val="single" w:sz="4" w:space="0" w:color="FFFFFF" w:themeColor="background1"/>
            </w:tcBorders>
          </w:tcPr>
          <w:p w14:paraId="3165C796" w14:textId="76C72CB3"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1E8464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BEA09" w14:textId="0CEF35CE"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CFI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E3197" w14:textId="2DA22E8A"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0.96</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D12AEC" w14:textId="31DE1B37"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0.90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87B00" w14:textId="722717A6"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135BCF38"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57E67" w14:textId="156662F6"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TLI</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F08E3" w14:textId="0D12E1E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0.95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4D3A4" w14:textId="5533AA45" w:rsidR="00B77779" w:rsidRPr="005645CE" w:rsidRDefault="005645CE" w:rsidP="005645CE">
            <w:pPr>
              <w:pStyle w:val="NoSpacing"/>
              <w:jc w:val="center"/>
              <w:rPr>
                <w:rFonts w:ascii="Times New Roman" w:hAnsi="Times New Roman" w:cs="Times New Roman"/>
                <w:sz w:val="24"/>
                <w:szCs w:val="24"/>
              </w:rPr>
            </w:pPr>
            <w:r w:rsidRPr="005645CE">
              <w:rPr>
                <w:rFonts w:ascii="Times New Roman" w:hAnsi="Times New Roman" w:cs="Times New Roman"/>
                <w:sz w:val="24"/>
                <w:szCs w:val="24"/>
                <w:u w:val="single"/>
              </w:rPr>
              <w:t>&gt;</w:t>
            </w:r>
            <w:r>
              <w:rPr>
                <w:rFonts w:ascii="Times New Roman" w:hAnsi="Times New Roman" w:cs="Times New Roman"/>
                <w:sz w:val="24"/>
                <w:szCs w:val="24"/>
              </w:rPr>
              <w:t xml:space="preserve"> 0.90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818FD" w14:textId="40CEA944"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Excellent Fit</w:t>
            </w:r>
          </w:p>
        </w:tc>
      </w:tr>
      <w:tr w:rsidR="00B77779" w14:paraId="64E77199" w14:textId="77777777" w:rsidTr="005645CE">
        <w:tc>
          <w:tcPr>
            <w:tcW w:w="18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29560F" w14:textId="5289D80C"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RMSEA</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5891" w14:textId="3429CB72"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0.045</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D615B" w14:textId="65D20447"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0.80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CC01E" w14:textId="4951E65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r w:rsidR="00B77779" w14:paraId="4D889887" w14:textId="77777777" w:rsidTr="005645CE">
        <w:tc>
          <w:tcPr>
            <w:tcW w:w="1885" w:type="dxa"/>
            <w:tcBorders>
              <w:top w:val="single" w:sz="4" w:space="0" w:color="FFFFFF" w:themeColor="background1"/>
              <w:left w:val="single" w:sz="4" w:space="0" w:color="FFFFFF" w:themeColor="background1"/>
              <w:right w:val="single" w:sz="4" w:space="0" w:color="FFFFFF" w:themeColor="background1"/>
            </w:tcBorders>
          </w:tcPr>
          <w:p w14:paraId="1DFDD732" w14:textId="1E136B72" w:rsidR="00B77779" w:rsidRPr="005645CE" w:rsidRDefault="005645CE" w:rsidP="00B77779">
            <w:pPr>
              <w:pStyle w:val="NoSpacing"/>
              <w:rPr>
                <w:rFonts w:ascii="Times New Roman" w:hAnsi="Times New Roman" w:cs="Times New Roman"/>
                <w:sz w:val="24"/>
                <w:szCs w:val="24"/>
              </w:rPr>
            </w:pPr>
            <w:r>
              <w:rPr>
                <w:rFonts w:ascii="Times New Roman" w:hAnsi="Times New Roman" w:cs="Times New Roman"/>
                <w:sz w:val="24"/>
                <w:szCs w:val="24"/>
              </w:rPr>
              <w:t>SRMR</w:t>
            </w:r>
          </w:p>
        </w:tc>
        <w:tc>
          <w:tcPr>
            <w:tcW w:w="1710" w:type="dxa"/>
            <w:tcBorders>
              <w:top w:val="single" w:sz="4" w:space="0" w:color="FFFFFF" w:themeColor="background1"/>
              <w:left w:val="single" w:sz="4" w:space="0" w:color="FFFFFF" w:themeColor="background1"/>
              <w:right w:val="single" w:sz="4" w:space="0" w:color="FFFFFF" w:themeColor="background1"/>
            </w:tcBorders>
          </w:tcPr>
          <w:p w14:paraId="2E35601F" w14:textId="7FF0163D"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0.041</w:t>
            </w:r>
          </w:p>
        </w:tc>
        <w:tc>
          <w:tcPr>
            <w:tcW w:w="2610" w:type="dxa"/>
            <w:tcBorders>
              <w:top w:val="single" w:sz="4" w:space="0" w:color="FFFFFF" w:themeColor="background1"/>
              <w:left w:val="single" w:sz="4" w:space="0" w:color="FFFFFF" w:themeColor="background1"/>
              <w:right w:val="single" w:sz="4" w:space="0" w:color="FFFFFF" w:themeColor="background1"/>
            </w:tcBorders>
          </w:tcPr>
          <w:p w14:paraId="50B55FA0" w14:textId="6E44D548"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0.80</w:t>
            </w:r>
          </w:p>
        </w:tc>
        <w:tc>
          <w:tcPr>
            <w:tcW w:w="3150" w:type="dxa"/>
            <w:tcBorders>
              <w:top w:val="single" w:sz="4" w:space="0" w:color="FFFFFF" w:themeColor="background1"/>
              <w:left w:val="single" w:sz="4" w:space="0" w:color="FFFFFF" w:themeColor="background1"/>
              <w:right w:val="single" w:sz="4" w:space="0" w:color="FFFFFF" w:themeColor="background1"/>
            </w:tcBorders>
          </w:tcPr>
          <w:p w14:paraId="59225936" w14:textId="2C70DBBC" w:rsidR="00B77779" w:rsidRPr="005645CE" w:rsidRDefault="005645CE" w:rsidP="005645CE">
            <w:pPr>
              <w:pStyle w:val="NoSpacing"/>
              <w:jc w:val="center"/>
              <w:rPr>
                <w:rFonts w:ascii="Times New Roman" w:hAnsi="Times New Roman" w:cs="Times New Roman"/>
                <w:sz w:val="24"/>
                <w:szCs w:val="24"/>
              </w:rPr>
            </w:pPr>
            <w:r>
              <w:rPr>
                <w:rFonts w:ascii="Times New Roman" w:hAnsi="Times New Roman" w:cs="Times New Roman"/>
                <w:sz w:val="24"/>
                <w:szCs w:val="24"/>
              </w:rPr>
              <w:t>Good Fit</w:t>
            </w:r>
          </w:p>
        </w:tc>
      </w:tr>
    </w:tbl>
    <w:p w14:paraId="6B590809" w14:textId="77777777" w:rsidR="00B77779" w:rsidRPr="00B77779" w:rsidRDefault="00B77779" w:rsidP="00B77779">
      <w:pPr>
        <w:pStyle w:val="NoSpacing"/>
        <w:rPr>
          <w:rFonts w:ascii="Times New Roman" w:hAnsi="Times New Roman" w:cs="Times New Roman"/>
          <w:i/>
          <w:iCs/>
          <w:sz w:val="24"/>
          <w:szCs w:val="24"/>
        </w:rPr>
      </w:pPr>
    </w:p>
    <w:p w14:paraId="644CEB57" w14:textId="77777777" w:rsidR="005645CE" w:rsidRDefault="005645CE" w:rsidP="005645CE">
      <w:pPr>
        <w:pStyle w:val="NoSpacing"/>
      </w:pPr>
    </w:p>
    <w:p w14:paraId="52AFE67E" w14:textId="5B764BF5"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integration of these components forms a comprehensive systems-based approach to improving nursing and patient outcomes. The findings provide empirical support for a multi-level intervention strategy that addresses organizational, technological, and human factors simultaneously.</w:t>
      </w:r>
    </w:p>
    <w:p w14:paraId="26B9468D" w14:textId="77777777" w:rsidR="005645CE" w:rsidRDefault="005645CE" w:rsidP="005645CE">
      <w:pPr>
        <w:pStyle w:val="NoSpacing"/>
      </w:pPr>
    </w:p>
    <w:p w14:paraId="45CBF5A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results collectively demonstrate that administrative system efficiency significantly influences nursing clinical outcomes both directly and indirectly through multiple mediating mechanisms. In turn, nursing outcomes strongly predict patient outcomes, confirming their central role in healthcare quality. The structural model provides a comprehensive and empirically supported framework that links administrative processes to patient care outcomes through measurable pathways.</w:t>
      </w:r>
    </w:p>
    <w:p w14:paraId="3C9C1043" w14:textId="77777777" w:rsidR="00D03B00" w:rsidRPr="00D03B00" w:rsidRDefault="00D03B00" w:rsidP="005645CE">
      <w:pPr>
        <w:pStyle w:val="NoSpacing"/>
      </w:pPr>
    </w:p>
    <w:p w14:paraId="4A28B933" w14:textId="5BF27CF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 xml:space="preserve">Discussion </w:t>
      </w:r>
    </w:p>
    <w:p w14:paraId="1755B1B9" w14:textId="32BF4179"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Direct Effect of Administrative System Efficiency on Nursing Clinical Outcomes</w:t>
      </w:r>
    </w:p>
    <w:p w14:paraId="4D8FB1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present study found that administrative system efficiency (ASE) has a statistically significant and positive direct effect on nursing clinical outcomes (NCO). This finding reinforces the growing recognition that administrative infrastructures are not merely supportive components of healthcare systems but are integral determinants of clinical performance. Efficient administrative systems—characterized by streamlined documentation, effective scheduling, and integrated communication platforms—enable nurses to allocate more time and cognitive resources to direct patient care, thereby improving care quality and safety.</w:t>
      </w:r>
    </w:p>
    <w:p w14:paraId="1C9FAE16" w14:textId="40AF4B19"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This result is consistent with recent evidence indicating that organizational systems significantly shape nursing workflows and patient care delivery. For instance, Kutney-Lee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 xml:space="preserve">demonstrated that well-structured work environments and supportive administrative systems are strongly associated with improved nurse-reported quality of care and reduced adverse patient events. Similarly, Lake et al. </w:t>
      </w:r>
      <w:r w:rsidR="005645CE">
        <w:rPr>
          <w:rFonts w:ascii="Times New Roman" w:hAnsi="Times New Roman" w:cs="Times New Roman"/>
          <w:sz w:val="24"/>
          <w:szCs w:val="24"/>
        </w:rPr>
        <w:t xml:space="preserve">(2022) </w:t>
      </w:r>
      <w:r w:rsidRPr="00D03B00">
        <w:rPr>
          <w:rFonts w:ascii="Times New Roman" w:hAnsi="Times New Roman" w:cs="Times New Roman"/>
          <w:sz w:val="24"/>
          <w:szCs w:val="24"/>
        </w:rPr>
        <w:t>highlighted that administrative and organizational factors are critical predictors of nursing-sensitive outcomes across healthcare settings.</w:t>
      </w:r>
    </w:p>
    <w:p w14:paraId="34E647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moderate effect size observed in this study suggests that while administrative systems exert a direct influence, their full impact is realized through additional organizational mechanisms. Nonetheless, the significance of this direct pathway underscores the importance of investing in administrative efficiency as a foundational strategy for improving nursing performance.</w:t>
      </w:r>
    </w:p>
    <w:p w14:paraId="01640E54" w14:textId="1FE0CA96" w:rsidR="00D03B00" w:rsidRPr="00D03B00" w:rsidRDefault="00D03B00" w:rsidP="00D03B00">
      <w:pPr>
        <w:rPr>
          <w:rFonts w:ascii="Times New Roman" w:hAnsi="Times New Roman" w:cs="Times New Roman"/>
          <w:sz w:val="24"/>
          <w:szCs w:val="24"/>
        </w:rPr>
      </w:pPr>
    </w:p>
    <w:p w14:paraId="76864B15" w14:textId="146BB65D"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Mediating Mechanisms Linking Administrative Systems to Nursing Outcomes</w:t>
      </w:r>
    </w:p>
    <w:p w14:paraId="18FB690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key contribution of this study lies in its identification of multiple mediating mechanisms through which administrative system efficiency influences nursing clinical outcomes. Specifically, reduced administrative burden (RAB), information accuracy and accessibility (IAA), communication and coordination efficiency (CCE), and resource availability and support (RAS) were all found to significantly mediate this relationship.</w:t>
      </w:r>
    </w:p>
    <w:p w14:paraId="7FF9156B" w14:textId="55B07BF1"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Among these, reduced administrative burden emerged as the strongest mediator, highlighting the critical issue of excessive non-clinical workload in nursing practice. Contemporary studies have consistently shown that administrative overload contributes to burnout, reduced job satisfaction, and compromised patient care. For example, Poghosyan et al. </w:t>
      </w:r>
      <w:r w:rsidR="005645CE">
        <w:rPr>
          <w:rFonts w:ascii="Times New Roman" w:hAnsi="Times New Roman" w:cs="Times New Roman"/>
          <w:sz w:val="24"/>
          <w:szCs w:val="24"/>
        </w:rPr>
        <w:t xml:space="preserve">(2021) </w:t>
      </w:r>
      <w:r w:rsidRPr="00D03B00">
        <w:rPr>
          <w:rFonts w:ascii="Times New Roman" w:hAnsi="Times New Roman" w:cs="Times New Roman"/>
          <w:sz w:val="24"/>
          <w:szCs w:val="24"/>
        </w:rPr>
        <w:t>reported that high administrative demands significantly limit nurses’ ability to engage in direct patient care and are associated with poorer clinical outcomes.</w:t>
      </w:r>
    </w:p>
    <w:p w14:paraId="11B7AEF2" w14:textId="54655A1A"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Information accuracy and accessibility also played a substantial mediating role, emphasizing the importance of reliable and integrated health information systems. Inefficient or fragmented data systems can delay decision-making and increase the likelihood of errors. This aligns with findings from Lee et al.</w:t>
      </w:r>
      <w:r w:rsidR="005645CE">
        <w:rPr>
          <w:rFonts w:ascii="Times New Roman" w:hAnsi="Times New Roman" w:cs="Times New Roman"/>
          <w:sz w:val="24"/>
          <w:szCs w:val="24"/>
        </w:rPr>
        <w:t xml:space="preserve"> (2021)</w:t>
      </w:r>
      <w:r w:rsidRPr="00D03B00">
        <w:rPr>
          <w:rFonts w:ascii="Times New Roman" w:hAnsi="Times New Roman" w:cs="Times New Roman"/>
          <w:sz w:val="24"/>
          <w:szCs w:val="24"/>
        </w:rPr>
        <w:t>, who noted that access to accurate, real-time information is essential for safe and effective clinical practice.</w:t>
      </w:r>
    </w:p>
    <w:p w14:paraId="4EBF442B" w14:textId="7C3947E0"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Communication and coordination efficiency further contributed to improved nursing outcomes, reinforcing the role of interdisciplinary collaboration in healthcare delivery. Breakdowns in communication remain a leading cause of adverse events, and improving communication systems has been identified as a key patient safety strategy (Altmiller and Pepe</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AA6FFB0" w14:textId="4055A02F"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Finally, resource availability and support significantly mediated the relationship, suggesting that adequate staffing and material resources are essential for translating administrative efficiency into clinical effectiveness. This finding is consistent with recent research indicating that resource constraints are directly linked to missed care and poorer patient outcomes (Broetje et al.</w:t>
      </w:r>
      <w:r w:rsidR="00500F88">
        <w:rPr>
          <w:rFonts w:ascii="Times New Roman" w:hAnsi="Times New Roman" w:cs="Times New Roman"/>
          <w:sz w:val="24"/>
          <w:szCs w:val="24"/>
        </w:rPr>
        <w:t>, 2020</w:t>
      </w:r>
      <w:r w:rsidRPr="00D03B00">
        <w:rPr>
          <w:rFonts w:ascii="Times New Roman" w:hAnsi="Times New Roman" w:cs="Times New Roman"/>
          <w:sz w:val="24"/>
          <w:szCs w:val="24"/>
        </w:rPr>
        <w:t>).</w:t>
      </w:r>
    </w:p>
    <w:p w14:paraId="13ABC327"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Collectively, these results support a </w:t>
      </w:r>
      <w:r w:rsidRPr="00D03B00">
        <w:rPr>
          <w:rFonts w:ascii="Times New Roman" w:hAnsi="Times New Roman" w:cs="Times New Roman"/>
          <w:b/>
          <w:bCs/>
          <w:sz w:val="24"/>
          <w:szCs w:val="24"/>
        </w:rPr>
        <w:t>partial mediation model</w:t>
      </w:r>
      <w:r w:rsidRPr="00D03B00">
        <w:rPr>
          <w:rFonts w:ascii="Times New Roman" w:hAnsi="Times New Roman" w:cs="Times New Roman"/>
          <w:sz w:val="24"/>
          <w:szCs w:val="24"/>
        </w:rPr>
        <w:t>, demonstrating that administrative systems influence nursing outcomes through multiple interconnected pathways. This highlights the need for a systems-level approach to healthcare improvement that simultaneously addresses structural, informational, and human resource factors.</w:t>
      </w:r>
    </w:p>
    <w:p w14:paraId="3F6A7C32" w14:textId="2FEF0716" w:rsidR="00D03B00" w:rsidRPr="00D03B00" w:rsidRDefault="00D03B00" w:rsidP="00500F88">
      <w:pPr>
        <w:pStyle w:val="NoSpacing"/>
      </w:pPr>
    </w:p>
    <w:p w14:paraId="732B5983" w14:textId="302B37DF"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Relationship Between Nursing Clinical Outcomes and Patient Outcomes</w:t>
      </w:r>
    </w:p>
    <w:p w14:paraId="6115DE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study revealed a strong and highly significant relationship between nursing clinical outcomes and patient outcomes, confirming that improvements in nursing performance translate directly into better patient experiences and clinical results. The magnitude of this relationship underscores the central role of nurses in healthcare delivery and validates their position as key drivers of patient outcomes.</w:t>
      </w:r>
    </w:p>
    <w:p w14:paraId="1EF7E61E" w14:textId="05605D0E"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 xml:space="preserve">This finding is strongly supported by contemporary literature emphasizing the link between nursing quality and patient safety. For instance, Haddad et al. </w:t>
      </w:r>
      <w:r w:rsidR="00500F88">
        <w:rPr>
          <w:rFonts w:ascii="Times New Roman" w:hAnsi="Times New Roman" w:cs="Times New Roman"/>
          <w:sz w:val="24"/>
          <w:szCs w:val="24"/>
        </w:rPr>
        <w:t xml:space="preserve">(2023) </w:t>
      </w:r>
      <w:r w:rsidRPr="00D03B00">
        <w:rPr>
          <w:rFonts w:ascii="Times New Roman" w:hAnsi="Times New Roman" w:cs="Times New Roman"/>
          <w:sz w:val="24"/>
          <w:szCs w:val="24"/>
        </w:rPr>
        <w:t xml:space="preserve">highlighted that higher levels of nurse satisfaction and engagement are associated with lower rates of adverse events and improved patient satisfaction. Similarly, </w:t>
      </w: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et al. </w:t>
      </w:r>
      <w:r w:rsidR="00500F88">
        <w:rPr>
          <w:rFonts w:ascii="Times New Roman" w:hAnsi="Times New Roman" w:cs="Times New Roman"/>
          <w:sz w:val="24"/>
          <w:szCs w:val="24"/>
        </w:rPr>
        <w:t xml:space="preserve">(2020) </w:t>
      </w:r>
      <w:r w:rsidRPr="00D03B00">
        <w:rPr>
          <w:rFonts w:ascii="Times New Roman" w:hAnsi="Times New Roman" w:cs="Times New Roman"/>
          <w:sz w:val="24"/>
          <w:szCs w:val="24"/>
        </w:rPr>
        <w:t>found that better nursing work conditions are linked to improved patient safety indicators and overall care quality.</w:t>
      </w:r>
    </w:p>
    <w:p w14:paraId="2743DAF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strength of this pathway suggests that nursing clinical outcomes function as a critical mediator between organizational systems and patient-level results. In other words, even the most efficient administrative systems will have limited impact on patients unless they effectively enhance nursing performance. This reinforces the importance of focusing on nursing-sensitive indicators when evaluating healthcare quality and organizational effectiveness.</w:t>
      </w:r>
    </w:p>
    <w:p w14:paraId="713466A2" w14:textId="5CDEA1A0" w:rsidR="00D03B00" w:rsidRPr="00D03B00" w:rsidRDefault="00D03B00" w:rsidP="00500F88">
      <w:pPr>
        <w:pStyle w:val="NoSpacing"/>
      </w:pPr>
    </w:p>
    <w:p w14:paraId="02524F70" w14:textId="2157D110"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Development of an Evidence-Based Intervention Framework</w:t>
      </w:r>
    </w:p>
    <w:p w14:paraId="2ABE3575"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Based on the SEM results, this study developed an evidence-based intervention framework that integrates administrative, informational, and organizational strategies to improve healthcare outcomes. The strong model fit indices indicate that the proposed framework provides a valid and comprehensive representation of the relationships among administrative systems, nursing performance, and patient outcomes.</w:t>
      </w:r>
    </w:p>
    <w:p w14:paraId="5E15A511"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findings suggest that interventions should not be limited to isolated improvements but should instead adopt a </w:t>
      </w:r>
      <w:r w:rsidRPr="00D03B00">
        <w:rPr>
          <w:rFonts w:ascii="Times New Roman" w:hAnsi="Times New Roman" w:cs="Times New Roman"/>
          <w:b/>
          <w:bCs/>
          <w:sz w:val="24"/>
          <w:szCs w:val="24"/>
        </w:rPr>
        <w:t>multi-level systems approach</w:t>
      </w:r>
      <w:r w:rsidRPr="00D03B00">
        <w:rPr>
          <w:rFonts w:ascii="Times New Roman" w:hAnsi="Times New Roman" w:cs="Times New Roman"/>
          <w:sz w:val="24"/>
          <w:szCs w:val="24"/>
        </w:rPr>
        <w:t>. Administrative simplification—such as reducing redundant documentation and automating routine processes—can significantly decrease workload and improve efficiency. Simultaneously, integrating information systems ensures that accurate and timely data are available for clinical decision-making.</w:t>
      </w:r>
    </w:p>
    <w:p w14:paraId="7F6A6CA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Improving communication structures, including standardized handoff protocols and digital communication tools, can enhance coordination across healthcare teams. Additionally, aligning resources through appropriate staffing models and ensuring access to necessary equipment further supports effective care delivery.</w:t>
      </w:r>
    </w:p>
    <w:p w14:paraId="30D7C0C0" w14:textId="0EBF1F48"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These recommendations are consistent with recent healthcare transformation frameworks emphasizing system integration and workforce support as key drivers of quality improvement (World Health Organization</w:t>
      </w:r>
      <w:r w:rsidR="00500F88">
        <w:rPr>
          <w:rFonts w:ascii="Times New Roman" w:hAnsi="Times New Roman" w:cs="Times New Roman"/>
          <w:sz w:val="24"/>
          <w:szCs w:val="24"/>
        </w:rPr>
        <w:t>, 2021</w:t>
      </w:r>
      <w:r w:rsidRPr="00D03B00">
        <w:rPr>
          <w:rFonts w:ascii="Times New Roman" w:hAnsi="Times New Roman" w:cs="Times New Roman"/>
          <w:sz w:val="24"/>
          <w:szCs w:val="24"/>
        </w:rPr>
        <w:t>). Moreover, the emphasis on continuous monitoring and feedback aligns with modern quality improvement approaches that prioritize data-driven decision-making and adaptive system design.</w:t>
      </w:r>
    </w:p>
    <w:p w14:paraId="7782272B" w14:textId="77777777" w:rsidR="00500F88" w:rsidRDefault="00500F88" w:rsidP="00500F88">
      <w:pPr>
        <w:pStyle w:val="NoSpacing"/>
      </w:pPr>
    </w:p>
    <w:p w14:paraId="08B17927" w14:textId="40F0F8B6"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Synthesis of Findings</w:t>
      </w:r>
    </w:p>
    <w:p w14:paraId="1B81807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Overall, this study provides strong empirical evidence that administrative systems are foundational determinants of healthcare quality. By demonstrating both direct and indirect pathways linking administrative efficiency to patient outcomes, the findings advance current understanding of how organizational systems shape clinical performance.</w:t>
      </w:r>
    </w:p>
    <w:p w14:paraId="522B4BD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Importantly, the results highlight that improving healthcare outcomes requires more than clinical interventions alone. Instead, it necessitates a comprehensive approach that integrates administrative efficiency, workforce support, and system-level coordination. This perspective shifts the focus from individual performance to organizational design, offering a more sustainable pathway for healthcare improvement.</w:t>
      </w:r>
    </w:p>
    <w:p w14:paraId="620A8BA4" w14:textId="77777777" w:rsidR="00D03B00" w:rsidRPr="00D03B00" w:rsidRDefault="00D03B00" w:rsidP="00500F88">
      <w:pPr>
        <w:pStyle w:val="NoSpacing"/>
      </w:pPr>
    </w:p>
    <w:p w14:paraId="01AF09AC" w14:textId="106EAAA2" w:rsidR="00D03B00" w:rsidRPr="00D03B00" w:rsidRDefault="00500F88" w:rsidP="00D03B00">
      <w:pPr>
        <w:rPr>
          <w:rFonts w:ascii="Times New Roman" w:hAnsi="Times New Roman" w:cs="Times New Roman"/>
          <w:b/>
          <w:bCs/>
          <w:sz w:val="24"/>
          <w:szCs w:val="24"/>
        </w:rPr>
      </w:pPr>
      <w:r>
        <w:rPr>
          <w:rFonts w:ascii="Times New Roman" w:hAnsi="Times New Roman" w:cs="Times New Roman"/>
          <w:b/>
          <w:bCs/>
          <w:sz w:val="24"/>
          <w:szCs w:val="24"/>
        </w:rPr>
        <w:t xml:space="preserve">CONCLUSIONS </w:t>
      </w:r>
    </w:p>
    <w:p w14:paraId="3312B3F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This study provides robust empirical evidence that administrative system efficiency is a pivotal determinant of both nursing clinical performance and patient outcomes. By integrating administrative, organizational, and clinical variables within a Structural Equation Modeling (SEM) framework, the findings demonstrate that administrative systems influence healthcare outcomes through both direct effects and multiple mediating pathways, including reduced administrative burden, improved information accuracy, enhanced communication efficiency, and strengthened resource support.</w:t>
      </w:r>
    </w:p>
    <w:p w14:paraId="6F8E280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The results affirm that nursing clinical outcomes serve as a critical conduit through which organizational systems translate into patient-level results. The strong relationship between nursing performance and patient outcomes underscores the central role of nurses as frontline agents of healthcare quality and safety. Importantly, the study advances existing literature by moving beyond fragmented analyses and offering a comprehensive, mechanism-based model that explains how administrative structures shape clinical practice and outcomes.</w:t>
      </w:r>
    </w:p>
    <w:p w14:paraId="3BA36319"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Taken together, these findings reposition administrative systems from being peripheral operational tools to core strategic drivers of healthcare quality. Optimizing these systems is not merely an efficiency initiative but a fundamental requirement for delivering safe, effective, and patient-centered care.</w:t>
      </w:r>
    </w:p>
    <w:p w14:paraId="061D90F9" w14:textId="6F0C6060" w:rsidR="00D03B00" w:rsidRPr="00D03B00" w:rsidRDefault="00D03B00" w:rsidP="00500F88">
      <w:pPr>
        <w:pStyle w:val="NoSpacing"/>
      </w:pPr>
    </w:p>
    <w:p w14:paraId="374F6099"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Practice</w:t>
      </w:r>
    </w:p>
    <w:p w14:paraId="7B3993A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For healthcare practitioners and nurse leaders, the findings highlight the urgent need to redesign administrative workflows in ways that support, rather than hinder, clinical practice. Reducing documentation redundancy, streamlining scheduling processes, and implementing user-friendly information systems can significantly decrease administrative burden and allow nurses to focus on direct patient care. Additionally, strengthening communication platforms and fostering interdisciplinary coordination can improve care continuity and patient safety.</w:t>
      </w:r>
    </w:p>
    <w:p w14:paraId="6AE1CE0C"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Nurse managers should prioritize creating practice environments where administrative systems are aligned with clinical needs. This includes advocating for adequate staffing, ensuring access to essential resources, and promoting the use of integrated digital systems that enhance decision-making rather than contribute to cognitive overload.</w:t>
      </w:r>
    </w:p>
    <w:p w14:paraId="7070EAFE"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Policy</w:t>
      </w:r>
    </w:p>
    <w:p w14:paraId="36F40C2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At the policy level, the findings call for a shift in healthcare reform priorities toward system-level optimization. Policymakers should recognize administrative efficiency as a key performance indicator and integrate it into national quality and safety frameworks. Investments in health information technology, workforce support systems, and organizational infrastructure should be viewed as essential components of healthcare quality improvement, not optional enhancements.</w:t>
      </w:r>
    </w:p>
    <w:p w14:paraId="4B842EE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Policies that mandate excessive documentation or fragmented reporting systems should be critically re-evaluated to ensure they do not inadvertently compromise patient care. Instead, regulatory frameworks should promote interoperability, standardization, and user-centered system design to enhance both efficiency and care quality.</w:t>
      </w:r>
    </w:p>
    <w:p w14:paraId="41382D09" w14:textId="77777777" w:rsidR="00500F88" w:rsidRDefault="00500F88" w:rsidP="00500F88">
      <w:pPr>
        <w:pStyle w:val="NoSpacing"/>
      </w:pPr>
    </w:p>
    <w:p w14:paraId="632B00D7" w14:textId="715411B4"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Research</w:t>
      </w:r>
    </w:p>
    <w:p w14:paraId="03CC1F8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This study contributes a validated SEM framework that can serve as a foundation for future research. Longitudinal studies are needed to establish causal relationships and examine how changes in administrative systems over time affect clinical and patient outcomes. Experimental and intervention-based studies can further test the effectiveness of targeted system improvements in real-world settings.</w:t>
      </w:r>
    </w:p>
    <w:p w14:paraId="48E18B2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Future research should also explore cross-cultural and cross-system validation of the model to enhance generalizability. Additionally, integrating objective clinical data and patient outcome metrics can strengthen the evidence base and reduce reliance on self-reported measures.</w:t>
      </w:r>
    </w:p>
    <w:p w14:paraId="0FA52C18" w14:textId="21664B62" w:rsidR="00D03B00" w:rsidRPr="00D03B00" w:rsidRDefault="00D03B00" w:rsidP="00500F88">
      <w:pPr>
        <w:pStyle w:val="NoSpacing"/>
      </w:pPr>
    </w:p>
    <w:p w14:paraId="4E995A07" w14:textId="77777777" w:rsidR="00D03B00" w:rsidRPr="00D03B00" w:rsidRDefault="00D03B00" w:rsidP="00D03B00">
      <w:pPr>
        <w:rPr>
          <w:rFonts w:ascii="Times New Roman" w:hAnsi="Times New Roman" w:cs="Times New Roman"/>
          <w:b/>
          <w:bCs/>
          <w:sz w:val="24"/>
          <w:szCs w:val="24"/>
        </w:rPr>
      </w:pPr>
      <w:r w:rsidRPr="00D03B00">
        <w:rPr>
          <w:rFonts w:ascii="Times New Roman" w:hAnsi="Times New Roman" w:cs="Times New Roman"/>
          <w:b/>
          <w:bCs/>
          <w:sz w:val="24"/>
          <w:szCs w:val="24"/>
        </w:rPr>
        <w:t>Implications for Healthcare Systems and Organizational Strategy</w:t>
      </w:r>
    </w:p>
    <w:p w14:paraId="6C1F990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For healthcare organizations, the findings emphasize the importance of adopting a systems-thinking approach to quality improvement. Administrative efficiency should be embedded into strategic planning, performance evaluation, and continuous quality improvement initiatives. Organizations that invest in optimizing administrative processes are likely to achieve not only better clinical outcomes but also improved workforce satisfaction, reduced turnover, and enhanced organizational resilience.</w:t>
      </w:r>
    </w:p>
    <w:p w14:paraId="133F981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 key strategic takeaway is that interventions should be multi-level and integrated. Addressing administrative burden alone is insufficient; organizations must simultaneously improve information systems, communication structures, and resource allocation to achieve meaningful and sustained improvements in care delivery.</w:t>
      </w:r>
    </w:p>
    <w:p w14:paraId="09BB44EA" w14:textId="77777777" w:rsidR="00D03B00" w:rsidRPr="00D03B00" w:rsidRDefault="00D03B00" w:rsidP="00D03B00">
      <w:pPr>
        <w:rPr>
          <w:rFonts w:ascii="Times New Roman" w:hAnsi="Times New Roman" w:cs="Times New Roman"/>
          <w:sz w:val="24"/>
          <w:szCs w:val="24"/>
        </w:rPr>
      </w:pPr>
    </w:p>
    <w:p w14:paraId="7DE093B8" w14:textId="77777777" w:rsidR="00500F88" w:rsidRDefault="00500F88" w:rsidP="00D03B00">
      <w:pPr>
        <w:rPr>
          <w:rFonts w:ascii="Times New Roman" w:hAnsi="Times New Roman" w:cs="Times New Roman"/>
          <w:b/>
          <w:bCs/>
          <w:sz w:val="24"/>
          <w:szCs w:val="24"/>
        </w:rPr>
      </w:pPr>
    </w:p>
    <w:p w14:paraId="4BEEA1E6" w14:textId="77777777" w:rsidR="00500F88" w:rsidRDefault="00500F88" w:rsidP="00D03B00">
      <w:pPr>
        <w:rPr>
          <w:rFonts w:ascii="Times New Roman" w:hAnsi="Times New Roman" w:cs="Times New Roman"/>
          <w:b/>
          <w:bCs/>
          <w:sz w:val="24"/>
          <w:szCs w:val="24"/>
        </w:rPr>
      </w:pPr>
    </w:p>
    <w:p w14:paraId="6BF065D6" w14:textId="77777777" w:rsidR="00500F88" w:rsidRDefault="00500F88" w:rsidP="00D03B00">
      <w:pPr>
        <w:rPr>
          <w:rFonts w:ascii="Times New Roman" w:hAnsi="Times New Roman" w:cs="Times New Roman"/>
          <w:b/>
          <w:bCs/>
          <w:sz w:val="24"/>
          <w:szCs w:val="24"/>
        </w:rPr>
      </w:pPr>
    </w:p>
    <w:p w14:paraId="704F7735" w14:textId="74E9F9E6" w:rsidR="00D03B00" w:rsidRPr="00500F88" w:rsidRDefault="00500F88" w:rsidP="00D03B00">
      <w:pPr>
        <w:rPr>
          <w:rFonts w:ascii="Times New Roman" w:hAnsi="Times New Roman" w:cs="Times New Roman"/>
          <w:b/>
          <w:bCs/>
          <w:caps/>
          <w:sz w:val="28"/>
          <w:szCs w:val="28"/>
        </w:rPr>
      </w:pPr>
      <w:r w:rsidRPr="00500F88">
        <w:rPr>
          <w:rFonts w:ascii="Times New Roman" w:hAnsi="Times New Roman" w:cs="Times New Roman"/>
          <w:b/>
          <w:bCs/>
          <w:caps/>
          <w:sz w:val="28"/>
          <w:szCs w:val="28"/>
        </w:rPr>
        <w:t>references</w:t>
      </w:r>
    </w:p>
    <w:p w14:paraId="78DF49F1"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lastRenderedPageBreak/>
        <w:t>Aiken, L. H., Sloane, D. M., Ball, J., Bruyneel, L., Rafferty, A. M., &amp; Griffiths, P. (2021). Patient satisfaction with hospital care and nurses in England: Cross-sectional analysis. </w:t>
      </w:r>
      <w:r w:rsidRPr="00D03B00">
        <w:rPr>
          <w:rFonts w:ascii="Times New Roman" w:hAnsi="Times New Roman" w:cs="Times New Roman"/>
          <w:i/>
          <w:iCs/>
          <w:sz w:val="24"/>
          <w:szCs w:val="24"/>
        </w:rPr>
        <w:t>BMJ Open, 11</w:t>
      </w:r>
      <w:r w:rsidRPr="00D03B00">
        <w:rPr>
          <w:rFonts w:ascii="Times New Roman" w:hAnsi="Times New Roman" w:cs="Times New Roman"/>
          <w:sz w:val="24"/>
          <w:szCs w:val="24"/>
        </w:rPr>
        <w:t>(1), e042926. </w:t>
      </w:r>
      <w:hyperlink r:id="rId7" w:tgtFrame="_blank" w:tooltip="https://doi.org/10.1136/bmjopen-2020-042926" w:history="1">
        <w:r w:rsidRPr="00D03B00">
          <w:rPr>
            <w:rStyle w:val="Hyperlink"/>
            <w:rFonts w:ascii="Times New Roman" w:hAnsi="Times New Roman" w:cs="Times New Roman"/>
            <w:sz w:val="24"/>
            <w:szCs w:val="24"/>
          </w:rPr>
          <w:t>https://doi.org/10.1136/bmjopen-2020-042926</w:t>
        </w:r>
      </w:hyperlink>
    </w:p>
    <w:p w14:paraId="339D20E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Altmiller, G., &amp; Pepe, V. (2020). Influence of interprofessional communication on patient safety outcomes in healthcare settings. </w:t>
      </w:r>
      <w:r w:rsidRPr="00D03B00">
        <w:rPr>
          <w:rFonts w:ascii="Times New Roman" w:hAnsi="Times New Roman" w:cs="Times New Roman"/>
          <w:i/>
          <w:iCs/>
          <w:sz w:val="24"/>
          <w:szCs w:val="24"/>
        </w:rPr>
        <w:t>Journal of Nursing Care Quality, 35</w:t>
      </w:r>
      <w:r w:rsidRPr="00D03B00">
        <w:rPr>
          <w:rFonts w:ascii="Times New Roman" w:hAnsi="Times New Roman" w:cs="Times New Roman"/>
          <w:sz w:val="24"/>
          <w:szCs w:val="24"/>
        </w:rPr>
        <w:t>(2), 132–138. </w:t>
      </w:r>
      <w:hyperlink r:id="rId8" w:tgtFrame="_blank" w:tooltip="https://doi.org/10.1097/NCQ.0000000000000433" w:history="1">
        <w:r w:rsidRPr="00D03B00">
          <w:rPr>
            <w:rStyle w:val="Hyperlink"/>
            <w:rFonts w:ascii="Times New Roman" w:hAnsi="Times New Roman" w:cs="Times New Roman"/>
            <w:sz w:val="24"/>
            <w:szCs w:val="24"/>
          </w:rPr>
          <w:t>https://doi.org/10.1097/NCQ.0000000000000433</w:t>
        </w:r>
      </w:hyperlink>
    </w:p>
    <w:p w14:paraId="2E04AA2B"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Ball, J. E., Bruyneel, L., Aiken, L. H., </w:t>
      </w:r>
      <w:proofErr w:type="spellStart"/>
      <w:r w:rsidRPr="00D03B00">
        <w:rPr>
          <w:rFonts w:ascii="Times New Roman" w:hAnsi="Times New Roman" w:cs="Times New Roman"/>
          <w:sz w:val="24"/>
          <w:szCs w:val="24"/>
        </w:rPr>
        <w:t>Sermeus</w:t>
      </w:r>
      <w:proofErr w:type="spellEnd"/>
      <w:r w:rsidRPr="00D03B00">
        <w:rPr>
          <w:rFonts w:ascii="Times New Roman" w:hAnsi="Times New Roman" w:cs="Times New Roman"/>
          <w:sz w:val="24"/>
          <w:szCs w:val="24"/>
        </w:rPr>
        <w:t>, W., Sloane, D. M., Rafferty, A. M., &amp; Griffiths, P. (2020). Post-operative mortality, missed care and nurse staffing in nine countries: A cross-sectional study. </w:t>
      </w:r>
      <w:r w:rsidRPr="00D03B00">
        <w:rPr>
          <w:rFonts w:ascii="Times New Roman" w:hAnsi="Times New Roman" w:cs="Times New Roman"/>
          <w:i/>
          <w:iCs/>
          <w:sz w:val="24"/>
          <w:szCs w:val="24"/>
        </w:rPr>
        <w:t>International Journal of Nursing Studies, 102</w:t>
      </w:r>
      <w:r w:rsidRPr="00D03B00">
        <w:rPr>
          <w:rFonts w:ascii="Times New Roman" w:hAnsi="Times New Roman" w:cs="Times New Roman"/>
          <w:sz w:val="24"/>
          <w:szCs w:val="24"/>
        </w:rPr>
        <w:t>, 103464. </w:t>
      </w:r>
      <w:hyperlink r:id="rId9" w:tgtFrame="_blank" w:tooltip="https://doi.org/10.1016/j.ijnurstu.2019.103464" w:history="1">
        <w:r w:rsidRPr="00D03B00">
          <w:rPr>
            <w:rStyle w:val="Hyperlink"/>
            <w:rFonts w:ascii="Times New Roman" w:hAnsi="Times New Roman" w:cs="Times New Roman"/>
            <w:sz w:val="24"/>
            <w:szCs w:val="24"/>
          </w:rPr>
          <w:t>https://doi.org/10.1016/j.ijnurstu.2019.103464</w:t>
        </w:r>
      </w:hyperlink>
    </w:p>
    <w:p w14:paraId="0401027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Broetje, S., Jenny, G. J., &amp; Bauer, G. F. (2020). The key job demands and resources of nursing staff: An integrative review of reviews. </w:t>
      </w:r>
      <w:r w:rsidRPr="00D03B00">
        <w:rPr>
          <w:rFonts w:ascii="Times New Roman" w:hAnsi="Times New Roman" w:cs="Times New Roman"/>
          <w:i/>
          <w:iCs/>
          <w:sz w:val="24"/>
          <w:szCs w:val="24"/>
        </w:rPr>
        <w:t>Frontiers in Psychology, 11</w:t>
      </w:r>
      <w:r w:rsidRPr="00D03B00">
        <w:rPr>
          <w:rFonts w:ascii="Times New Roman" w:hAnsi="Times New Roman" w:cs="Times New Roman"/>
          <w:sz w:val="24"/>
          <w:szCs w:val="24"/>
        </w:rPr>
        <w:t>, 84. </w:t>
      </w:r>
      <w:hyperlink r:id="rId10" w:tgtFrame="_blank" w:tooltip="https://doi.org/10.3389/fpsyg.2020.00084" w:history="1">
        <w:r w:rsidRPr="00D03B00">
          <w:rPr>
            <w:rStyle w:val="Hyperlink"/>
            <w:rFonts w:ascii="Times New Roman" w:hAnsi="Times New Roman" w:cs="Times New Roman"/>
            <w:sz w:val="24"/>
            <w:szCs w:val="24"/>
          </w:rPr>
          <w:t>https://doi.org/10.3389/fpsyg.2020.00084</w:t>
        </w:r>
      </w:hyperlink>
    </w:p>
    <w:p w14:paraId="35C7AC8D" w14:textId="77777777" w:rsidR="00D03B00" w:rsidRPr="00D03B00" w:rsidRDefault="00D03B00" w:rsidP="00D03B00">
      <w:pPr>
        <w:rPr>
          <w:rFonts w:ascii="Times New Roman" w:hAnsi="Times New Roman" w:cs="Times New Roman"/>
          <w:sz w:val="24"/>
          <w:szCs w:val="24"/>
        </w:rPr>
      </w:pPr>
      <w:proofErr w:type="spellStart"/>
      <w:r w:rsidRPr="00D03B00">
        <w:rPr>
          <w:rFonts w:ascii="Times New Roman" w:hAnsi="Times New Roman" w:cs="Times New Roman"/>
          <w:sz w:val="24"/>
          <w:szCs w:val="24"/>
        </w:rPr>
        <w:t>Dall’Ora</w:t>
      </w:r>
      <w:proofErr w:type="spellEnd"/>
      <w:r w:rsidRPr="00D03B00">
        <w:rPr>
          <w:rFonts w:ascii="Times New Roman" w:hAnsi="Times New Roman" w:cs="Times New Roman"/>
          <w:sz w:val="24"/>
          <w:szCs w:val="24"/>
        </w:rPr>
        <w:t xml:space="preserve">, C., Ball, J., </w:t>
      </w:r>
      <w:proofErr w:type="spellStart"/>
      <w:r w:rsidRPr="00D03B00">
        <w:rPr>
          <w:rFonts w:ascii="Times New Roman" w:hAnsi="Times New Roman" w:cs="Times New Roman"/>
          <w:sz w:val="24"/>
          <w:szCs w:val="24"/>
        </w:rPr>
        <w:t>Reinius</w:t>
      </w:r>
      <w:proofErr w:type="spellEnd"/>
      <w:r w:rsidRPr="00D03B00">
        <w:rPr>
          <w:rFonts w:ascii="Times New Roman" w:hAnsi="Times New Roman" w:cs="Times New Roman"/>
          <w:sz w:val="24"/>
          <w:szCs w:val="24"/>
        </w:rPr>
        <w:t>, M., &amp; Griffiths, P. (2020). Burnout in nursing: A theoretical review and systematic review. </w:t>
      </w:r>
      <w:r w:rsidRPr="00D03B00">
        <w:rPr>
          <w:rFonts w:ascii="Times New Roman" w:hAnsi="Times New Roman" w:cs="Times New Roman"/>
          <w:i/>
          <w:iCs/>
          <w:sz w:val="24"/>
          <w:szCs w:val="24"/>
        </w:rPr>
        <w:t>Human Resources for Health, 18</w:t>
      </w:r>
      <w:r w:rsidRPr="00D03B00">
        <w:rPr>
          <w:rFonts w:ascii="Times New Roman" w:hAnsi="Times New Roman" w:cs="Times New Roman"/>
          <w:sz w:val="24"/>
          <w:szCs w:val="24"/>
        </w:rPr>
        <w:t>(1), 41. </w:t>
      </w:r>
      <w:hyperlink r:id="rId11" w:tgtFrame="_blank" w:tooltip="https://doi.org/10.1186/s12960-020-00469-9" w:history="1">
        <w:r w:rsidRPr="00D03B00">
          <w:rPr>
            <w:rStyle w:val="Hyperlink"/>
            <w:rFonts w:ascii="Times New Roman" w:hAnsi="Times New Roman" w:cs="Times New Roman"/>
            <w:sz w:val="24"/>
            <w:szCs w:val="24"/>
          </w:rPr>
          <w:t>https://doi.org/10.1186/s12960-020-00469-9</w:t>
        </w:r>
      </w:hyperlink>
    </w:p>
    <w:p w14:paraId="239EE5DB"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Department of Health. (2022). Philippine Health Facility Development Plan 2020–2040. DOH Philippines. </w:t>
      </w:r>
    </w:p>
    <w:p w14:paraId="21E4BBCE"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Department of Health. (2023). Annual Report: Universal Health Care Implementation Updates. DOH Philippines. </w:t>
      </w:r>
    </w:p>
    <w:p w14:paraId="57DD91BD" w14:textId="77777777" w:rsidR="00500F88" w:rsidRPr="00D03B00" w:rsidRDefault="00500F88" w:rsidP="00500F88">
      <w:pPr>
        <w:rPr>
          <w:rFonts w:ascii="Times New Roman" w:hAnsi="Times New Roman" w:cs="Times New Roman"/>
          <w:sz w:val="24"/>
          <w:szCs w:val="24"/>
        </w:rPr>
      </w:pPr>
      <w:r w:rsidRPr="00D03B00">
        <w:rPr>
          <w:rFonts w:ascii="Times New Roman" w:hAnsi="Times New Roman" w:cs="Times New Roman"/>
          <w:sz w:val="24"/>
          <w:szCs w:val="24"/>
        </w:rPr>
        <w:t>Griffiths, P., Maruotti, A., Recio-Saucedo, A., Redfern, O. C., Ball, J. E., Briggs, J., &amp; Smith, G. B. (2020). Nurse staffing, nursing assistants, and hospital mortality: Retrospective longitudinal cohort study. </w:t>
      </w:r>
      <w:r w:rsidRPr="00D03B00">
        <w:rPr>
          <w:rFonts w:ascii="Times New Roman" w:hAnsi="Times New Roman" w:cs="Times New Roman"/>
          <w:i/>
          <w:iCs/>
          <w:sz w:val="24"/>
          <w:szCs w:val="24"/>
        </w:rPr>
        <w:t>BMJ Quality &amp; Safety, 29</w:t>
      </w:r>
      <w:r w:rsidRPr="00D03B00">
        <w:rPr>
          <w:rFonts w:ascii="Times New Roman" w:hAnsi="Times New Roman" w:cs="Times New Roman"/>
          <w:sz w:val="24"/>
          <w:szCs w:val="24"/>
        </w:rPr>
        <w:t>(3), 245–253. </w:t>
      </w:r>
      <w:hyperlink r:id="rId12" w:tgtFrame="_blank" w:tooltip="https://doi.org/10.1136/bmjqs-2018-008043" w:history="1">
        <w:r w:rsidRPr="00D03B00">
          <w:rPr>
            <w:rStyle w:val="Hyperlink"/>
            <w:rFonts w:ascii="Times New Roman" w:hAnsi="Times New Roman" w:cs="Times New Roman"/>
            <w:sz w:val="24"/>
            <w:szCs w:val="24"/>
          </w:rPr>
          <w:t>https://doi.org/10.1136/bmjqs-2018-008043</w:t>
        </w:r>
      </w:hyperlink>
    </w:p>
    <w:p w14:paraId="48336E9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Haddad, L. M., </w:t>
      </w:r>
      <w:proofErr w:type="spellStart"/>
      <w:r w:rsidRPr="00D03B00">
        <w:rPr>
          <w:rFonts w:ascii="Times New Roman" w:hAnsi="Times New Roman" w:cs="Times New Roman"/>
          <w:sz w:val="24"/>
          <w:szCs w:val="24"/>
        </w:rPr>
        <w:t>Annamaraju</w:t>
      </w:r>
      <w:proofErr w:type="spellEnd"/>
      <w:r w:rsidRPr="00D03B00">
        <w:rPr>
          <w:rFonts w:ascii="Times New Roman" w:hAnsi="Times New Roman" w:cs="Times New Roman"/>
          <w:sz w:val="24"/>
          <w:szCs w:val="24"/>
        </w:rPr>
        <w:t>, P., &amp; Toney-Butler, T. J. (2023). Nursing shortage. In </w:t>
      </w:r>
      <w:proofErr w:type="spellStart"/>
      <w:r w:rsidRPr="00D03B00">
        <w:rPr>
          <w:rFonts w:ascii="Times New Roman" w:hAnsi="Times New Roman" w:cs="Times New Roman"/>
          <w:i/>
          <w:iCs/>
          <w:sz w:val="24"/>
          <w:szCs w:val="24"/>
        </w:rPr>
        <w:t>StatPearls</w:t>
      </w:r>
      <w:proofErr w:type="spellEnd"/>
      <w:r w:rsidRPr="00D03B00">
        <w:rPr>
          <w:rFonts w:ascii="Times New Roman" w:hAnsi="Times New Roman" w:cs="Times New Roman"/>
          <w:sz w:val="24"/>
          <w:szCs w:val="24"/>
        </w:rPr>
        <w:t xml:space="preserve">. </w:t>
      </w:r>
      <w:proofErr w:type="spellStart"/>
      <w:r w:rsidRPr="00D03B00">
        <w:rPr>
          <w:rFonts w:ascii="Times New Roman" w:hAnsi="Times New Roman" w:cs="Times New Roman"/>
          <w:sz w:val="24"/>
          <w:szCs w:val="24"/>
        </w:rPr>
        <w:t>StatPearls</w:t>
      </w:r>
      <w:proofErr w:type="spellEnd"/>
      <w:r w:rsidRPr="00D03B00">
        <w:rPr>
          <w:rFonts w:ascii="Times New Roman" w:hAnsi="Times New Roman" w:cs="Times New Roman"/>
          <w:sz w:val="24"/>
          <w:szCs w:val="24"/>
        </w:rPr>
        <w:t xml:space="preserve"> Publishing. </w:t>
      </w:r>
      <w:hyperlink r:id="rId13" w:tgtFrame="_blank" w:tooltip="https://www.ncbi.nlm.nih.gov/books/NBK493175/" w:history="1">
        <w:r w:rsidRPr="00D03B00">
          <w:rPr>
            <w:rStyle w:val="Hyperlink"/>
            <w:rFonts w:ascii="Times New Roman" w:hAnsi="Times New Roman" w:cs="Times New Roman"/>
            <w:sz w:val="24"/>
            <w:szCs w:val="24"/>
          </w:rPr>
          <w:t>https://www.ncbi.nlm.nih.gov/books/NBK493175/</w:t>
        </w:r>
      </w:hyperlink>
    </w:p>
    <w:p w14:paraId="7826A118"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Kutney-Lee, A., Sloane, D. M., &amp; Aiken, L. H. (2021). An increase in the number of nurses with baccalaureate degrees is linked to lower rates of </w:t>
      </w:r>
      <w:proofErr w:type="spellStart"/>
      <w:r w:rsidRPr="00D03B00">
        <w:rPr>
          <w:rFonts w:ascii="Times New Roman" w:hAnsi="Times New Roman" w:cs="Times New Roman"/>
          <w:sz w:val="24"/>
          <w:szCs w:val="24"/>
        </w:rPr>
        <w:t>postsurgery</w:t>
      </w:r>
      <w:proofErr w:type="spellEnd"/>
      <w:r w:rsidRPr="00D03B00">
        <w:rPr>
          <w:rFonts w:ascii="Times New Roman" w:hAnsi="Times New Roman" w:cs="Times New Roman"/>
          <w:sz w:val="24"/>
          <w:szCs w:val="24"/>
        </w:rPr>
        <w:t xml:space="preserve"> mortality. </w:t>
      </w:r>
      <w:r w:rsidRPr="00D03B00">
        <w:rPr>
          <w:rFonts w:ascii="Times New Roman" w:hAnsi="Times New Roman" w:cs="Times New Roman"/>
          <w:i/>
          <w:iCs/>
          <w:sz w:val="24"/>
          <w:szCs w:val="24"/>
        </w:rPr>
        <w:t>Health Affairs, 40</w:t>
      </w:r>
      <w:r w:rsidRPr="00D03B00">
        <w:rPr>
          <w:rFonts w:ascii="Times New Roman" w:hAnsi="Times New Roman" w:cs="Times New Roman"/>
          <w:sz w:val="24"/>
          <w:szCs w:val="24"/>
        </w:rPr>
        <w:t>(12), 1998–2005. </w:t>
      </w:r>
      <w:hyperlink r:id="rId14" w:tgtFrame="_blank" w:tooltip="https://doi.org/10.1377/hlthaff.2021.00091" w:history="1">
        <w:r w:rsidRPr="00D03B00">
          <w:rPr>
            <w:rStyle w:val="Hyperlink"/>
            <w:rFonts w:ascii="Times New Roman" w:hAnsi="Times New Roman" w:cs="Times New Roman"/>
            <w:sz w:val="24"/>
            <w:szCs w:val="24"/>
          </w:rPr>
          <w:t>https://doi.org/10.1377/hlthaff.2021.00091</w:t>
        </w:r>
      </w:hyperlink>
    </w:p>
    <w:p w14:paraId="7CFF1ACA"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Lake, E. T., </w:t>
      </w:r>
      <w:proofErr w:type="spellStart"/>
      <w:r w:rsidRPr="00D03B00">
        <w:rPr>
          <w:rFonts w:ascii="Times New Roman" w:hAnsi="Times New Roman" w:cs="Times New Roman"/>
          <w:sz w:val="24"/>
          <w:szCs w:val="24"/>
        </w:rPr>
        <w:t>Riman</w:t>
      </w:r>
      <w:proofErr w:type="spellEnd"/>
      <w:r w:rsidRPr="00D03B00">
        <w:rPr>
          <w:rFonts w:ascii="Times New Roman" w:hAnsi="Times New Roman" w:cs="Times New Roman"/>
          <w:sz w:val="24"/>
          <w:szCs w:val="24"/>
        </w:rPr>
        <w:t>, K. A., &amp; Sloane, D. M. (2022). Improved work environments and staffing lead to better patient outcomes: A cross-sectional study of hospitals. </w:t>
      </w:r>
      <w:r w:rsidRPr="00D03B00">
        <w:rPr>
          <w:rFonts w:ascii="Times New Roman" w:hAnsi="Times New Roman" w:cs="Times New Roman"/>
          <w:i/>
          <w:iCs/>
          <w:sz w:val="24"/>
          <w:szCs w:val="24"/>
        </w:rPr>
        <w:t>Medical Care, 60</w:t>
      </w:r>
      <w:r w:rsidRPr="00D03B00">
        <w:rPr>
          <w:rFonts w:ascii="Times New Roman" w:hAnsi="Times New Roman" w:cs="Times New Roman"/>
          <w:sz w:val="24"/>
          <w:szCs w:val="24"/>
        </w:rPr>
        <w:t>(10), 764–771. </w:t>
      </w:r>
      <w:hyperlink r:id="rId15" w:tgtFrame="_blank" w:tooltip="https://doi.org/10.1097/MLR.0000000000001760" w:history="1">
        <w:r w:rsidRPr="00D03B00">
          <w:rPr>
            <w:rStyle w:val="Hyperlink"/>
            <w:rFonts w:ascii="Times New Roman" w:hAnsi="Times New Roman" w:cs="Times New Roman"/>
            <w:sz w:val="24"/>
            <w:szCs w:val="24"/>
          </w:rPr>
          <w:t>https://doi.org/10.1097/MLR.0000000000001760</w:t>
        </w:r>
      </w:hyperlink>
    </w:p>
    <w:p w14:paraId="61B3A800"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Lee, S. E., Vincent, C., &amp; Dahinten, V. S. (2021). The impact of communication and information systems on patient safety: A systematic review. </w:t>
      </w:r>
      <w:r w:rsidRPr="00D03B00">
        <w:rPr>
          <w:rFonts w:ascii="Times New Roman" w:hAnsi="Times New Roman" w:cs="Times New Roman"/>
          <w:i/>
          <w:iCs/>
          <w:sz w:val="24"/>
          <w:szCs w:val="24"/>
        </w:rPr>
        <w:t>International Journal of Nursing Studies, 115</w:t>
      </w:r>
      <w:r w:rsidRPr="00D03B00">
        <w:rPr>
          <w:rFonts w:ascii="Times New Roman" w:hAnsi="Times New Roman" w:cs="Times New Roman"/>
          <w:sz w:val="24"/>
          <w:szCs w:val="24"/>
        </w:rPr>
        <w:t>, 103844. </w:t>
      </w:r>
      <w:hyperlink r:id="rId16" w:tgtFrame="_blank" w:tooltip="https://doi.org/10.1016/j.ijnurstu.2020.103844" w:history="1">
        <w:r w:rsidRPr="00D03B00">
          <w:rPr>
            <w:rStyle w:val="Hyperlink"/>
            <w:rFonts w:ascii="Times New Roman" w:hAnsi="Times New Roman" w:cs="Times New Roman"/>
            <w:sz w:val="24"/>
            <w:szCs w:val="24"/>
          </w:rPr>
          <w:t>https://doi.org/10.1016/j.ijnurstu.2020.103844</w:t>
        </w:r>
      </w:hyperlink>
    </w:p>
    <w:p w14:paraId="4440E22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McHugh, M. D., Aiken, L. H., Sloane, D. M., Windsor, C., Douglas, C., &amp; Yates, P. (2021). Effects of nurse-to-patient ratio legislation on nurse staffing and patient mortality. </w:t>
      </w:r>
      <w:r w:rsidRPr="00D03B00">
        <w:rPr>
          <w:rFonts w:ascii="Times New Roman" w:hAnsi="Times New Roman" w:cs="Times New Roman"/>
          <w:i/>
          <w:iCs/>
          <w:sz w:val="24"/>
          <w:szCs w:val="24"/>
        </w:rPr>
        <w:t>The Lancet, 397</w:t>
      </w:r>
      <w:r w:rsidRPr="00D03B00">
        <w:rPr>
          <w:rFonts w:ascii="Times New Roman" w:hAnsi="Times New Roman" w:cs="Times New Roman"/>
          <w:sz w:val="24"/>
          <w:szCs w:val="24"/>
        </w:rPr>
        <w:t>(10288), 1905–1913. </w:t>
      </w:r>
      <w:hyperlink r:id="rId17" w:tgtFrame="_blank" w:tooltip="https://doi.org/10.1016/S0140-6736(21)00768-6" w:history="1">
        <w:r w:rsidRPr="00D03B00">
          <w:rPr>
            <w:rStyle w:val="Hyperlink"/>
            <w:rFonts w:ascii="Times New Roman" w:hAnsi="Times New Roman" w:cs="Times New Roman"/>
            <w:sz w:val="24"/>
            <w:szCs w:val="24"/>
          </w:rPr>
          <w:t>https://doi.org/10.1016/S0140-6736(21)00768-6</w:t>
        </w:r>
      </w:hyperlink>
    </w:p>
    <w:p w14:paraId="0830464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lastRenderedPageBreak/>
        <w:t>Poghosyan, L., Liu, J., &amp; Shang, J. (2021). Administrative burden and its impact on nurses’ workload and patient care quality.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(6), 1510–1518. </w:t>
      </w:r>
      <w:hyperlink r:id="rId18" w:tgtFrame="_blank" w:tooltip="https://doi.org/10.1111/jonm.13330" w:history="1">
        <w:r w:rsidRPr="00D03B00">
          <w:rPr>
            <w:rStyle w:val="Hyperlink"/>
            <w:rFonts w:ascii="Times New Roman" w:hAnsi="Times New Roman" w:cs="Times New Roman"/>
            <w:sz w:val="24"/>
            <w:szCs w:val="24"/>
          </w:rPr>
          <w:t>https://doi.org/10.1111/jonm.13330</w:t>
        </w:r>
      </w:hyperlink>
    </w:p>
    <w:p w14:paraId="3F04413F"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Riman, K. A., &amp; Lake, E. T. (2021). Workplace conditions and missed nursing care: A systematic review. </w:t>
      </w:r>
      <w:r w:rsidRPr="00D03B00">
        <w:rPr>
          <w:rFonts w:ascii="Times New Roman" w:hAnsi="Times New Roman" w:cs="Times New Roman"/>
          <w:i/>
          <w:iCs/>
          <w:sz w:val="24"/>
          <w:szCs w:val="24"/>
        </w:rPr>
        <w:t>Journal of Nursing Management, 29</w:t>
      </w:r>
      <w:r w:rsidRPr="00D03B00">
        <w:rPr>
          <w:rFonts w:ascii="Times New Roman" w:hAnsi="Times New Roman" w:cs="Times New Roman"/>
          <w:sz w:val="24"/>
          <w:szCs w:val="24"/>
        </w:rPr>
        <w:t>(7), 1939–1951. </w:t>
      </w:r>
      <w:hyperlink r:id="rId19" w:tgtFrame="_blank" w:tooltip="https://doi.org/10.1111/jonm.13364" w:history="1">
        <w:r w:rsidRPr="00D03B00">
          <w:rPr>
            <w:rStyle w:val="Hyperlink"/>
            <w:rFonts w:ascii="Times New Roman" w:hAnsi="Times New Roman" w:cs="Times New Roman"/>
            <w:sz w:val="24"/>
            <w:szCs w:val="24"/>
          </w:rPr>
          <w:t>https://doi.org/10.1111/jonm.13364</w:t>
        </w:r>
      </w:hyperlink>
    </w:p>
    <w:p w14:paraId="2147DD9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Shah, M. K., </w:t>
      </w:r>
      <w:proofErr w:type="spellStart"/>
      <w:r w:rsidRPr="00D03B00">
        <w:rPr>
          <w:rFonts w:ascii="Times New Roman" w:hAnsi="Times New Roman" w:cs="Times New Roman"/>
          <w:sz w:val="24"/>
          <w:szCs w:val="24"/>
        </w:rPr>
        <w:t>Gandrakota</w:t>
      </w:r>
      <w:proofErr w:type="spellEnd"/>
      <w:r w:rsidRPr="00D03B00">
        <w:rPr>
          <w:rFonts w:ascii="Times New Roman" w:hAnsi="Times New Roman" w:cs="Times New Roman"/>
          <w:sz w:val="24"/>
          <w:szCs w:val="24"/>
        </w:rPr>
        <w:t xml:space="preserve">, N., </w:t>
      </w:r>
      <w:proofErr w:type="spellStart"/>
      <w:r w:rsidRPr="00D03B00">
        <w:rPr>
          <w:rFonts w:ascii="Times New Roman" w:hAnsi="Times New Roman" w:cs="Times New Roman"/>
          <w:sz w:val="24"/>
          <w:szCs w:val="24"/>
        </w:rPr>
        <w:t>Cimiotti</w:t>
      </w:r>
      <w:proofErr w:type="spellEnd"/>
      <w:r w:rsidRPr="00D03B00">
        <w:rPr>
          <w:rFonts w:ascii="Times New Roman" w:hAnsi="Times New Roman" w:cs="Times New Roman"/>
          <w:sz w:val="24"/>
          <w:szCs w:val="24"/>
        </w:rPr>
        <w:t>, J. P., Ghose, N., Moore, M., &amp; Ali, M. K. (2021). Prevalence of and factors associated with nurse burnout in the US. </w:t>
      </w:r>
      <w:r w:rsidRPr="00D03B00">
        <w:rPr>
          <w:rFonts w:ascii="Times New Roman" w:hAnsi="Times New Roman" w:cs="Times New Roman"/>
          <w:i/>
          <w:iCs/>
          <w:sz w:val="24"/>
          <w:szCs w:val="24"/>
        </w:rPr>
        <w:t>JAMA Network Open, 4</w:t>
      </w:r>
      <w:r w:rsidRPr="00D03B00">
        <w:rPr>
          <w:rFonts w:ascii="Times New Roman" w:hAnsi="Times New Roman" w:cs="Times New Roman"/>
          <w:sz w:val="24"/>
          <w:szCs w:val="24"/>
        </w:rPr>
        <w:t>(2), e2036469. </w:t>
      </w:r>
      <w:hyperlink r:id="rId20" w:tgtFrame="_blank" w:tooltip="https://doi.org/10.1001/jamanetworkopen.2020.36469" w:history="1">
        <w:r w:rsidRPr="00D03B00">
          <w:rPr>
            <w:rStyle w:val="Hyperlink"/>
            <w:rFonts w:ascii="Times New Roman" w:hAnsi="Times New Roman" w:cs="Times New Roman"/>
            <w:sz w:val="24"/>
            <w:szCs w:val="24"/>
          </w:rPr>
          <w:t>https://doi.org/10.1001/jamanetworkopen.2020.36469</w:t>
        </w:r>
      </w:hyperlink>
    </w:p>
    <w:p w14:paraId="5D0D8DB3"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Slawomirski, L., </w:t>
      </w:r>
      <w:proofErr w:type="spellStart"/>
      <w:r w:rsidRPr="00D03B00">
        <w:rPr>
          <w:rFonts w:ascii="Times New Roman" w:hAnsi="Times New Roman" w:cs="Times New Roman"/>
          <w:sz w:val="24"/>
          <w:szCs w:val="24"/>
        </w:rPr>
        <w:t>Auraaen</w:t>
      </w:r>
      <w:proofErr w:type="spellEnd"/>
      <w:r w:rsidRPr="00D03B00">
        <w:rPr>
          <w:rFonts w:ascii="Times New Roman" w:hAnsi="Times New Roman" w:cs="Times New Roman"/>
          <w:sz w:val="24"/>
          <w:szCs w:val="24"/>
        </w:rPr>
        <w:t xml:space="preserve">, A., &amp; </w:t>
      </w:r>
      <w:proofErr w:type="spellStart"/>
      <w:r w:rsidRPr="00D03B00">
        <w:rPr>
          <w:rFonts w:ascii="Times New Roman" w:hAnsi="Times New Roman" w:cs="Times New Roman"/>
          <w:sz w:val="24"/>
          <w:szCs w:val="24"/>
        </w:rPr>
        <w:t>Klazinga</w:t>
      </w:r>
      <w:proofErr w:type="spellEnd"/>
      <w:r w:rsidRPr="00D03B00">
        <w:rPr>
          <w:rFonts w:ascii="Times New Roman" w:hAnsi="Times New Roman" w:cs="Times New Roman"/>
          <w:sz w:val="24"/>
          <w:szCs w:val="24"/>
        </w:rPr>
        <w:t>, N. (2020). The economics of patient safety: Strengthening a value-based approach to reducing patient harm. </w:t>
      </w:r>
      <w:r w:rsidRPr="00D03B00">
        <w:rPr>
          <w:rFonts w:ascii="Times New Roman" w:hAnsi="Times New Roman" w:cs="Times New Roman"/>
          <w:i/>
          <w:iCs/>
          <w:sz w:val="24"/>
          <w:szCs w:val="24"/>
        </w:rPr>
        <w:t>OECD Health Working Papers, 96</w:t>
      </w:r>
      <w:r w:rsidRPr="00D03B00">
        <w:rPr>
          <w:rFonts w:ascii="Times New Roman" w:hAnsi="Times New Roman" w:cs="Times New Roman"/>
          <w:sz w:val="24"/>
          <w:szCs w:val="24"/>
        </w:rPr>
        <w:t>. </w:t>
      </w:r>
      <w:hyperlink r:id="rId21" w:tgtFrame="_blank" w:tooltip="https://doi.org/10.1787/be07475e-en" w:history="1">
        <w:r w:rsidRPr="00D03B00">
          <w:rPr>
            <w:rStyle w:val="Hyperlink"/>
            <w:rFonts w:ascii="Times New Roman" w:hAnsi="Times New Roman" w:cs="Times New Roman"/>
            <w:sz w:val="24"/>
            <w:szCs w:val="24"/>
          </w:rPr>
          <w:t>https://doi.org/10.1787/be07475e-en</w:t>
        </w:r>
      </w:hyperlink>
    </w:p>
    <w:p w14:paraId="6C01F8AC"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Tucker, A. L., &amp; Edmondson, A. C. (2020). Why hospitals don’t learn from failures: Organizational and psychological dynamics. </w:t>
      </w:r>
      <w:r w:rsidRPr="00D03B00">
        <w:rPr>
          <w:rFonts w:ascii="Times New Roman" w:hAnsi="Times New Roman" w:cs="Times New Roman"/>
          <w:i/>
          <w:iCs/>
          <w:sz w:val="24"/>
          <w:szCs w:val="24"/>
        </w:rPr>
        <w:t>California Management Review, 62</w:t>
      </w:r>
      <w:r w:rsidRPr="00D03B00">
        <w:rPr>
          <w:rFonts w:ascii="Times New Roman" w:hAnsi="Times New Roman" w:cs="Times New Roman"/>
          <w:sz w:val="24"/>
          <w:szCs w:val="24"/>
        </w:rPr>
        <w:t>(2), 47–70. </w:t>
      </w:r>
      <w:hyperlink r:id="rId22" w:tgtFrame="_blank" w:tooltip="https://doi.org/10.1177/0008125619897341" w:history="1">
        <w:r w:rsidRPr="00D03B00">
          <w:rPr>
            <w:rStyle w:val="Hyperlink"/>
            <w:rFonts w:ascii="Times New Roman" w:hAnsi="Times New Roman" w:cs="Times New Roman"/>
            <w:sz w:val="24"/>
            <w:szCs w:val="24"/>
          </w:rPr>
          <w:t>https://doi.org/10.1177/0008125619897341</w:t>
        </w:r>
      </w:hyperlink>
    </w:p>
    <w:p w14:paraId="6D4B5288" w14:textId="77777777" w:rsidR="00500F88" w:rsidRP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University of the Philippines Manila Health Policy Development Hub. (2021). Health systems and policy insights report. UP Manila.</w:t>
      </w:r>
    </w:p>
    <w:p w14:paraId="22ADC6DD"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Westbrook, J. I., Raban, M. Z., Walter, S. R., &amp; Douglas, H. (2020). Task time distribution in nursing work: A systematic review. </w:t>
      </w:r>
      <w:r w:rsidRPr="00D03B00">
        <w:rPr>
          <w:rFonts w:ascii="Times New Roman" w:hAnsi="Times New Roman" w:cs="Times New Roman"/>
          <w:i/>
          <w:iCs/>
          <w:sz w:val="24"/>
          <w:szCs w:val="24"/>
        </w:rPr>
        <w:t>Journal of Advanced Nursing, 76</w:t>
      </w:r>
      <w:r w:rsidRPr="00D03B00">
        <w:rPr>
          <w:rFonts w:ascii="Times New Roman" w:hAnsi="Times New Roman" w:cs="Times New Roman"/>
          <w:sz w:val="24"/>
          <w:szCs w:val="24"/>
        </w:rPr>
        <w:t>(3), 1056–1070. </w:t>
      </w:r>
      <w:hyperlink r:id="rId23" w:tgtFrame="_blank" w:tooltip="https://doi.org/10.1111/jan.14294" w:history="1">
        <w:r w:rsidRPr="00D03B00">
          <w:rPr>
            <w:rStyle w:val="Hyperlink"/>
            <w:rFonts w:ascii="Times New Roman" w:hAnsi="Times New Roman" w:cs="Times New Roman"/>
            <w:sz w:val="24"/>
            <w:szCs w:val="24"/>
          </w:rPr>
          <w:t>https://doi.org/10.1111/jan.14294</w:t>
        </w:r>
      </w:hyperlink>
    </w:p>
    <w:p w14:paraId="75B0F885" w14:textId="77777777" w:rsidR="00500F88" w:rsidRDefault="00500F88" w:rsidP="00500F88">
      <w:pPr>
        <w:rPr>
          <w:rFonts w:ascii="Times New Roman" w:hAnsi="Times New Roman" w:cs="Times New Roman"/>
          <w:sz w:val="24"/>
          <w:szCs w:val="24"/>
        </w:rPr>
      </w:pPr>
      <w:r w:rsidRPr="00500F88">
        <w:rPr>
          <w:rFonts w:ascii="Times New Roman" w:hAnsi="Times New Roman" w:cs="Times New Roman"/>
          <w:sz w:val="24"/>
          <w:szCs w:val="24"/>
        </w:rPr>
        <w:t xml:space="preserve">World Health Organization. (2021). Philippines health system review. WHO Regional Office for the Western Pacific. </w:t>
      </w:r>
    </w:p>
    <w:p w14:paraId="7FB2C0CE"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(2021). </w:t>
      </w:r>
      <w:r w:rsidRPr="00D03B00">
        <w:rPr>
          <w:rFonts w:ascii="Times New Roman" w:hAnsi="Times New Roman" w:cs="Times New Roman"/>
          <w:i/>
          <w:iCs/>
          <w:sz w:val="24"/>
          <w:szCs w:val="24"/>
        </w:rPr>
        <w:t>Global strategic directions for nursing and midwifery 2021–2025</w:t>
      </w:r>
      <w:r w:rsidRPr="00D03B00">
        <w:rPr>
          <w:rFonts w:ascii="Times New Roman" w:hAnsi="Times New Roman" w:cs="Times New Roman"/>
          <w:sz w:val="24"/>
          <w:szCs w:val="24"/>
        </w:rPr>
        <w:t>. World Health Organization. </w:t>
      </w:r>
      <w:hyperlink r:id="rId24" w:tgtFrame="_blank" w:tooltip="https://www.who.int/publications/i/item/9789240033863" w:history="1">
        <w:r w:rsidRPr="00D03B00">
          <w:rPr>
            <w:rStyle w:val="Hyperlink"/>
            <w:rFonts w:ascii="Times New Roman" w:hAnsi="Times New Roman" w:cs="Times New Roman"/>
            <w:sz w:val="24"/>
            <w:szCs w:val="24"/>
          </w:rPr>
          <w:t>https://www.who.int/publications/i/item/9789240033863</w:t>
        </w:r>
      </w:hyperlink>
    </w:p>
    <w:p w14:paraId="079BABB4"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World Health Organization. (2022). </w:t>
      </w:r>
      <w:r w:rsidRPr="00D03B00">
        <w:rPr>
          <w:rFonts w:ascii="Times New Roman" w:hAnsi="Times New Roman" w:cs="Times New Roman"/>
          <w:i/>
          <w:iCs/>
          <w:sz w:val="24"/>
          <w:szCs w:val="24"/>
        </w:rPr>
        <w:t>Global patient safety action plan 2021–2030</w:t>
      </w:r>
      <w:r w:rsidRPr="00D03B00">
        <w:rPr>
          <w:rFonts w:ascii="Times New Roman" w:hAnsi="Times New Roman" w:cs="Times New Roman"/>
          <w:sz w:val="24"/>
          <w:szCs w:val="24"/>
        </w:rPr>
        <w:t>. World Health Organization. </w:t>
      </w:r>
      <w:hyperlink r:id="rId25" w:tgtFrame="_blank" w:tooltip="https://www.who.int/publications/i/item/9789240032705" w:history="1">
        <w:r w:rsidRPr="00D03B00">
          <w:rPr>
            <w:rStyle w:val="Hyperlink"/>
            <w:rFonts w:ascii="Times New Roman" w:hAnsi="Times New Roman" w:cs="Times New Roman"/>
            <w:sz w:val="24"/>
            <w:szCs w:val="24"/>
          </w:rPr>
          <w:t>https://www.who.int/publications/i/item/9789240032705</w:t>
        </w:r>
      </w:hyperlink>
    </w:p>
    <w:p w14:paraId="7A16DE72" w14:textId="77777777" w:rsidR="00D03B00" w:rsidRPr="00D03B00" w:rsidRDefault="00D03B00" w:rsidP="00D03B00">
      <w:pPr>
        <w:rPr>
          <w:rFonts w:ascii="Times New Roman" w:hAnsi="Times New Roman" w:cs="Times New Roman"/>
          <w:sz w:val="24"/>
          <w:szCs w:val="24"/>
        </w:rPr>
      </w:pPr>
      <w:r w:rsidRPr="00D03B00">
        <w:rPr>
          <w:rFonts w:ascii="Times New Roman" w:hAnsi="Times New Roman" w:cs="Times New Roman"/>
          <w:sz w:val="24"/>
          <w:szCs w:val="24"/>
        </w:rPr>
        <w:t xml:space="preserve">Zhang, X., Tai, D., </w:t>
      </w:r>
      <w:proofErr w:type="spellStart"/>
      <w:r w:rsidRPr="00D03B00">
        <w:rPr>
          <w:rFonts w:ascii="Times New Roman" w:hAnsi="Times New Roman" w:cs="Times New Roman"/>
          <w:sz w:val="24"/>
          <w:szCs w:val="24"/>
        </w:rPr>
        <w:t>Pforsich</w:t>
      </w:r>
      <w:proofErr w:type="spellEnd"/>
      <w:r w:rsidRPr="00D03B00">
        <w:rPr>
          <w:rFonts w:ascii="Times New Roman" w:hAnsi="Times New Roman" w:cs="Times New Roman"/>
          <w:sz w:val="24"/>
          <w:szCs w:val="24"/>
        </w:rPr>
        <w:t>, H., &amp; Lin, V. W. (2020). United States registered nurse workforce report card and shortage forecast. </w:t>
      </w:r>
      <w:r w:rsidRPr="00D03B00">
        <w:rPr>
          <w:rFonts w:ascii="Times New Roman" w:hAnsi="Times New Roman" w:cs="Times New Roman"/>
          <w:i/>
          <w:iCs/>
          <w:sz w:val="24"/>
          <w:szCs w:val="24"/>
        </w:rPr>
        <w:t>American Journal of Medical Quality, 35</w:t>
      </w:r>
      <w:r w:rsidRPr="00D03B00">
        <w:rPr>
          <w:rFonts w:ascii="Times New Roman" w:hAnsi="Times New Roman" w:cs="Times New Roman"/>
          <w:sz w:val="24"/>
          <w:szCs w:val="24"/>
        </w:rPr>
        <w:t>(2), 97–103. </w:t>
      </w:r>
      <w:hyperlink r:id="rId26" w:tgtFrame="_blank" w:tooltip="https://doi.org/10.1177/1062860619873218" w:history="1">
        <w:r w:rsidRPr="00D03B00">
          <w:rPr>
            <w:rStyle w:val="Hyperlink"/>
            <w:rFonts w:ascii="Times New Roman" w:hAnsi="Times New Roman" w:cs="Times New Roman"/>
            <w:sz w:val="24"/>
            <w:szCs w:val="24"/>
          </w:rPr>
          <w:t>https://doi.org/10.1177/1062860619873218</w:t>
        </w:r>
      </w:hyperlink>
    </w:p>
    <w:p w14:paraId="74510F27" w14:textId="77777777" w:rsidR="00B021D7" w:rsidRPr="00D03B00" w:rsidRDefault="00B021D7" w:rsidP="00D03B00">
      <w:pPr>
        <w:rPr>
          <w:rFonts w:ascii="Times New Roman" w:hAnsi="Times New Roman" w:cs="Times New Roman"/>
          <w:sz w:val="24"/>
          <w:szCs w:val="24"/>
        </w:rPr>
      </w:pPr>
    </w:p>
    <w:sectPr w:rsidR="00B021D7" w:rsidRPr="00D03B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D220E"/>
    <w:multiLevelType w:val="multilevel"/>
    <w:tmpl w:val="3D58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835A4C"/>
    <w:multiLevelType w:val="hybridMultilevel"/>
    <w:tmpl w:val="A4DC2F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00"/>
    <w:rsid w:val="00500F88"/>
    <w:rsid w:val="00510BE6"/>
    <w:rsid w:val="00527A8A"/>
    <w:rsid w:val="005645CE"/>
    <w:rsid w:val="00931525"/>
    <w:rsid w:val="00B021D7"/>
    <w:rsid w:val="00B77779"/>
    <w:rsid w:val="00D03B00"/>
    <w:rsid w:val="00EB0DBC"/>
    <w:rsid w:val="00EB62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00"/>
    <w:rPr>
      <w:rFonts w:eastAsiaTheme="majorEastAsia" w:cstheme="majorBidi"/>
      <w:color w:val="272727" w:themeColor="text1" w:themeTint="D8"/>
    </w:rPr>
  </w:style>
  <w:style w:type="paragraph" w:styleId="Title">
    <w:name w:val="Title"/>
    <w:basedOn w:val="Normal"/>
    <w:next w:val="Normal"/>
    <w:link w:val="TitleChar"/>
    <w:uiPriority w:val="10"/>
    <w:qFormat/>
    <w:rsid w:val="00D0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00"/>
    <w:pPr>
      <w:spacing w:before="160"/>
      <w:jc w:val="center"/>
    </w:pPr>
    <w:rPr>
      <w:i/>
      <w:iCs/>
      <w:color w:val="404040" w:themeColor="text1" w:themeTint="BF"/>
    </w:rPr>
  </w:style>
  <w:style w:type="character" w:customStyle="1" w:styleId="QuoteChar">
    <w:name w:val="Quote Char"/>
    <w:basedOn w:val="DefaultParagraphFont"/>
    <w:link w:val="Quote"/>
    <w:uiPriority w:val="29"/>
    <w:rsid w:val="00D03B00"/>
    <w:rPr>
      <w:i/>
      <w:iCs/>
      <w:color w:val="404040" w:themeColor="text1" w:themeTint="BF"/>
    </w:rPr>
  </w:style>
  <w:style w:type="paragraph" w:styleId="ListParagraph">
    <w:name w:val="List Paragraph"/>
    <w:basedOn w:val="Normal"/>
    <w:uiPriority w:val="34"/>
    <w:qFormat/>
    <w:rsid w:val="00D03B00"/>
    <w:pPr>
      <w:ind w:left="720"/>
      <w:contextualSpacing/>
    </w:pPr>
  </w:style>
  <w:style w:type="character" w:styleId="IntenseEmphasis">
    <w:name w:val="Intense Emphasis"/>
    <w:basedOn w:val="DefaultParagraphFont"/>
    <w:uiPriority w:val="21"/>
    <w:qFormat/>
    <w:rsid w:val="00D03B00"/>
    <w:rPr>
      <w:i/>
      <w:iCs/>
      <w:color w:val="2F5496" w:themeColor="accent1" w:themeShade="BF"/>
    </w:rPr>
  </w:style>
  <w:style w:type="paragraph" w:styleId="IntenseQuote">
    <w:name w:val="Intense Quote"/>
    <w:basedOn w:val="Normal"/>
    <w:next w:val="Normal"/>
    <w:link w:val="IntenseQuoteChar"/>
    <w:uiPriority w:val="30"/>
    <w:qFormat/>
    <w:rsid w:val="00D0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B00"/>
    <w:rPr>
      <w:i/>
      <w:iCs/>
      <w:color w:val="2F5496" w:themeColor="accent1" w:themeShade="BF"/>
    </w:rPr>
  </w:style>
  <w:style w:type="character" w:styleId="IntenseReference">
    <w:name w:val="Intense Reference"/>
    <w:basedOn w:val="DefaultParagraphFont"/>
    <w:uiPriority w:val="32"/>
    <w:qFormat/>
    <w:rsid w:val="00D03B00"/>
    <w:rPr>
      <w:b/>
      <w:bCs/>
      <w:smallCaps/>
      <w:color w:val="2F5496" w:themeColor="accent1" w:themeShade="BF"/>
      <w:spacing w:val="5"/>
    </w:rPr>
  </w:style>
  <w:style w:type="character" w:styleId="Hyperlink">
    <w:name w:val="Hyperlink"/>
    <w:basedOn w:val="DefaultParagraphFont"/>
    <w:uiPriority w:val="99"/>
    <w:unhideWhenUsed/>
    <w:rsid w:val="00D03B00"/>
    <w:rPr>
      <w:color w:val="0563C1" w:themeColor="hyperlink"/>
      <w:u w:val="single"/>
    </w:rPr>
  </w:style>
  <w:style w:type="character" w:customStyle="1" w:styleId="UnresolvedMention">
    <w:name w:val="Unresolved Mention"/>
    <w:basedOn w:val="DefaultParagraphFont"/>
    <w:uiPriority w:val="99"/>
    <w:semiHidden/>
    <w:unhideWhenUsed/>
    <w:rsid w:val="00D03B00"/>
    <w:rPr>
      <w:color w:val="605E5C"/>
      <w:shd w:val="clear" w:color="auto" w:fill="E1DFDD"/>
    </w:rPr>
  </w:style>
  <w:style w:type="paragraph" w:styleId="NoSpacing">
    <w:name w:val="No Spacing"/>
    <w:uiPriority w:val="1"/>
    <w:qFormat/>
    <w:rsid w:val="00D03B00"/>
    <w:pPr>
      <w:spacing w:after="0" w:line="240" w:lineRule="auto"/>
    </w:pPr>
  </w:style>
  <w:style w:type="table" w:styleId="TableGrid">
    <w:name w:val="Table Grid"/>
    <w:basedOn w:val="TableNormal"/>
    <w:uiPriority w:val="39"/>
    <w:rsid w:val="00510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B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B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B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B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B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B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B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B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B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00"/>
    <w:rPr>
      <w:rFonts w:eastAsiaTheme="majorEastAsia" w:cstheme="majorBidi"/>
      <w:color w:val="272727" w:themeColor="text1" w:themeTint="D8"/>
    </w:rPr>
  </w:style>
  <w:style w:type="paragraph" w:styleId="Title">
    <w:name w:val="Title"/>
    <w:basedOn w:val="Normal"/>
    <w:next w:val="Normal"/>
    <w:link w:val="TitleChar"/>
    <w:uiPriority w:val="10"/>
    <w:qFormat/>
    <w:rsid w:val="00D0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00"/>
    <w:pPr>
      <w:spacing w:before="160"/>
      <w:jc w:val="center"/>
    </w:pPr>
    <w:rPr>
      <w:i/>
      <w:iCs/>
      <w:color w:val="404040" w:themeColor="text1" w:themeTint="BF"/>
    </w:rPr>
  </w:style>
  <w:style w:type="character" w:customStyle="1" w:styleId="QuoteChar">
    <w:name w:val="Quote Char"/>
    <w:basedOn w:val="DefaultParagraphFont"/>
    <w:link w:val="Quote"/>
    <w:uiPriority w:val="29"/>
    <w:rsid w:val="00D03B00"/>
    <w:rPr>
      <w:i/>
      <w:iCs/>
      <w:color w:val="404040" w:themeColor="text1" w:themeTint="BF"/>
    </w:rPr>
  </w:style>
  <w:style w:type="paragraph" w:styleId="ListParagraph">
    <w:name w:val="List Paragraph"/>
    <w:basedOn w:val="Normal"/>
    <w:uiPriority w:val="34"/>
    <w:qFormat/>
    <w:rsid w:val="00D03B00"/>
    <w:pPr>
      <w:ind w:left="720"/>
      <w:contextualSpacing/>
    </w:pPr>
  </w:style>
  <w:style w:type="character" w:styleId="IntenseEmphasis">
    <w:name w:val="Intense Emphasis"/>
    <w:basedOn w:val="DefaultParagraphFont"/>
    <w:uiPriority w:val="21"/>
    <w:qFormat/>
    <w:rsid w:val="00D03B00"/>
    <w:rPr>
      <w:i/>
      <w:iCs/>
      <w:color w:val="2F5496" w:themeColor="accent1" w:themeShade="BF"/>
    </w:rPr>
  </w:style>
  <w:style w:type="paragraph" w:styleId="IntenseQuote">
    <w:name w:val="Intense Quote"/>
    <w:basedOn w:val="Normal"/>
    <w:next w:val="Normal"/>
    <w:link w:val="IntenseQuoteChar"/>
    <w:uiPriority w:val="30"/>
    <w:qFormat/>
    <w:rsid w:val="00D03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B00"/>
    <w:rPr>
      <w:i/>
      <w:iCs/>
      <w:color w:val="2F5496" w:themeColor="accent1" w:themeShade="BF"/>
    </w:rPr>
  </w:style>
  <w:style w:type="character" w:styleId="IntenseReference">
    <w:name w:val="Intense Reference"/>
    <w:basedOn w:val="DefaultParagraphFont"/>
    <w:uiPriority w:val="32"/>
    <w:qFormat/>
    <w:rsid w:val="00D03B00"/>
    <w:rPr>
      <w:b/>
      <w:bCs/>
      <w:smallCaps/>
      <w:color w:val="2F5496" w:themeColor="accent1" w:themeShade="BF"/>
      <w:spacing w:val="5"/>
    </w:rPr>
  </w:style>
  <w:style w:type="character" w:styleId="Hyperlink">
    <w:name w:val="Hyperlink"/>
    <w:basedOn w:val="DefaultParagraphFont"/>
    <w:uiPriority w:val="99"/>
    <w:unhideWhenUsed/>
    <w:rsid w:val="00D03B00"/>
    <w:rPr>
      <w:color w:val="0563C1" w:themeColor="hyperlink"/>
      <w:u w:val="single"/>
    </w:rPr>
  </w:style>
  <w:style w:type="character" w:customStyle="1" w:styleId="UnresolvedMention">
    <w:name w:val="Unresolved Mention"/>
    <w:basedOn w:val="DefaultParagraphFont"/>
    <w:uiPriority w:val="99"/>
    <w:semiHidden/>
    <w:unhideWhenUsed/>
    <w:rsid w:val="00D03B00"/>
    <w:rPr>
      <w:color w:val="605E5C"/>
      <w:shd w:val="clear" w:color="auto" w:fill="E1DFDD"/>
    </w:rPr>
  </w:style>
  <w:style w:type="paragraph" w:styleId="NoSpacing">
    <w:name w:val="No Spacing"/>
    <w:uiPriority w:val="1"/>
    <w:qFormat/>
    <w:rsid w:val="00D03B00"/>
    <w:pPr>
      <w:spacing w:after="0" w:line="240" w:lineRule="auto"/>
    </w:pPr>
  </w:style>
  <w:style w:type="table" w:styleId="TableGrid">
    <w:name w:val="Table Grid"/>
    <w:basedOn w:val="TableNormal"/>
    <w:uiPriority w:val="39"/>
    <w:rsid w:val="00510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NCQ.0000000000000433" TargetMode="External"/><Relationship Id="rId13" Type="http://schemas.openxmlformats.org/officeDocument/2006/relationships/hyperlink" Target="https://www.ncbi.nlm.nih.gov/books/NBK493175/" TargetMode="External"/><Relationship Id="rId18" Type="http://schemas.openxmlformats.org/officeDocument/2006/relationships/hyperlink" Target="https://doi.org/10.1111/jonm.13330" TargetMode="External"/><Relationship Id="rId26" Type="http://schemas.openxmlformats.org/officeDocument/2006/relationships/hyperlink" Target="https://doi.org/10.1177/1062860619873218" TargetMode="External"/><Relationship Id="rId3" Type="http://schemas.microsoft.com/office/2007/relationships/stylesWithEffects" Target="stylesWithEffects.xml"/><Relationship Id="rId21" Type="http://schemas.openxmlformats.org/officeDocument/2006/relationships/hyperlink" Target="https://doi.org/10.1787/be07475e-en" TargetMode="External"/><Relationship Id="rId7" Type="http://schemas.openxmlformats.org/officeDocument/2006/relationships/hyperlink" Target="https://doi.org/10.1136/bmjopen-2020-042926" TargetMode="External"/><Relationship Id="rId12" Type="http://schemas.openxmlformats.org/officeDocument/2006/relationships/hyperlink" Target="https://doi.org/10.1136/bmjqs-2018-008043" TargetMode="External"/><Relationship Id="rId17" Type="http://schemas.openxmlformats.org/officeDocument/2006/relationships/hyperlink" Target="https://doi.org/10.1016/S0140-6736(21)00768-6" TargetMode="External"/><Relationship Id="rId25" Type="http://schemas.openxmlformats.org/officeDocument/2006/relationships/hyperlink" Target="https://www.who.int/publications/i/item/9789240032705" TargetMode="External"/><Relationship Id="rId2" Type="http://schemas.openxmlformats.org/officeDocument/2006/relationships/styles" Target="styles.xml"/><Relationship Id="rId16" Type="http://schemas.openxmlformats.org/officeDocument/2006/relationships/hyperlink" Target="https://doi.org/10.1016/j.ijnurstu.2020.103844" TargetMode="External"/><Relationship Id="rId20" Type="http://schemas.openxmlformats.org/officeDocument/2006/relationships/hyperlink" Target="https://doi.org/10.1001/jamanetworkopen.2020.3646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86/s12960-020-00469-9" TargetMode="External"/><Relationship Id="rId24" Type="http://schemas.openxmlformats.org/officeDocument/2006/relationships/hyperlink" Target="https://www.who.int/publications/i/item/9789240033863" TargetMode="External"/><Relationship Id="rId5" Type="http://schemas.openxmlformats.org/officeDocument/2006/relationships/webSettings" Target="webSettings.xml"/><Relationship Id="rId15" Type="http://schemas.openxmlformats.org/officeDocument/2006/relationships/hyperlink" Target="https://doi.org/10.1097/MLR.0000000000001760" TargetMode="External"/><Relationship Id="rId23" Type="http://schemas.openxmlformats.org/officeDocument/2006/relationships/hyperlink" Target="https://doi.org/10.1111/jan.14294" TargetMode="External"/><Relationship Id="rId28" Type="http://schemas.openxmlformats.org/officeDocument/2006/relationships/theme" Target="theme/theme1.xml"/><Relationship Id="rId10" Type="http://schemas.openxmlformats.org/officeDocument/2006/relationships/hyperlink" Target="https://doi.org/10.3389/fpsyg.2020.00084" TargetMode="External"/><Relationship Id="rId19" Type="http://schemas.openxmlformats.org/officeDocument/2006/relationships/hyperlink" Target="https://doi.org/10.1111/jonm.13364" TargetMode="External"/><Relationship Id="rId4" Type="http://schemas.openxmlformats.org/officeDocument/2006/relationships/settings" Target="settings.xml"/><Relationship Id="rId9" Type="http://schemas.openxmlformats.org/officeDocument/2006/relationships/hyperlink" Target="https://doi.org/10.1016/j.ijnurstu.2019.103464" TargetMode="External"/><Relationship Id="rId14" Type="http://schemas.openxmlformats.org/officeDocument/2006/relationships/hyperlink" Target="https://doi.org/10.1377/hlthaff.2021.00091" TargetMode="External"/><Relationship Id="rId22" Type="http://schemas.openxmlformats.org/officeDocument/2006/relationships/hyperlink" Target="https://doi.org/10.1177/000812561989734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15</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qwert</cp:lastModifiedBy>
  <cp:revision>2</cp:revision>
  <dcterms:created xsi:type="dcterms:W3CDTF">2026-05-04T02:48:00Z</dcterms:created>
  <dcterms:modified xsi:type="dcterms:W3CDTF">2026-05-04T12:23:00Z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9c51c127-9a73-42b3-a4a5-d51b1734a8e7</vt:lpwstr>
  </property>
</Properties>
</file>