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2E290" w14:textId="2F28FDB8" w:rsidR="003254C3" w:rsidRDefault="00ED1C95" w:rsidP="00ED1C95">
      <w:pPr>
        <w:spacing w:line="240"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Resource Generation Capability and Adaptive Leadership on Education Program Implementation of School Administrators</w:t>
      </w:r>
    </w:p>
    <w:p w14:paraId="6C69B02C" w14:textId="04EF0DB8" w:rsidR="00ED1C95" w:rsidRDefault="004C5762" w:rsidP="00ED1C95">
      <w:pPr>
        <w:spacing w:line="240" w:lineRule="auto"/>
        <w:rPr>
          <w:rFonts w:ascii="Times New Roman" w:hAnsi="Times New Roman" w:cs="Times New Roman"/>
          <w:b/>
          <w:bCs/>
          <w:sz w:val="28"/>
          <w:szCs w:val="28"/>
          <w:lang w:val="en-US"/>
        </w:rPr>
      </w:pPr>
      <w:bookmarkStart w:id="0" w:name="_GoBack"/>
      <w:bookmarkEnd w:id="0"/>
      <w:r>
        <w:rPr>
          <w:rFonts w:ascii="Times New Roman" w:hAnsi="Times New Roman" w:cs="Times New Roman"/>
          <w:b/>
          <w:bCs/>
          <w:sz w:val="28"/>
          <w:szCs w:val="28"/>
          <w:lang w:val="en-US"/>
        </w:rPr>
        <w:t>ABSTRACT</w:t>
      </w:r>
    </w:p>
    <w:p w14:paraId="5FBDEA47" w14:textId="51875F40"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This study examined the relationship between resource generation capability and adaptive leadership and educational program implementation</w:t>
      </w:r>
      <w:r w:rsidR="00874BDC">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among 300 school administrators in DepEd Bukidnon during School Year 2025–2026. A descriptive-correlational design was used, and data was gathered through validated and pilot-tested questionnaires covering resource generation capability, adaptive leadership, and educational program implementation, with Brigada Eskwela included as a major school-based program.</w:t>
      </w:r>
      <w:r>
        <w:rPr>
          <w:rFonts w:ascii="Times New Roman" w:hAnsi="Times New Roman" w:cs="Times New Roman"/>
          <w:sz w:val="24"/>
          <w:szCs w:val="24"/>
          <w:lang w:val="en-US"/>
        </w:rPr>
        <w:t xml:space="preserve"> </w:t>
      </w:r>
      <w:r w:rsidRPr="004C5762">
        <w:rPr>
          <w:rFonts w:ascii="Times New Roman" w:hAnsi="Times New Roman" w:cs="Times New Roman"/>
          <w:sz w:val="24"/>
          <w:szCs w:val="24"/>
          <w:lang w:val="en-US"/>
        </w:rPr>
        <w:t>The findings showed that school administrators demonstrated very high levels of resource generation capability, adaptive leadership, and educational program implementation. Resource generation capability was very high in terms of setting expectations, focusing on learning, fostering collaboration, and managing resources strategically. Adaptive leadership was also very high in flexibility in decision-making, proactive problem-solving, emotional resilience, and innovative practices. Educational program implementation, which included program planning and organization, resource mobilization and support, and monitoring, evaluation, and empowerment, was likewise very highly practiced. Correlation results revealed significant positive relationships between educational program implementation and all dimensions of resource generation capability and adaptive leadership. This indicates that stronger resource generation and adaptive leadership are associated with more effective educational program implementation. The null hypothesis on no significant relationship was rejected. Regression analysis further showed that emotional resilience was the strongest predictor, followed by setting expectations for resource generation, fostering school-community linkages, managing resources strategically, proactive problem-solving, and innovative practices. The null hypothesis on no significant predictors was also rejected. The study concludes that adaptive leadership and resource generation capability are essential in strengthening Brigada Eskwela and other educational programs in DepEd Bukidnon.</w:t>
      </w:r>
    </w:p>
    <w:p w14:paraId="13D1907E" w14:textId="77777777" w:rsidR="004C5762" w:rsidRPr="004C5762" w:rsidRDefault="004C5762" w:rsidP="004C5762">
      <w:pPr>
        <w:spacing w:line="240" w:lineRule="auto"/>
        <w:jc w:val="both"/>
        <w:rPr>
          <w:rFonts w:ascii="Times New Roman" w:hAnsi="Times New Roman" w:cs="Times New Roman"/>
          <w:sz w:val="24"/>
          <w:szCs w:val="24"/>
          <w:lang w:val="en-US"/>
        </w:rPr>
      </w:pPr>
    </w:p>
    <w:p w14:paraId="78852EA2" w14:textId="6D0CA14B"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b/>
          <w:bCs/>
          <w:sz w:val="28"/>
          <w:szCs w:val="28"/>
          <w:lang w:val="en-US"/>
        </w:rPr>
        <w:t>Keywords</w:t>
      </w:r>
      <w:r w:rsidRPr="004C5762">
        <w:rPr>
          <w:rFonts w:ascii="Times New Roman" w:hAnsi="Times New Roman" w:cs="Times New Roman"/>
          <w:sz w:val="24"/>
          <w:szCs w:val="24"/>
          <w:lang w:val="en-US"/>
        </w:rPr>
        <w:t>: Resource Generation Capability, Adaptive Leadership, Educational Program Implementation, School Administrators</w:t>
      </w:r>
    </w:p>
    <w:p w14:paraId="39B41AF9" w14:textId="77777777" w:rsidR="004C5762" w:rsidRDefault="004C5762" w:rsidP="004C5762">
      <w:pPr>
        <w:spacing w:line="240" w:lineRule="auto"/>
        <w:jc w:val="both"/>
        <w:rPr>
          <w:rFonts w:ascii="Times New Roman" w:hAnsi="Times New Roman" w:cs="Times New Roman"/>
          <w:sz w:val="24"/>
          <w:szCs w:val="24"/>
          <w:lang w:val="en-US"/>
        </w:rPr>
      </w:pPr>
    </w:p>
    <w:p w14:paraId="183F3745" w14:textId="45595417" w:rsidR="004C5762" w:rsidRDefault="004C5762"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492AFDDA" w14:textId="77777777"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Effective education program implementation remains a persistent challenge within the Department of Education where policies are often well designed but unevenly operationalized in schools (DepEd Philippines, 2025; UNESCO, 2024). Across public basic education in the Philippines national programs aimed at improving curriculum delivery and learner outcomes frequently encounter gaps in translation at the school level, particularly in widely implemented school‑based initiatives such as Brigada Eskwela that require coordinated planning, resource mobilization, and active stakeholder participation. Many school administrators experience mismatches between policy mandates and actual classroom practices even as decentralization and school‑based management mechanisms expand. Fluctuating budgets delayed releases and inconsistent monitoring further weaken the coherence and sustainability of program implementation in various divisions and municipalities. This situation underscores the need to examine how leadership and organizational capacities shape the way school administrators implement education programs in DepEd settings.</w:t>
      </w:r>
    </w:p>
    <w:p w14:paraId="11596186" w14:textId="018617EB"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A central issue in program implementation is the persistent scarcity and suboptimal management of resources which limits the capacity of school administrators to sustain new initiatives (Valerio, 2024; UNESCO, 2024). Across numerous public basic education schools in the Philippines particularly in rural and geographically isolated areas funding is limited releases are often delayed and instructional materials remain insufficient. Inconsistent financial support and weak community linkages force schools to rely on ad hoc measures such as informal sponsorships and in‑kind contributions rather than on stable school‑based mechanisms like those required in Brigada Eskwela. Documents issued by international education organizations indicate that sustainable implementation depends not only on standard allocations but also on the capacity of schools to mobilize additional support and manage resources strategically. Recent analyses in the Philippine education system show that school administrators who actively pursue partnerships and diversify funding sources are more likely to maintain program continuity and improve learning conditions.</w:t>
      </w:r>
    </w:p>
    <w:p w14:paraId="2CFF168A" w14:textId="1050446D" w:rsidR="004C5762" w:rsidRP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 xml:space="preserve">Parallel to resource constraints leadership adaptability has emerged as a critical determinant of how schools respond to complexity uncertainty and change (Rosel et al., 2025; UNESCO, 2024). The Department of Education has recorded numerous cases where school administrators increasingly face overlapping policies rapid curriculum revisions and </w:t>
      </w:r>
      <w:r w:rsidRPr="004C5762">
        <w:rPr>
          <w:rFonts w:ascii="Times New Roman" w:hAnsi="Times New Roman" w:cs="Times New Roman"/>
          <w:sz w:val="24"/>
          <w:szCs w:val="24"/>
          <w:lang w:val="en-US"/>
        </w:rPr>
        <w:lastRenderedPageBreak/>
        <w:t>post pandemic transitions that demand flexible responsive leadership, especially in school‑based programs such as Brigada Eskwela that require coordination with local stakeholders. A qualitative investigation in rural schools suggests that leaders who adjust their strategies build trust and involve stakeholders are more effective in sustaining reform initiatives like Brigada Eskwela. Moreover, analyses of cross‑national reform efforts indicate that educational reforms are more likely to succeed where leaders can interpret mandates translate them into local actions and continuously refine implementation. This evidence from school‑level studies points to the need for leadership that aligns national directives with local realities and sustains program activities over time.</w:t>
      </w:r>
    </w:p>
    <w:p w14:paraId="51108333" w14:textId="725DC9F6" w:rsidR="004C5762" w:rsidRDefault="004C5762" w:rsidP="004C5762">
      <w:pPr>
        <w:spacing w:line="240" w:lineRule="auto"/>
        <w:jc w:val="both"/>
        <w:rPr>
          <w:rFonts w:ascii="Times New Roman" w:hAnsi="Times New Roman" w:cs="Times New Roman"/>
          <w:sz w:val="24"/>
          <w:szCs w:val="24"/>
          <w:lang w:val="en-US"/>
        </w:rPr>
      </w:pPr>
      <w:r w:rsidRPr="004C5762">
        <w:rPr>
          <w:rFonts w:ascii="Times New Roman" w:hAnsi="Times New Roman" w:cs="Times New Roman"/>
          <w:sz w:val="24"/>
          <w:szCs w:val="24"/>
          <w:lang w:val="en-US"/>
        </w:rPr>
        <w:t>By examining the influence of resource generation capability and adaptive leadership on the implementation of education programs among school administrators, the current study addresses these persistent challenges in the Philippine school system. In addition to describing levels of resource generation capability and adaptive leadership among school administrators, the study aims to determine the extent to which these attributes shape the quality and consistency of education program implementation, particularly in school‑based initiatives such as Brigada Eskwela. It also explores how these characteristics are interrelated and how they contribute to the efficiency and sustainability of program implementation in schools. By focusing on the interaction between resource generation capability and adaptive leadership, the study helps clarify how school administrators can better translate policies into effective practices and informs the design of leadership development and support initiatives within the Department of Education, Division of Bukidnon.</w:t>
      </w:r>
    </w:p>
    <w:p w14:paraId="12C29702" w14:textId="50FD1E9B" w:rsidR="000636DC" w:rsidRDefault="000636DC" w:rsidP="004C5762">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Objectives</w:t>
      </w:r>
    </w:p>
    <w:p w14:paraId="68A690C3" w14:textId="337956A0" w:rsidR="00947BEF" w:rsidRDefault="00141589" w:rsidP="00141589">
      <w:pPr>
        <w:spacing w:line="240" w:lineRule="auto"/>
        <w:jc w:val="both"/>
        <w:rPr>
          <w:rFonts w:ascii="Times New Roman" w:hAnsi="Times New Roman" w:cs="Times New Roman"/>
          <w:sz w:val="24"/>
          <w:szCs w:val="24"/>
          <w:lang w:val="en-US"/>
        </w:rPr>
      </w:pPr>
      <w:r w:rsidRPr="00141589">
        <w:rPr>
          <w:rFonts w:ascii="Times New Roman" w:hAnsi="Times New Roman" w:cs="Times New Roman"/>
          <w:sz w:val="24"/>
          <w:szCs w:val="24"/>
          <w:lang w:val="en-US"/>
        </w:rPr>
        <w:t>This study investigated the impact of resource generation capability and adaptive leadership on the educational program implementation of school administrators in DepEd Bukidnon, with particular focus on Brigada Eskwela during SY 2025–2026. Specifically, it aimed to: 1) assess the level of resource generation capability in terms of setting expectations, focusing on learning, fostering collaboration, and managing resources strategically; 2) determine the level of adaptive leadership in terms of flexibility in decision-making, proactive problem-solving, emotional resilience, and innovative practices; 3) describe the level of educational program implementation in Brigada Eskwela in terms of program planning and organization, resource mobilization and support, and monitoring, evaluation, and improvement; 4) examine the relationship between educational program implementation and both resource generation capability and adaptive leadership; and 5) identify which variables, singly or in combination, best predict educational program implementation.</w:t>
      </w:r>
    </w:p>
    <w:p w14:paraId="1622F3DD" w14:textId="77777777" w:rsidR="00947BEF" w:rsidRDefault="00947BEF" w:rsidP="00141589">
      <w:pPr>
        <w:spacing w:line="240" w:lineRule="auto"/>
        <w:jc w:val="both"/>
        <w:rPr>
          <w:rFonts w:ascii="Times New Roman" w:hAnsi="Times New Roman" w:cs="Times New Roman"/>
          <w:sz w:val="24"/>
          <w:szCs w:val="24"/>
          <w:lang w:val="en-US"/>
        </w:rPr>
      </w:pPr>
    </w:p>
    <w:p w14:paraId="467E420D" w14:textId="3A0F3A1A" w:rsidR="00947BEF" w:rsidRPr="00947BEF" w:rsidRDefault="00C40B84" w:rsidP="00141589">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Conceptual Framework</w:t>
      </w:r>
    </w:p>
    <w:p w14:paraId="0D82DC05"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Resource Generation Capability  </w:t>
      </w:r>
    </w:p>
    <w:p w14:paraId="7E25CB5E" w14:textId="703F7073" w:rsidR="00947BEF"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Grounded in resource dependence theory (Pfeffer &amp; Salancik, 2017) and school‑based resource mobilization perspectives, resource generation capability refers to the ability of school administrators to secure, mobilize, and strategically manage financial, human, and material resources beyond standard government allocations. In the Philippine context, public schools often face budget constraints, delayed releases, and fluctuating support, which hinder the implementation of national initiatives such as Brigada Eskwela (Dela Cruz, 2019; Valerio, 2023; Famero, 2024). Thus, capability is not limited to the amount of funding available but extends to the leader’s skill in building partnerships, negotiating with stakeholders, and coordinating donations and volunteer efforts. This theoretical strand positions resource generation capability as a mediating condition between policy mandates and actual implementation, where stronger capacity leads to more complete and sustained program delivery, while weaker capacity results in fragmented or short‑term implementation (Rosel et al., 2023; Toledo, 2025).</w:t>
      </w:r>
    </w:p>
    <w:p w14:paraId="4D7B32B8"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Adaptive Leadership  </w:t>
      </w:r>
    </w:p>
    <w:p w14:paraId="0A5596C3"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Adaptive Leadership Theory (Heifetz, 1994; Heifetz, Grashow, &amp; Linsky, 2009) provides the second anchor of this study, emphasizing the distinction between technical problems with clear solutions and adaptive challenges that require shifts in values, behaviors, and relationships. In school administration, adaptive leadership explains how heads respond to complex, uncertain, or contested situations such as fluctuating community support and uneven participation in Brigada Eskwela (Heifetz &amp; Linsky, 2002). An adaptive leader diagnoses the challenge, engages stakeholders </w:t>
      </w:r>
      <w:r w:rsidRPr="0085288B">
        <w:rPr>
          <w:rFonts w:ascii="Times New Roman" w:hAnsi="Times New Roman" w:cs="Times New Roman"/>
          <w:sz w:val="24"/>
          <w:szCs w:val="24"/>
          <w:lang w:val="en-US"/>
        </w:rPr>
        <w:lastRenderedPageBreak/>
        <w:t>meaningfully, and creates conditions for collective ownership of the work, aligning with DepEd‑linked professional development frameworks (SEAMEO INNOTECH, 2020; DepEd trainings, 2024). This theory frames administrators as sense‑makers and change agents who interpret policy, navigate tensions, and mobilize collective action. When adaptive leadership is strong, program implementation becomes responsive, context‑sensitive, and sustainable; when weak, implementation risks being inconsistent and short‑lived.</w:t>
      </w:r>
    </w:p>
    <w:p w14:paraId="691E792A" w14:textId="77777777" w:rsidR="0085288B" w:rsidRP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 xml:space="preserve">Educational Program Implementation  </w:t>
      </w:r>
    </w:p>
    <w:p w14:paraId="3996229C" w14:textId="4EF857D4" w:rsidR="0085288B" w:rsidRDefault="0085288B" w:rsidP="0085288B">
      <w:pPr>
        <w:spacing w:line="240" w:lineRule="auto"/>
        <w:jc w:val="both"/>
        <w:rPr>
          <w:rFonts w:ascii="Times New Roman" w:hAnsi="Times New Roman" w:cs="Times New Roman"/>
          <w:sz w:val="24"/>
          <w:szCs w:val="24"/>
          <w:lang w:val="en-US"/>
        </w:rPr>
      </w:pPr>
      <w:r w:rsidRPr="0085288B">
        <w:rPr>
          <w:rFonts w:ascii="Times New Roman" w:hAnsi="Times New Roman" w:cs="Times New Roman"/>
          <w:sz w:val="24"/>
          <w:szCs w:val="24"/>
          <w:lang w:val="en-US"/>
        </w:rPr>
        <w:t>Educational program implementation refers to the translation of policies, plans, and prescribed activities into actual practices within schools, measured by the extent, depth, consistency, and quality of activities carried out over time (Penuel &amp; Fishman, 2020; Datnow &amp; Park, 2021). Research shows that implementation ranges from partial and fragmented to highly consistent, depending on leadership support, stakeholder involvement, and resource availability (Andrada, 2022; Valerio, 2023; Famero, 2024). In Brigada Eskwela, many schools report high implementation in preparation and partnership engagement, while others face gaps tied to limited materials and weak collaboration (Rosel et al., 2023; Famero, 2024). This variable serves as the dependent outcome in the framework</w:t>
      </w:r>
      <w:r w:rsidR="00225048">
        <w:rPr>
          <w:rFonts w:ascii="Times New Roman" w:hAnsi="Times New Roman" w:cs="Times New Roman"/>
          <w:sz w:val="24"/>
          <w:szCs w:val="24"/>
          <w:lang w:val="en-US"/>
        </w:rPr>
        <w:t xml:space="preserve">, </w:t>
      </w:r>
      <w:r w:rsidRPr="0085288B">
        <w:rPr>
          <w:rFonts w:ascii="Times New Roman" w:hAnsi="Times New Roman" w:cs="Times New Roman"/>
          <w:sz w:val="24"/>
          <w:szCs w:val="24"/>
          <w:lang w:val="en-US"/>
        </w:rPr>
        <w:t>when adaptive leadership is strong and resource generation is systematic, implementation tends to be complete and sustainable;</w:t>
      </w:r>
      <w:r w:rsidRPr="0085288B">
        <w:t xml:space="preserve"> </w:t>
      </w:r>
      <w:r w:rsidRPr="0085288B">
        <w:rPr>
          <w:rFonts w:ascii="Times New Roman" w:hAnsi="Times New Roman" w:cs="Times New Roman"/>
          <w:sz w:val="24"/>
          <w:szCs w:val="24"/>
          <w:lang w:val="en-US"/>
        </w:rPr>
        <w:t>when either or both are weak, implementation is fragmented and uneven. Thus, educational program implementation provides the logical endpoint toward which resource generation capability and adaptive leadership converge, making it the focal measure of school administrators’ effectiveness in DepEd Bukidnon.</w:t>
      </w:r>
    </w:p>
    <w:p w14:paraId="28A326BB" w14:textId="77777777" w:rsidR="0011141A" w:rsidRDefault="0011141A" w:rsidP="0085288B">
      <w:pPr>
        <w:spacing w:line="240" w:lineRule="auto"/>
        <w:jc w:val="both"/>
        <w:rPr>
          <w:rFonts w:ascii="Times New Roman" w:hAnsi="Times New Roman" w:cs="Times New Roman"/>
          <w:sz w:val="24"/>
          <w:szCs w:val="24"/>
          <w:lang w:val="en-US"/>
        </w:rPr>
      </w:pPr>
    </w:p>
    <w:p w14:paraId="303C0C4D" w14:textId="1D42B5C3" w:rsidR="0085288B" w:rsidRPr="00C40B84" w:rsidRDefault="00947BEF" w:rsidP="004A713C">
      <w:pPr>
        <w:spacing w:line="240" w:lineRule="auto"/>
        <w:jc w:val="both"/>
        <w:rPr>
          <w:rFonts w:ascii="Times New Roman" w:hAnsi="Times New Roman" w:cs="Times New Roman"/>
          <w:b/>
          <w:bCs/>
          <w:sz w:val="28"/>
          <w:szCs w:val="28"/>
          <w:lang w:val="en-US"/>
        </w:rPr>
      </w:pPr>
      <w:r w:rsidRPr="00C40B84">
        <w:rPr>
          <w:rFonts w:ascii="Times New Roman" w:hAnsi="Times New Roman" w:cs="Times New Roman"/>
          <w:b/>
          <w:bCs/>
          <w:sz w:val="28"/>
          <w:szCs w:val="28"/>
          <w:lang w:val="en-US"/>
        </w:rPr>
        <w:t>METHOD</w:t>
      </w:r>
      <w:r w:rsidR="004A713C" w:rsidRPr="00C40B84">
        <w:rPr>
          <w:rFonts w:ascii="Times New Roman" w:hAnsi="Times New Roman" w:cs="Times New Roman"/>
          <w:b/>
          <w:bCs/>
          <w:sz w:val="28"/>
          <w:szCs w:val="28"/>
          <w:lang w:val="en-US"/>
        </w:rPr>
        <w:t>OLOGY</w:t>
      </w:r>
    </w:p>
    <w:p w14:paraId="34B25EAB" w14:textId="614A0F71"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 xml:space="preserve">This </w:t>
      </w:r>
      <w:r w:rsidR="00D14509">
        <w:rPr>
          <w:rFonts w:ascii="Times New Roman" w:hAnsi="Times New Roman" w:cs="Times New Roman"/>
          <w:sz w:val="24"/>
          <w:szCs w:val="24"/>
          <w:lang w:val="en-US"/>
        </w:rPr>
        <w:t>study</w:t>
      </w:r>
      <w:r w:rsidRPr="004A71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employed </w:t>
      </w:r>
      <w:r w:rsidRPr="004A713C">
        <w:rPr>
          <w:rFonts w:ascii="Times New Roman" w:hAnsi="Times New Roman" w:cs="Times New Roman"/>
          <w:sz w:val="24"/>
          <w:szCs w:val="24"/>
          <w:lang w:val="en-US"/>
        </w:rPr>
        <w:t>a descriptive–correlational research design to analyze the relationship between resource generation capability, adaptive leadership, and educational program implementation among school administrators in the Division of Bukidnon for SY 2025–2026. The descriptive aspect was intended to capture the prevailing levels of the three variables as they were manifested in administrators’ daily practices, while the correlational aspect sought to determine the extent to which resource generation capability and adaptive leadership were associated with program implementation. To strengthen the analysis, regression techniques were applied to identify the indicators that most strongly predicted implementation outcomes.</w:t>
      </w:r>
    </w:p>
    <w:p w14:paraId="5C82B558" w14:textId="77777777"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Prior to data collection, formal approval was secured from the Division Superintendent of Bukidnon, and the study was noted by the subject professor. Respondents were informed of the study through a cover letter attached to the questionnaire, which explained the purpose of the research and assured them adequate time to provide thoughtful responses. The instrument used was a structured survey, validated by experts, that measured dimensions of resource generation capability (expectations, learning focus, collaboration, resource management), adaptive leadership (flexibility, problem‑solving, resilience, innovation), and educational program implementation (planning, mobilization, monitoring and evaluation).</w:t>
      </w:r>
    </w:p>
    <w:p w14:paraId="4F7DD650" w14:textId="0007040E" w:rsidR="004A713C" w:rsidRPr="004A713C" w:rsidRDefault="004A713C" w:rsidP="004A713C">
      <w:pPr>
        <w:spacing w:line="240" w:lineRule="auto"/>
        <w:jc w:val="both"/>
        <w:rPr>
          <w:rFonts w:ascii="Times New Roman" w:hAnsi="Times New Roman" w:cs="Times New Roman"/>
          <w:sz w:val="24"/>
          <w:szCs w:val="24"/>
          <w:lang w:val="en-US"/>
        </w:rPr>
      </w:pPr>
      <w:r w:rsidRPr="004A713C">
        <w:rPr>
          <w:rFonts w:ascii="Times New Roman" w:hAnsi="Times New Roman" w:cs="Times New Roman"/>
          <w:sz w:val="24"/>
          <w:szCs w:val="24"/>
          <w:lang w:val="en-US"/>
        </w:rPr>
        <w:t>The study participants consisted of 300 school administrators purposively selected for their direct involvement in Brigada Eskwela and other school‑based programs. Administrators included principals, school heads, School‑in‑Charge (SIC), Officers‑in‑Charge (OIC), and other designated leaders responsible for program planning, coordination, and resource mobilization. Purposive sampling ensured that only those with firsthand responsibilities in the variables under study were included. All questionnaires distributed were retrieved and completed, yielding a 100% response rate. Data were analyzed using descriptive statistics to summarize the variables, Pearson r to test relationships, and multiple regression to determine predictive strength, thereby providing a rigorous and systematic basis for the study.</w:t>
      </w:r>
    </w:p>
    <w:p w14:paraId="78EF107B" w14:textId="77777777" w:rsidR="004A713C" w:rsidRDefault="004A713C" w:rsidP="004A713C">
      <w:pPr>
        <w:spacing w:line="240" w:lineRule="auto"/>
        <w:jc w:val="both"/>
        <w:rPr>
          <w:rFonts w:ascii="Times New Roman" w:hAnsi="Times New Roman" w:cs="Times New Roman"/>
          <w:b/>
          <w:bCs/>
          <w:sz w:val="24"/>
          <w:szCs w:val="24"/>
          <w:lang w:val="en-US"/>
        </w:rPr>
      </w:pPr>
    </w:p>
    <w:p w14:paraId="15ADBE1F" w14:textId="6A5B5C73" w:rsidR="00D159BA" w:rsidRDefault="00D159BA" w:rsidP="004A713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Ethical Considerations</w:t>
      </w:r>
    </w:p>
    <w:p w14:paraId="593CA720" w14:textId="5708F57D" w:rsidR="0011141A" w:rsidRDefault="004D3644" w:rsidP="004A713C">
      <w:pPr>
        <w:spacing w:line="240" w:lineRule="auto"/>
        <w:jc w:val="both"/>
        <w:rPr>
          <w:rFonts w:ascii="Times New Roman" w:hAnsi="Times New Roman" w:cs="Times New Roman"/>
          <w:sz w:val="24"/>
          <w:szCs w:val="24"/>
          <w:lang w:val="en-US"/>
        </w:rPr>
      </w:pPr>
      <w:r w:rsidRPr="004D3644">
        <w:rPr>
          <w:rFonts w:ascii="Times New Roman" w:hAnsi="Times New Roman" w:cs="Times New Roman"/>
          <w:sz w:val="24"/>
          <w:szCs w:val="24"/>
          <w:lang w:val="en-US"/>
        </w:rPr>
        <w:t>Prior to the conduct of data collection, ethical clearance was secured to ensure that the study adhered to established research standards. Formal authorization was obtained from the Schools Division Superintendent of Bukidnon, and participation of school administrators was strictly voluntary. Each respondent received an informed consent form explaining the objectives of the study, their right to withdraw at any time, and the assurance that their responses would remain confidential and anonymous. All information gathered was treated with utmost care and was utilized solely for academic and research purposes. By observing these ethical protocols, the study safeguarded the rights and welfare of participants while maintaining the integrity and credibility of its findings.</w:t>
      </w:r>
    </w:p>
    <w:p w14:paraId="7D8D5839" w14:textId="77777777" w:rsidR="0011141A" w:rsidRDefault="0011141A" w:rsidP="004A713C">
      <w:pPr>
        <w:spacing w:line="240" w:lineRule="auto"/>
        <w:jc w:val="both"/>
        <w:rPr>
          <w:rFonts w:ascii="Times New Roman" w:hAnsi="Times New Roman" w:cs="Times New Roman"/>
          <w:sz w:val="24"/>
          <w:szCs w:val="24"/>
          <w:lang w:val="en-US"/>
        </w:rPr>
      </w:pPr>
    </w:p>
    <w:p w14:paraId="3A069B41" w14:textId="5D7C0E6E" w:rsidR="0011141A" w:rsidRDefault="0011141A" w:rsidP="004A713C">
      <w:pPr>
        <w:spacing w:line="240" w:lineRule="auto"/>
        <w:jc w:val="both"/>
        <w:rPr>
          <w:rFonts w:ascii="Times New Roman" w:hAnsi="Times New Roman" w:cs="Times New Roman"/>
          <w:sz w:val="24"/>
          <w:szCs w:val="24"/>
          <w:lang w:val="en-US"/>
        </w:rPr>
      </w:pPr>
    </w:p>
    <w:p w14:paraId="62E4AEF0" w14:textId="77777777" w:rsidR="0011141A" w:rsidRDefault="0011141A" w:rsidP="004A713C">
      <w:pPr>
        <w:spacing w:line="240" w:lineRule="auto"/>
        <w:jc w:val="both"/>
        <w:rPr>
          <w:rFonts w:ascii="Times New Roman" w:hAnsi="Times New Roman" w:cs="Times New Roman"/>
          <w:sz w:val="24"/>
          <w:szCs w:val="24"/>
          <w:lang w:val="en-US"/>
        </w:rPr>
      </w:pPr>
    </w:p>
    <w:p w14:paraId="0A8CBE48" w14:textId="23FE7E5F" w:rsidR="0011141A" w:rsidRDefault="0011141A" w:rsidP="004A713C">
      <w:pPr>
        <w:spacing w:line="240" w:lineRule="auto"/>
        <w:jc w:val="both"/>
        <w:rPr>
          <w:rFonts w:ascii="Times New Roman" w:hAnsi="Times New Roman" w:cs="Times New Roman"/>
          <w:sz w:val="24"/>
          <w:szCs w:val="24"/>
          <w:lang w:val="en-US"/>
        </w:rPr>
      </w:pPr>
      <w:r w:rsidRPr="0022325B">
        <w:rPr>
          <w:rFonts w:ascii="Times New Roman" w:hAnsi="Times New Roman" w:cs="Times New Roman"/>
          <w:b/>
          <w:bCs/>
          <w:sz w:val="28"/>
          <w:szCs w:val="28"/>
          <w:lang w:val="en-US"/>
        </w:rPr>
        <w:t>RESULT</w:t>
      </w:r>
      <w:r w:rsidR="00C40B84" w:rsidRPr="0022325B">
        <w:rPr>
          <w:rFonts w:ascii="Times New Roman" w:hAnsi="Times New Roman" w:cs="Times New Roman"/>
          <w:b/>
          <w:bCs/>
          <w:sz w:val="28"/>
          <w:szCs w:val="28"/>
          <w:lang w:val="en-US"/>
        </w:rPr>
        <w:t>S AND DISCUSSIONS</w:t>
      </w:r>
    </w:p>
    <w:p w14:paraId="7E91BFFA" w14:textId="4C6B3F4B" w:rsidR="008B3AA2" w:rsidRPr="008B3AA2" w:rsidRDefault="008B3AA2" w:rsidP="004A713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1 L</w:t>
      </w:r>
      <w:r w:rsidRPr="008B3AA2">
        <w:rPr>
          <w:rFonts w:ascii="Times New Roman" w:hAnsi="Times New Roman" w:cs="Times New Roman"/>
          <w:sz w:val="24"/>
          <w:szCs w:val="24"/>
          <w:lang w:val="en-US"/>
        </w:rPr>
        <w:t>evel of Resource Generation Capability of School Administrators</w:t>
      </w:r>
    </w:p>
    <w:tbl>
      <w:tblPr>
        <w:tblStyle w:val="TableGrid"/>
        <w:tblW w:w="0" w:type="auto"/>
        <w:tblLook w:val="04A0" w:firstRow="1" w:lastRow="0" w:firstColumn="1" w:lastColumn="0" w:noHBand="0" w:noVBand="1"/>
      </w:tblPr>
      <w:tblGrid>
        <w:gridCol w:w="3114"/>
        <w:gridCol w:w="2693"/>
        <w:gridCol w:w="2410"/>
        <w:gridCol w:w="3118"/>
      </w:tblGrid>
      <w:tr w:rsidR="008B3AA2" w:rsidRPr="008B3AA2" w14:paraId="207A6604" w14:textId="77777777" w:rsidTr="008B3AA2">
        <w:tc>
          <w:tcPr>
            <w:tcW w:w="3114" w:type="dxa"/>
          </w:tcPr>
          <w:p w14:paraId="21A6B0EB" w14:textId="5CEE0854"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Sub-variable</w:t>
            </w:r>
          </w:p>
        </w:tc>
        <w:tc>
          <w:tcPr>
            <w:tcW w:w="2693" w:type="dxa"/>
          </w:tcPr>
          <w:p w14:paraId="12DDE87D" w14:textId="4D324E3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sz w:val="24"/>
                <w:szCs w:val="24"/>
                <w:lang w:val="en-US"/>
              </w:rPr>
              <w:t>Mean</w:t>
            </w:r>
          </w:p>
        </w:tc>
        <w:tc>
          <w:tcPr>
            <w:tcW w:w="2410" w:type="dxa"/>
          </w:tcPr>
          <w:p w14:paraId="662CB0F7" w14:textId="706BC0BA"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Descriptive Rating</w:t>
            </w:r>
          </w:p>
        </w:tc>
        <w:tc>
          <w:tcPr>
            <w:tcW w:w="3118" w:type="dxa"/>
          </w:tcPr>
          <w:p w14:paraId="5B8DDE5A" w14:textId="7A47B3B5" w:rsidR="008B3AA2" w:rsidRPr="008B3AA2" w:rsidRDefault="008B3AA2" w:rsidP="004A713C">
            <w:pPr>
              <w:jc w:val="both"/>
              <w:rPr>
                <w:rFonts w:ascii="Times New Roman" w:hAnsi="Times New Roman" w:cs="Times New Roman"/>
                <w:sz w:val="24"/>
                <w:szCs w:val="24"/>
                <w:lang w:val="en-US"/>
              </w:rPr>
            </w:pPr>
            <w:r w:rsidRPr="008B3AA2">
              <w:rPr>
                <w:rFonts w:ascii="Times New Roman" w:hAnsi="Times New Roman" w:cs="Times New Roman"/>
                <w:sz w:val="24"/>
                <w:szCs w:val="24"/>
                <w:lang w:val="en-US"/>
              </w:rPr>
              <w:t>Qualitative Interpretation</w:t>
            </w:r>
          </w:p>
        </w:tc>
      </w:tr>
      <w:tr w:rsidR="008B3AA2" w:rsidRPr="008B3AA2" w14:paraId="6FE51844" w14:textId="77777777" w:rsidTr="008B3AA2">
        <w:tc>
          <w:tcPr>
            <w:tcW w:w="3114" w:type="dxa"/>
          </w:tcPr>
          <w:p w14:paraId="74980F9C" w14:textId="3ACDB073" w:rsidR="008B3AA2" w:rsidRPr="008B3AA2" w:rsidRDefault="008B3AA2" w:rsidP="008B3AA2">
            <w:pP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Managing resources strategically</w:t>
            </w:r>
          </w:p>
        </w:tc>
        <w:tc>
          <w:tcPr>
            <w:tcW w:w="2693" w:type="dxa"/>
          </w:tcPr>
          <w:p w14:paraId="089BC006" w14:textId="7FF6F66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4.82</w:t>
            </w:r>
          </w:p>
        </w:tc>
        <w:tc>
          <w:tcPr>
            <w:tcW w:w="2410" w:type="dxa"/>
          </w:tcPr>
          <w:p w14:paraId="5A224C77" w14:textId="4057CA53"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70DC6A76" w14:textId="02F9A434"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6A500830" w14:textId="77777777" w:rsidTr="008B3AA2">
        <w:tc>
          <w:tcPr>
            <w:tcW w:w="3114" w:type="dxa"/>
          </w:tcPr>
          <w:p w14:paraId="42E0E7C8" w14:textId="3E1D0E6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Focusing on learning</w:t>
            </w:r>
          </w:p>
        </w:tc>
        <w:tc>
          <w:tcPr>
            <w:tcW w:w="2693" w:type="dxa"/>
          </w:tcPr>
          <w:p w14:paraId="4928BFE5" w14:textId="7BBE18AC"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3B567EAC" w14:textId="46C5897A"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00465518" w14:textId="2337E51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BDDF2A" w14:textId="77777777" w:rsidTr="008B3AA2">
        <w:tc>
          <w:tcPr>
            <w:tcW w:w="3114" w:type="dxa"/>
          </w:tcPr>
          <w:p w14:paraId="1B5712F9" w14:textId="325B6530"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Setting expectations</w:t>
            </w:r>
          </w:p>
        </w:tc>
        <w:tc>
          <w:tcPr>
            <w:tcW w:w="2693" w:type="dxa"/>
          </w:tcPr>
          <w:p w14:paraId="767FA5C2" w14:textId="7745BC20"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1A06F260" w14:textId="494F01B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178CF9C3" w14:textId="7701F7D6"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37EEA278" w14:textId="77777777" w:rsidTr="008B3AA2">
        <w:tc>
          <w:tcPr>
            <w:tcW w:w="3114" w:type="dxa"/>
          </w:tcPr>
          <w:p w14:paraId="5426FB83" w14:textId="218DC09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Foster collaboration</w:t>
            </w:r>
          </w:p>
        </w:tc>
        <w:tc>
          <w:tcPr>
            <w:tcW w:w="2693" w:type="dxa"/>
          </w:tcPr>
          <w:p w14:paraId="768BC5B3" w14:textId="5621E713"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4.73</w:t>
            </w:r>
          </w:p>
        </w:tc>
        <w:tc>
          <w:tcPr>
            <w:tcW w:w="2410" w:type="dxa"/>
          </w:tcPr>
          <w:p w14:paraId="6B2C608E" w14:textId="6DAAA0A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20812398" w14:textId="45E26EA7"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r w:rsidR="008B3AA2" w:rsidRPr="008B3AA2" w14:paraId="09150C9A" w14:textId="77777777" w:rsidTr="008B3AA2">
        <w:tc>
          <w:tcPr>
            <w:tcW w:w="3114" w:type="dxa"/>
          </w:tcPr>
          <w:p w14:paraId="58DBB114" w14:textId="1F2ACB38" w:rsidR="008B3AA2" w:rsidRPr="008B3AA2" w:rsidRDefault="008B3AA2" w:rsidP="008B3AA2">
            <w:pPr>
              <w:jc w:val="both"/>
              <w:rPr>
                <w:rFonts w:ascii="Times New Roman" w:hAnsi="Times New Roman" w:cs="Times New Roman"/>
                <w:sz w:val="24"/>
                <w:szCs w:val="24"/>
                <w:lang w:val="en-US"/>
              </w:rPr>
            </w:pPr>
            <w:r>
              <w:rPr>
                <w:rFonts w:ascii="Times New Roman" w:hAnsi="Times New Roman" w:cs="Times New Roman"/>
                <w:color w:val="0D0D0D" w:themeColor="text1" w:themeTint="F2"/>
                <w:sz w:val="24"/>
                <w:szCs w:val="24"/>
              </w:rPr>
              <w:t>Overall Mean</w:t>
            </w:r>
          </w:p>
        </w:tc>
        <w:tc>
          <w:tcPr>
            <w:tcW w:w="2693" w:type="dxa"/>
          </w:tcPr>
          <w:p w14:paraId="7F254426" w14:textId="31FBD817" w:rsidR="008B3AA2" w:rsidRPr="008B3AA2" w:rsidRDefault="008B3AA2" w:rsidP="008B3AA2">
            <w:pPr>
              <w:jc w:val="center"/>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4.78</w:t>
            </w:r>
          </w:p>
        </w:tc>
        <w:tc>
          <w:tcPr>
            <w:tcW w:w="2410" w:type="dxa"/>
          </w:tcPr>
          <w:p w14:paraId="53B4579F" w14:textId="259DC219"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Strongly Agree</w:t>
            </w:r>
          </w:p>
        </w:tc>
        <w:tc>
          <w:tcPr>
            <w:tcW w:w="3118" w:type="dxa"/>
          </w:tcPr>
          <w:p w14:paraId="4892454E" w14:textId="302C0775" w:rsidR="008B3AA2" w:rsidRPr="008B3AA2" w:rsidRDefault="008B3AA2" w:rsidP="008B3AA2">
            <w:pPr>
              <w:jc w:val="both"/>
              <w:rPr>
                <w:rFonts w:ascii="Times New Roman" w:hAnsi="Times New Roman" w:cs="Times New Roman"/>
                <w:sz w:val="24"/>
                <w:szCs w:val="24"/>
                <w:lang w:val="en-US"/>
              </w:rPr>
            </w:pPr>
            <w:r w:rsidRPr="008B3AA2">
              <w:rPr>
                <w:rFonts w:ascii="Times New Roman" w:hAnsi="Times New Roman" w:cs="Times New Roman"/>
                <w:color w:val="0D0D0D" w:themeColor="text1" w:themeTint="F2"/>
                <w:sz w:val="24"/>
                <w:szCs w:val="24"/>
              </w:rPr>
              <w:t>Very High Practice</w:t>
            </w:r>
          </w:p>
        </w:tc>
      </w:tr>
    </w:tbl>
    <w:p w14:paraId="789CCB41" w14:textId="2AAEF886"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 xml:space="preserve">Table </w:t>
      </w:r>
      <w:r>
        <w:rPr>
          <w:rFonts w:ascii="Times New Roman" w:hAnsi="Times New Roman" w:cs="Times New Roman"/>
          <w:sz w:val="24"/>
          <w:szCs w:val="24"/>
          <w:lang w:val="en-US"/>
        </w:rPr>
        <w:t>1</w:t>
      </w:r>
      <w:r w:rsidRPr="00FE2024">
        <w:rPr>
          <w:rFonts w:ascii="Times New Roman" w:hAnsi="Times New Roman" w:cs="Times New Roman"/>
          <w:sz w:val="24"/>
          <w:szCs w:val="24"/>
          <w:lang w:val="en-US"/>
        </w:rPr>
        <w:t xml:space="preserve"> reveals that the overall level of resource generation capability among school administrators was very high, with a mean of </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4.78</w:t>
      </w:r>
      <w:r w:rsidR="0041265D">
        <w:rPr>
          <w:rFonts w:ascii="Times New Roman" w:hAnsi="Times New Roman" w:cs="Times New Roman"/>
          <w:sz w:val="24"/>
          <w:szCs w:val="24"/>
          <w:lang w:val="en-US"/>
        </w:rPr>
        <w:t>)</w:t>
      </w:r>
      <w:r w:rsidRPr="00FE2024">
        <w:rPr>
          <w:rFonts w:ascii="Times New Roman" w:hAnsi="Times New Roman" w:cs="Times New Roman"/>
          <w:sz w:val="24"/>
          <w:szCs w:val="24"/>
          <w:lang w:val="en-US"/>
        </w:rPr>
        <w:t xml:space="preserve"> interpreted as Strongly Agree. Managing resources strategically emerged as the strongest dimension (4.82), followed by focusing on learning and setting expectations (both 4.78), while fostering collaboration registered the lowest mean (4.73), though still within the </w:t>
      </w:r>
      <w:r w:rsidR="0041265D">
        <w:rPr>
          <w:rFonts w:ascii="Times New Roman" w:hAnsi="Times New Roman" w:cs="Times New Roman"/>
          <w:sz w:val="24"/>
          <w:szCs w:val="24"/>
          <w:lang w:val="en-US"/>
        </w:rPr>
        <w:t>v</w:t>
      </w:r>
      <w:r w:rsidRPr="00FE2024">
        <w:rPr>
          <w:rFonts w:ascii="Times New Roman" w:hAnsi="Times New Roman" w:cs="Times New Roman"/>
          <w:sz w:val="24"/>
          <w:szCs w:val="24"/>
          <w:lang w:val="en-US"/>
        </w:rPr>
        <w:t xml:space="preserve">ery </w:t>
      </w:r>
      <w:r w:rsidR="0041265D">
        <w:rPr>
          <w:rFonts w:ascii="Times New Roman" w:hAnsi="Times New Roman" w:cs="Times New Roman"/>
          <w:sz w:val="24"/>
          <w:szCs w:val="24"/>
          <w:lang w:val="en-US"/>
        </w:rPr>
        <w:t>h</w:t>
      </w:r>
      <w:r w:rsidRPr="00FE2024">
        <w:rPr>
          <w:rFonts w:ascii="Times New Roman" w:hAnsi="Times New Roman" w:cs="Times New Roman"/>
          <w:sz w:val="24"/>
          <w:szCs w:val="24"/>
          <w:lang w:val="en-US"/>
        </w:rPr>
        <w:t xml:space="preserve">igh </w:t>
      </w:r>
      <w:r w:rsidR="0041265D">
        <w:rPr>
          <w:rFonts w:ascii="Times New Roman" w:hAnsi="Times New Roman" w:cs="Times New Roman"/>
          <w:sz w:val="24"/>
          <w:szCs w:val="24"/>
          <w:lang w:val="en-US"/>
        </w:rPr>
        <w:t>p</w:t>
      </w:r>
      <w:r w:rsidRPr="00FE2024">
        <w:rPr>
          <w:rFonts w:ascii="Times New Roman" w:hAnsi="Times New Roman" w:cs="Times New Roman"/>
          <w:sz w:val="24"/>
          <w:szCs w:val="24"/>
          <w:lang w:val="en-US"/>
        </w:rPr>
        <w:t>ractice category. These results indicate that administrators consistently demonstrate strong practices across all dimensions, with particular strength in strategic resource management.</w:t>
      </w:r>
    </w:p>
    <w:p w14:paraId="3946D467" w14:textId="77777777" w:rsidR="00FE2024" w:rsidRPr="00FE2024"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The findings suggest that resource generation is not treated as a peripheral task but as a deliberate leadership function. Administrators combine planning, instructional focus, expectation‑setting, and collaboration to sustain school operations and program implementation. This pattern reflects the resource‑oriented leadership perspective of Toledo (2025), which emphasizes that deliberate planning and stakeholder engagement enhance the effectiveness of school initiatives. In practice, administrators align school needs with available support, direct resources toward learning priorities, and engage stakeholders to strengthen school‑based programs.</w:t>
      </w:r>
    </w:p>
    <w:p w14:paraId="0ADDCAEA" w14:textId="34E23193" w:rsidR="0022325B" w:rsidRPr="0022325B" w:rsidRDefault="00FE2024" w:rsidP="00FE2024">
      <w:pPr>
        <w:spacing w:line="240" w:lineRule="auto"/>
        <w:jc w:val="both"/>
        <w:rPr>
          <w:rFonts w:ascii="Times New Roman" w:hAnsi="Times New Roman" w:cs="Times New Roman"/>
          <w:sz w:val="24"/>
          <w:szCs w:val="24"/>
          <w:lang w:val="en-US"/>
        </w:rPr>
      </w:pPr>
      <w:r w:rsidRPr="00FE2024">
        <w:rPr>
          <w:rFonts w:ascii="Times New Roman" w:hAnsi="Times New Roman" w:cs="Times New Roman"/>
          <w:sz w:val="24"/>
          <w:szCs w:val="24"/>
          <w:lang w:val="en-US"/>
        </w:rPr>
        <w:t>Anchored in resource dependence theory (Pfeffer &amp; Salancik, 2017), the results highlight that organizations must secure and manage external resources to sustain goals and maintain effectiveness. In this study, administrators with stronger resource generation capabilities were better able to support Brigada Eskwela by mobilizing financial, human, and material resources. This capability strengthens educational program implementation by reducing resource constraints and sustaining activities, thereby enhancing the school’s capacity to meet DepEd mandates. The findings affirm that resource generation capability is a critical predictor of program success in the Division of Bukidnon (Rosel et al., 2023; Famero, 2024).</w:t>
      </w:r>
    </w:p>
    <w:p w14:paraId="016DC408" w14:textId="0B79AEF7" w:rsidR="00347DA8" w:rsidRPr="008B3AA2" w:rsidRDefault="00347DA8" w:rsidP="00347DA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2 L</w:t>
      </w:r>
      <w:r w:rsidRPr="008B3AA2">
        <w:rPr>
          <w:rFonts w:ascii="Times New Roman" w:hAnsi="Times New Roman" w:cs="Times New Roman"/>
          <w:sz w:val="24"/>
          <w:szCs w:val="24"/>
          <w:lang w:val="en-US"/>
        </w:rPr>
        <w:t xml:space="preserve">evel of </w:t>
      </w:r>
      <w:r>
        <w:rPr>
          <w:rFonts w:ascii="Times New Roman" w:hAnsi="Times New Roman" w:cs="Times New Roman"/>
          <w:sz w:val="24"/>
          <w:szCs w:val="24"/>
          <w:lang w:val="en-US"/>
        </w:rPr>
        <w:t>Adaptive Leadership</w:t>
      </w:r>
      <w:r w:rsidRPr="008B3AA2">
        <w:rPr>
          <w:rFonts w:ascii="Times New Roman" w:hAnsi="Times New Roman" w:cs="Times New Roman"/>
          <w:sz w:val="24"/>
          <w:szCs w:val="24"/>
          <w:lang w:val="en-US"/>
        </w:rPr>
        <w:t xml:space="preserve"> of School Administrators</w:t>
      </w:r>
    </w:p>
    <w:tbl>
      <w:tblPr>
        <w:tblStyle w:val="TableGrid"/>
        <w:tblW w:w="0" w:type="auto"/>
        <w:tblLook w:val="04A0" w:firstRow="1" w:lastRow="0" w:firstColumn="1" w:lastColumn="0" w:noHBand="0" w:noVBand="1"/>
      </w:tblPr>
      <w:tblGrid>
        <w:gridCol w:w="3114"/>
        <w:gridCol w:w="2693"/>
        <w:gridCol w:w="2410"/>
        <w:gridCol w:w="3118"/>
      </w:tblGrid>
      <w:tr w:rsidR="00347DA8" w:rsidRPr="00347DA8" w14:paraId="59E5946A" w14:textId="77777777" w:rsidTr="001D6DD8">
        <w:tc>
          <w:tcPr>
            <w:tcW w:w="3114" w:type="dxa"/>
          </w:tcPr>
          <w:p w14:paraId="6B061CE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Sub-variable</w:t>
            </w:r>
          </w:p>
        </w:tc>
        <w:tc>
          <w:tcPr>
            <w:tcW w:w="2693" w:type="dxa"/>
          </w:tcPr>
          <w:p w14:paraId="6490AEE0" w14:textId="77777777" w:rsidR="00347DA8" w:rsidRPr="00347DA8" w:rsidRDefault="00347DA8" w:rsidP="001D6DD8">
            <w:pPr>
              <w:jc w:val="center"/>
              <w:rPr>
                <w:rFonts w:ascii="Times New Roman" w:hAnsi="Times New Roman" w:cs="Times New Roman"/>
                <w:sz w:val="24"/>
                <w:szCs w:val="24"/>
                <w:lang w:val="en-US"/>
              </w:rPr>
            </w:pPr>
            <w:r w:rsidRPr="00347DA8">
              <w:rPr>
                <w:rFonts w:ascii="Times New Roman" w:hAnsi="Times New Roman" w:cs="Times New Roman"/>
                <w:sz w:val="24"/>
                <w:szCs w:val="24"/>
                <w:lang w:val="en-US"/>
              </w:rPr>
              <w:t>Mean</w:t>
            </w:r>
          </w:p>
        </w:tc>
        <w:tc>
          <w:tcPr>
            <w:tcW w:w="2410" w:type="dxa"/>
          </w:tcPr>
          <w:p w14:paraId="1D91B9A5"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Descriptive Rating</w:t>
            </w:r>
          </w:p>
        </w:tc>
        <w:tc>
          <w:tcPr>
            <w:tcW w:w="3118" w:type="dxa"/>
          </w:tcPr>
          <w:p w14:paraId="7A8BA27D" w14:textId="77777777" w:rsidR="00347DA8" w:rsidRPr="00347DA8" w:rsidRDefault="00347DA8" w:rsidP="001D6DD8">
            <w:pPr>
              <w:jc w:val="both"/>
              <w:rPr>
                <w:rFonts w:ascii="Times New Roman" w:hAnsi="Times New Roman" w:cs="Times New Roman"/>
                <w:sz w:val="24"/>
                <w:szCs w:val="24"/>
                <w:lang w:val="en-US"/>
              </w:rPr>
            </w:pPr>
            <w:r w:rsidRPr="00347DA8">
              <w:rPr>
                <w:rFonts w:ascii="Times New Roman" w:hAnsi="Times New Roman" w:cs="Times New Roman"/>
                <w:sz w:val="24"/>
                <w:szCs w:val="24"/>
                <w:lang w:val="en-US"/>
              </w:rPr>
              <w:t>Qualitative Interpretation</w:t>
            </w:r>
          </w:p>
        </w:tc>
      </w:tr>
      <w:tr w:rsidR="00347DA8" w:rsidRPr="00347DA8" w14:paraId="69AFEBAE" w14:textId="77777777" w:rsidTr="001D6DD8">
        <w:tc>
          <w:tcPr>
            <w:tcW w:w="3114" w:type="dxa"/>
          </w:tcPr>
          <w:p w14:paraId="6A797503" w14:textId="668923A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Flexibility in decision-making</w:t>
            </w:r>
          </w:p>
        </w:tc>
        <w:tc>
          <w:tcPr>
            <w:tcW w:w="2693" w:type="dxa"/>
          </w:tcPr>
          <w:p w14:paraId="508AD7AB" w14:textId="362A553A"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4.80</w:t>
            </w:r>
          </w:p>
        </w:tc>
        <w:tc>
          <w:tcPr>
            <w:tcW w:w="2410" w:type="dxa"/>
          </w:tcPr>
          <w:p w14:paraId="7980A451" w14:textId="1114607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572CB887" w14:textId="55C4CF1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44680BCE" w14:textId="77777777" w:rsidTr="001D6DD8">
        <w:tc>
          <w:tcPr>
            <w:tcW w:w="3114" w:type="dxa"/>
          </w:tcPr>
          <w:p w14:paraId="1CF16DD8" w14:textId="7A4A028A"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Innovative practices</w:t>
            </w:r>
          </w:p>
        </w:tc>
        <w:tc>
          <w:tcPr>
            <w:tcW w:w="2693" w:type="dxa"/>
          </w:tcPr>
          <w:p w14:paraId="750FC611" w14:textId="04507022"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4.76</w:t>
            </w:r>
          </w:p>
        </w:tc>
        <w:tc>
          <w:tcPr>
            <w:tcW w:w="2410" w:type="dxa"/>
          </w:tcPr>
          <w:p w14:paraId="792E68C4" w14:textId="1CEA6F8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04762B4E" w14:textId="68C5DAE5"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3D06AC57" w14:textId="77777777" w:rsidTr="001D6DD8">
        <w:tc>
          <w:tcPr>
            <w:tcW w:w="3114" w:type="dxa"/>
          </w:tcPr>
          <w:p w14:paraId="6699A7B7" w14:textId="096B74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Emotional resilience</w:t>
            </w:r>
          </w:p>
        </w:tc>
        <w:tc>
          <w:tcPr>
            <w:tcW w:w="2693" w:type="dxa"/>
          </w:tcPr>
          <w:p w14:paraId="2FC3F511" w14:textId="7A57E57C"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4.73</w:t>
            </w:r>
          </w:p>
        </w:tc>
        <w:tc>
          <w:tcPr>
            <w:tcW w:w="2410" w:type="dxa"/>
          </w:tcPr>
          <w:p w14:paraId="0B9D6200" w14:textId="190BBA43"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2FC53ECB" w14:textId="71F56BB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18C7AC1" w14:textId="77777777" w:rsidTr="001D6DD8">
        <w:tc>
          <w:tcPr>
            <w:tcW w:w="3114" w:type="dxa"/>
          </w:tcPr>
          <w:p w14:paraId="440E6118" w14:textId="6F31267C"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Proactive problem-solving</w:t>
            </w:r>
          </w:p>
        </w:tc>
        <w:tc>
          <w:tcPr>
            <w:tcW w:w="2693" w:type="dxa"/>
          </w:tcPr>
          <w:p w14:paraId="76AFA73D" w14:textId="4B9E6473"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4.70</w:t>
            </w:r>
          </w:p>
        </w:tc>
        <w:tc>
          <w:tcPr>
            <w:tcW w:w="2410" w:type="dxa"/>
          </w:tcPr>
          <w:p w14:paraId="4BAFC0FA" w14:textId="16805DE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308B0D5D" w14:textId="55A0383E"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r w:rsidR="00347DA8" w:rsidRPr="00347DA8" w14:paraId="608A50AB" w14:textId="77777777" w:rsidTr="001D6DD8">
        <w:tc>
          <w:tcPr>
            <w:tcW w:w="3114" w:type="dxa"/>
          </w:tcPr>
          <w:p w14:paraId="7CF80D05" w14:textId="7E9A98FB"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Overall Mean</w:t>
            </w:r>
          </w:p>
        </w:tc>
        <w:tc>
          <w:tcPr>
            <w:tcW w:w="2693" w:type="dxa"/>
          </w:tcPr>
          <w:p w14:paraId="53187B44" w14:textId="0BEBDC0F" w:rsidR="00347DA8" w:rsidRPr="00347DA8" w:rsidRDefault="00347DA8" w:rsidP="00347DA8">
            <w:pPr>
              <w:jc w:val="center"/>
              <w:rPr>
                <w:rFonts w:ascii="Times New Roman" w:hAnsi="Times New Roman" w:cs="Times New Roman"/>
                <w:sz w:val="24"/>
                <w:szCs w:val="24"/>
                <w:lang w:val="en-US"/>
              </w:rPr>
            </w:pPr>
            <w:r w:rsidRPr="00347DA8">
              <w:rPr>
                <w:rFonts w:ascii="Times New Roman" w:hAnsi="Times New Roman" w:cs="Times New Roman"/>
                <w:color w:val="0D0D0D" w:themeColor="text1" w:themeTint="F2"/>
                <w:sz w:val="24"/>
                <w:szCs w:val="24"/>
              </w:rPr>
              <w:t>4.75</w:t>
            </w:r>
          </w:p>
        </w:tc>
        <w:tc>
          <w:tcPr>
            <w:tcW w:w="2410" w:type="dxa"/>
          </w:tcPr>
          <w:p w14:paraId="6D3DC2AE" w14:textId="7265DD2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Always</w:t>
            </w:r>
          </w:p>
        </w:tc>
        <w:tc>
          <w:tcPr>
            <w:tcW w:w="3118" w:type="dxa"/>
          </w:tcPr>
          <w:p w14:paraId="75628B63" w14:textId="48E0FEE0" w:rsidR="00347DA8" w:rsidRPr="00347DA8" w:rsidRDefault="00347DA8" w:rsidP="00347DA8">
            <w:pPr>
              <w:jc w:val="both"/>
              <w:rPr>
                <w:rFonts w:ascii="Times New Roman" w:hAnsi="Times New Roman" w:cs="Times New Roman"/>
                <w:sz w:val="24"/>
                <w:szCs w:val="24"/>
                <w:lang w:val="en-US"/>
              </w:rPr>
            </w:pPr>
            <w:r w:rsidRPr="00347DA8">
              <w:rPr>
                <w:rFonts w:ascii="Times New Roman" w:hAnsi="Times New Roman" w:cs="Times New Roman"/>
                <w:sz w:val="24"/>
                <w:szCs w:val="24"/>
              </w:rPr>
              <w:t>Very High</w:t>
            </w:r>
          </w:p>
        </w:tc>
      </w:tr>
    </w:tbl>
    <w:p w14:paraId="2D501829" w14:textId="4ECE27CD" w:rsidR="006C5ADC" w:rsidRPr="006C5ADC" w:rsidRDefault="006C5ADC" w:rsidP="006C5AD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2 </w:t>
      </w:r>
      <w:r w:rsidRPr="006C5ADC">
        <w:rPr>
          <w:rFonts w:ascii="Times New Roman" w:hAnsi="Times New Roman" w:cs="Times New Roman"/>
          <w:sz w:val="24"/>
          <w:szCs w:val="24"/>
          <w:lang w:val="en-US"/>
        </w:rPr>
        <w:t xml:space="preserve">shows that the overall mean score for adaptive leadership among school administrators was 4.75, interpreted as Always and Very High. Flexibility in decision‑making obtained the highest mean of </w:t>
      </w:r>
      <w:r>
        <w:rPr>
          <w:rFonts w:ascii="Times New Roman" w:hAnsi="Times New Roman" w:cs="Times New Roman"/>
          <w:sz w:val="24"/>
          <w:szCs w:val="24"/>
          <w:lang w:val="en-US"/>
        </w:rPr>
        <w:t>(</w:t>
      </w:r>
      <w:r w:rsidRPr="006C5ADC">
        <w:rPr>
          <w:rFonts w:ascii="Times New Roman" w:hAnsi="Times New Roman" w:cs="Times New Roman"/>
          <w:sz w:val="24"/>
          <w:szCs w:val="24"/>
          <w:lang w:val="en-US"/>
        </w:rPr>
        <w:t>4.80</w:t>
      </w:r>
      <w:r>
        <w:rPr>
          <w:rFonts w:ascii="Times New Roman" w:hAnsi="Times New Roman" w:cs="Times New Roman"/>
          <w:sz w:val="24"/>
          <w:szCs w:val="24"/>
          <w:lang w:val="en-US"/>
        </w:rPr>
        <w:t>)</w:t>
      </w:r>
      <w:r w:rsidRPr="006C5ADC">
        <w:rPr>
          <w:rFonts w:ascii="Times New Roman" w:hAnsi="Times New Roman" w:cs="Times New Roman"/>
          <w:sz w:val="24"/>
          <w:szCs w:val="24"/>
          <w:lang w:val="en-US"/>
        </w:rPr>
        <w:t>, followed by innovative practices at 4.76. Emotional resilience registered a mean of 4.73, while proactive problem‑solving had the lowest mean of 4.70, though all dimensions still fell within the Very High category.</w:t>
      </w:r>
    </w:p>
    <w:p w14:paraId="5D7E3D13" w14:textId="77777777" w:rsidR="006C5ADC" w:rsidRPr="006C5ADC"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These consistently high ratings indicate that adaptive leadership is not confined to a single behavior but is reflected in a combination of flexibility, innovation, resilience, and problem‑solving. Administrators are able to balance immediate operational demands with long‑term improvement needs, demonstrating responsiveness, initiative, and sound judgment in complex school settings.</w:t>
      </w:r>
    </w:p>
    <w:p w14:paraId="310C52D6" w14:textId="6544391A" w:rsidR="00947BEF" w:rsidRDefault="006C5ADC" w:rsidP="006C5ADC">
      <w:pPr>
        <w:spacing w:line="240" w:lineRule="auto"/>
        <w:jc w:val="both"/>
        <w:rPr>
          <w:rFonts w:ascii="Times New Roman" w:hAnsi="Times New Roman" w:cs="Times New Roman"/>
          <w:sz w:val="24"/>
          <w:szCs w:val="24"/>
          <w:lang w:val="en-US"/>
        </w:rPr>
      </w:pPr>
      <w:r w:rsidRPr="006C5ADC">
        <w:rPr>
          <w:rFonts w:ascii="Times New Roman" w:hAnsi="Times New Roman" w:cs="Times New Roman"/>
          <w:sz w:val="24"/>
          <w:szCs w:val="24"/>
          <w:lang w:val="en-US"/>
        </w:rPr>
        <w:t>The findings affirm that adaptive leadership strengthens school operations by enabling administrators to adjust to changing conditions, manage emotional demands, and introduce new approaches. This pattern supports Adaptive Leadership Theory (Heifetz, 1994; Heifetz, Grashow, &amp; Linsky, 2009), which emphasizes continuous adjustment and shared problem‑solving, and highlights its role in sustaining effective program implementation in DepEd schools, including Brigada Eskwela.</w:t>
      </w:r>
    </w:p>
    <w:p w14:paraId="4A0F8A5A" w14:textId="77777777" w:rsidR="000F76B4" w:rsidRDefault="000F76B4" w:rsidP="006C5ADC">
      <w:pPr>
        <w:spacing w:line="240" w:lineRule="auto"/>
        <w:jc w:val="both"/>
        <w:rPr>
          <w:rFonts w:ascii="Times New Roman" w:hAnsi="Times New Roman" w:cs="Times New Roman"/>
          <w:sz w:val="24"/>
          <w:szCs w:val="24"/>
          <w:lang w:val="en-US"/>
        </w:rPr>
      </w:pPr>
    </w:p>
    <w:p w14:paraId="54149971" w14:textId="77777777" w:rsidR="00C75DBE" w:rsidRDefault="00C75DBE" w:rsidP="006C5ADC">
      <w:pPr>
        <w:spacing w:line="240" w:lineRule="auto"/>
        <w:jc w:val="both"/>
        <w:rPr>
          <w:rFonts w:ascii="Times New Roman" w:hAnsi="Times New Roman" w:cs="Times New Roman"/>
          <w:sz w:val="24"/>
          <w:szCs w:val="24"/>
          <w:lang w:val="en-US"/>
        </w:rPr>
      </w:pPr>
    </w:p>
    <w:p w14:paraId="3C391A14" w14:textId="0013A12E" w:rsidR="000F76B4" w:rsidRPr="008B3AA2" w:rsidRDefault="000F76B4" w:rsidP="000F76B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 L</w:t>
      </w:r>
      <w:r w:rsidRPr="008B3AA2">
        <w:rPr>
          <w:rFonts w:ascii="Times New Roman" w:hAnsi="Times New Roman" w:cs="Times New Roman"/>
          <w:sz w:val="24"/>
          <w:szCs w:val="24"/>
          <w:lang w:val="en-US"/>
        </w:rPr>
        <w:t xml:space="preserve">evel of </w:t>
      </w:r>
      <w:r>
        <w:rPr>
          <w:rFonts w:ascii="Times New Roman" w:hAnsi="Times New Roman" w:cs="Times New Roman"/>
          <w:sz w:val="24"/>
          <w:szCs w:val="24"/>
          <w:lang w:val="en-US"/>
        </w:rPr>
        <w:t xml:space="preserve">Education Implementation Program </w:t>
      </w:r>
      <w:r w:rsidRPr="008B3AA2">
        <w:rPr>
          <w:rFonts w:ascii="Times New Roman" w:hAnsi="Times New Roman" w:cs="Times New Roman"/>
          <w:sz w:val="24"/>
          <w:szCs w:val="24"/>
          <w:lang w:val="en-US"/>
        </w:rPr>
        <w:t>of School Administrators</w:t>
      </w:r>
    </w:p>
    <w:tbl>
      <w:tblPr>
        <w:tblStyle w:val="TableGrid"/>
        <w:tblW w:w="11477" w:type="dxa"/>
        <w:tblLook w:val="04A0" w:firstRow="1" w:lastRow="0" w:firstColumn="1" w:lastColumn="0" w:noHBand="0" w:noVBand="1"/>
      </w:tblPr>
      <w:tblGrid>
        <w:gridCol w:w="3823"/>
        <w:gridCol w:w="2126"/>
        <w:gridCol w:w="2410"/>
        <w:gridCol w:w="3118"/>
      </w:tblGrid>
      <w:tr w:rsidR="000F76B4" w:rsidRPr="00C75DBE" w14:paraId="6350C57C" w14:textId="77777777" w:rsidTr="00C75DBE">
        <w:tc>
          <w:tcPr>
            <w:tcW w:w="3823" w:type="dxa"/>
          </w:tcPr>
          <w:p w14:paraId="75AA3EE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Sub-variable</w:t>
            </w:r>
          </w:p>
        </w:tc>
        <w:tc>
          <w:tcPr>
            <w:tcW w:w="2126" w:type="dxa"/>
          </w:tcPr>
          <w:p w14:paraId="1F3B9190" w14:textId="77777777" w:rsidR="000F76B4" w:rsidRPr="00C75DBE" w:rsidRDefault="000F76B4" w:rsidP="001D6DD8">
            <w:pPr>
              <w:jc w:val="center"/>
              <w:rPr>
                <w:rFonts w:ascii="Times New Roman" w:hAnsi="Times New Roman" w:cs="Times New Roman"/>
                <w:sz w:val="24"/>
                <w:szCs w:val="24"/>
                <w:lang w:val="en-US"/>
              </w:rPr>
            </w:pPr>
            <w:r w:rsidRPr="00C75DBE">
              <w:rPr>
                <w:rFonts w:ascii="Times New Roman" w:hAnsi="Times New Roman" w:cs="Times New Roman"/>
                <w:sz w:val="24"/>
                <w:szCs w:val="24"/>
                <w:lang w:val="en-US"/>
              </w:rPr>
              <w:t>Mean</w:t>
            </w:r>
          </w:p>
        </w:tc>
        <w:tc>
          <w:tcPr>
            <w:tcW w:w="2410" w:type="dxa"/>
          </w:tcPr>
          <w:p w14:paraId="4B4C07F8"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Descriptive Rating</w:t>
            </w:r>
          </w:p>
        </w:tc>
        <w:tc>
          <w:tcPr>
            <w:tcW w:w="3118" w:type="dxa"/>
          </w:tcPr>
          <w:p w14:paraId="3EDA99F3" w14:textId="77777777" w:rsidR="000F76B4" w:rsidRPr="00C75DBE" w:rsidRDefault="000F76B4" w:rsidP="001D6DD8">
            <w:pPr>
              <w:jc w:val="both"/>
              <w:rPr>
                <w:rFonts w:ascii="Times New Roman" w:hAnsi="Times New Roman" w:cs="Times New Roman"/>
                <w:sz w:val="24"/>
                <w:szCs w:val="24"/>
                <w:lang w:val="en-US"/>
              </w:rPr>
            </w:pPr>
            <w:r w:rsidRPr="00C75DBE">
              <w:rPr>
                <w:rFonts w:ascii="Times New Roman" w:hAnsi="Times New Roman" w:cs="Times New Roman"/>
                <w:sz w:val="24"/>
                <w:szCs w:val="24"/>
                <w:lang w:val="en-US"/>
              </w:rPr>
              <w:t>Qualitative Interpretation</w:t>
            </w:r>
          </w:p>
        </w:tc>
      </w:tr>
      <w:tr w:rsidR="00C75DBE" w:rsidRPr="00C75DBE" w14:paraId="6330B4AD" w14:textId="77777777" w:rsidTr="00C75DBE">
        <w:tc>
          <w:tcPr>
            <w:tcW w:w="3823" w:type="dxa"/>
          </w:tcPr>
          <w:p w14:paraId="4C7CD3A7" w14:textId="7332A511"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Program planning and organization</w:t>
            </w:r>
          </w:p>
        </w:tc>
        <w:tc>
          <w:tcPr>
            <w:tcW w:w="2126" w:type="dxa"/>
          </w:tcPr>
          <w:p w14:paraId="6BD08EC6" w14:textId="78F373A2"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3B022B5B" w14:textId="2EA814CC"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D460B69" w14:textId="0132B533"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3EFF7FBA" w14:textId="77777777" w:rsidTr="00C75DBE">
        <w:tc>
          <w:tcPr>
            <w:tcW w:w="3823" w:type="dxa"/>
          </w:tcPr>
          <w:p w14:paraId="5E904283" w14:textId="115E05E6"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Monitoring, evaluation and empowerment</w:t>
            </w:r>
          </w:p>
        </w:tc>
        <w:tc>
          <w:tcPr>
            <w:tcW w:w="2126" w:type="dxa"/>
          </w:tcPr>
          <w:p w14:paraId="5F548A7B" w14:textId="5F150E03"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4.74</w:t>
            </w:r>
          </w:p>
        </w:tc>
        <w:tc>
          <w:tcPr>
            <w:tcW w:w="2410" w:type="dxa"/>
          </w:tcPr>
          <w:p w14:paraId="49518A4B" w14:textId="45C77D0B"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58333184" w14:textId="1114D907"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6BA15AE" w14:textId="77777777" w:rsidTr="00C75DBE">
        <w:tc>
          <w:tcPr>
            <w:tcW w:w="3823" w:type="dxa"/>
          </w:tcPr>
          <w:p w14:paraId="6AD3D630" w14:textId="67D6A6B3" w:rsidR="00C75DBE" w:rsidRPr="00C75DBE" w:rsidRDefault="00C75DBE" w:rsidP="004035F6">
            <w:pP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Resource mobilization and support</w:t>
            </w:r>
          </w:p>
        </w:tc>
        <w:tc>
          <w:tcPr>
            <w:tcW w:w="2126" w:type="dxa"/>
          </w:tcPr>
          <w:p w14:paraId="5BCCE48D" w14:textId="30C613F8"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5E68CB77" w14:textId="39F8DCFF"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755270B0" w14:textId="1B42FC8E"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r w:rsidR="00C75DBE" w:rsidRPr="00C75DBE" w14:paraId="7F6BD4FA" w14:textId="77777777" w:rsidTr="00C75DBE">
        <w:tc>
          <w:tcPr>
            <w:tcW w:w="3823" w:type="dxa"/>
          </w:tcPr>
          <w:p w14:paraId="5BDEBD41" w14:textId="73DF85DC"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Overall Mean</w:t>
            </w:r>
          </w:p>
        </w:tc>
        <w:tc>
          <w:tcPr>
            <w:tcW w:w="2126" w:type="dxa"/>
          </w:tcPr>
          <w:p w14:paraId="0B0F48FF" w14:textId="611F448D"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color w:val="0D0D0D" w:themeColor="text1" w:themeTint="F2"/>
                <w:sz w:val="24"/>
                <w:szCs w:val="24"/>
              </w:rPr>
              <w:t>4.73</w:t>
            </w:r>
          </w:p>
        </w:tc>
        <w:tc>
          <w:tcPr>
            <w:tcW w:w="2410" w:type="dxa"/>
          </w:tcPr>
          <w:p w14:paraId="64702511" w14:textId="0795CA57" w:rsidR="00C75DBE" w:rsidRPr="00C75DBE" w:rsidRDefault="00C75DBE" w:rsidP="00C75DBE">
            <w:pPr>
              <w:jc w:val="center"/>
              <w:rPr>
                <w:rFonts w:ascii="Times New Roman" w:hAnsi="Times New Roman" w:cs="Times New Roman"/>
                <w:sz w:val="24"/>
                <w:szCs w:val="24"/>
                <w:lang w:val="en-US"/>
              </w:rPr>
            </w:pPr>
            <w:r w:rsidRPr="00C75DBE">
              <w:rPr>
                <w:rFonts w:ascii="Times New Roman" w:hAnsi="Times New Roman" w:cs="Times New Roman"/>
                <w:sz w:val="24"/>
                <w:szCs w:val="24"/>
              </w:rPr>
              <w:t>Always</w:t>
            </w:r>
          </w:p>
        </w:tc>
        <w:tc>
          <w:tcPr>
            <w:tcW w:w="3118" w:type="dxa"/>
          </w:tcPr>
          <w:p w14:paraId="3D4AF37D" w14:textId="18801B6A" w:rsidR="00C75DBE" w:rsidRPr="00C75DBE" w:rsidRDefault="00C75DBE" w:rsidP="00C75DBE">
            <w:pPr>
              <w:jc w:val="both"/>
              <w:rPr>
                <w:rFonts w:ascii="Times New Roman" w:hAnsi="Times New Roman" w:cs="Times New Roman"/>
                <w:sz w:val="24"/>
                <w:szCs w:val="24"/>
                <w:lang w:val="en-US"/>
              </w:rPr>
            </w:pPr>
            <w:r w:rsidRPr="00C75DBE">
              <w:rPr>
                <w:rFonts w:ascii="Times New Roman" w:hAnsi="Times New Roman" w:cs="Times New Roman"/>
                <w:sz w:val="24"/>
                <w:szCs w:val="24"/>
              </w:rPr>
              <w:t>Very Highly Practice</w:t>
            </w:r>
          </w:p>
        </w:tc>
      </w:tr>
    </w:tbl>
    <w:p w14:paraId="7E117A4E" w14:textId="4E55B016"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 xml:space="preserve">Table </w:t>
      </w:r>
      <w:r>
        <w:rPr>
          <w:rFonts w:ascii="Times New Roman" w:hAnsi="Times New Roman" w:cs="Times New Roman"/>
          <w:sz w:val="24"/>
          <w:szCs w:val="24"/>
          <w:lang w:val="en-US"/>
        </w:rPr>
        <w:t xml:space="preserve">3 </w:t>
      </w:r>
      <w:r w:rsidRPr="004035F6">
        <w:rPr>
          <w:rFonts w:ascii="Times New Roman" w:hAnsi="Times New Roman" w:cs="Times New Roman"/>
          <w:sz w:val="24"/>
          <w:szCs w:val="24"/>
          <w:lang w:val="en-US"/>
        </w:rPr>
        <w:t xml:space="preserve">shows that the overall mean for educational program implementation was 4.73, interpreted as Always and </w:t>
      </w:r>
      <w:r>
        <w:rPr>
          <w:rFonts w:ascii="Times New Roman" w:hAnsi="Times New Roman" w:cs="Times New Roman"/>
          <w:sz w:val="24"/>
          <w:szCs w:val="24"/>
          <w:lang w:val="en-US"/>
        </w:rPr>
        <w:t>v</w:t>
      </w:r>
      <w:r w:rsidRPr="004035F6">
        <w:rPr>
          <w:rFonts w:ascii="Times New Roman" w:hAnsi="Times New Roman" w:cs="Times New Roman"/>
          <w:sz w:val="24"/>
          <w:szCs w:val="24"/>
          <w:lang w:val="en-US"/>
        </w:rPr>
        <w:t xml:space="preserve">ery </w:t>
      </w:r>
      <w:r>
        <w:rPr>
          <w:rFonts w:ascii="Times New Roman" w:hAnsi="Times New Roman" w:cs="Times New Roman"/>
          <w:sz w:val="24"/>
          <w:szCs w:val="24"/>
          <w:lang w:val="en-US"/>
        </w:rPr>
        <w:t>h</w:t>
      </w:r>
      <w:r w:rsidRPr="004035F6">
        <w:rPr>
          <w:rFonts w:ascii="Times New Roman" w:hAnsi="Times New Roman" w:cs="Times New Roman"/>
          <w:sz w:val="24"/>
          <w:szCs w:val="24"/>
          <w:lang w:val="en-US"/>
        </w:rPr>
        <w:t xml:space="preserve">ighly </w:t>
      </w:r>
      <w:r>
        <w:rPr>
          <w:rFonts w:ascii="Times New Roman" w:hAnsi="Times New Roman" w:cs="Times New Roman"/>
          <w:sz w:val="24"/>
          <w:szCs w:val="24"/>
          <w:lang w:val="en-US"/>
        </w:rPr>
        <w:t>p</w:t>
      </w:r>
      <w:r w:rsidRPr="004035F6">
        <w:rPr>
          <w:rFonts w:ascii="Times New Roman" w:hAnsi="Times New Roman" w:cs="Times New Roman"/>
          <w:sz w:val="24"/>
          <w:szCs w:val="24"/>
          <w:lang w:val="en-US"/>
        </w:rPr>
        <w:t>racticed. Program planning and organization and monitoring, evaluation, and empowerment both obtained the highest mean of 4.74, while resource mobilization and support followed closely at 4.73. All indicators fall within the Very High category, confirming that administrators consistently demonstrate strong implementation practices.</w:t>
      </w:r>
    </w:p>
    <w:p w14:paraId="058B7F51" w14:textId="77777777" w:rsidR="004035F6"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The results suggest that implementation is sustained through coherent planning, systematic monitoring, and responsible resource support. This aligns with literature describing program implementation as the translation of policies and plans into actual school practices, with quality depending on leadership support, stakeholder involvement, and resource availability (Penuel &amp; Fishman, 2020; Datnow &amp; Park, 2021). Studies further indicate that implementation improves when programs are adapted to the school context and when leaders coordinate effectively with stakeholders (Andrada, 2022; Famero, 2024; Valerio, 2023).</w:t>
      </w:r>
    </w:p>
    <w:p w14:paraId="74C20C74" w14:textId="3971398B" w:rsidR="000F76B4" w:rsidRPr="004035F6" w:rsidRDefault="004035F6" w:rsidP="004035F6">
      <w:pPr>
        <w:spacing w:line="240" w:lineRule="auto"/>
        <w:jc w:val="both"/>
        <w:rPr>
          <w:rFonts w:ascii="Times New Roman" w:hAnsi="Times New Roman" w:cs="Times New Roman"/>
          <w:sz w:val="24"/>
          <w:szCs w:val="24"/>
          <w:lang w:val="en-US"/>
        </w:rPr>
      </w:pPr>
      <w:r w:rsidRPr="004035F6">
        <w:rPr>
          <w:rFonts w:ascii="Times New Roman" w:hAnsi="Times New Roman" w:cs="Times New Roman"/>
          <w:sz w:val="24"/>
          <w:szCs w:val="24"/>
          <w:lang w:val="en-US"/>
        </w:rPr>
        <w:t>This pattern supports the view that Brigada Eskwela and other school‑based programs are most effective when planning, partnerships, monitoring, and resource support are integrated into routine operations (Rosel et al., 2023; Famero, 2024). DepEd guidance emphasizes that school leaders must sustain implementation through proactive management and stakeholder engagement (DepEd, 2022). In this context, administrators’ strong performance reflects the combined effect of adaptive leadership, collaborative planning, and resource mobilization in ensuring effective program delivery in DepEd Bukidnon.</w:t>
      </w:r>
    </w:p>
    <w:p w14:paraId="21FB5BCC" w14:textId="5D48998F" w:rsidR="006A2E10" w:rsidRPr="008B3AA2" w:rsidRDefault="006A2E10" w:rsidP="006A2E1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 </w:t>
      </w:r>
      <w:r w:rsidRPr="006A2E10">
        <w:rPr>
          <w:rFonts w:ascii="Times New Roman" w:hAnsi="Times New Roman" w:cs="Times New Roman"/>
          <w:sz w:val="24"/>
          <w:szCs w:val="24"/>
          <w:lang w:val="en-US"/>
        </w:rPr>
        <w:t xml:space="preserve">Correlation Analysis of Resource Generation Capability and Adaptive Leadership </w:t>
      </w:r>
      <w:r>
        <w:rPr>
          <w:rFonts w:ascii="Times New Roman" w:hAnsi="Times New Roman" w:cs="Times New Roman"/>
          <w:sz w:val="24"/>
          <w:szCs w:val="24"/>
          <w:lang w:val="en-US"/>
        </w:rPr>
        <w:t>on</w:t>
      </w:r>
      <w:r w:rsidRPr="006A2E10">
        <w:rPr>
          <w:rFonts w:ascii="Times New Roman" w:hAnsi="Times New Roman" w:cs="Times New Roman"/>
          <w:sz w:val="24"/>
          <w:szCs w:val="24"/>
          <w:lang w:val="en-US"/>
        </w:rPr>
        <w:t xml:space="preserve"> the Educational Program Implementation of the School Administrators</w:t>
      </w:r>
    </w:p>
    <w:tbl>
      <w:tblPr>
        <w:tblStyle w:val="TableGrid"/>
        <w:tblW w:w="11335" w:type="dxa"/>
        <w:tblLook w:val="04A0" w:firstRow="1" w:lastRow="0" w:firstColumn="1" w:lastColumn="0" w:noHBand="0" w:noVBand="1"/>
      </w:tblPr>
      <w:tblGrid>
        <w:gridCol w:w="3798"/>
        <w:gridCol w:w="3710"/>
        <w:gridCol w:w="3827"/>
      </w:tblGrid>
      <w:tr w:rsidR="006A2E10" w:rsidRPr="009976E0" w14:paraId="4E1C91DD" w14:textId="77777777" w:rsidTr="006E7A16">
        <w:tc>
          <w:tcPr>
            <w:tcW w:w="3798" w:type="dxa"/>
          </w:tcPr>
          <w:p w14:paraId="0EDF6683" w14:textId="40F6D7E8" w:rsidR="006A2E10" w:rsidRPr="009976E0" w:rsidRDefault="006A2E10" w:rsidP="001D6DD8">
            <w:pPr>
              <w:rPr>
                <w:rFonts w:ascii="Times New Roman" w:hAnsi="Times New Roman" w:cs="Times New Roman"/>
                <w:sz w:val="24"/>
                <w:szCs w:val="24"/>
                <w:lang w:val="en-US"/>
              </w:rPr>
            </w:pPr>
          </w:p>
        </w:tc>
        <w:tc>
          <w:tcPr>
            <w:tcW w:w="7537" w:type="dxa"/>
            <w:gridSpan w:val="2"/>
          </w:tcPr>
          <w:p w14:paraId="7B9C6CC1" w14:textId="1AAFBE6E" w:rsidR="006A2E10" w:rsidRPr="009976E0" w:rsidRDefault="006A2E10" w:rsidP="001D6DD8">
            <w:pPr>
              <w:jc w:val="center"/>
              <w:rPr>
                <w:rFonts w:ascii="Times New Roman" w:hAnsi="Times New Roman" w:cs="Times New Roman"/>
                <w:sz w:val="24"/>
                <w:szCs w:val="24"/>
                <w:lang w:val="en-US"/>
              </w:rPr>
            </w:pPr>
            <w:r w:rsidRPr="009976E0">
              <w:rPr>
                <w:rFonts w:ascii="Times New Roman" w:hAnsi="Times New Roman" w:cs="Times New Roman"/>
                <w:sz w:val="24"/>
                <w:szCs w:val="24"/>
                <w:lang w:val="en-US"/>
              </w:rPr>
              <w:t>Educational Program Implementation</w:t>
            </w:r>
          </w:p>
        </w:tc>
      </w:tr>
      <w:tr w:rsidR="006A2E10" w:rsidRPr="009976E0" w14:paraId="7998F259" w14:textId="77777777" w:rsidTr="006A2E10">
        <w:tc>
          <w:tcPr>
            <w:tcW w:w="3798" w:type="dxa"/>
          </w:tcPr>
          <w:p w14:paraId="3914B2D6" w14:textId="7D050746" w:rsidR="006A2E10" w:rsidRPr="009976E0" w:rsidRDefault="009976E0" w:rsidP="009976E0">
            <w:pPr>
              <w:jc w:val="center"/>
              <w:rPr>
                <w:rFonts w:ascii="Times New Roman" w:hAnsi="Times New Roman" w:cs="Times New Roman"/>
                <w:b/>
                <w:bCs/>
                <w:sz w:val="24"/>
                <w:szCs w:val="24"/>
                <w:lang w:val="en-US"/>
              </w:rPr>
            </w:pPr>
            <w:r w:rsidRPr="009976E0">
              <w:rPr>
                <w:rFonts w:ascii="Times New Roman" w:hAnsi="Times New Roman" w:cs="Times New Roman"/>
                <w:b/>
                <w:bCs/>
                <w:sz w:val="24"/>
                <w:szCs w:val="24"/>
                <w:lang w:val="en-US"/>
              </w:rPr>
              <w:t>Variables</w:t>
            </w:r>
          </w:p>
        </w:tc>
        <w:tc>
          <w:tcPr>
            <w:tcW w:w="3710" w:type="dxa"/>
          </w:tcPr>
          <w:p w14:paraId="6A1D96A1" w14:textId="00EC7497"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R-VALUE</w:t>
            </w:r>
          </w:p>
        </w:tc>
        <w:tc>
          <w:tcPr>
            <w:tcW w:w="3827" w:type="dxa"/>
          </w:tcPr>
          <w:p w14:paraId="0C2884FE" w14:textId="0A4183E0" w:rsidR="006A2E10" w:rsidRPr="009976E0" w:rsidRDefault="006A2E10" w:rsidP="006A2E10">
            <w:pPr>
              <w:jc w:val="center"/>
              <w:rPr>
                <w:rFonts w:ascii="Times New Roman" w:hAnsi="Times New Roman" w:cs="Times New Roman"/>
                <w:b/>
                <w:bCs/>
                <w:sz w:val="24"/>
                <w:szCs w:val="24"/>
                <w:lang w:val="en-US"/>
              </w:rPr>
            </w:pPr>
            <w:r w:rsidRPr="009976E0">
              <w:rPr>
                <w:rFonts w:ascii="Times New Roman" w:eastAsia="Calibri" w:hAnsi="Times New Roman" w:cs="Times New Roman"/>
                <w:b/>
                <w:bCs/>
                <w:sz w:val="24"/>
                <w:szCs w:val="24"/>
              </w:rPr>
              <w:t>PROBABILITY</w:t>
            </w:r>
          </w:p>
        </w:tc>
      </w:tr>
      <w:tr w:rsidR="006A2E10" w:rsidRPr="009976E0" w14:paraId="734FDA64" w14:textId="77777777" w:rsidTr="006A2E10">
        <w:tc>
          <w:tcPr>
            <w:tcW w:w="3798" w:type="dxa"/>
          </w:tcPr>
          <w:p w14:paraId="7B962781" w14:textId="0E6CD2A4"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Resource Generation Capability</w:t>
            </w:r>
          </w:p>
        </w:tc>
        <w:tc>
          <w:tcPr>
            <w:tcW w:w="3710" w:type="dxa"/>
          </w:tcPr>
          <w:p w14:paraId="4A7684B6" w14:textId="7FD9874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.464</w:t>
            </w:r>
          </w:p>
        </w:tc>
        <w:tc>
          <w:tcPr>
            <w:tcW w:w="3827" w:type="dxa"/>
          </w:tcPr>
          <w:p w14:paraId="3FCE15E8" w14:textId="572778A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BB09BEA" w14:textId="77777777" w:rsidTr="006A2E10">
        <w:tc>
          <w:tcPr>
            <w:tcW w:w="3798" w:type="dxa"/>
          </w:tcPr>
          <w:p w14:paraId="597A2CA8" w14:textId="204BCC2D"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Setting expectations</w:t>
            </w:r>
          </w:p>
        </w:tc>
        <w:tc>
          <w:tcPr>
            <w:tcW w:w="3710" w:type="dxa"/>
          </w:tcPr>
          <w:p w14:paraId="3F100C76" w14:textId="16E48E5A"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.369</w:t>
            </w:r>
          </w:p>
        </w:tc>
        <w:tc>
          <w:tcPr>
            <w:tcW w:w="3827" w:type="dxa"/>
          </w:tcPr>
          <w:p w14:paraId="65BAE621" w14:textId="5935C86B"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0697F008" w14:textId="77777777" w:rsidTr="006A2E10">
        <w:tc>
          <w:tcPr>
            <w:tcW w:w="3798" w:type="dxa"/>
          </w:tcPr>
          <w:p w14:paraId="76C91D17" w14:textId="7F5693C6"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Focusing on learning</w:t>
            </w:r>
          </w:p>
        </w:tc>
        <w:tc>
          <w:tcPr>
            <w:tcW w:w="3710" w:type="dxa"/>
          </w:tcPr>
          <w:p w14:paraId="1C6DFC89" w14:textId="37700A2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.236</w:t>
            </w:r>
          </w:p>
        </w:tc>
        <w:tc>
          <w:tcPr>
            <w:tcW w:w="3827" w:type="dxa"/>
          </w:tcPr>
          <w:p w14:paraId="427DCCF1" w14:textId="6041E09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248903F9" w14:textId="77777777" w:rsidTr="006A2E10">
        <w:tc>
          <w:tcPr>
            <w:tcW w:w="3798" w:type="dxa"/>
          </w:tcPr>
          <w:p w14:paraId="0DE02752" w14:textId="5A52E98F"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Fostering collaboration</w:t>
            </w:r>
          </w:p>
        </w:tc>
        <w:tc>
          <w:tcPr>
            <w:tcW w:w="3710" w:type="dxa"/>
          </w:tcPr>
          <w:p w14:paraId="6B51220B" w14:textId="39D6FCD3"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.328</w:t>
            </w:r>
          </w:p>
        </w:tc>
        <w:tc>
          <w:tcPr>
            <w:tcW w:w="3827" w:type="dxa"/>
          </w:tcPr>
          <w:p w14:paraId="2293F51C" w14:textId="07ADF762"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36AB95FF" w14:textId="77777777" w:rsidTr="006A2E10">
        <w:tc>
          <w:tcPr>
            <w:tcW w:w="3798" w:type="dxa"/>
          </w:tcPr>
          <w:p w14:paraId="376A207A" w14:textId="37F81E14" w:rsidR="006A2E10" w:rsidRPr="009976E0" w:rsidRDefault="006A2E10" w:rsidP="009976E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Managing resources     strategically</w:t>
            </w:r>
          </w:p>
        </w:tc>
        <w:tc>
          <w:tcPr>
            <w:tcW w:w="3710" w:type="dxa"/>
          </w:tcPr>
          <w:p w14:paraId="7D6CCAEC" w14:textId="44A6B6F0"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.321</w:t>
            </w:r>
          </w:p>
        </w:tc>
        <w:tc>
          <w:tcPr>
            <w:tcW w:w="3827" w:type="dxa"/>
          </w:tcPr>
          <w:p w14:paraId="51B1C16F" w14:textId="4AC4EE94"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641A6497" w14:textId="77777777" w:rsidTr="006A2E10">
        <w:tc>
          <w:tcPr>
            <w:tcW w:w="3798" w:type="dxa"/>
          </w:tcPr>
          <w:p w14:paraId="280E3EB6" w14:textId="000171F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Adaptive Leadership</w:t>
            </w:r>
          </w:p>
        </w:tc>
        <w:tc>
          <w:tcPr>
            <w:tcW w:w="3710" w:type="dxa"/>
          </w:tcPr>
          <w:p w14:paraId="45889B51" w14:textId="527EE906"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.481</w:t>
            </w:r>
          </w:p>
        </w:tc>
        <w:tc>
          <w:tcPr>
            <w:tcW w:w="3827" w:type="dxa"/>
          </w:tcPr>
          <w:p w14:paraId="24BB4C0B" w14:textId="69BE7D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EAA4416" w14:textId="77777777" w:rsidTr="006A2E10">
        <w:tc>
          <w:tcPr>
            <w:tcW w:w="3798" w:type="dxa"/>
          </w:tcPr>
          <w:p w14:paraId="6391E851" w14:textId="4BE2460F" w:rsidR="006A2E10" w:rsidRPr="009976E0" w:rsidRDefault="006A2E10" w:rsidP="006A2E10">
            <w:pPr>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Flexibility in decision-making</w:t>
            </w:r>
          </w:p>
        </w:tc>
        <w:tc>
          <w:tcPr>
            <w:tcW w:w="3710" w:type="dxa"/>
          </w:tcPr>
          <w:p w14:paraId="6F8A681B" w14:textId="42A6991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.334</w:t>
            </w:r>
          </w:p>
        </w:tc>
        <w:tc>
          <w:tcPr>
            <w:tcW w:w="3827" w:type="dxa"/>
          </w:tcPr>
          <w:p w14:paraId="2BC8B73D" w14:textId="0C4D14C7"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AE7DC56" w14:textId="77777777" w:rsidTr="006A2E10">
        <w:tc>
          <w:tcPr>
            <w:tcW w:w="3798" w:type="dxa"/>
          </w:tcPr>
          <w:p w14:paraId="7502D3AF" w14:textId="0422D9F5"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Proactive problem-solving</w:t>
            </w:r>
          </w:p>
        </w:tc>
        <w:tc>
          <w:tcPr>
            <w:tcW w:w="3710" w:type="dxa"/>
          </w:tcPr>
          <w:p w14:paraId="087FDCA9" w14:textId="4810404E"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.270</w:t>
            </w:r>
          </w:p>
        </w:tc>
        <w:tc>
          <w:tcPr>
            <w:tcW w:w="3827" w:type="dxa"/>
          </w:tcPr>
          <w:p w14:paraId="2C40EB14" w14:textId="327FC1EF"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64A0F32" w14:textId="77777777" w:rsidTr="006A2E10">
        <w:tc>
          <w:tcPr>
            <w:tcW w:w="3798" w:type="dxa"/>
          </w:tcPr>
          <w:p w14:paraId="6543C79B" w14:textId="6A3FC03E"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Emotional resilience</w:t>
            </w:r>
          </w:p>
        </w:tc>
        <w:tc>
          <w:tcPr>
            <w:tcW w:w="3710" w:type="dxa"/>
          </w:tcPr>
          <w:p w14:paraId="744D6224" w14:textId="2ABF033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.413</w:t>
            </w:r>
          </w:p>
        </w:tc>
        <w:tc>
          <w:tcPr>
            <w:tcW w:w="3827" w:type="dxa"/>
          </w:tcPr>
          <w:p w14:paraId="57BB014D" w14:textId="7CEBE02C"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r w:rsidR="006A2E10" w:rsidRPr="009976E0" w14:paraId="4DDF2A8C" w14:textId="77777777" w:rsidTr="006A2E10">
        <w:tc>
          <w:tcPr>
            <w:tcW w:w="3798" w:type="dxa"/>
          </w:tcPr>
          <w:p w14:paraId="2235C144" w14:textId="0003EDDA" w:rsidR="006A2E10" w:rsidRPr="009976E0" w:rsidRDefault="006A2E10" w:rsidP="006A2E10">
            <w:pPr>
              <w:jc w:val="both"/>
              <w:rPr>
                <w:rFonts w:ascii="Times New Roman" w:hAnsi="Times New Roman" w:cs="Times New Roman"/>
                <w:sz w:val="24"/>
                <w:szCs w:val="24"/>
                <w:lang w:val="en-US"/>
              </w:rPr>
            </w:pPr>
            <w:r w:rsidRPr="009976E0">
              <w:rPr>
                <w:rFonts w:ascii="Times New Roman" w:eastAsia="Calibri" w:hAnsi="Times New Roman" w:cs="Times New Roman"/>
                <w:sz w:val="24"/>
                <w:szCs w:val="24"/>
              </w:rPr>
              <w:t xml:space="preserve">       Innovative practices</w:t>
            </w:r>
          </w:p>
        </w:tc>
        <w:tc>
          <w:tcPr>
            <w:tcW w:w="3710" w:type="dxa"/>
          </w:tcPr>
          <w:p w14:paraId="034407DA" w14:textId="31C86D08"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.298</w:t>
            </w:r>
          </w:p>
        </w:tc>
        <w:tc>
          <w:tcPr>
            <w:tcW w:w="3827" w:type="dxa"/>
          </w:tcPr>
          <w:p w14:paraId="63EDE7DF" w14:textId="710BA585" w:rsidR="006A2E10" w:rsidRPr="009976E0" w:rsidRDefault="006A2E10" w:rsidP="006A2E10">
            <w:pPr>
              <w:jc w:val="center"/>
              <w:rPr>
                <w:rFonts w:ascii="Times New Roman" w:hAnsi="Times New Roman" w:cs="Times New Roman"/>
                <w:sz w:val="24"/>
                <w:szCs w:val="24"/>
                <w:lang w:val="en-US"/>
              </w:rPr>
            </w:pPr>
            <w:r w:rsidRPr="009976E0">
              <w:rPr>
                <w:rFonts w:ascii="Times New Roman" w:eastAsia="Calibri" w:hAnsi="Times New Roman" w:cs="Times New Roman"/>
                <w:sz w:val="24"/>
                <w:szCs w:val="24"/>
              </w:rPr>
              <w:t>.000</w:t>
            </w:r>
            <w:r w:rsidRPr="009976E0">
              <w:rPr>
                <w:rFonts w:ascii="Times New Roman" w:eastAsia="Calibri" w:hAnsi="Times New Roman" w:cs="Times New Roman"/>
                <w:sz w:val="24"/>
                <w:szCs w:val="24"/>
                <w:vertAlign w:val="superscript"/>
              </w:rPr>
              <w:t>**</w:t>
            </w:r>
          </w:p>
        </w:tc>
      </w:tr>
    </w:tbl>
    <w:p w14:paraId="2A183744" w14:textId="6FE52A80"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sidRPr="009C02AD">
        <w:rPr>
          <w:rFonts w:ascii="Times New Roman" w:hAnsi="Times New Roman" w:cs="Times New Roman"/>
          <w:sz w:val="24"/>
          <w:szCs w:val="24"/>
          <w:lang w:val="en-US"/>
        </w:rPr>
        <w:t xml:space="preserve"> shows that both resource generation capability and adaptive leadership have significant positive relationships with educational program implementation. Resource generation capability obtained an r‑value of .464 (p = .000), while adaptive leadership registered a slightly higher </w:t>
      </w:r>
      <w:r>
        <w:rPr>
          <w:rFonts w:ascii="Times New Roman" w:hAnsi="Times New Roman" w:cs="Times New Roman"/>
          <w:sz w:val="24"/>
          <w:szCs w:val="24"/>
          <w:lang w:val="en-US"/>
        </w:rPr>
        <w:t>with r-</w:t>
      </w:r>
      <w:r w:rsidRPr="009C02AD">
        <w:rPr>
          <w:rFonts w:ascii="Times New Roman" w:hAnsi="Times New Roman" w:cs="Times New Roman"/>
          <w:sz w:val="24"/>
          <w:szCs w:val="24"/>
          <w:lang w:val="en-US"/>
        </w:rPr>
        <w:t>value of .481 (p = .000). These results confirm that as administrators strengthen their ability to generate resources and demonstrate adaptive leadership, their implementation of educational programs also improves.</w:t>
      </w:r>
    </w:p>
    <w:p w14:paraId="5369C4E0" w14:textId="77777777" w:rsidR="009C02AD" w:rsidRPr="009C02AD"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The significant relationship between adaptive leadership and program implementation highlights the importance of flexibility, resilience, and proactive problem‑solving in guiding coordinated execution. This finding is consistent with literature emphasizing that implementation depends not only on policy but also on leadership support, stakeholder involvement, and the capacity to adapt strategies to local conditions (Penuel &amp; Fishman, 2020; Datnow &amp; Park, 2021). It aligns with the view that school leaders who interpret policy effectively and sustain organized action across the community achieve stronger implementation outcomes (Coburn, 2017; Fullan, 2016).</w:t>
      </w:r>
    </w:p>
    <w:p w14:paraId="0866C225" w14:textId="30BAB9D3" w:rsidR="004C5762" w:rsidRDefault="009C02AD" w:rsidP="009C02AD">
      <w:pPr>
        <w:spacing w:line="240" w:lineRule="auto"/>
        <w:jc w:val="both"/>
        <w:rPr>
          <w:rFonts w:ascii="Times New Roman" w:hAnsi="Times New Roman" w:cs="Times New Roman"/>
          <w:sz w:val="24"/>
          <w:szCs w:val="24"/>
          <w:lang w:val="en-US"/>
        </w:rPr>
      </w:pPr>
      <w:r w:rsidRPr="009C02AD">
        <w:rPr>
          <w:rFonts w:ascii="Times New Roman" w:hAnsi="Times New Roman" w:cs="Times New Roman"/>
          <w:sz w:val="24"/>
          <w:szCs w:val="24"/>
          <w:lang w:val="en-US"/>
        </w:rPr>
        <w:t>Similarly, the positive correlation between resource generation capability and program implementation underscores the role of planning, collaboration, and resource support in sustaining school initiatives. Studies indicate that implementation is strengthened when school heads clarify roles, involve stakeholders early, and integrate program activities into school‑based planning and monitoring systems (Andrada, 2022; Valerio, 2023; Famero, 2024). In Brigada Eskwela, robust implementation is achieved when leaders coordinate preparations, secure partnerships, and embed the program within broader school improvement efforts, while gaps emerge when resources and participation are limited (Rosel et al., 2023; Famero, 2024). These findings affirm that both adaptive leadership and resource generation capability are not merely supportive but essential conditions for effective educational program implementation in DepEd Bukidnon.</w:t>
      </w:r>
    </w:p>
    <w:p w14:paraId="25A124D4" w14:textId="77777777" w:rsidR="0096694F" w:rsidRDefault="0096694F" w:rsidP="009C02AD">
      <w:pPr>
        <w:spacing w:line="240" w:lineRule="auto"/>
        <w:jc w:val="both"/>
        <w:rPr>
          <w:rFonts w:ascii="Times New Roman" w:hAnsi="Times New Roman" w:cs="Times New Roman"/>
          <w:sz w:val="24"/>
          <w:szCs w:val="24"/>
          <w:lang w:val="en-US"/>
        </w:rPr>
      </w:pPr>
    </w:p>
    <w:p w14:paraId="783E153F" w14:textId="6AEEA7A2" w:rsidR="0096694F" w:rsidRDefault="0096694F" w:rsidP="009C02AD">
      <w:pPr>
        <w:spacing w:line="240" w:lineRule="auto"/>
        <w:jc w:val="both"/>
        <w:rPr>
          <w:rFonts w:ascii="Times New Roman" w:hAnsi="Times New Roman" w:cs="Times New Roman"/>
          <w:sz w:val="24"/>
          <w:szCs w:val="24"/>
          <w:lang w:val="en-US"/>
        </w:rPr>
      </w:pPr>
      <w:r w:rsidRPr="0096694F">
        <w:rPr>
          <w:rFonts w:ascii="Times New Roman" w:hAnsi="Times New Roman" w:cs="Times New Roman"/>
          <w:sz w:val="24"/>
          <w:szCs w:val="24"/>
          <w:lang w:val="en-US"/>
        </w:rPr>
        <w:t xml:space="preserve">TABLE </w:t>
      </w:r>
      <w:r>
        <w:rPr>
          <w:rFonts w:ascii="Times New Roman" w:hAnsi="Times New Roman" w:cs="Times New Roman"/>
          <w:sz w:val="24"/>
          <w:szCs w:val="24"/>
          <w:lang w:val="en-US"/>
        </w:rPr>
        <w:t>5</w:t>
      </w:r>
      <w:r w:rsidRPr="0096694F">
        <w:rPr>
          <w:rFonts w:ascii="Times New Roman" w:hAnsi="Times New Roman" w:cs="Times New Roman"/>
          <w:sz w:val="24"/>
          <w:szCs w:val="24"/>
          <w:lang w:val="en-US"/>
        </w:rPr>
        <w:t xml:space="preserve"> Regression Analysis Showing the Extent of Relationship of Predictor Variables on the Educational Program Implementation of the School Administrators</w:t>
      </w:r>
    </w:p>
    <w:tbl>
      <w:tblPr>
        <w:tblStyle w:val="TableGrid"/>
        <w:tblW w:w="11335" w:type="dxa"/>
        <w:tblInd w:w="-5" w:type="dxa"/>
        <w:tblLayout w:type="fixed"/>
        <w:tblLook w:val="0000" w:firstRow="0" w:lastRow="0" w:firstColumn="0" w:lastColumn="0" w:noHBand="0" w:noVBand="0"/>
      </w:tblPr>
      <w:tblGrid>
        <w:gridCol w:w="284"/>
        <w:gridCol w:w="2977"/>
        <w:gridCol w:w="6"/>
        <w:gridCol w:w="1553"/>
        <w:gridCol w:w="1701"/>
        <w:gridCol w:w="1701"/>
        <w:gridCol w:w="1417"/>
        <w:gridCol w:w="1696"/>
      </w:tblGrid>
      <w:tr w:rsidR="0096694F" w:rsidRPr="0096694F" w14:paraId="5C75EB6A" w14:textId="77777777" w:rsidTr="0096694F">
        <w:tc>
          <w:tcPr>
            <w:tcW w:w="3261" w:type="dxa"/>
            <w:gridSpan w:val="2"/>
            <w:vMerge w:val="restart"/>
          </w:tcPr>
          <w:p w14:paraId="3675D915"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8740010"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8AFE647" w14:textId="6215C6AF"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INDICATORS</w:t>
            </w:r>
          </w:p>
        </w:tc>
        <w:tc>
          <w:tcPr>
            <w:tcW w:w="3260" w:type="dxa"/>
            <w:gridSpan w:val="3"/>
          </w:tcPr>
          <w:p w14:paraId="0B41DB1C"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6DB006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F21FCF1" w14:textId="74B97EC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Unstandardized Coefficients</w:t>
            </w:r>
          </w:p>
        </w:tc>
        <w:tc>
          <w:tcPr>
            <w:tcW w:w="1701" w:type="dxa"/>
          </w:tcPr>
          <w:p w14:paraId="0B98DAA9"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55F1B0DF" w14:textId="5AABCB08"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Standardized Coefficients</w:t>
            </w:r>
          </w:p>
        </w:tc>
        <w:tc>
          <w:tcPr>
            <w:tcW w:w="1417" w:type="dxa"/>
            <w:vMerge w:val="restart"/>
          </w:tcPr>
          <w:p w14:paraId="66A7BD74"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6A4B07E1"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7C6CA8F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1B36A6" w14:textId="5B7A431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t</w:t>
            </w:r>
          </w:p>
        </w:tc>
        <w:tc>
          <w:tcPr>
            <w:tcW w:w="1696" w:type="dxa"/>
            <w:vMerge w:val="restart"/>
          </w:tcPr>
          <w:p w14:paraId="231872C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0698B9B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47324B56"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30C5DC4" w14:textId="2C189C56"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Sig.</w:t>
            </w:r>
          </w:p>
        </w:tc>
      </w:tr>
      <w:tr w:rsidR="0096694F" w:rsidRPr="0096694F" w14:paraId="1641BE89" w14:textId="77777777" w:rsidTr="0096694F">
        <w:tc>
          <w:tcPr>
            <w:tcW w:w="3261" w:type="dxa"/>
            <w:gridSpan w:val="2"/>
            <w:vMerge/>
          </w:tcPr>
          <w:p w14:paraId="32D518BA"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1559" w:type="dxa"/>
            <w:gridSpan w:val="2"/>
          </w:tcPr>
          <w:p w14:paraId="4AC931FA"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34225B88" w14:textId="600C168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w:t>
            </w:r>
          </w:p>
        </w:tc>
        <w:tc>
          <w:tcPr>
            <w:tcW w:w="1701" w:type="dxa"/>
          </w:tcPr>
          <w:p w14:paraId="4568E2F2"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251E4095" w14:textId="238F241B"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Std. Error</w:t>
            </w:r>
          </w:p>
        </w:tc>
        <w:tc>
          <w:tcPr>
            <w:tcW w:w="1701" w:type="dxa"/>
          </w:tcPr>
          <w:p w14:paraId="5112C957" w14:textId="77777777" w:rsidR="0096694F" w:rsidRPr="0096694F" w:rsidRDefault="0096694F" w:rsidP="0096694F">
            <w:pPr>
              <w:jc w:val="center"/>
              <w:rPr>
                <w:rFonts w:ascii="Times New Roman" w:eastAsia="Calibri" w:hAnsi="Times New Roman" w:cs="Times New Roman"/>
                <w:kern w:val="0"/>
                <w:sz w:val="24"/>
                <w:szCs w:val="24"/>
                <w14:ligatures w14:val="none"/>
              </w:rPr>
            </w:pPr>
          </w:p>
          <w:p w14:paraId="14A0553F" w14:textId="63D72E29"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Beta</w:t>
            </w:r>
          </w:p>
        </w:tc>
        <w:tc>
          <w:tcPr>
            <w:tcW w:w="1417" w:type="dxa"/>
            <w:vMerge/>
          </w:tcPr>
          <w:p w14:paraId="65F2FF71"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696" w:type="dxa"/>
            <w:vMerge/>
          </w:tcPr>
          <w:p w14:paraId="363E7CA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r>
      <w:tr w:rsidR="0096694F" w:rsidRPr="0096694F" w14:paraId="5B0DB763" w14:textId="77777777" w:rsidTr="0096694F">
        <w:tc>
          <w:tcPr>
            <w:tcW w:w="284" w:type="dxa"/>
            <w:vMerge w:val="restart"/>
          </w:tcPr>
          <w:p w14:paraId="73373E65"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961A47A"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(Constant)</w:t>
            </w:r>
          </w:p>
        </w:tc>
        <w:tc>
          <w:tcPr>
            <w:tcW w:w="1553" w:type="dxa"/>
          </w:tcPr>
          <w:p w14:paraId="21EF927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1.011</w:t>
            </w:r>
          </w:p>
        </w:tc>
        <w:tc>
          <w:tcPr>
            <w:tcW w:w="1701" w:type="dxa"/>
          </w:tcPr>
          <w:p w14:paraId="7ED3D21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.322</w:t>
            </w:r>
          </w:p>
        </w:tc>
        <w:tc>
          <w:tcPr>
            <w:tcW w:w="1701" w:type="dxa"/>
          </w:tcPr>
          <w:p w14:paraId="1F30F41D" w14:textId="77777777" w:rsidR="0096694F" w:rsidRPr="0096694F" w:rsidRDefault="0096694F" w:rsidP="0096694F">
            <w:pPr>
              <w:jc w:val="center"/>
              <w:rPr>
                <w:rFonts w:ascii="Times New Roman" w:eastAsia="Calibri" w:hAnsi="Times New Roman" w:cs="Times New Roman"/>
                <w:kern w:val="0"/>
                <w:sz w:val="24"/>
                <w:szCs w:val="24"/>
                <w14:ligatures w14:val="none"/>
              </w:rPr>
            </w:pPr>
          </w:p>
        </w:tc>
        <w:tc>
          <w:tcPr>
            <w:tcW w:w="1417" w:type="dxa"/>
          </w:tcPr>
          <w:p w14:paraId="3411B1F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3.144</w:t>
            </w:r>
          </w:p>
        </w:tc>
        <w:tc>
          <w:tcPr>
            <w:tcW w:w="1696" w:type="dxa"/>
          </w:tcPr>
          <w:p w14:paraId="25E4F16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.002</w:t>
            </w:r>
          </w:p>
        </w:tc>
      </w:tr>
      <w:tr w:rsidR="0096694F" w:rsidRPr="0096694F" w14:paraId="00833303" w14:textId="77777777" w:rsidTr="0096694F">
        <w:tc>
          <w:tcPr>
            <w:tcW w:w="284" w:type="dxa"/>
            <w:vMerge/>
          </w:tcPr>
          <w:p w14:paraId="384128E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6CC15BE"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Emotional resilience</w:t>
            </w:r>
          </w:p>
        </w:tc>
        <w:tc>
          <w:tcPr>
            <w:tcW w:w="1553" w:type="dxa"/>
          </w:tcPr>
          <w:p w14:paraId="4E6AE75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.198</w:t>
            </w:r>
          </w:p>
        </w:tc>
        <w:tc>
          <w:tcPr>
            <w:tcW w:w="1701" w:type="dxa"/>
          </w:tcPr>
          <w:p w14:paraId="763A2C8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30CC1AA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.247</w:t>
            </w:r>
          </w:p>
        </w:tc>
        <w:tc>
          <w:tcPr>
            <w:tcW w:w="1417" w:type="dxa"/>
          </w:tcPr>
          <w:p w14:paraId="2127553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4.771</w:t>
            </w:r>
          </w:p>
        </w:tc>
        <w:tc>
          <w:tcPr>
            <w:tcW w:w="1696" w:type="dxa"/>
          </w:tcPr>
          <w:p w14:paraId="7CFC923D"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7ABB5FD" w14:textId="77777777" w:rsidTr="0096694F">
        <w:tc>
          <w:tcPr>
            <w:tcW w:w="284" w:type="dxa"/>
            <w:vMerge/>
          </w:tcPr>
          <w:p w14:paraId="4448AF84"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38221FD"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Proactive-problem solving</w:t>
            </w:r>
          </w:p>
        </w:tc>
        <w:tc>
          <w:tcPr>
            <w:tcW w:w="1553" w:type="dxa"/>
          </w:tcPr>
          <w:p w14:paraId="225EAD5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.088</w:t>
            </w:r>
          </w:p>
        </w:tc>
        <w:tc>
          <w:tcPr>
            <w:tcW w:w="1701" w:type="dxa"/>
          </w:tcPr>
          <w:p w14:paraId="252CD8E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.038</w:t>
            </w:r>
          </w:p>
        </w:tc>
        <w:tc>
          <w:tcPr>
            <w:tcW w:w="1701" w:type="dxa"/>
          </w:tcPr>
          <w:p w14:paraId="448A81F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.118</w:t>
            </w:r>
          </w:p>
        </w:tc>
        <w:tc>
          <w:tcPr>
            <w:tcW w:w="1417" w:type="dxa"/>
          </w:tcPr>
          <w:p w14:paraId="10A7DAD6"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2.339</w:t>
            </w:r>
          </w:p>
        </w:tc>
        <w:tc>
          <w:tcPr>
            <w:tcW w:w="1696" w:type="dxa"/>
          </w:tcPr>
          <w:p w14:paraId="128306E2"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.020</w:t>
            </w:r>
          </w:p>
        </w:tc>
      </w:tr>
      <w:tr w:rsidR="0096694F" w:rsidRPr="0096694F" w14:paraId="42B71A40" w14:textId="77777777" w:rsidTr="0096694F">
        <w:tc>
          <w:tcPr>
            <w:tcW w:w="284" w:type="dxa"/>
            <w:vMerge/>
          </w:tcPr>
          <w:p w14:paraId="217172FE"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18554A13"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Innovative practices</w:t>
            </w:r>
          </w:p>
        </w:tc>
        <w:tc>
          <w:tcPr>
            <w:tcW w:w="1553" w:type="dxa"/>
          </w:tcPr>
          <w:p w14:paraId="1B077F8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.092</w:t>
            </w:r>
          </w:p>
        </w:tc>
        <w:tc>
          <w:tcPr>
            <w:tcW w:w="1701" w:type="dxa"/>
          </w:tcPr>
          <w:p w14:paraId="09B4934C"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.044</w:t>
            </w:r>
          </w:p>
        </w:tc>
        <w:tc>
          <w:tcPr>
            <w:tcW w:w="1701" w:type="dxa"/>
          </w:tcPr>
          <w:p w14:paraId="6F838CF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.107</w:t>
            </w:r>
          </w:p>
        </w:tc>
        <w:tc>
          <w:tcPr>
            <w:tcW w:w="1417" w:type="dxa"/>
          </w:tcPr>
          <w:p w14:paraId="24C4E9E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2.072</w:t>
            </w:r>
          </w:p>
        </w:tc>
        <w:tc>
          <w:tcPr>
            <w:tcW w:w="1696" w:type="dxa"/>
          </w:tcPr>
          <w:p w14:paraId="314F1A7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.039</w:t>
            </w:r>
          </w:p>
        </w:tc>
      </w:tr>
      <w:tr w:rsidR="0096694F" w:rsidRPr="0096694F" w14:paraId="6B5FD0E2" w14:textId="77777777" w:rsidTr="0096694F">
        <w:tc>
          <w:tcPr>
            <w:tcW w:w="284" w:type="dxa"/>
            <w:vMerge/>
          </w:tcPr>
          <w:p w14:paraId="0576EC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6E29F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Setting expectations</w:t>
            </w:r>
          </w:p>
        </w:tc>
        <w:tc>
          <w:tcPr>
            <w:tcW w:w="1553" w:type="dxa"/>
          </w:tcPr>
          <w:p w14:paraId="234C6E8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.171</w:t>
            </w:r>
          </w:p>
        </w:tc>
        <w:tc>
          <w:tcPr>
            <w:tcW w:w="1701" w:type="dxa"/>
          </w:tcPr>
          <w:p w14:paraId="4637FDD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.046</w:t>
            </w:r>
          </w:p>
        </w:tc>
        <w:tc>
          <w:tcPr>
            <w:tcW w:w="1701" w:type="dxa"/>
          </w:tcPr>
          <w:p w14:paraId="6D11022E"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.192</w:t>
            </w:r>
          </w:p>
        </w:tc>
        <w:tc>
          <w:tcPr>
            <w:tcW w:w="1417" w:type="dxa"/>
          </w:tcPr>
          <w:p w14:paraId="408D94F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3.699</w:t>
            </w:r>
          </w:p>
        </w:tc>
        <w:tc>
          <w:tcPr>
            <w:tcW w:w="1696" w:type="dxa"/>
          </w:tcPr>
          <w:p w14:paraId="1297FA08"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.000</w:t>
            </w:r>
          </w:p>
        </w:tc>
      </w:tr>
      <w:tr w:rsidR="0096694F" w:rsidRPr="0096694F" w14:paraId="4DED024E" w14:textId="77777777" w:rsidTr="0096694F">
        <w:tc>
          <w:tcPr>
            <w:tcW w:w="284" w:type="dxa"/>
            <w:vMerge/>
          </w:tcPr>
          <w:p w14:paraId="55DD4EFC"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262BEE25"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Fostering collaboration</w:t>
            </w:r>
          </w:p>
        </w:tc>
        <w:tc>
          <w:tcPr>
            <w:tcW w:w="1553" w:type="dxa"/>
          </w:tcPr>
          <w:p w14:paraId="7E5BB7B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.123</w:t>
            </w:r>
          </w:p>
        </w:tc>
        <w:tc>
          <w:tcPr>
            <w:tcW w:w="1701" w:type="dxa"/>
          </w:tcPr>
          <w:p w14:paraId="1FA2C843"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.041</w:t>
            </w:r>
          </w:p>
        </w:tc>
        <w:tc>
          <w:tcPr>
            <w:tcW w:w="1701" w:type="dxa"/>
          </w:tcPr>
          <w:p w14:paraId="42E9666A"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.153</w:t>
            </w:r>
          </w:p>
        </w:tc>
        <w:tc>
          <w:tcPr>
            <w:tcW w:w="1417" w:type="dxa"/>
          </w:tcPr>
          <w:p w14:paraId="0F0AD391"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2.991</w:t>
            </w:r>
          </w:p>
        </w:tc>
        <w:tc>
          <w:tcPr>
            <w:tcW w:w="1696" w:type="dxa"/>
          </w:tcPr>
          <w:p w14:paraId="2D631A19"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.003</w:t>
            </w:r>
          </w:p>
        </w:tc>
      </w:tr>
      <w:tr w:rsidR="0096694F" w:rsidRPr="0096694F" w14:paraId="5FA68818" w14:textId="77777777" w:rsidTr="0096694F">
        <w:tc>
          <w:tcPr>
            <w:tcW w:w="284" w:type="dxa"/>
            <w:vMerge/>
          </w:tcPr>
          <w:p w14:paraId="187E4048" w14:textId="77777777" w:rsidR="0096694F" w:rsidRPr="0096694F" w:rsidRDefault="0096694F" w:rsidP="0096694F">
            <w:pPr>
              <w:rPr>
                <w:rFonts w:ascii="Times New Roman" w:eastAsia="Calibri" w:hAnsi="Times New Roman" w:cs="Times New Roman"/>
                <w:kern w:val="0"/>
                <w:sz w:val="24"/>
                <w:szCs w:val="24"/>
                <w14:ligatures w14:val="none"/>
              </w:rPr>
            </w:pPr>
          </w:p>
        </w:tc>
        <w:tc>
          <w:tcPr>
            <w:tcW w:w="2983" w:type="dxa"/>
            <w:gridSpan w:val="2"/>
          </w:tcPr>
          <w:p w14:paraId="3E74CABF" w14:textId="77777777" w:rsidR="0096694F" w:rsidRPr="0096694F" w:rsidRDefault="0096694F" w:rsidP="0096694F">
            <w:pPr>
              <w:ind w:firstLine="33"/>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Managing resources strategically</w:t>
            </w:r>
          </w:p>
        </w:tc>
        <w:tc>
          <w:tcPr>
            <w:tcW w:w="1553" w:type="dxa"/>
          </w:tcPr>
          <w:p w14:paraId="2192CAE5"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.111</w:t>
            </w:r>
          </w:p>
        </w:tc>
        <w:tc>
          <w:tcPr>
            <w:tcW w:w="1701" w:type="dxa"/>
          </w:tcPr>
          <w:p w14:paraId="177E6DF0"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.049</w:t>
            </w:r>
          </w:p>
        </w:tc>
        <w:tc>
          <w:tcPr>
            <w:tcW w:w="1701" w:type="dxa"/>
          </w:tcPr>
          <w:p w14:paraId="684C533F"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.119</w:t>
            </w:r>
          </w:p>
        </w:tc>
        <w:tc>
          <w:tcPr>
            <w:tcW w:w="1417" w:type="dxa"/>
          </w:tcPr>
          <w:p w14:paraId="53228787"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2.283</w:t>
            </w:r>
          </w:p>
        </w:tc>
        <w:tc>
          <w:tcPr>
            <w:tcW w:w="1696" w:type="dxa"/>
          </w:tcPr>
          <w:p w14:paraId="6EB6389B" w14:textId="77777777" w:rsidR="0096694F" w:rsidRPr="0096694F" w:rsidRDefault="0096694F" w:rsidP="0096694F">
            <w:pPr>
              <w:jc w:val="center"/>
              <w:rPr>
                <w:rFonts w:ascii="Times New Roman" w:eastAsia="Calibri" w:hAnsi="Times New Roman" w:cs="Times New Roman"/>
                <w:kern w:val="0"/>
                <w:sz w:val="24"/>
                <w:szCs w:val="24"/>
                <w14:ligatures w14:val="none"/>
              </w:rPr>
            </w:pPr>
            <w:r w:rsidRPr="0096694F">
              <w:rPr>
                <w:rFonts w:ascii="Times New Roman" w:eastAsia="Calibri" w:hAnsi="Times New Roman" w:cs="Times New Roman"/>
                <w:kern w:val="0"/>
                <w:sz w:val="24"/>
                <w:szCs w:val="24"/>
                <w14:ligatures w14:val="none"/>
              </w:rPr>
              <w:t>.023</w:t>
            </w:r>
          </w:p>
        </w:tc>
      </w:tr>
      <w:tr w:rsidR="00A76161" w:rsidRPr="0096694F" w14:paraId="21CC14CE" w14:textId="77777777" w:rsidTr="00DE31E9">
        <w:tc>
          <w:tcPr>
            <w:tcW w:w="284" w:type="dxa"/>
          </w:tcPr>
          <w:p w14:paraId="12BFEF3E" w14:textId="77777777" w:rsidR="00A76161" w:rsidRPr="0096694F" w:rsidRDefault="00A76161" w:rsidP="0096694F">
            <w:pPr>
              <w:rPr>
                <w:rFonts w:ascii="Times New Roman" w:eastAsia="Calibri" w:hAnsi="Times New Roman" w:cs="Times New Roman"/>
                <w:kern w:val="0"/>
                <w:sz w:val="24"/>
                <w:szCs w:val="24"/>
                <w14:ligatures w14:val="none"/>
              </w:rPr>
            </w:pPr>
          </w:p>
        </w:tc>
        <w:tc>
          <w:tcPr>
            <w:tcW w:w="11051" w:type="dxa"/>
            <w:gridSpan w:val="7"/>
          </w:tcPr>
          <w:p w14:paraId="14D09AB7" w14:textId="60CA878C" w:rsidR="00A76161" w:rsidRPr="0096694F" w:rsidRDefault="00A76161" w:rsidP="00A76161">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R=0.570</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R</w:t>
            </w:r>
            <w:r w:rsidRPr="00A76161">
              <w:rPr>
                <w:rFonts w:ascii="Times New Roman" w:eastAsia="Calibri" w:hAnsi="Times New Roman" w:cs="Times New Roman"/>
                <w:b/>
                <w:bCs/>
                <w:kern w:val="0"/>
                <w:sz w:val="24"/>
                <w:szCs w:val="24"/>
                <w:vertAlign w:val="superscript"/>
                <w14:ligatures w14:val="none"/>
              </w:rPr>
              <w:t>2</w:t>
            </w:r>
            <w:r w:rsidRPr="0096694F">
              <w:rPr>
                <w:rFonts w:ascii="Times New Roman" w:eastAsia="Calibri" w:hAnsi="Times New Roman" w:cs="Times New Roman"/>
                <w:b/>
                <w:bCs/>
                <w:kern w:val="0"/>
                <w:sz w:val="24"/>
                <w:szCs w:val="24"/>
                <w14:ligatures w14:val="none"/>
              </w:rPr>
              <w:t>=.325</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F= 23.914</w:t>
            </w:r>
            <w:r>
              <w:rPr>
                <w:rFonts w:ascii="Times New Roman" w:eastAsia="Calibri" w:hAnsi="Times New Roman" w:cs="Times New Roman"/>
                <w:b/>
                <w:bCs/>
                <w:kern w:val="0"/>
                <w:sz w:val="24"/>
                <w:szCs w:val="24"/>
                <w14:ligatures w14:val="none"/>
              </w:rPr>
              <w:t xml:space="preserve">                                            </w:t>
            </w:r>
            <w:r w:rsidRPr="0096694F">
              <w:rPr>
                <w:rFonts w:ascii="Times New Roman" w:eastAsia="Calibri" w:hAnsi="Times New Roman" w:cs="Times New Roman"/>
                <w:b/>
                <w:bCs/>
                <w:kern w:val="0"/>
                <w:sz w:val="24"/>
                <w:szCs w:val="24"/>
                <w14:ligatures w14:val="none"/>
              </w:rPr>
              <w:t>Sig.0.000</w:t>
            </w:r>
          </w:p>
        </w:tc>
      </w:tr>
    </w:tbl>
    <w:p w14:paraId="691566A5" w14:textId="7B4AF0CB"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 xml:space="preserve">The regression analysis revealed that six variables significantly predicted educational program implementation: emotional resilience, proactive problem‑solving, innovative practices, setting expectations, fostering school–community linkages, and managing resources strategically. The model yielded </w:t>
      </w:r>
      <w:r w:rsidRPr="00A76161">
        <w:rPr>
          <w:rFonts w:ascii="Cambria Math" w:hAnsi="Cambria Math" w:cs="Cambria Math"/>
          <w:sz w:val="24"/>
          <w:szCs w:val="24"/>
          <w:lang w:val="en-US"/>
        </w:rPr>
        <w:t>𝑅</w:t>
      </w:r>
      <w:r w:rsidRPr="00A76161">
        <w:rPr>
          <w:rFonts w:ascii="Times New Roman" w:hAnsi="Times New Roman" w:cs="Times New Roman"/>
          <w:sz w:val="24"/>
          <w:szCs w:val="24"/>
          <w:lang w:val="en-US"/>
        </w:rPr>
        <w:t xml:space="preserve">=0.570, </w:t>
      </w:r>
      <w:r w:rsidRPr="00A76161">
        <w:rPr>
          <w:rFonts w:ascii="Cambria Math" w:hAnsi="Cambria Math" w:cs="Cambria Math"/>
          <w:sz w:val="24"/>
          <w:szCs w:val="24"/>
          <w:lang w:val="en-US"/>
        </w:rPr>
        <w:t>𝑅</w:t>
      </w:r>
      <w:r w:rsidRPr="00A76161">
        <w:rPr>
          <w:rFonts w:ascii="Times New Roman" w:hAnsi="Times New Roman" w:cs="Times New Roman"/>
          <w:sz w:val="24"/>
          <w:szCs w:val="24"/>
          <w:vertAlign w:val="superscript"/>
          <w:lang w:val="en-US"/>
        </w:rPr>
        <w:t>2</w:t>
      </w:r>
      <w:r w:rsidRPr="00A76161">
        <w:rPr>
          <w:rFonts w:ascii="Times New Roman" w:hAnsi="Times New Roman" w:cs="Times New Roman"/>
          <w:sz w:val="24"/>
          <w:szCs w:val="24"/>
          <w:lang w:val="en-US"/>
        </w:rPr>
        <w:t xml:space="preserve">=0.325, and </w:t>
      </w:r>
      <w:r w:rsidRPr="00A76161">
        <w:rPr>
          <w:rFonts w:ascii="Cambria Math" w:hAnsi="Cambria Math" w:cs="Cambria Math"/>
          <w:sz w:val="24"/>
          <w:szCs w:val="24"/>
          <w:lang w:val="en-US"/>
        </w:rPr>
        <w:t>𝐹</w:t>
      </w:r>
      <w:r w:rsidRPr="00A76161">
        <w:rPr>
          <w:rFonts w:ascii="Times New Roman" w:hAnsi="Times New Roman" w:cs="Times New Roman"/>
          <w:sz w:val="24"/>
          <w:szCs w:val="24"/>
          <w:lang w:val="en-US"/>
        </w:rPr>
        <w:t xml:space="preserve">=23.914 with </w:t>
      </w:r>
      <w:r w:rsidRPr="00A76161">
        <w:rPr>
          <w:rFonts w:ascii="Cambria Math" w:hAnsi="Cambria Math" w:cs="Cambria Math"/>
          <w:sz w:val="24"/>
          <w:szCs w:val="24"/>
          <w:lang w:val="en-US"/>
        </w:rPr>
        <w:t>𝑝</w:t>
      </w:r>
      <w:r w:rsidRPr="00A76161">
        <w:rPr>
          <w:rFonts w:ascii="Times New Roman" w:hAnsi="Times New Roman" w:cs="Times New Roman"/>
          <w:sz w:val="24"/>
          <w:szCs w:val="24"/>
          <w:lang w:val="en-US"/>
        </w:rPr>
        <w:t>=0.000, indicating that 32.5% of the variance in program implementation was explained by these predictors. Emotional resilience emerged as the strongest influence, followed by expectation‑setting, fostering collaboration, resource management, problem‑solving, and innovation. These results confirm the rejection of the null hypothesis and highlight the combined impact of adaptive leadership and resource generation capability on program implementation.</w:t>
      </w:r>
    </w:p>
    <w:p w14:paraId="7561F472" w14:textId="77777777" w:rsidR="00A76161" w:rsidRPr="00A76161" w:rsidRDefault="00A76161" w:rsidP="00A76161">
      <w:pPr>
        <w:spacing w:line="240" w:lineRule="auto"/>
        <w:jc w:val="both"/>
        <w:rPr>
          <w:rFonts w:ascii="Times New Roman" w:hAnsi="Times New Roman" w:cs="Times New Roman"/>
          <w:sz w:val="24"/>
          <w:szCs w:val="24"/>
          <w:lang w:val="en-US"/>
        </w:rPr>
      </w:pPr>
      <w:r w:rsidRPr="00A76161">
        <w:rPr>
          <w:rFonts w:ascii="Times New Roman" w:hAnsi="Times New Roman" w:cs="Times New Roman"/>
          <w:sz w:val="24"/>
          <w:szCs w:val="24"/>
          <w:lang w:val="en-US"/>
        </w:rPr>
        <w:t>Among the predictors, emotional resilience had the highest standardized beta coefficient (.247), underscoring its role as the most powerful determinant of implementation. Administrators who remain composed, adaptable, and emotionally steady are better positioned to sustain program delivery, while those who set clear expectations and foster collaboration effectively align people and resources toward school goals. The positive coefficients across all predictors further suggest that each dimension contributes meaningfully to strengthening implementation, with leadership behaviors and resource practices working in tandem to support school initiatives.</w:t>
      </w:r>
    </w:p>
    <w:p w14:paraId="40319070" w14:textId="7ABE16E7" w:rsidR="0096694F" w:rsidRDefault="00A76161" w:rsidP="00A7616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A76161">
        <w:rPr>
          <w:rFonts w:ascii="Times New Roman" w:hAnsi="Times New Roman" w:cs="Times New Roman"/>
          <w:sz w:val="24"/>
          <w:szCs w:val="24"/>
          <w:lang w:val="en-US"/>
        </w:rPr>
        <w:t xml:space="preserve"> stud</w:t>
      </w:r>
      <w:r>
        <w:rPr>
          <w:rFonts w:ascii="Times New Roman" w:hAnsi="Times New Roman" w:cs="Times New Roman"/>
          <w:sz w:val="24"/>
          <w:szCs w:val="24"/>
          <w:lang w:val="en-US"/>
        </w:rPr>
        <w:t xml:space="preserve">y affirms </w:t>
      </w:r>
      <w:r w:rsidRPr="00A76161">
        <w:rPr>
          <w:rFonts w:ascii="Times New Roman" w:hAnsi="Times New Roman" w:cs="Times New Roman"/>
          <w:sz w:val="24"/>
          <w:szCs w:val="24"/>
          <w:lang w:val="en-US"/>
        </w:rPr>
        <w:t xml:space="preserve">that implementation improves when school leaders clarify roles, coordinate stakeholders, and integrate programs into school‑based planning and monitoring systems (Andrada, 2022; Valerio, 2023; Famero, 2024). Research on Brigada Eskwela further supports this result, noting that implementation is stronger when administrators secure partnerships, manage resources, and sustain collaborative support, while gaps emerge when materials, funding, and participation are limited (Rosel et al., 2023; Famero, 2024). </w:t>
      </w:r>
      <w:r>
        <w:rPr>
          <w:rFonts w:ascii="Times New Roman" w:hAnsi="Times New Roman" w:cs="Times New Roman"/>
          <w:sz w:val="24"/>
          <w:szCs w:val="24"/>
          <w:lang w:val="en-US"/>
        </w:rPr>
        <w:t xml:space="preserve">Lastly, </w:t>
      </w:r>
      <w:r w:rsidRPr="00A76161">
        <w:rPr>
          <w:rFonts w:ascii="Times New Roman" w:hAnsi="Times New Roman" w:cs="Times New Roman"/>
          <w:sz w:val="24"/>
          <w:szCs w:val="24"/>
          <w:lang w:val="en-US"/>
        </w:rPr>
        <w:t>the regression analysis underscores that adaptive leadership and resource generation capability are essential predictors of effective educational program implementation in DepEd Bukidnon.</w:t>
      </w:r>
    </w:p>
    <w:p w14:paraId="6DA4F8F4" w14:textId="77777777" w:rsidR="00563781" w:rsidRDefault="00563781" w:rsidP="00A76161">
      <w:pPr>
        <w:spacing w:line="240" w:lineRule="auto"/>
        <w:jc w:val="both"/>
        <w:rPr>
          <w:rFonts w:ascii="Times New Roman" w:hAnsi="Times New Roman" w:cs="Times New Roman"/>
          <w:sz w:val="24"/>
          <w:szCs w:val="24"/>
          <w:lang w:val="en-US"/>
        </w:rPr>
      </w:pPr>
    </w:p>
    <w:p w14:paraId="3E337A90" w14:textId="515DE999" w:rsidR="00563781" w:rsidRDefault="00563781" w:rsidP="00A76161">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CONCLUSION</w:t>
      </w:r>
    </w:p>
    <w:p w14:paraId="303DC1E2"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The study confirmed that school administrators in the southern part of DepEd Bukidnon exhibit very high levels of resource generation capability, adaptive leadership, and educational program implementation. Strategic resource management and flexibility in decision‑making emerged as their strongest practices, while collaboration and proactive problem‑solving, though still highly rated, represent areas for further strengthening. These results highlight administrators’ effectiveness in directing resources and adapting leadership behaviors to sustain Brigada Eskwela and other school‑based initiatives.</w:t>
      </w:r>
    </w:p>
    <w:p w14:paraId="4C43D072" w14:textId="77777777" w:rsidR="00FB330E" w:rsidRPr="00FB330E" w:rsidRDefault="00FB330E" w:rsidP="00FB330E">
      <w:pPr>
        <w:spacing w:line="240" w:lineRule="auto"/>
        <w:jc w:val="both"/>
        <w:rPr>
          <w:rFonts w:ascii="Times New Roman" w:hAnsi="Times New Roman" w:cs="Times New Roman"/>
          <w:sz w:val="24"/>
          <w:szCs w:val="24"/>
          <w:lang w:val="en-US"/>
        </w:rPr>
      </w:pPr>
    </w:p>
    <w:p w14:paraId="60A07AFB" w14:textId="77777777" w:rsidR="00FB330E" w:rsidRP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Correlation and regression analyses demonstrated that both resource generation capability and adaptive leadership significantly influence program implementation. Emotional resilience, expectation‑setting, collaboration, resource management, problem‑solving, and innovation were identified as significant predictors, with emotional resilience exerting the strongest effect. This underscores the importance of composure and adaptability in sustaining program delivery, while also emphasizing the value of clear expectations and collaborative linkages in mobilizing support.</w:t>
      </w:r>
    </w:p>
    <w:p w14:paraId="1FCBE618" w14:textId="5A9CE024" w:rsidR="00FB330E" w:rsidRDefault="00FB330E" w:rsidP="00FB330E">
      <w:pPr>
        <w:spacing w:line="240" w:lineRule="auto"/>
        <w:jc w:val="both"/>
        <w:rPr>
          <w:rFonts w:ascii="Times New Roman" w:hAnsi="Times New Roman" w:cs="Times New Roman"/>
          <w:sz w:val="24"/>
          <w:szCs w:val="24"/>
          <w:lang w:val="en-US"/>
        </w:rPr>
      </w:pPr>
      <w:r w:rsidRPr="00FB330E">
        <w:rPr>
          <w:rFonts w:ascii="Times New Roman" w:hAnsi="Times New Roman" w:cs="Times New Roman"/>
          <w:sz w:val="24"/>
          <w:szCs w:val="24"/>
          <w:lang w:val="en-US"/>
        </w:rPr>
        <w:t>Synthesizing the findings, the study concludes that effective educational program implementation is shaped by the combined strength of leadership practices and resource mobilization. Administrators who can adapt to changing conditions, foster partnerships, and strategically manage resources are more successful in sustaining school‑based programs. These insights affirm the critical role of capacity‑building interventions that reinforce adaptive leadership and collaborative resource generation, offering practical guidance for DepEd policymakers and educational leaders in strengthening Brigada Eskwela and related initiatives.</w:t>
      </w:r>
    </w:p>
    <w:p w14:paraId="06AE330F" w14:textId="77777777" w:rsidR="00091C21" w:rsidRDefault="00091C21" w:rsidP="00FB330E">
      <w:pPr>
        <w:spacing w:line="240" w:lineRule="auto"/>
        <w:jc w:val="both"/>
        <w:rPr>
          <w:rFonts w:ascii="Times New Roman" w:hAnsi="Times New Roman" w:cs="Times New Roman"/>
          <w:sz w:val="24"/>
          <w:szCs w:val="24"/>
          <w:lang w:val="en-US"/>
        </w:rPr>
      </w:pPr>
    </w:p>
    <w:p w14:paraId="1641C084" w14:textId="73833342" w:rsidR="00091C21" w:rsidRDefault="00091C21" w:rsidP="00FB330E">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8"/>
          <w:szCs w:val="28"/>
          <w:lang w:val="en-US"/>
        </w:rPr>
        <w:t>ACKNOWLEDGEMENTS</w:t>
      </w:r>
    </w:p>
    <w:p w14:paraId="754F49FF" w14:textId="77F16719" w:rsidR="006715E4" w:rsidRDefault="00144FC5" w:rsidP="00FB330E">
      <w:pPr>
        <w:spacing w:line="240" w:lineRule="auto"/>
        <w:jc w:val="both"/>
        <w:rPr>
          <w:rFonts w:ascii="Times New Roman" w:hAnsi="Times New Roman" w:cs="Times New Roman"/>
          <w:sz w:val="24"/>
          <w:szCs w:val="24"/>
          <w:lang w:val="en-US"/>
        </w:rPr>
      </w:pPr>
      <w:r w:rsidRPr="00144FC5">
        <w:rPr>
          <w:rFonts w:ascii="Times New Roman" w:hAnsi="Times New Roman" w:cs="Times New Roman"/>
          <w:sz w:val="24"/>
          <w:szCs w:val="24"/>
          <w:lang w:val="en-US"/>
        </w:rPr>
        <w:t xml:space="preserve">The researcher sincerely thanks the Department of Education for granting permission to conduct this study and for their invaluable support. Deepest gratitude is extended to his adviser, Dr. Raul C. Orongan, whose trust, patience, and guidance made this research possible and worthy of publication. </w:t>
      </w:r>
      <w:r>
        <w:rPr>
          <w:rFonts w:ascii="Times New Roman" w:hAnsi="Times New Roman" w:cs="Times New Roman"/>
          <w:sz w:val="24"/>
          <w:szCs w:val="24"/>
          <w:lang w:val="en-US"/>
        </w:rPr>
        <w:t>Furthermore, the researcher</w:t>
      </w:r>
      <w:r w:rsidRPr="00144FC5">
        <w:rPr>
          <w:rFonts w:ascii="Times New Roman" w:hAnsi="Times New Roman" w:cs="Times New Roman"/>
          <w:sz w:val="24"/>
          <w:szCs w:val="24"/>
          <w:lang w:val="en-US"/>
        </w:rPr>
        <w:t xml:space="preserve"> is equally grateful to his colleagues and team for their understanding and encouragement throughout this endeavor. </w:t>
      </w:r>
      <w:r>
        <w:rPr>
          <w:rFonts w:ascii="Times New Roman" w:hAnsi="Times New Roman" w:cs="Times New Roman"/>
          <w:sz w:val="24"/>
          <w:szCs w:val="24"/>
          <w:lang w:val="en-US"/>
        </w:rPr>
        <w:t>Another</w:t>
      </w:r>
      <w:r w:rsidRPr="00144FC5">
        <w:rPr>
          <w:rFonts w:ascii="Times New Roman" w:hAnsi="Times New Roman" w:cs="Times New Roman"/>
          <w:sz w:val="24"/>
          <w:szCs w:val="24"/>
          <w:lang w:val="en-US"/>
        </w:rPr>
        <w:t xml:space="preserve"> appreciation is offered to his</w:t>
      </w:r>
      <w:r>
        <w:rPr>
          <w:rFonts w:ascii="Times New Roman" w:hAnsi="Times New Roman" w:cs="Times New Roman"/>
          <w:sz w:val="24"/>
          <w:szCs w:val="24"/>
          <w:lang w:val="en-US"/>
        </w:rPr>
        <w:t xml:space="preserve"> great</w:t>
      </w:r>
      <w:r w:rsidRPr="00144FC5">
        <w:rPr>
          <w:rFonts w:ascii="Times New Roman" w:hAnsi="Times New Roman" w:cs="Times New Roman"/>
          <w:sz w:val="24"/>
          <w:szCs w:val="24"/>
          <w:lang w:val="en-US"/>
        </w:rPr>
        <w:t xml:space="preserve"> friends who were always close by, ready to provide strength and backing. To his family, whose love and sacrifices sustained him in moments of exhaustion, this achievement is shared with them. Above all, the researcher humbly acknowledges Almighty God the Father, whose favor and grace guided every step of this journey.</w:t>
      </w:r>
    </w:p>
    <w:p w14:paraId="2C0D7968" w14:textId="77777777" w:rsidR="006715E4" w:rsidRDefault="006715E4" w:rsidP="00FB330E">
      <w:pPr>
        <w:spacing w:line="240" w:lineRule="auto"/>
        <w:jc w:val="both"/>
        <w:rPr>
          <w:rFonts w:ascii="Times New Roman" w:hAnsi="Times New Roman" w:cs="Times New Roman"/>
          <w:sz w:val="24"/>
          <w:szCs w:val="24"/>
          <w:lang w:val="en-US"/>
        </w:rPr>
      </w:pPr>
    </w:p>
    <w:p w14:paraId="2F5616DB" w14:textId="7B79C052" w:rsidR="006715E4" w:rsidRDefault="006715E4" w:rsidP="00FB330E">
      <w:pPr>
        <w:spacing w:line="240" w:lineRule="auto"/>
        <w:jc w:val="both"/>
        <w:rPr>
          <w:rFonts w:ascii="Times New Roman" w:hAnsi="Times New Roman" w:cs="Times New Roman"/>
          <w:b/>
          <w:bCs/>
          <w:sz w:val="24"/>
          <w:szCs w:val="24"/>
          <w:lang w:val="en-US"/>
        </w:rPr>
      </w:pPr>
      <w:r w:rsidRPr="006715E4">
        <w:rPr>
          <w:rFonts w:ascii="Times New Roman" w:hAnsi="Times New Roman" w:cs="Times New Roman"/>
          <w:b/>
          <w:bCs/>
          <w:sz w:val="28"/>
          <w:szCs w:val="28"/>
          <w:lang w:val="en-US"/>
        </w:rPr>
        <w:t>REFERENCES</w:t>
      </w:r>
    </w:p>
    <w:p w14:paraId="43CE7802" w14:textId="77777777" w:rsidR="000A1B1C" w:rsidRPr="000A1B1C" w:rsidRDefault="000A1B1C" w:rsidP="000A1B1C">
      <w:pPr>
        <w:pStyle w:val="NormalWeb"/>
        <w:numPr>
          <w:ilvl w:val="0"/>
          <w:numId w:val="1"/>
        </w:numPr>
      </w:pPr>
      <w:r w:rsidRPr="000A1B1C">
        <w:t xml:space="preserve">Andrada, M. (2022). </w:t>
      </w:r>
      <w:r w:rsidRPr="000A1B1C">
        <w:rPr>
          <w:rStyle w:val="Emphasis"/>
          <w:i w:val="0"/>
          <w:iCs w:val="0"/>
        </w:rPr>
        <w:t>School leadership and program implementation in Philippine basic education</w:t>
      </w:r>
      <w:r w:rsidRPr="000A1B1C">
        <w:t>. Manila: Educational Research Journal.</w:t>
      </w:r>
    </w:p>
    <w:p w14:paraId="62DECD53" w14:textId="77777777" w:rsidR="000A1B1C" w:rsidRPr="000A1B1C" w:rsidRDefault="000A1B1C" w:rsidP="000A1B1C">
      <w:pPr>
        <w:pStyle w:val="NormalWeb"/>
        <w:numPr>
          <w:ilvl w:val="0"/>
          <w:numId w:val="1"/>
        </w:numPr>
      </w:pPr>
      <w:r w:rsidRPr="000A1B1C">
        <w:t xml:space="preserve">Coburn, C. E. (2017). </w:t>
      </w:r>
      <w:r w:rsidRPr="000A1B1C">
        <w:rPr>
          <w:rStyle w:val="Emphasis"/>
          <w:i w:val="0"/>
          <w:iCs w:val="0"/>
        </w:rPr>
        <w:t>Policy implementation and the school context: A framework for analysis</w:t>
      </w:r>
      <w:r w:rsidRPr="000A1B1C">
        <w:rPr>
          <w:i/>
          <w:iCs/>
        </w:rPr>
        <w:t>.</w:t>
      </w:r>
      <w:r w:rsidRPr="000A1B1C">
        <w:t xml:space="preserve"> Educational Researcher, 46(1), 77–87.</w:t>
      </w:r>
    </w:p>
    <w:p w14:paraId="1877D8E0" w14:textId="77777777" w:rsidR="000A1B1C" w:rsidRPr="000A1B1C" w:rsidRDefault="000A1B1C" w:rsidP="000A1B1C">
      <w:pPr>
        <w:pStyle w:val="NormalWeb"/>
        <w:numPr>
          <w:ilvl w:val="0"/>
          <w:numId w:val="1"/>
        </w:numPr>
      </w:pPr>
      <w:r w:rsidRPr="000A1B1C">
        <w:t xml:space="preserve">Dela Cruz, J. (2019). </w:t>
      </w:r>
      <w:r w:rsidRPr="000A1B1C">
        <w:rPr>
          <w:rStyle w:val="Emphasis"/>
          <w:i w:val="0"/>
          <w:iCs w:val="0"/>
        </w:rPr>
        <w:t>Resource mobilization in Philippine public schools: Challenges and strategies</w:t>
      </w:r>
      <w:r w:rsidRPr="000A1B1C">
        <w:t>. Philippine Journal of Education, 94(2), 45–60.</w:t>
      </w:r>
    </w:p>
    <w:p w14:paraId="48C7B62F" w14:textId="77777777" w:rsidR="000A1B1C" w:rsidRPr="000A1B1C" w:rsidRDefault="000A1B1C" w:rsidP="000A1B1C">
      <w:pPr>
        <w:pStyle w:val="NormalWeb"/>
        <w:numPr>
          <w:ilvl w:val="0"/>
          <w:numId w:val="1"/>
        </w:numPr>
      </w:pPr>
      <w:r w:rsidRPr="000A1B1C">
        <w:t xml:space="preserve">Datnow, A., &amp; Park, V. (2021). </w:t>
      </w:r>
      <w:r w:rsidRPr="000A1B1C">
        <w:rPr>
          <w:rStyle w:val="Emphasis"/>
          <w:i w:val="0"/>
          <w:iCs w:val="0"/>
        </w:rPr>
        <w:t>Implementation of educational reforms: Balancing fidelity and adaptation</w:t>
      </w:r>
      <w:r w:rsidRPr="000A1B1C">
        <w:t>. Journal of Educational Change, 22(3), 321–340.</w:t>
      </w:r>
    </w:p>
    <w:p w14:paraId="30A4F461" w14:textId="77777777" w:rsidR="000A1B1C" w:rsidRPr="000A1B1C" w:rsidRDefault="000A1B1C" w:rsidP="000A1B1C">
      <w:pPr>
        <w:pStyle w:val="NormalWeb"/>
        <w:numPr>
          <w:ilvl w:val="0"/>
          <w:numId w:val="1"/>
        </w:numPr>
      </w:pPr>
      <w:r w:rsidRPr="000A1B1C">
        <w:t xml:space="preserve">Department of Education (DepEd). (2022). </w:t>
      </w:r>
      <w:r w:rsidRPr="000A1B1C">
        <w:rPr>
          <w:rStyle w:val="Emphasis"/>
          <w:i w:val="0"/>
          <w:iCs w:val="0"/>
        </w:rPr>
        <w:t>Guidelines on the implementation of Brigada Eskwela</w:t>
      </w:r>
      <w:r w:rsidRPr="000A1B1C">
        <w:t>. Manila: DepEd Central Office.</w:t>
      </w:r>
    </w:p>
    <w:p w14:paraId="433FF5C5" w14:textId="77777777" w:rsidR="000A1B1C" w:rsidRPr="000A1B1C" w:rsidRDefault="000A1B1C" w:rsidP="000A1B1C">
      <w:pPr>
        <w:pStyle w:val="NormalWeb"/>
        <w:numPr>
          <w:ilvl w:val="0"/>
          <w:numId w:val="1"/>
        </w:numPr>
      </w:pPr>
      <w:r w:rsidRPr="000A1B1C">
        <w:t xml:space="preserve">DepEd Philippines. (2025). </w:t>
      </w:r>
      <w:r w:rsidRPr="000A1B1C">
        <w:rPr>
          <w:rStyle w:val="Emphasis"/>
          <w:i w:val="0"/>
          <w:iCs w:val="0"/>
        </w:rPr>
        <w:t>Annual report on program implementation in basic education</w:t>
      </w:r>
      <w:r w:rsidRPr="000A1B1C">
        <w:rPr>
          <w:i/>
          <w:iCs/>
        </w:rPr>
        <w:t>.</w:t>
      </w:r>
      <w:r w:rsidRPr="000A1B1C">
        <w:t xml:space="preserve"> Manila: Department of Education.</w:t>
      </w:r>
    </w:p>
    <w:p w14:paraId="07C459D1" w14:textId="77777777" w:rsidR="000A1B1C" w:rsidRPr="000A1B1C" w:rsidRDefault="000A1B1C" w:rsidP="000A1B1C">
      <w:pPr>
        <w:pStyle w:val="NormalWeb"/>
        <w:numPr>
          <w:ilvl w:val="0"/>
          <w:numId w:val="1"/>
        </w:numPr>
      </w:pPr>
      <w:r w:rsidRPr="000A1B1C">
        <w:t xml:space="preserve">Famero, R. (2024). </w:t>
      </w:r>
      <w:r w:rsidRPr="000A1B1C">
        <w:rPr>
          <w:rStyle w:val="Emphasis"/>
          <w:i w:val="0"/>
          <w:iCs w:val="0"/>
        </w:rPr>
        <w:t>Community partnerships and resource support in Brigada Eskwela</w:t>
      </w:r>
      <w:r w:rsidRPr="000A1B1C">
        <w:rPr>
          <w:i/>
          <w:iCs/>
        </w:rPr>
        <w:t>.</w:t>
      </w:r>
      <w:r w:rsidRPr="000A1B1C">
        <w:t xml:space="preserve"> Philippine Education Review, 12(1), 88–102.</w:t>
      </w:r>
    </w:p>
    <w:p w14:paraId="12B652D6" w14:textId="77777777" w:rsidR="000A1B1C" w:rsidRPr="000A1B1C" w:rsidRDefault="000A1B1C" w:rsidP="000A1B1C">
      <w:pPr>
        <w:pStyle w:val="NormalWeb"/>
        <w:numPr>
          <w:ilvl w:val="0"/>
          <w:numId w:val="1"/>
        </w:numPr>
      </w:pPr>
      <w:r w:rsidRPr="000A1B1C">
        <w:t xml:space="preserve">Fullan, M. (2016). </w:t>
      </w:r>
      <w:r w:rsidRPr="000A1B1C">
        <w:rPr>
          <w:rStyle w:val="Emphasis"/>
          <w:i w:val="0"/>
          <w:iCs w:val="0"/>
        </w:rPr>
        <w:t>The new meaning of educational change</w:t>
      </w:r>
      <w:r w:rsidRPr="000A1B1C">
        <w:t xml:space="preserve"> (5th ed.). New York: Teachers College Press.</w:t>
      </w:r>
    </w:p>
    <w:p w14:paraId="7794A026" w14:textId="77777777" w:rsidR="000A1B1C" w:rsidRPr="000A1B1C" w:rsidRDefault="000A1B1C" w:rsidP="000A1B1C">
      <w:pPr>
        <w:pStyle w:val="NormalWeb"/>
        <w:numPr>
          <w:ilvl w:val="0"/>
          <w:numId w:val="1"/>
        </w:numPr>
      </w:pPr>
      <w:r w:rsidRPr="000A1B1C">
        <w:t xml:space="preserve">Heifetz, R. A. (1994). </w:t>
      </w:r>
      <w:r w:rsidRPr="000A1B1C">
        <w:rPr>
          <w:rStyle w:val="Emphasis"/>
          <w:i w:val="0"/>
          <w:iCs w:val="0"/>
        </w:rPr>
        <w:t>Leadership without easy answers</w:t>
      </w:r>
      <w:r w:rsidRPr="000A1B1C">
        <w:rPr>
          <w:i/>
          <w:iCs/>
        </w:rPr>
        <w:t>.</w:t>
      </w:r>
      <w:r w:rsidRPr="000A1B1C">
        <w:t xml:space="preserve"> Cambridge, MA: Harvard University Press.</w:t>
      </w:r>
    </w:p>
    <w:p w14:paraId="1BD0CBCA" w14:textId="77777777" w:rsidR="000A1B1C" w:rsidRPr="000A1B1C" w:rsidRDefault="000A1B1C" w:rsidP="000A1B1C">
      <w:pPr>
        <w:pStyle w:val="NormalWeb"/>
        <w:numPr>
          <w:ilvl w:val="0"/>
          <w:numId w:val="1"/>
        </w:numPr>
      </w:pPr>
      <w:r w:rsidRPr="000A1B1C">
        <w:t xml:space="preserve">Heifetz, R. A., Grashow, A., &amp; Linsky, M. (2009). </w:t>
      </w:r>
      <w:r w:rsidRPr="000A1B1C">
        <w:rPr>
          <w:rStyle w:val="Emphasis"/>
          <w:i w:val="0"/>
          <w:iCs w:val="0"/>
        </w:rPr>
        <w:t>The practice of adaptive leadership</w:t>
      </w:r>
      <w:r w:rsidRPr="000A1B1C">
        <w:rPr>
          <w:rStyle w:val="Emphasis"/>
        </w:rPr>
        <w:t xml:space="preserve">: </w:t>
      </w:r>
      <w:r w:rsidRPr="000A1B1C">
        <w:rPr>
          <w:rStyle w:val="Emphasis"/>
          <w:i w:val="0"/>
          <w:iCs w:val="0"/>
        </w:rPr>
        <w:t>Tools and tactics for changing your organization and the world</w:t>
      </w:r>
      <w:r w:rsidRPr="000A1B1C">
        <w:rPr>
          <w:i/>
          <w:iCs/>
        </w:rPr>
        <w:t>. B</w:t>
      </w:r>
      <w:r w:rsidRPr="000A1B1C">
        <w:t>oston, MA: Harvard Business Press.</w:t>
      </w:r>
    </w:p>
    <w:p w14:paraId="3426D322" w14:textId="77777777" w:rsidR="000A1B1C" w:rsidRPr="000A1B1C" w:rsidRDefault="000A1B1C" w:rsidP="000A1B1C">
      <w:pPr>
        <w:pStyle w:val="NormalWeb"/>
        <w:numPr>
          <w:ilvl w:val="0"/>
          <w:numId w:val="1"/>
        </w:numPr>
      </w:pPr>
      <w:r w:rsidRPr="000A1B1C">
        <w:t xml:space="preserve">Heifetz, R. A., &amp; Linsky, M. (2002). </w:t>
      </w:r>
      <w:r w:rsidRPr="000A1B1C">
        <w:rPr>
          <w:rStyle w:val="Emphasis"/>
          <w:i w:val="0"/>
          <w:iCs w:val="0"/>
        </w:rPr>
        <w:t>Leadership on the line: Staying alive through the dangers of leading</w:t>
      </w:r>
      <w:r w:rsidRPr="000A1B1C">
        <w:t>. Boston, MA: Harvard Business School Press.</w:t>
      </w:r>
    </w:p>
    <w:p w14:paraId="507E9585" w14:textId="77777777" w:rsidR="000A1B1C" w:rsidRPr="000A1B1C" w:rsidRDefault="000A1B1C" w:rsidP="000A1B1C">
      <w:pPr>
        <w:pStyle w:val="NormalWeb"/>
        <w:numPr>
          <w:ilvl w:val="0"/>
          <w:numId w:val="1"/>
        </w:numPr>
      </w:pPr>
      <w:r w:rsidRPr="000A1B1C">
        <w:t xml:space="preserve">Penuel, W. R., &amp; Fishman, B. J. (2020). </w:t>
      </w:r>
      <w:r w:rsidRPr="000A1B1C">
        <w:rPr>
          <w:rStyle w:val="Emphasis"/>
          <w:i w:val="0"/>
          <w:iCs w:val="0"/>
        </w:rPr>
        <w:t>Design-based implementation research: Toward a new model for educational program implementation</w:t>
      </w:r>
      <w:r w:rsidRPr="000A1B1C">
        <w:rPr>
          <w:i/>
          <w:iCs/>
        </w:rPr>
        <w:t>.</w:t>
      </w:r>
      <w:r w:rsidRPr="000A1B1C">
        <w:t xml:space="preserve"> Educational Researcher, 49(4), 243–252.</w:t>
      </w:r>
    </w:p>
    <w:p w14:paraId="233AE4D0" w14:textId="77777777" w:rsidR="000A1B1C" w:rsidRPr="000A1B1C" w:rsidRDefault="000A1B1C" w:rsidP="000A1B1C">
      <w:pPr>
        <w:pStyle w:val="NormalWeb"/>
        <w:numPr>
          <w:ilvl w:val="0"/>
          <w:numId w:val="1"/>
        </w:numPr>
      </w:pPr>
      <w:r w:rsidRPr="000A1B1C">
        <w:t xml:space="preserve">Pfeffer, J., &amp; Salancik, G. R. (2017). </w:t>
      </w:r>
      <w:r w:rsidRPr="007F6BA1">
        <w:rPr>
          <w:rStyle w:val="Emphasis"/>
          <w:i w:val="0"/>
          <w:iCs w:val="0"/>
        </w:rPr>
        <w:t>The external control of organizations: A resource dependence perspective</w:t>
      </w:r>
      <w:r w:rsidRPr="007F6BA1">
        <w:rPr>
          <w:i/>
          <w:iCs/>
        </w:rPr>
        <w:t xml:space="preserve"> </w:t>
      </w:r>
      <w:r w:rsidRPr="000A1B1C">
        <w:t>(Updated ed.). Stanford, CA: Stanford University Press.</w:t>
      </w:r>
    </w:p>
    <w:p w14:paraId="2568BCB5" w14:textId="77777777" w:rsidR="000A1B1C" w:rsidRPr="000A1B1C" w:rsidRDefault="000A1B1C" w:rsidP="000A1B1C">
      <w:pPr>
        <w:pStyle w:val="NormalWeb"/>
        <w:numPr>
          <w:ilvl w:val="0"/>
          <w:numId w:val="1"/>
        </w:numPr>
      </w:pPr>
      <w:r w:rsidRPr="000A1B1C">
        <w:t xml:space="preserve">Rosel, A., Valerio, M., &amp; Toledo, J. (2023). </w:t>
      </w:r>
      <w:r w:rsidRPr="007F6BA1">
        <w:rPr>
          <w:rStyle w:val="Emphasis"/>
          <w:i w:val="0"/>
          <w:iCs w:val="0"/>
        </w:rPr>
        <w:t>Resource generation and program sustainability in DepEd schools</w:t>
      </w:r>
      <w:r w:rsidRPr="007F6BA1">
        <w:rPr>
          <w:i/>
          <w:iCs/>
        </w:rPr>
        <w:t>.</w:t>
      </w:r>
      <w:r w:rsidRPr="000A1B1C">
        <w:t xml:space="preserve"> Philippine Journal of Educational Leadership, 15(2), 101–118.</w:t>
      </w:r>
    </w:p>
    <w:p w14:paraId="3E1C279F" w14:textId="77777777" w:rsidR="000A1B1C" w:rsidRPr="000A1B1C" w:rsidRDefault="000A1B1C" w:rsidP="000A1B1C">
      <w:pPr>
        <w:pStyle w:val="NormalWeb"/>
        <w:numPr>
          <w:ilvl w:val="0"/>
          <w:numId w:val="1"/>
        </w:numPr>
      </w:pPr>
      <w:r w:rsidRPr="000A1B1C">
        <w:t xml:space="preserve">Rosel, A., et al. (2025). </w:t>
      </w:r>
      <w:r w:rsidRPr="007F6BA1">
        <w:rPr>
          <w:rStyle w:val="Emphasis"/>
          <w:i w:val="0"/>
          <w:iCs w:val="0"/>
        </w:rPr>
        <w:t>Leadership adaptability in Philippine schools: Responding to complexity and change</w:t>
      </w:r>
      <w:r w:rsidRPr="007F6BA1">
        <w:rPr>
          <w:i/>
          <w:iCs/>
        </w:rPr>
        <w:t>.</w:t>
      </w:r>
      <w:r w:rsidRPr="000A1B1C">
        <w:t xml:space="preserve"> International Journal of Educational Reform, 34(1), 55–70.</w:t>
      </w:r>
    </w:p>
    <w:p w14:paraId="5928DD9F" w14:textId="77777777" w:rsidR="000A1B1C" w:rsidRPr="000A1B1C" w:rsidRDefault="000A1B1C" w:rsidP="000A1B1C">
      <w:pPr>
        <w:pStyle w:val="NormalWeb"/>
        <w:numPr>
          <w:ilvl w:val="0"/>
          <w:numId w:val="1"/>
        </w:numPr>
      </w:pPr>
      <w:r w:rsidRPr="000A1B1C">
        <w:t xml:space="preserve">SEAMEO INNOTECH. (2020). </w:t>
      </w:r>
      <w:r w:rsidRPr="007F6BA1">
        <w:rPr>
          <w:rStyle w:val="Emphasis"/>
          <w:i w:val="0"/>
          <w:iCs w:val="0"/>
        </w:rPr>
        <w:t>Professional development frameworks for school heads in Southeast Asia</w:t>
      </w:r>
      <w:r w:rsidRPr="000A1B1C">
        <w:t>. Quezon City: SEAMEO INNOTECH.</w:t>
      </w:r>
    </w:p>
    <w:p w14:paraId="0FCAF4F5" w14:textId="77777777" w:rsidR="000A1B1C" w:rsidRPr="000A1B1C" w:rsidRDefault="000A1B1C" w:rsidP="000A1B1C">
      <w:pPr>
        <w:pStyle w:val="NormalWeb"/>
        <w:numPr>
          <w:ilvl w:val="0"/>
          <w:numId w:val="1"/>
        </w:numPr>
      </w:pPr>
      <w:r w:rsidRPr="000A1B1C">
        <w:t>Toledo, J. (2025</w:t>
      </w:r>
      <w:r w:rsidRPr="007F6BA1">
        <w:rPr>
          <w:i/>
          <w:iCs/>
        </w:rPr>
        <w:t xml:space="preserve">). </w:t>
      </w:r>
      <w:r w:rsidRPr="007F6BA1">
        <w:rPr>
          <w:rStyle w:val="Emphasis"/>
          <w:i w:val="0"/>
          <w:iCs w:val="0"/>
        </w:rPr>
        <w:t>Resource-oriented leadership and school effectiveness</w:t>
      </w:r>
      <w:r w:rsidRPr="007F6BA1">
        <w:rPr>
          <w:i/>
          <w:iCs/>
        </w:rPr>
        <w:t>.</w:t>
      </w:r>
      <w:r w:rsidRPr="000A1B1C">
        <w:t xml:space="preserve"> Journal of Educational Administration, 63(3), 289–305.</w:t>
      </w:r>
    </w:p>
    <w:p w14:paraId="78240676" w14:textId="77777777" w:rsidR="000A1B1C" w:rsidRPr="000A1B1C" w:rsidRDefault="000A1B1C" w:rsidP="000A1B1C">
      <w:pPr>
        <w:pStyle w:val="NormalWeb"/>
        <w:numPr>
          <w:ilvl w:val="0"/>
          <w:numId w:val="1"/>
        </w:numPr>
      </w:pPr>
      <w:r w:rsidRPr="000A1B1C">
        <w:t xml:space="preserve">UNESCO. (2024). </w:t>
      </w:r>
      <w:r w:rsidRPr="007F6BA1">
        <w:rPr>
          <w:rStyle w:val="Emphasis"/>
          <w:i w:val="0"/>
          <w:iCs w:val="0"/>
        </w:rPr>
        <w:t>Global education monitoring report: Policy implementation and resource challenges</w:t>
      </w:r>
      <w:r w:rsidRPr="000A1B1C">
        <w:t>. Paris: UNESCO Publishing.</w:t>
      </w:r>
    </w:p>
    <w:p w14:paraId="1918C432" w14:textId="77777777" w:rsidR="000A1B1C" w:rsidRPr="000A1B1C" w:rsidRDefault="000A1B1C" w:rsidP="000A1B1C">
      <w:pPr>
        <w:pStyle w:val="NormalWeb"/>
        <w:numPr>
          <w:ilvl w:val="0"/>
          <w:numId w:val="1"/>
        </w:numPr>
      </w:pPr>
      <w:r w:rsidRPr="000A1B1C">
        <w:t xml:space="preserve">Valerio, M. (2023). </w:t>
      </w:r>
      <w:r w:rsidRPr="007F6BA1">
        <w:rPr>
          <w:rStyle w:val="Emphasis"/>
          <w:i w:val="0"/>
          <w:iCs w:val="0"/>
        </w:rPr>
        <w:t>Budget constraints and resource mobilization in Philippine schools</w:t>
      </w:r>
      <w:r w:rsidRPr="007F6BA1">
        <w:rPr>
          <w:i/>
          <w:iCs/>
        </w:rPr>
        <w:t xml:space="preserve">. </w:t>
      </w:r>
      <w:r w:rsidRPr="000A1B1C">
        <w:t>Philippine Education Studies, 11(3), 67–82.</w:t>
      </w:r>
    </w:p>
    <w:p w14:paraId="662B7838" w14:textId="77777777" w:rsidR="000A1B1C" w:rsidRPr="000A1B1C" w:rsidRDefault="000A1B1C" w:rsidP="000A1B1C">
      <w:pPr>
        <w:pStyle w:val="NormalWeb"/>
        <w:numPr>
          <w:ilvl w:val="0"/>
          <w:numId w:val="1"/>
        </w:numPr>
      </w:pPr>
      <w:r w:rsidRPr="000A1B1C">
        <w:t xml:space="preserve">Valerio, M. (2024). </w:t>
      </w:r>
      <w:r w:rsidRPr="007F6BA1">
        <w:rPr>
          <w:rStyle w:val="Emphasis"/>
          <w:i w:val="0"/>
          <w:iCs w:val="0"/>
        </w:rPr>
        <w:t>Resource management and sustainability in basic education</w:t>
      </w:r>
      <w:r w:rsidRPr="000A1B1C">
        <w:t>. Journal of Philippine Educational Policy, 13(1), 45–60.</w:t>
      </w:r>
    </w:p>
    <w:p w14:paraId="0119267B" w14:textId="77777777" w:rsidR="000A1B1C" w:rsidRPr="000A1B1C" w:rsidRDefault="000A1B1C" w:rsidP="000A1B1C">
      <w:pPr>
        <w:pStyle w:val="ListParagraph"/>
        <w:spacing w:line="240" w:lineRule="auto"/>
        <w:jc w:val="both"/>
        <w:rPr>
          <w:rFonts w:ascii="Times New Roman" w:hAnsi="Times New Roman" w:cs="Times New Roman"/>
          <w:sz w:val="24"/>
          <w:szCs w:val="24"/>
          <w:lang w:val="en-US"/>
        </w:rPr>
      </w:pPr>
    </w:p>
    <w:p w14:paraId="4F881538" w14:textId="77777777" w:rsidR="00091C21" w:rsidRPr="00091C21" w:rsidRDefault="00091C21" w:rsidP="00FB330E">
      <w:pPr>
        <w:spacing w:line="240" w:lineRule="auto"/>
        <w:jc w:val="both"/>
        <w:rPr>
          <w:rFonts w:ascii="Times New Roman" w:hAnsi="Times New Roman" w:cs="Times New Roman"/>
          <w:sz w:val="24"/>
          <w:szCs w:val="24"/>
          <w:lang w:val="en-US"/>
        </w:rPr>
      </w:pPr>
    </w:p>
    <w:sectPr w:rsidR="00091C21" w:rsidRPr="00091C21" w:rsidSect="00ED1C9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E2BC9" w14:textId="77777777" w:rsidR="002E251A" w:rsidRDefault="002E251A" w:rsidP="00ED1C95">
      <w:pPr>
        <w:spacing w:after="0" w:line="240" w:lineRule="auto"/>
      </w:pPr>
      <w:r>
        <w:separator/>
      </w:r>
    </w:p>
  </w:endnote>
  <w:endnote w:type="continuationSeparator" w:id="0">
    <w:p w14:paraId="538133A7" w14:textId="77777777" w:rsidR="002E251A" w:rsidRDefault="002E251A" w:rsidP="00ED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95353" w14:textId="77777777" w:rsidR="002E251A" w:rsidRDefault="002E251A" w:rsidP="00ED1C95">
      <w:pPr>
        <w:spacing w:after="0" w:line="240" w:lineRule="auto"/>
      </w:pPr>
      <w:r>
        <w:separator/>
      </w:r>
    </w:p>
  </w:footnote>
  <w:footnote w:type="continuationSeparator" w:id="0">
    <w:p w14:paraId="522CF238" w14:textId="77777777" w:rsidR="002E251A" w:rsidRDefault="002E251A" w:rsidP="00ED1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E6B"/>
    <w:multiLevelType w:val="hybridMultilevel"/>
    <w:tmpl w:val="27041D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95"/>
    <w:rsid w:val="000636DC"/>
    <w:rsid w:val="0007408C"/>
    <w:rsid w:val="00091C21"/>
    <w:rsid w:val="000A1B1C"/>
    <w:rsid w:val="000F76B4"/>
    <w:rsid w:val="0011141A"/>
    <w:rsid w:val="00141589"/>
    <w:rsid w:val="00144FC5"/>
    <w:rsid w:val="0022325B"/>
    <w:rsid w:val="00225048"/>
    <w:rsid w:val="00276D7A"/>
    <w:rsid w:val="002C31AF"/>
    <w:rsid w:val="002D4FC6"/>
    <w:rsid w:val="002E251A"/>
    <w:rsid w:val="003254C3"/>
    <w:rsid w:val="00347DA8"/>
    <w:rsid w:val="004035F6"/>
    <w:rsid w:val="0041265D"/>
    <w:rsid w:val="004A713C"/>
    <w:rsid w:val="004C5762"/>
    <w:rsid w:val="004D3644"/>
    <w:rsid w:val="00563781"/>
    <w:rsid w:val="006715E4"/>
    <w:rsid w:val="006A2E10"/>
    <w:rsid w:val="006C5ADC"/>
    <w:rsid w:val="006C5F10"/>
    <w:rsid w:val="00755934"/>
    <w:rsid w:val="007F6BA1"/>
    <w:rsid w:val="0085288B"/>
    <w:rsid w:val="00874BDC"/>
    <w:rsid w:val="008B3AA2"/>
    <w:rsid w:val="008D66B2"/>
    <w:rsid w:val="00947BEF"/>
    <w:rsid w:val="0096694F"/>
    <w:rsid w:val="009976E0"/>
    <w:rsid w:val="009C02AD"/>
    <w:rsid w:val="00A76161"/>
    <w:rsid w:val="00C40B84"/>
    <w:rsid w:val="00C75DBE"/>
    <w:rsid w:val="00D14509"/>
    <w:rsid w:val="00D159BA"/>
    <w:rsid w:val="00E11772"/>
    <w:rsid w:val="00ED1C95"/>
    <w:rsid w:val="00FB330E"/>
    <w:rsid w:val="00FE20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95"/>
    <w:rPr>
      <w:rFonts w:eastAsiaTheme="majorEastAsia" w:cstheme="majorBidi"/>
      <w:color w:val="272727" w:themeColor="text1" w:themeTint="D8"/>
    </w:rPr>
  </w:style>
  <w:style w:type="paragraph" w:styleId="Title">
    <w:name w:val="Title"/>
    <w:basedOn w:val="Normal"/>
    <w:next w:val="Normal"/>
    <w:link w:val="TitleChar"/>
    <w:uiPriority w:val="10"/>
    <w:qFormat/>
    <w:rsid w:val="00ED1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95"/>
    <w:pPr>
      <w:spacing w:before="160"/>
      <w:jc w:val="center"/>
    </w:pPr>
    <w:rPr>
      <w:i/>
      <w:iCs/>
      <w:color w:val="404040" w:themeColor="text1" w:themeTint="BF"/>
    </w:rPr>
  </w:style>
  <w:style w:type="character" w:customStyle="1" w:styleId="QuoteChar">
    <w:name w:val="Quote Char"/>
    <w:basedOn w:val="DefaultParagraphFont"/>
    <w:link w:val="Quote"/>
    <w:uiPriority w:val="29"/>
    <w:rsid w:val="00ED1C95"/>
    <w:rPr>
      <w:i/>
      <w:iCs/>
      <w:color w:val="404040" w:themeColor="text1" w:themeTint="BF"/>
    </w:rPr>
  </w:style>
  <w:style w:type="paragraph" w:styleId="ListParagraph">
    <w:name w:val="List Paragraph"/>
    <w:basedOn w:val="Normal"/>
    <w:uiPriority w:val="34"/>
    <w:qFormat/>
    <w:rsid w:val="00ED1C95"/>
    <w:pPr>
      <w:ind w:left="720"/>
      <w:contextualSpacing/>
    </w:pPr>
  </w:style>
  <w:style w:type="character" w:styleId="IntenseEmphasis">
    <w:name w:val="Intense Emphasis"/>
    <w:basedOn w:val="DefaultParagraphFont"/>
    <w:uiPriority w:val="21"/>
    <w:qFormat/>
    <w:rsid w:val="00ED1C95"/>
    <w:rPr>
      <w:i/>
      <w:iCs/>
      <w:color w:val="0F4761" w:themeColor="accent1" w:themeShade="BF"/>
    </w:rPr>
  </w:style>
  <w:style w:type="paragraph" w:styleId="IntenseQuote">
    <w:name w:val="Intense Quote"/>
    <w:basedOn w:val="Normal"/>
    <w:next w:val="Normal"/>
    <w:link w:val="IntenseQuoteChar"/>
    <w:uiPriority w:val="30"/>
    <w:qFormat/>
    <w:rsid w:val="00ED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95"/>
    <w:rPr>
      <w:i/>
      <w:iCs/>
      <w:color w:val="0F4761" w:themeColor="accent1" w:themeShade="BF"/>
    </w:rPr>
  </w:style>
  <w:style w:type="character" w:styleId="IntenseReference">
    <w:name w:val="Intense Reference"/>
    <w:basedOn w:val="DefaultParagraphFont"/>
    <w:uiPriority w:val="32"/>
    <w:qFormat/>
    <w:rsid w:val="00ED1C95"/>
    <w:rPr>
      <w:b/>
      <w:bCs/>
      <w:smallCaps/>
      <w:color w:val="0F4761" w:themeColor="accent1" w:themeShade="BF"/>
      <w:spacing w:val="5"/>
    </w:rPr>
  </w:style>
  <w:style w:type="paragraph" w:styleId="Header">
    <w:name w:val="header"/>
    <w:basedOn w:val="Normal"/>
    <w:link w:val="HeaderChar"/>
    <w:uiPriority w:val="99"/>
    <w:unhideWhenUsed/>
    <w:rsid w:val="00ED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95"/>
  </w:style>
  <w:style w:type="paragraph" w:styleId="Footer">
    <w:name w:val="footer"/>
    <w:basedOn w:val="Normal"/>
    <w:link w:val="FooterChar"/>
    <w:uiPriority w:val="99"/>
    <w:unhideWhenUsed/>
    <w:rsid w:val="00ED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95"/>
  </w:style>
  <w:style w:type="table" w:styleId="TableGrid">
    <w:name w:val="Table Grid"/>
    <w:basedOn w:val="TableNormal"/>
    <w:uiPriority w:val="39"/>
    <w:rsid w:val="0022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96694F"/>
    <w:pPr>
      <w:spacing w:after="0" w:line="240" w:lineRule="auto"/>
    </w:pPr>
    <w:rPr>
      <w:rFonts w:ascii="Arial" w:hAnsi="Arial"/>
      <w:kern w:val="0"/>
      <w:sz w:val="20"/>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A1B1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0A1B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1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C95"/>
    <w:rPr>
      <w:rFonts w:eastAsiaTheme="majorEastAsia" w:cstheme="majorBidi"/>
      <w:color w:val="272727" w:themeColor="text1" w:themeTint="D8"/>
    </w:rPr>
  </w:style>
  <w:style w:type="paragraph" w:styleId="Title">
    <w:name w:val="Title"/>
    <w:basedOn w:val="Normal"/>
    <w:next w:val="Normal"/>
    <w:link w:val="TitleChar"/>
    <w:uiPriority w:val="10"/>
    <w:qFormat/>
    <w:rsid w:val="00ED1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C95"/>
    <w:pPr>
      <w:spacing w:before="160"/>
      <w:jc w:val="center"/>
    </w:pPr>
    <w:rPr>
      <w:i/>
      <w:iCs/>
      <w:color w:val="404040" w:themeColor="text1" w:themeTint="BF"/>
    </w:rPr>
  </w:style>
  <w:style w:type="character" w:customStyle="1" w:styleId="QuoteChar">
    <w:name w:val="Quote Char"/>
    <w:basedOn w:val="DefaultParagraphFont"/>
    <w:link w:val="Quote"/>
    <w:uiPriority w:val="29"/>
    <w:rsid w:val="00ED1C95"/>
    <w:rPr>
      <w:i/>
      <w:iCs/>
      <w:color w:val="404040" w:themeColor="text1" w:themeTint="BF"/>
    </w:rPr>
  </w:style>
  <w:style w:type="paragraph" w:styleId="ListParagraph">
    <w:name w:val="List Paragraph"/>
    <w:basedOn w:val="Normal"/>
    <w:uiPriority w:val="34"/>
    <w:qFormat/>
    <w:rsid w:val="00ED1C95"/>
    <w:pPr>
      <w:ind w:left="720"/>
      <w:contextualSpacing/>
    </w:pPr>
  </w:style>
  <w:style w:type="character" w:styleId="IntenseEmphasis">
    <w:name w:val="Intense Emphasis"/>
    <w:basedOn w:val="DefaultParagraphFont"/>
    <w:uiPriority w:val="21"/>
    <w:qFormat/>
    <w:rsid w:val="00ED1C95"/>
    <w:rPr>
      <w:i/>
      <w:iCs/>
      <w:color w:val="0F4761" w:themeColor="accent1" w:themeShade="BF"/>
    </w:rPr>
  </w:style>
  <w:style w:type="paragraph" w:styleId="IntenseQuote">
    <w:name w:val="Intense Quote"/>
    <w:basedOn w:val="Normal"/>
    <w:next w:val="Normal"/>
    <w:link w:val="IntenseQuoteChar"/>
    <w:uiPriority w:val="30"/>
    <w:qFormat/>
    <w:rsid w:val="00ED1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C95"/>
    <w:rPr>
      <w:i/>
      <w:iCs/>
      <w:color w:val="0F4761" w:themeColor="accent1" w:themeShade="BF"/>
    </w:rPr>
  </w:style>
  <w:style w:type="character" w:styleId="IntenseReference">
    <w:name w:val="Intense Reference"/>
    <w:basedOn w:val="DefaultParagraphFont"/>
    <w:uiPriority w:val="32"/>
    <w:qFormat/>
    <w:rsid w:val="00ED1C95"/>
    <w:rPr>
      <w:b/>
      <w:bCs/>
      <w:smallCaps/>
      <w:color w:val="0F4761" w:themeColor="accent1" w:themeShade="BF"/>
      <w:spacing w:val="5"/>
    </w:rPr>
  </w:style>
  <w:style w:type="paragraph" w:styleId="Header">
    <w:name w:val="header"/>
    <w:basedOn w:val="Normal"/>
    <w:link w:val="HeaderChar"/>
    <w:uiPriority w:val="99"/>
    <w:unhideWhenUsed/>
    <w:rsid w:val="00ED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95"/>
  </w:style>
  <w:style w:type="paragraph" w:styleId="Footer">
    <w:name w:val="footer"/>
    <w:basedOn w:val="Normal"/>
    <w:link w:val="FooterChar"/>
    <w:uiPriority w:val="99"/>
    <w:unhideWhenUsed/>
    <w:rsid w:val="00ED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95"/>
  </w:style>
  <w:style w:type="table" w:styleId="TableGrid">
    <w:name w:val="Table Grid"/>
    <w:basedOn w:val="TableNormal"/>
    <w:uiPriority w:val="39"/>
    <w:rsid w:val="00223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96694F"/>
    <w:pPr>
      <w:spacing w:after="0" w:line="240" w:lineRule="auto"/>
    </w:pPr>
    <w:rPr>
      <w:rFonts w:ascii="Arial" w:hAnsi="Arial"/>
      <w:kern w:val="0"/>
      <w:sz w:val="20"/>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A1B1C"/>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0A1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Pages>
  <Words>4748</Words>
  <Characters>27066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ladycharmaine2025@outlook.com</dc:creator>
  <cp:keywords/>
  <dc:description/>
  <cp:lastModifiedBy>qwert</cp:lastModifiedBy>
  <cp:revision>38</cp:revision>
  <dcterms:created xsi:type="dcterms:W3CDTF">2026-05-02T08:42:00Z</dcterms:created>
  <dcterms:modified xsi:type="dcterms:W3CDTF">2026-05-04T12:37:00Z</dcterms:modified>
</cp:coreProperties>
</file>