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411A" w14:textId="77777777" w:rsidR="00810D18" w:rsidRDefault="00810D18" w:rsidP="00695D48">
      <w:pPr>
        <w:spacing w:after="200" w:line="276" w:lineRule="auto"/>
        <w:jc w:val="center"/>
        <w:rPr>
          <w:rFonts w:ascii="Times New Roman" w:eastAsia="Times New Roman" w:hAnsi="Times New Roman" w:cs="Times New Roman"/>
          <w:b/>
          <w:bCs/>
          <w:i/>
          <w:sz w:val="24"/>
          <w:szCs w:val="24"/>
        </w:rPr>
      </w:pPr>
    </w:p>
    <w:p w14:paraId="26210D2E" w14:textId="7E2C1857" w:rsidR="00810D18" w:rsidRDefault="00CE13F5" w:rsidP="00695D48">
      <w:pPr>
        <w:spacing w:after="200" w:line="276" w:lineRule="auto"/>
        <w:jc w:val="center"/>
        <w:rPr>
          <w:rFonts w:ascii="Times New Roman" w:eastAsia="Times New Roman" w:hAnsi="Times New Roman" w:cs="Times New Roman"/>
          <w:b/>
          <w:bCs/>
          <w:sz w:val="24"/>
          <w:szCs w:val="24"/>
        </w:rPr>
      </w:pPr>
      <w:r w:rsidRPr="00AA0CD0">
        <w:rPr>
          <w:rFonts w:ascii="Times New Roman" w:eastAsia="Times New Roman" w:hAnsi="Times New Roman" w:cs="Times New Roman"/>
          <w:b/>
          <w:bCs/>
          <w:sz w:val="24"/>
          <w:szCs w:val="24"/>
        </w:rPr>
        <w:t xml:space="preserve">Effect of </w:t>
      </w:r>
      <w:r w:rsidR="00810D18" w:rsidRPr="00AA0CD0">
        <w:rPr>
          <w:rFonts w:ascii="Times New Roman" w:eastAsia="Times New Roman" w:hAnsi="Times New Roman" w:cs="Times New Roman"/>
          <w:b/>
          <w:bCs/>
          <w:sz w:val="24"/>
          <w:szCs w:val="24"/>
        </w:rPr>
        <w:t>Natural Re</w:t>
      </w:r>
      <w:r w:rsidRPr="00AA0CD0">
        <w:rPr>
          <w:rFonts w:ascii="Times New Roman" w:eastAsia="Times New Roman" w:hAnsi="Times New Roman" w:cs="Times New Roman"/>
          <w:b/>
          <w:bCs/>
          <w:sz w:val="24"/>
          <w:szCs w:val="24"/>
        </w:rPr>
        <w:t>source Endowment on</w:t>
      </w:r>
      <w:r w:rsidR="00810D18" w:rsidRPr="00AA0CD0">
        <w:rPr>
          <w:rFonts w:ascii="Times New Roman" w:eastAsia="Times New Roman" w:hAnsi="Times New Roman" w:cs="Times New Roman"/>
          <w:b/>
          <w:bCs/>
          <w:sz w:val="24"/>
          <w:szCs w:val="24"/>
        </w:rPr>
        <w:t xml:space="preserve"> Institutional Quality </w:t>
      </w:r>
      <w:r w:rsidRPr="00AA0CD0">
        <w:rPr>
          <w:rFonts w:ascii="Times New Roman" w:eastAsia="Times New Roman" w:hAnsi="Times New Roman" w:cs="Times New Roman"/>
          <w:b/>
          <w:bCs/>
          <w:sz w:val="24"/>
          <w:szCs w:val="24"/>
        </w:rPr>
        <w:t>in Nigeria</w:t>
      </w:r>
    </w:p>
    <w:p w14:paraId="26300EB9" w14:textId="433011A0" w:rsidR="00695D48" w:rsidRPr="00695D48" w:rsidRDefault="00695D48" w:rsidP="00695D48">
      <w:pPr>
        <w:spacing w:after="200" w:line="276" w:lineRule="auto"/>
        <w:jc w:val="center"/>
        <w:rPr>
          <w:rFonts w:ascii="Times New Roman" w:eastAsia="Times New Roman" w:hAnsi="Times New Roman" w:cs="Times New Roman"/>
          <w:b/>
          <w:bCs/>
          <w:i/>
          <w:sz w:val="24"/>
          <w:szCs w:val="24"/>
        </w:rPr>
      </w:pPr>
      <w:bookmarkStart w:id="0" w:name="_GoBack"/>
      <w:bookmarkEnd w:id="0"/>
      <w:r w:rsidRPr="00695D48">
        <w:rPr>
          <w:rFonts w:ascii="Times New Roman" w:eastAsia="Times New Roman" w:hAnsi="Times New Roman" w:cs="Times New Roman"/>
          <w:b/>
          <w:bCs/>
          <w:i/>
          <w:sz w:val="24"/>
          <w:szCs w:val="24"/>
        </w:rPr>
        <w:t>Abstract</w:t>
      </w:r>
    </w:p>
    <w:p w14:paraId="1CB19977" w14:textId="1F4ADD36" w:rsidR="00695D48" w:rsidRPr="00695D48" w:rsidRDefault="00695D48" w:rsidP="00695D48">
      <w:pPr>
        <w:spacing w:after="160"/>
        <w:jc w:val="both"/>
        <w:rPr>
          <w:rFonts w:ascii="Times New Roman" w:eastAsia="Aptos" w:hAnsi="Times New Roman" w:cs="Times New Roman"/>
          <w:i/>
          <w:kern w:val="2"/>
          <w:lang w:val="en-GB"/>
        </w:rPr>
      </w:pPr>
      <w:r w:rsidRPr="00695D48">
        <w:rPr>
          <w:rFonts w:ascii="Times New Roman" w:eastAsia="Aptos" w:hAnsi="Times New Roman" w:cs="Times New Roman"/>
          <w:i/>
          <w:kern w:val="2"/>
          <w:sz w:val="24"/>
          <w:szCs w:val="24"/>
          <w:lang w:val="en-GB"/>
        </w:rPr>
        <w:t>This study examined the effects of natural resource endowment on institutional quality</w:t>
      </w:r>
      <w:r>
        <w:rPr>
          <w:rFonts w:ascii="Times New Roman" w:eastAsia="Aptos" w:hAnsi="Times New Roman" w:cs="Times New Roman"/>
          <w:i/>
          <w:kern w:val="2"/>
          <w:sz w:val="24"/>
          <w:szCs w:val="24"/>
          <w:lang w:val="en-GB"/>
        </w:rPr>
        <w:t xml:space="preserve"> </w:t>
      </w:r>
      <w:r w:rsidRPr="00695D48">
        <w:rPr>
          <w:rFonts w:ascii="Times New Roman" w:eastAsia="Aptos" w:hAnsi="Times New Roman" w:cs="Times New Roman"/>
          <w:i/>
          <w:kern w:val="2"/>
          <w:sz w:val="24"/>
          <w:szCs w:val="24"/>
          <w:lang w:val="en-GB"/>
        </w:rPr>
        <w:t xml:space="preserve">in Nigeria, using secondary annualised data ranging from 1996 to 2024. </w:t>
      </w:r>
      <w:r w:rsidRPr="00695D48">
        <w:rPr>
          <w:rFonts w:ascii="Times New Roman" w:eastAsia="Aptos" w:hAnsi="Times New Roman" w:cs="Times New Roman"/>
          <w:i/>
          <w:kern w:val="2"/>
          <w:sz w:val="24"/>
          <w:szCs w:val="24"/>
        </w:rPr>
        <w:t xml:space="preserve"> </w:t>
      </w:r>
      <w:r w:rsidRPr="00695D48">
        <w:rPr>
          <w:rFonts w:ascii="Times New Roman" w:eastAsia="Aptos" w:hAnsi="Times New Roman" w:cs="Times New Roman"/>
          <w:i/>
          <w:kern w:val="2"/>
          <w:sz w:val="24"/>
          <w:szCs w:val="24"/>
          <w:lang w:val="en-GB"/>
        </w:rPr>
        <w:t>The Augmented Dickey-Fuller, Phillips-Perron, and Andrew Zivot tests were carried out to assess unit root properties and structural breaks. The annual data were analysed through Autoregressive Distributed Lag models, Error Correction Mechanisms, and Pairwise Granger causality tests. The long-run ARDL results indicated that natural resource endowments positively affected institutional quality (β = 0.280, p = 0.068)</w:t>
      </w:r>
      <w:r w:rsidR="003D56FB">
        <w:rPr>
          <w:rFonts w:ascii="Times New Roman" w:eastAsia="Aptos" w:hAnsi="Times New Roman" w:cs="Times New Roman"/>
          <w:i/>
          <w:kern w:val="2"/>
          <w:sz w:val="24"/>
          <w:szCs w:val="24"/>
          <w:lang w:val="en-GB"/>
        </w:rPr>
        <w:t>.</w:t>
      </w:r>
      <w:r w:rsidRPr="00695D48">
        <w:rPr>
          <w:rFonts w:ascii="Times New Roman" w:eastAsia="Aptos" w:hAnsi="Times New Roman" w:cs="Times New Roman"/>
          <w:i/>
          <w:kern w:val="2"/>
          <w:sz w:val="24"/>
          <w:szCs w:val="24"/>
          <w:lang w:val="en-GB"/>
        </w:rPr>
        <w:t xml:space="preserve"> </w:t>
      </w:r>
      <w:r w:rsidR="00C75DCE">
        <w:rPr>
          <w:rFonts w:ascii="Times New Roman" w:eastAsia="Aptos" w:hAnsi="Times New Roman" w:cs="Times New Roman"/>
          <w:i/>
          <w:kern w:val="2"/>
          <w:sz w:val="24"/>
          <w:szCs w:val="24"/>
          <w:lang w:val="en-GB"/>
        </w:rPr>
        <w:t>G</w:t>
      </w:r>
      <w:r w:rsidRPr="00695D48">
        <w:rPr>
          <w:rFonts w:ascii="Times New Roman" w:eastAsia="Aptos" w:hAnsi="Times New Roman" w:cs="Times New Roman"/>
          <w:i/>
          <w:kern w:val="2"/>
          <w:sz w:val="24"/>
          <w:szCs w:val="24"/>
          <w:lang w:val="en-GB"/>
        </w:rPr>
        <w:t>ross fixed capital formation and school enrollment played supportive roles in institutional development.</w:t>
      </w:r>
      <w:r w:rsidR="000C4AEA">
        <w:rPr>
          <w:rFonts w:ascii="Times New Roman" w:eastAsia="Aptos" w:hAnsi="Times New Roman" w:cs="Times New Roman"/>
          <w:i/>
          <w:kern w:val="2"/>
          <w:sz w:val="24"/>
          <w:szCs w:val="24"/>
          <w:lang w:val="en-GB"/>
        </w:rPr>
        <w:t xml:space="preserve"> </w:t>
      </w:r>
      <w:r w:rsidRPr="00695D48">
        <w:rPr>
          <w:rFonts w:ascii="Times New Roman" w:eastAsia="Aptos" w:hAnsi="Times New Roman" w:cs="Times New Roman"/>
          <w:i/>
          <w:kern w:val="2"/>
          <w:lang w:val="en-GB"/>
        </w:rPr>
        <w:t>The findings highlight</w:t>
      </w:r>
      <w:r w:rsidR="003D56FB">
        <w:rPr>
          <w:rFonts w:ascii="Times New Roman" w:eastAsia="Aptos" w:hAnsi="Times New Roman" w:cs="Times New Roman"/>
          <w:i/>
          <w:kern w:val="2"/>
          <w:lang w:val="en-GB"/>
        </w:rPr>
        <w:t xml:space="preserve"> that </w:t>
      </w:r>
      <w:r w:rsidRPr="00695D48">
        <w:rPr>
          <w:rFonts w:ascii="Times New Roman" w:eastAsia="Aptos" w:hAnsi="Times New Roman" w:cs="Times New Roman"/>
          <w:i/>
          <w:kern w:val="2"/>
          <w:lang w:val="en-GB"/>
        </w:rPr>
        <w:t>investments in human capital through education and skills development, along with robust institutional frameworks, transparency, anti-corruption strategies, and enhanced regulatory capabilities, are deemed essential. Finally, a well-coordinated, long-term strategy that embraces resource management, governance, and human capital development is essential for Nigeria to convert its natural resource endowments into sustainable, inclusiv</w:t>
      </w:r>
      <w:r w:rsidR="00C75DCE">
        <w:rPr>
          <w:rFonts w:ascii="Times New Roman" w:eastAsia="Aptos" w:hAnsi="Times New Roman" w:cs="Times New Roman"/>
          <w:i/>
          <w:kern w:val="2"/>
          <w:lang w:val="en-GB"/>
        </w:rPr>
        <w:t>e, and resilient</w:t>
      </w:r>
      <w:r w:rsidRPr="00695D48">
        <w:rPr>
          <w:rFonts w:ascii="Times New Roman" w:eastAsia="Aptos" w:hAnsi="Times New Roman" w:cs="Times New Roman"/>
          <w:i/>
          <w:kern w:val="2"/>
          <w:lang w:val="en-GB"/>
        </w:rPr>
        <w:t xml:space="preserve"> growth.</w:t>
      </w:r>
    </w:p>
    <w:p w14:paraId="64591DEE" w14:textId="77777777" w:rsidR="00695D48" w:rsidRPr="00695D48" w:rsidRDefault="00695D48" w:rsidP="00695D48">
      <w:pPr>
        <w:spacing w:after="160"/>
        <w:jc w:val="both"/>
        <w:rPr>
          <w:rFonts w:ascii="Times New Roman" w:eastAsia="Aptos" w:hAnsi="Times New Roman" w:cs="Times New Roman"/>
          <w:i/>
          <w:kern w:val="2"/>
          <w:sz w:val="24"/>
          <w:szCs w:val="24"/>
          <w:lang w:val="en-GB"/>
        </w:rPr>
      </w:pPr>
    </w:p>
    <w:p w14:paraId="55E911A6" w14:textId="6E949C83" w:rsidR="00C16D1E" w:rsidRDefault="00695D48" w:rsidP="00810D18">
      <w:pPr>
        <w:spacing w:after="160"/>
        <w:jc w:val="both"/>
        <w:rPr>
          <w:rFonts w:ascii="Times New Roman" w:eastAsia="Times New Roman" w:hAnsi="Times New Roman" w:cs="Times New Roman"/>
          <w:b/>
          <w:bCs/>
          <w:sz w:val="20"/>
          <w:szCs w:val="20"/>
          <w:shd w:val="clear" w:color="auto" w:fill="FFFFFF"/>
        </w:rPr>
      </w:pPr>
      <w:r w:rsidRPr="00695D48">
        <w:rPr>
          <w:rFonts w:ascii="Times New Roman" w:eastAsia="Aptos" w:hAnsi="Times New Roman" w:cs="Times New Roman"/>
          <w:b/>
          <w:bCs/>
          <w:i/>
          <w:kern w:val="2"/>
          <w:sz w:val="24"/>
          <w:szCs w:val="24"/>
          <w:lang w:val="en-GB"/>
        </w:rPr>
        <w:t>Keywords:</w:t>
      </w:r>
      <w:r w:rsidRPr="00695D48">
        <w:rPr>
          <w:rFonts w:ascii="Times New Roman" w:eastAsia="Aptos" w:hAnsi="Times New Roman" w:cs="Times New Roman"/>
          <w:i/>
          <w:kern w:val="2"/>
          <w:sz w:val="24"/>
          <w:szCs w:val="24"/>
          <w:lang w:val="en-GB"/>
        </w:rPr>
        <w:t xml:space="preserve"> Natural resource endowment, institutional quality,</w:t>
      </w:r>
      <w:r w:rsidR="00C75DCE">
        <w:rPr>
          <w:rFonts w:ascii="Times New Roman" w:eastAsia="Aptos" w:hAnsi="Times New Roman" w:cs="Times New Roman"/>
          <w:i/>
          <w:kern w:val="2"/>
          <w:sz w:val="24"/>
          <w:szCs w:val="24"/>
          <w:lang w:val="en-GB"/>
        </w:rPr>
        <w:t xml:space="preserve"> growth, ARDL, Nigeria</w:t>
      </w:r>
      <w:r w:rsidRPr="00695D48">
        <w:rPr>
          <w:rFonts w:ascii="Times New Roman" w:eastAsia="Aptos" w:hAnsi="Times New Roman" w:cs="Times New Roman"/>
          <w:i/>
          <w:kern w:val="2"/>
          <w:sz w:val="24"/>
          <w:szCs w:val="24"/>
          <w:lang w:val="en-GB"/>
        </w:rPr>
        <w:t>.</w:t>
      </w:r>
    </w:p>
    <w:p w14:paraId="3FAA461F" w14:textId="77777777" w:rsidR="00C16D1E" w:rsidRDefault="00C16D1E" w:rsidP="00524050">
      <w:pPr>
        <w:spacing w:after="200"/>
        <w:jc w:val="center"/>
        <w:rPr>
          <w:rFonts w:ascii="Times New Roman" w:eastAsia="Times New Roman" w:hAnsi="Times New Roman" w:cs="Times New Roman"/>
          <w:b/>
          <w:bCs/>
          <w:sz w:val="20"/>
          <w:szCs w:val="20"/>
          <w:shd w:val="clear" w:color="auto" w:fill="FFFFFF"/>
        </w:rPr>
      </w:pPr>
    </w:p>
    <w:p w14:paraId="0564763C" w14:textId="3C31056F" w:rsidR="00013D77" w:rsidRPr="00C16D1E" w:rsidRDefault="00013D77" w:rsidP="00524050">
      <w:pPr>
        <w:spacing w:after="200"/>
        <w:jc w:val="center"/>
        <w:rPr>
          <w:rFonts w:ascii="Times New Roman" w:eastAsia="Times New Roman" w:hAnsi="Times New Roman" w:cs="Times New Roman"/>
          <w:b/>
          <w:bCs/>
          <w:sz w:val="20"/>
          <w:szCs w:val="20"/>
          <w:shd w:val="clear" w:color="auto" w:fill="FFFFFF"/>
        </w:rPr>
      </w:pPr>
      <w:r w:rsidRPr="00C16D1E">
        <w:rPr>
          <w:rFonts w:ascii="Times New Roman" w:eastAsia="Times New Roman" w:hAnsi="Times New Roman" w:cs="Times New Roman"/>
          <w:b/>
          <w:bCs/>
          <w:sz w:val="20"/>
          <w:szCs w:val="20"/>
          <w:shd w:val="clear" w:color="auto" w:fill="FFFFFF"/>
        </w:rPr>
        <w:t>INTRODUCTION</w:t>
      </w:r>
    </w:p>
    <w:p w14:paraId="7A188EF8" w14:textId="3D4CAF58" w:rsidR="00013D77" w:rsidRPr="00C16D1E" w:rsidRDefault="00013D77" w:rsidP="00524050">
      <w:pPr>
        <w:pStyle w:val="ListParagraph"/>
        <w:numPr>
          <w:ilvl w:val="0"/>
          <w:numId w:val="47"/>
        </w:numPr>
        <w:spacing w:after="200"/>
        <w:jc w:val="both"/>
        <w:rPr>
          <w:rFonts w:ascii="Times New Roman" w:eastAsia="Times New Roman" w:hAnsi="Times New Roman" w:cs="Times New Roman"/>
          <w:b/>
          <w:bCs/>
          <w:sz w:val="20"/>
          <w:szCs w:val="20"/>
          <w:shd w:val="clear" w:color="auto" w:fill="FFFFFF"/>
        </w:rPr>
      </w:pPr>
      <w:r w:rsidRPr="00C16D1E">
        <w:rPr>
          <w:rFonts w:ascii="Times New Roman" w:eastAsia="Times New Roman" w:hAnsi="Times New Roman" w:cs="Times New Roman"/>
          <w:b/>
          <w:bCs/>
          <w:sz w:val="20"/>
          <w:szCs w:val="20"/>
          <w:shd w:val="clear" w:color="auto" w:fill="FFFFFF"/>
        </w:rPr>
        <w:t>Background to the Study</w:t>
      </w:r>
    </w:p>
    <w:p w14:paraId="1B31C29F" w14:textId="5C100304" w:rsidR="00013D77" w:rsidRPr="00C16D1E" w:rsidRDefault="00854227"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Nigeria's over-reliance on oil revenues has led to weak diversification, making the economy vulnerable to global oil price fluctuations. This dependence fosters corruption, rent-seeking behaviours, and misallocation of resources, hindering sustainable growth. Moreover, resource rent dynamics often lead to the "resource curse," which hinders sectors such as agriculture and manufacturing. Weak institutions can undermine policy effectiveness and hinder diversification efforts. </w:t>
      </w:r>
      <w:r w:rsidR="00013D77" w:rsidRPr="00C16D1E">
        <w:rPr>
          <w:rFonts w:ascii="Times New Roman" w:hAnsi="Times New Roman" w:cs="Times New Roman"/>
          <w:sz w:val="20"/>
          <w:szCs w:val="20"/>
        </w:rPr>
        <w:t xml:space="preserve">The relationship </w:t>
      </w:r>
      <w:r w:rsidR="00E71B46" w:rsidRPr="00C16D1E">
        <w:rPr>
          <w:rFonts w:ascii="Times New Roman" w:hAnsi="Times New Roman" w:cs="Times New Roman"/>
          <w:sz w:val="20"/>
          <w:szCs w:val="20"/>
        </w:rPr>
        <w:t>between</w:t>
      </w:r>
      <w:r w:rsidR="00013D77" w:rsidRPr="00C16D1E">
        <w:rPr>
          <w:rFonts w:ascii="Times New Roman" w:hAnsi="Times New Roman" w:cs="Times New Roman"/>
          <w:sz w:val="20"/>
          <w:szCs w:val="20"/>
        </w:rPr>
        <w:t xml:space="preserve"> natural resource </w:t>
      </w:r>
      <w:r w:rsidR="005D06B3" w:rsidRPr="00C16D1E">
        <w:rPr>
          <w:rFonts w:ascii="Times New Roman" w:hAnsi="Times New Roman" w:cs="Times New Roman"/>
          <w:sz w:val="20"/>
          <w:szCs w:val="20"/>
        </w:rPr>
        <w:t xml:space="preserve">endowments, institutional quality, remains unclear in the </w:t>
      </w:r>
      <w:r w:rsidR="00013D77" w:rsidRPr="00C16D1E">
        <w:rPr>
          <w:rFonts w:ascii="Times New Roman" w:hAnsi="Times New Roman" w:cs="Times New Roman"/>
          <w:sz w:val="20"/>
          <w:szCs w:val="20"/>
        </w:rPr>
        <w:t xml:space="preserve">economic literature. </w:t>
      </w:r>
      <w:r w:rsidR="00E91AAA" w:rsidRPr="00C16D1E">
        <w:rPr>
          <w:rFonts w:ascii="Times New Roman" w:hAnsi="Times New Roman" w:cs="Times New Roman"/>
          <w:sz w:val="20"/>
          <w:szCs w:val="20"/>
        </w:rPr>
        <w:t>Studies</w:t>
      </w:r>
      <w:r w:rsidR="00013D77" w:rsidRPr="00C16D1E">
        <w:rPr>
          <w:rFonts w:ascii="Times New Roman" w:hAnsi="Times New Roman" w:cs="Times New Roman"/>
          <w:sz w:val="20"/>
          <w:szCs w:val="20"/>
        </w:rPr>
        <w:t xml:space="preserve"> suggest that institutions have a significant impact on economic growth, particularly in resource-rich nations. Strong institutions ar</w:t>
      </w:r>
      <w:r w:rsidR="0046040F" w:rsidRPr="00C16D1E">
        <w:rPr>
          <w:rFonts w:ascii="Times New Roman" w:hAnsi="Times New Roman" w:cs="Times New Roman"/>
          <w:sz w:val="20"/>
          <w:szCs w:val="20"/>
        </w:rPr>
        <w:t>e required</w:t>
      </w:r>
      <w:r w:rsidR="00013D77" w:rsidRPr="00C16D1E">
        <w:rPr>
          <w:rFonts w:ascii="Times New Roman" w:hAnsi="Times New Roman" w:cs="Times New Roman"/>
          <w:sz w:val="20"/>
          <w:szCs w:val="20"/>
        </w:rPr>
        <w:t xml:space="preserve"> for transforming resource wealth into sustainable development, as they establish the frameworks for governance, property rights, and economic policies</w:t>
      </w:r>
      <w:r w:rsidR="00001638" w:rsidRPr="00C16D1E">
        <w:rPr>
          <w:rFonts w:ascii="Times New Roman" w:hAnsi="Times New Roman" w:cs="Times New Roman"/>
          <w:sz w:val="20"/>
          <w:szCs w:val="20"/>
        </w:rPr>
        <w:t xml:space="preserve"> (Tambovtsev, 2021)</w:t>
      </w:r>
      <w:r w:rsidR="00013D77" w:rsidRPr="00C16D1E">
        <w:rPr>
          <w:rFonts w:ascii="Times New Roman" w:hAnsi="Times New Roman" w:cs="Times New Roman"/>
          <w:sz w:val="20"/>
          <w:szCs w:val="20"/>
        </w:rPr>
        <w:t xml:space="preserve">.  Effective institutions can mitigate the adverse effects often associated with resource dependence, such as corruption and economic volatility (Mehlum </w:t>
      </w:r>
      <w:r w:rsidR="00013D77" w:rsidRPr="00C16D1E">
        <w:rPr>
          <w:rFonts w:ascii="Times New Roman" w:hAnsi="Times New Roman" w:cs="Times New Roman"/>
          <w:i/>
          <w:sz w:val="20"/>
          <w:szCs w:val="20"/>
        </w:rPr>
        <w:t>et al</w:t>
      </w:r>
      <w:r w:rsidR="00013D77" w:rsidRPr="00C16D1E">
        <w:rPr>
          <w:rFonts w:ascii="Times New Roman" w:hAnsi="Times New Roman" w:cs="Times New Roman"/>
          <w:sz w:val="20"/>
          <w:szCs w:val="20"/>
        </w:rPr>
        <w:t>.</w:t>
      </w:r>
      <w:r w:rsidR="005D06B3" w:rsidRPr="00C16D1E">
        <w:rPr>
          <w:rFonts w:ascii="Times New Roman" w:hAnsi="Times New Roman" w:cs="Times New Roman"/>
          <w:sz w:val="20"/>
          <w:szCs w:val="20"/>
        </w:rPr>
        <w:t>,</w:t>
      </w:r>
      <w:r w:rsidR="00013D77" w:rsidRPr="00C16D1E">
        <w:rPr>
          <w:rFonts w:ascii="Times New Roman" w:hAnsi="Times New Roman" w:cs="Times New Roman"/>
          <w:sz w:val="20"/>
          <w:szCs w:val="20"/>
        </w:rPr>
        <w:t xml:space="preserve"> 2006b; Soula </w:t>
      </w:r>
      <w:r w:rsidR="00013D77" w:rsidRPr="00C16D1E">
        <w:rPr>
          <w:rFonts w:ascii="Times New Roman" w:hAnsi="Times New Roman" w:cs="Times New Roman"/>
          <w:i/>
          <w:sz w:val="20"/>
          <w:szCs w:val="20"/>
        </w:rPr>
        <w:t>et al</w:t>
      </w:r>
      <w:r w:rsidR="00013D77" w:rsidRPr="00C16D1E">
        <w:rPr>
          <w:rFonts w:ascii="Times New Roman" w:hAnsi="Times New Roman" w:cs="Times New Roman"/>
          <w:sz w:val="20"/>
          <w:szCs w:val="20"/>
        </w:rPr>
        <w:t>.</w:t>
      </w:r>
      <w:r w:rsidR="005D06B3" w:rsidRPr="00C16D1E">
        <w:rPr>
          <w:rFonts w:ascii="Times New Roman" w:hAnsi="Times New Roman" w:cs="Times New Roman"/>
          <w:sz w:val="20"/>
          <w:szCs w:val="20"/>
        </w:rPr>
        <w:t>,</w:t>
      </w:r>
      <w:r w:rsidR="00013D77" w:rsidRPr="00C16D1E">
        <w:rPr>
          <w:rFonts w:ascii="Times New Roman" w:hAnsi="Times New Roman" w:cs="Times New Roman"/>
          <w:sz w:val="20"/>
          <w:szCs w:val="20"/>
        </w:rPr>
        <w:t xml:space="preserve"> 2023).</w:t>
      </w:r>
    </w:p>
    <w:p w14:paraId="5F04116C" w14:textId="3182E0E6" w:rsidR="00013D77" w:rsidRPr="00C16D1E" w:rsidRDefault="00013D77" w:rsidP="00524050">
      <w:pPr>
        <w:pStyle w:val="NormalWeb"/>
        <w:spacing w:before="0" w:beforeAutospacing="0" w:after="200" w:afterAutospacing="0"/>
        <w:jc w:val="both"/>
        <w:rPr>
          <w:sz w:val="20"/>
          <w:szCs w:val="20"/>
        </w:rPr>
      </w:pPr>
      <w:r w:rsidRPr="00C16D1E">
        <w:rPr>
          <w:sz w:val="20"/>
          <w:szCs w:val="20"/>
        </w:rPr>
        <w:t>An institution is “a well-established body with a formal role, status or a set of rules that ensure regular and predictable behaviour otherwise known as the rule of the game” (North, 1990). Institutions play a vital role in shaping economic outcomes in countries with abundant natural resource endowments.</w:t>
      </w:r>
      <w:r w:rsidRPr="00C16D1E">
        <w:rPr>
          <w:b/>
          <w:bCs/>
          <w:sz w:val="20"/>
          <w:szCs w:val="20"/>
        </w:rPr>
        <w:t xml:space="preserve"> </w:t>
      </w:r>
      <w:r w:rsidRPr="00C16D1E">
        <w:rPr>
          <w:sz w:val="20"/>
          <w:szCs w:val="20"/>
        </w:rPr>
        <w:t>The effectiveness, efficiency, and integrity of governance structures and processes within a country explain what institutional quality portends. Credible institutions are characterised by transparent and accountable governance, the rule of law, protection of property rights, and effective public services that shape economic performance, influencing both incentives for investment and efficient management of resources (Acemoglu, 2001</w:t>
      </w:r>
      <w:r w:rsidR="00687F06" w:rsidRPr="00C16D1E">
        <w:rPr>
          <w:sz w:val="20"/>
          <w:szCs w:val="20"/>
        </w:rPr>
        <w:t>; Idris, 2023</w:t>
      </w:r>
      <w:r w:rsidRPr="00C16D1E">
        <w:rPr>
          <w:sz w:val="20"/>
          <w:szCs w:val="20"/>
        </w:rPr>
        <w:t xml:space="preserve">). Institution refers to “the humanly devised constraints that structure political, economic and social interaction” (North, 1991).  </w:t>
      </w:r>
    </w:p>
    <w:p w14:paraId="3A1D36E6" w14:textId="62E5FE42" w:rsidR="00013D77" w:rsidRPr="00C16D1E" w:rsidRDefault="00013D77"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Natural resources constitute a significant source of national wealth for countries endowed with these resources. Traditionally, economists have argued that resource-endowed countries experience more sophisticated growth than resource-poor countries, as </w:t>
      </w:r>
      <w:r w:rsidR="005D06B3" w:rsidRPr="00C16D1E">
        <w:rPr>
          <w:rFonts w:ascii="Times New Roman" w:hAnsi="Times New Roman" w:cs="Times New Roman"/>
          <w:sz w:val="20"/>
          <w:szCs w:val="20"/>
        </w:rPr>
        <w:t>resource rents can serve as a productive asset and help finance key</w:t>
      </w:r>
      <w:r w:rsidRPr="00C16D1E">
        <w:rPr>
          <w:rFonts w:ascii="Times New Roman" w:hAnsi="Times New Roman" w:cs="Times New Roman"/>
          <w:sz w:val="20"/>
          <w:szCs w:val="20"/>
        </w:rPr>
        <w:t xml:space="preserve"> sectors of the economy, ultimately benefiting citizens (Oliver </w:t>
      </w:r>
      <w:r w:rsidRPr="00C16D1E">
        <w:rPr>
          <w:rFonts w:ascii="Times New Roman" w:hAnsi="Times New Roman" w:cs="Times New Roman"/>
          <w:i/>
          <w:iCs/>
          <w:sz w:val="20"/>
          <w:szCs w:val="20"/>
        </w:rPr>
        <w:t>et al</w:t>
      </w:r>
      <w:r w:rsidRPr="00C16D1E">
        <w:rPr>
          <w:rFonts w:ascii="Times New Roman" w:hAnsi="Times New Roman" w:cs="Times New Roman"/>
          <w:sz w:val="20"/>
          <w:szCs w:val="20"/>
        </w:rPr>
        <w:t>.</w:t>
      </w:r>
      <w:r w:rsidRPr="00C16D1E">
        <w:rPr>
          <w:rFonts w:ascii="Times New Roman" w:hAnsi="Times New Roman" w:cs="Times New Roman"/>
          <w:i/>
          <w:iCs/>
          <w:sz w:val="20"/>
          <w:szCs w:val="20"/>
        </w:rPr>
        <w:t>,</w:t>
      </w:r>
      <w:r w:rsidR="00F77AC4" w:rsidRPr="00C16D1E">
        <w:rPr>
          <w:rFonts w:ascii="Times New Roman" w:hAnsi="Times New Roman" w:cs="Times New Roman"/>
          <w:sz w:val="20"/>
          <w:szCs w:val="20"/>
        </w:rPr>
        <w:t xml:space="preserve"> 2022</w:t>
      </w:r>
      <w:r w:rsidRPr="00C16D1E">
        <w:rPr>
          <w:rFonts w:ascii="Times New Roman" w:hAnsi="Times New Roman" w:cs="Times New Roman"/>
          <w:sz w:val="20"/>
          <w:szCs w:val="20"/>
        </w:rPr>
        <w:t xml:space="preserve">). In reality, the outcomes from many resource-endowed countries have revealed that the endowments of natural resources are insufficient to achieve the necessary economic progress (Adu, 2011).  The posits that resource abundance often leads to adverse outcomes, including poor economic performance, corruption, rent-seeking, political instability, and ineffective governance (Augustin &amp; Dede, 2019). The resource curse theory suggests that natural resources can harm economic performance, leading to the Dutch Disease. A development where an increase in revenues from natural resources </w:t>
      </w:r>
      <w:r w:rsidRPr="00C16D1E">
        <w:rPr>
          <w:rFonts w:ascii="Times New Roman" w:hAnsi="Times New Roman" w:cs="Times New Roman"/>
          <w:sz w:val="20"/>
          <w:szCs w:val="20"/>
        </w:rPr>
        <w:lastRenderedPageBreak/>
        <w:t xml:space="preserve">leads to a decline in other sectors, particularly manufacturing and agriculture. The term originated from the Netherlands' experience in the 1960s, following the discovery of natural gas, which boosted the economy but diminished other sectors (Corden &amp; Neary, 1982). The influx of foreign currency strengthens the national currency, making exports from other industries less competitive globally (Sachs &amp; Warner, 1997). For instance, Nigeria, with significant oil reserves, illustrates the Dutch Disease; its </w:t>
      </w:r>
      <w:r w:rsidR="005D06B3" w:rsidRPr="00C16D1E">
        <w:rPr>
          <w:rFonts w:ascii="Times New Roman" w:hAnsi="Times New Roman" w:cs="Times New Roman"/>
          <w:sz w:val="20"/>
          <w:szCs w:val="20"/>
        </w:rPr>
        <w:t>overreliance on oil has inhibited agricultural growth and economic diversification</w:t>
      </w:r>
      <w:r w:rsidRPr="00C16D1E">
        <w:rPr>
          <w:rFonts w:ascii="Times New Roman" w:hAnsi="Times New Roman" w:cs="Times New Roman"/>
          <w:sz w:val="20"/>
          <w:szCs w:val="20"/>
        </w:rPr>
        <w:t xml:space="preserve"> (Osagie, 2019). </w:t>
      </w:r>
    </w:p>
    <w:p w14:paraId="7BE39596" w14:textId="761CD248" w:rsidR="00013D77" w:rsidRPr="00C16D1E" w:rsidRDefault="00013D77" w:rsidP="00524050">
      <w:pPr>
        <w:spacing w:after="200"/>
        <w:jc w:val="both"/>
        <w:rPr>
          <w:rFonts w:ascii="Times New Roman" w:hAnsi="Times New Roman" w:cs="Times New Roman"/>
          <w:sz w:val="20"/>
          <w:szCs w:val="20"/>
          <w:lang w:val="en-GB"/>
        </w:rPr>
      </w:pPr>
      <w:bookmarkStart w:id="1" w:name="_Hlk195014801"/>
      <w:r w:rsidRPr="00C16D1E">
        <w:rPr>
          <w:rFonts w:ascii="Times New Roman" w:hAnsi="Times New Roman" w:cs="Times New Roman"/>
          <w:sz w:val="20"/>
          <w:szCs w:val="20"/>
          <w:lang w:val="en-GB"/>
        </w:rPr>
        <w:t>Zalle (2019)</w:t>
      </w:r>
      <w:bookmarkEnd w:id="1"/>
      <w:r w:rsidRPr="00C16D1E">
        <w:rPr>
          <w:rFonts w:ascii="Times New Roman" w:hAnsi="Times New Roman" w:cs="Times New Roman"/>
          <w:sz w:val="20"/>
          <w:szCs w:val="20"/>
          <w:lang w:val="en-GB"/>
        </w:rPr>
        <w:t xml:space="preserve"> opined that natural resources would prevent the development of respectable property rights and deprive people of institutional reforms that are the incentives to economic growth. This, in turn, </w:t>
      </w:r>
      <w:r w:rsidR="005D06B3" w:rsidRPr="00C16D1E">
        <w:rPr>
          <w:rFonts w:ascii="Times New Roman" w:hAnsi="Times New Roman" w:cs="Times New Roman"/>
          <w:sz w:val="20"/>
          <w:szCs w:val="20"/>
          <w:lang w:val="en-GB"/>
        </w:rPr>
        <w:t xml:space="preserve">leads to the institutional curse of natural resources, as </w:t>
      </w:r>
      <w:r w:rsidRPr="00C16D1E">
        <w:rPr>
          <w:rFonts w:ascii="Times New Roman" w:hAnsi="Times New Roman" w:cs="Times New Roman"/>
          <w:sz w:val="20"/>
          <w:szCs w:val="20"/>
          <w:lang w:val="en-GB"/>
        </w:rPr>
        <w:t xml:space="preserve">reflected in poor economic performance (Sala-I-Martin &amp; Subramanian, 2008). Furthermore, Isham </w:t>
      </w:r>
      <w:r w:rsidRPr="00C16D1E">
        <w:rPr>
          <w:rFonts w:ascii="Times New Roman" w:hAnsi="Times New Roman" w:cs="Times New Roman"/>
          <w:i/>
          <w:iCs/>
          <w:sz w:val="20"/>
          <w:szCs w:val="20"/>
          <w:lang w:val="en-GB"/>
        </w:rPr>
        <w:t>et al</w:t>
      </w:r>
      <w:r w:rsidRPr="00C16D1E">
        <w:rPr>
          <w:rFonts w:ascii="Times New Roman" w:hAnsi="Times New Roman" w:cs="Times New Roman"/>
          <w:sz w:val="20"/>
          <w:szCs w:val="20"/>
          <w:lang w:val="en-GB"/>
        </w:rPr>
        <w:t>. (2005) demonstrate that countries rich in natural resources tend to be captivated with high levels of corruption and experience other problems that are associated with resource-driven factors. Natural resources also undermine institutional development because governments use natural resource rents to appease dissent, shift public accountability and counter pressures for institutions (</w:t>
      </w:r>
      <w:r w:rsidRPr="00C16D1E">
        <w:rPr>
          <w:rFonts w:ascii="Times New Roman" w:hAnsi="Times New Roman" w:cs="Times New Roman"/>
          <w:sz w:val="20"/>
          <w:szCs w:val="20"/>
        </w:rPr>
        <w:t xml:space="preserve">Oliver </w:t>
      </w:r>
      <w:r w:rsidRPr="00C16D1E">
        <w:rPr>
          <w:rFonts w:ascii="Times New Roman" w:hAnsi="Times New Roman" w:cs="Times New Roman"/>
          <w:i/>
          <w:iCs/>
          <w:sz w:val="20"/>
          <w:szCs w:val="20"/>
        </w:rPr>
        <w:t>et al</w:t>
      </w:r>
      <w:r w:rsidRPr="00C16D1E">
        <w:rPr>
          <w:rFonts w:ascii="Times New Roman" w:hAnsi="Times New Roman" w:cs="Times New Roman"/>
          <w:sz w:val="20"/>
          <w:szCs w:val="20"/>
        </w:rPr>
        <w:t>, 2022</w:t>
      </w:r>
      <w:r w:rsidRPr="00C16D1E">
        <w:rPr>
          <w:rFonts w:ascii="Times New Roman" w:hAnsi="Times New Roman" w:cs="Times New Roman"/>
          <w:sz w:val="20"/>
          <w:szCs w:val="20"/>
          <w:lang w:val="en-GB"/>
        </w:rPr>
        <w:t xml:space="preserve">). In addition, Sachs and Warner (1997) showed that the best-endowed countries in terms of natural resources are those with the lowest quality of institutions due to corrupt activities reflecting the inefficiency of institutions. This is because the abundance of natural resources aids rent-seeking activities in public services. </w:t>
      </w:r>
    </w:p>
    <w:p w14:paraId="79E84165" w14:textId="77777777" w:rsidR="005E675D" w:rsidRPr="00C16D1E" w:rsidRDefault="00013D77"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The interaction between natural resources and institutional quality is critical when assessing economic performance in Nigeria.  High-quality institutions, such as strong governance, legal </w:t>
      </w:r>
    </w:p>
    <w:p w14:paraId="64EE9433" w14:textId="5490F7C8" w:rsidR="00013D77" w:rsidRPr="00C16D1E" w:rsidRDefault="00013D77"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systems, and transparent policies, are essential for effectively managing resource wealth and avoiding the resource curse (Collier</w:t>
      </w:r>
      <w:r w:rsidR="00181EDF" w:rsidRPr="00C16D1E">
        <w:rPr>
          <w:rFonts w:ascii="Times New Roman" w:eastAsia="Times New Roman" w:hAnsi="Times New Roman" w:cs="Times New Roman"/>
          <w:sz w:val="20"/>
          <w:szCs w:val="20"/>
        </w:rPr>
        <w:t xml:space="preserve"> &amp; Hoeffler, 2004, 2005, 2007</w:t>
      </w:r>
      <w:r w:rsidR="000579B4" w:rsidRPr="00C16D1E">
        <w:rPr>
          <w:rFonts w:ascii="Times New Roman" w:eastAsia="Times New Roman" w:hAnsi="Times New Roman" w:cs="Times New Roman"/>
          <w:sz w:val="20"/>
          <w:szCs w:val="20"/>
        </w:rPr>
        <w:t>, 2009</w:t>
      </w:r>
      <w:r w:rsidR="00181EDF" w:rsidRPr="00C16D1E">
        <w:rPr>
          <w:rFonts w:ascii="Times New Roman" w:eastAsia="Times New Roman" w:hAnsi="Times New Roman" w:cs="Times New Roman"/>
          <w:sz w:val="20"/>
          <w:szCs w:val="20"/>
        </w:rPr>
        <w:t>; Collier, 2010</w:t>
      </w:r>
      <w:r w:rsidRPr="00C16D1E">
        <w:rPr>
          <w:rFonts w:ascii="Times New Roman" w:eastAsia="Times New Roman" w:hAnsi="Times New Roman" w:cs="Times New Roman"/>
          <w:sz w:val="20"/>
          <w:szCs w:val="20"/>
        </w:rPr>
        <w:t>). Nigeria's vast oil reserves have generated revenue but often coexisted with corruption, weak institutions, and economic mismanagement (</w:t>
      </w:r>
      <w:r w:rsidRPr="00C16D1E">
        <w:rPr>
          <w:rFonts w:ascii="Times New Roman" w:eastAsia="Times New Roman" w:hAnsi="Times New Roman" w:cs="Times New Roman"/>
          <w:sz w:val="20"/>
          <w:szCs w:val="20"/>
          <w:lang w:val="en-GB"/>
        </w:rPr>
        <w:t xml:space="preserve">Autry &amp; Oshan, </w:t>
      </w:r>
      <w:r w:rsidRPr="00C16D1E">
        <w:rPr>
          <w:rFonts w:ascii="Times New Roman" w:eastAsia="Times New Roman" w:hAnsi="Times New Roman" w:cs="Times New Roman"/>
          <w:sz w:val="20"/>
          <w:szCs w:val="20"/>
        </w:rPr>
        <w:t xml:space="preserve">2018). For example, despite being Africa’s largest oil producer, Nigeria's GDP growth remains vulnerable due to institutional challenges, leading to corruption levels ranked among the highest globally (Transparency International, 2022). </w:t>
      </w:r>
    </w:p>
    <w:p w14:paraId="05C399E7" w14:textId="77777777" w:rsidR="00812342" w:rsidRPr="00C16D1E" w:rsidRDefault="00812342" w:rsidP="00524050">
      <w:pPr>
        <w:spacing w:after="200"/>
        <w:jc w:val="left"/>
        <w:rPr>
          <w:rFonts w:ascii="Times New Roman" w:eastAsia="Calibri" w:hAnsi="Times New Roman" w:cs="Times New Roman"/>
          <w:b/>
          <w:sz w:val="20"/>
          <w:szCs w:val="20"/>
        </w:rPr>
      </w:pPr>
    </w:p>
    <w:p w14:paraId="4480C5BE" w14:textId="1C24990B" w:rsidR="00BF107E" w:rsidRPr="00C16D1E" w:rsidRDefault="00B04554" w:rsidP="00524050">
      <w:pPr>
        <w:spacing w:after="200"/>
        <w:jc w:val="left"/>
        <w:rPr>
          <w:rFonts w:ascii="Times New Roman" w:eastAsia="Calibri" w:hAnsi="Times New Roman" w:cs="Times New Roman"/>
          <w:b/>
          <w:sz w:val="20"/>
          <w:szCs w:val="20"/>
        </w:rPr>
      </w:pPr>
      <w:r>
        <w:rPr>
          <w:rFonts w:ascii="Times New Roman" w:eastAsia="Calibri" w:hAnsi="Times New Roman" w:cs="Times New Roman"/>
          <w:b/>
          <w:sz w:val="20"/>
          <w:szCs w:val="20"/>
        </w:rPr>
        <w:t xml:space="preserve">2.0 </w:t>
      </w:r>
      <w:r w:rsidR="00097A8F" w:rsidRPr="00C16D1E">
        <w:rPr>
          <w:rFonts w:ascii="Times New Roman" w:eastAsia="Calibri" w:hAnsi="Times New Roman" w:cs="Times New Roman"/>
          <w:b/>
          <w:sz w:val="20"/>
          <w:szCs w:val="20"/>
        </w:rPr>
        <w:t>Literature Review</w:t>
      </w:r>
    </w:p>
    <w:p w14:paraId="735DEAA2" w14:textId="68674B09"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This section </w:t>
      </w:r>
      <w:r w:rsidR="00A9631B" w:rsidRPr="00C16D1E">
        <w:rPr>
          <w:rFonts w:ascii="Times New Roman" w:eastAsia="Times New Roman" w:hAnsi="Times New Roman" w:cs="Times New Roman"/>
          <w:sz w:val="20"/>
          <w:szCs w:val="20"/>
        </w:rPr>
        <w:t>reviews the literature on the interactions between institutional quality and natural resource endowments, and</w:t>
      </w:r>
      <w:r w:rsidRPr="00C16D1E">
        <w:rPr>
          <w:rFonts w:ascii="Times New Roman" w:eastAsia="Times New Roman" w:hAnsi="Times New Roman" w:cs="Times New Roman"/>
          <w:sz w:val="20"/>
          <w:szCs w:val="20"/>
        </w:rPr>
        <w:t xml:space="preserve"> their impact on economic performance, drawing on conceptual, theoretical, and empirical studies. It examines various scholarly definitions and theories related to the subject</w:t>
      </w:r>
      <w:r w:rsidR="00A9631B" w:rsidRPr="00C16D1E">
        <w:rPr>
          <w:rFonts w:ascii="Times New Roman" w:eastAsia="Times New Roman" w:hAnsi="Times New Roman" w:cs="Times New Roman"/>
          <w:sz w:val="20"/>
          <w:szCs w:val="20"/>
        </w:rPr>
        <w:t>, focusing on institutional frameworks, natural resource endowments, and economic performance in</w:t>
      </w:r>
      <w:r w:rsidRPr="00C16D1E">
        <w:rPr>
          <w:rFonts w:ascii="Times New Roman" w:eastAsia="Times New Roman" w:hAnsi="Times New Roman" w:cs="Times New Roman"/>
          <w:sz w:val="20"/>
          <w:szCs w:val="20"/>
        </w:rPr>
        <w:t xml:space="preserve"> both developed and emerging economies, including Nigeria. It reviews existing empirical studies, </w:t>
      </w:r>
      <w:r w:rsidR="0022303E" w:rsidRPr="00C16D1E">
        <w:rPr>
          <w:rFonts w:ascii="Times New Roman" w:eastAsia="Times New Roman" w:hAnsi="Times New Roman" w:cs="Times New Roman"/>
          <w:sz w:val="20"/>
          <w:szCs w:val="20"/>
        </w:rPr>
        <w:t>underscoring</w:t>
      </w:r>
      <w:r w:rsidRPr="00C16D1E">
        <w:rPr>
          <w:rFonts w:ascii="Times New Roman" w:eastAsia="Times New Roman" w:hAnsi="Times New Roman" w:cs="Times New Roman"/>
          <w:sz w:val="20"/>
          <w:szCs w:val="20"/>
        </w:rPr>
        <w:t xml:space="preserve"> how these factors have influenced economic outcomes over time</w:t>
      </w:r>
      <w:r w:rsidR="0022303E" w:rsidRPr="00C16D1E">
        <w:rPr>
          <w:rFonts w:ascii="Times New Roman" w:eastAsia="Times New Roman" w:hAnsi="Times New Roman" w:cs="Times New Roman"/>
          <w:sz w:val="20"/>
          <w:szCs w:val="20"/>
        </w:rPr>
        <w:t xml:space="preserve"> and highlights the theoretical framework that underpins the study</w:t>
      </w:r>
      <w:r w:rsidRPr="00C16D1E">
        <w:rPr>
          <w:rFonts w:ascii="Times New Roman" w:eastAsia="Times New Roman" w:hAnsi="Times New Roman" w:cs="Times New Roman"/>
          <w:sz w:val="20"/>
          <w:szCs w:val="20"/>
        </w:rPr>
        <w:t xml:space="preserve">. Additionally, the chapter identifies gaps in the literature, </w:t>
      </w:r>
      <w:r w:rsidR="00A84F7B" w:rsidRPr="00C16D1E">
        <w:rPr>
          <w:rFonts w:ascii="Times New Roman" w:eastAsia="Times New Roman" w:hAnsi="Times New Roman" w:cs="Times New Roman"/>
          <w:sz w:val="20"/>
          <w:szCs w:val="20"/>
        </w:rPr>
        <w:t xml:space="preserve">offering insights into areas that require further research </w:t>
      </w:r>
      <w:r w:rsidR="00160F6D" w:rsidRPr="00C16D1E">
        <w:rPr>
          <w:rFonts w:ascii="Times New Roman" w:eastAsia="Times New Roman" w:hAnsi="Times New Roman" w:cs="Times New Roman"/>
          <w:sz w:val="20"/>
          <w:szCs w:val="20"/>
        </w:rPr>
        <w:t>through a comprehensive analysis of conceptual, theoretical, and empirical work</w:t>
      </w:r>
      <w:r w:rsidRPr="00C16D1E">
        <w:rPr>
          <w:rFonts w:ascii="Times New Roman" w:eastAsia="Times New Roman" w:hAnsi="Times New Roman" w:cs="Times New Roman"/>
          <w:sz w:val="20"/>
          <w:szCs w:val="20"/>
        </w:rPr>
        <w:t>.</w:t>
      </w:r>
    </w:p>
    <w:p w14:paraId="63CF510E" w14:textId="5FF5261B" w:rsidR="00317800"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pioneer of the theory in institutional economics, North (1991), describes institutions as a set of rules, compliance procedures, and moral and ethical behavioural norms designed to constrain </w:t>
      </w:r>
      <w:r w:rsidR="00A84F7B" w:rsidRPr="00C16D1E">
        <w:rPr>
          <w:rFonts w:ascii="Times New Roman" w:eastAsia="Calibri" w:hAnsi="Times New Roman" w:cs="Times New Roman"/>
          <w:sz w:val="20"/>
          <w:szCs w:val="20"/>
        </w:rPr>
        <w:t xml:space="preserve">individuals' behaviour </w:t>
      </w:r>
      <w:r w:rsidRPr="00C16D1E">
        <w:rPr>
          <w:rFonts w:ascii="Times New Roman" w:eastAsia="Calibri" w:hAnsi="Times New Roman" w:cs="Times New Roman"/>
          <w:sz w:val="20"/>
          <w:szCs w:val="20"/>
        </w:rPr>
        <w:t xml:space="preserve">in the interests of maximising the wealth or utility of principals. They are practices that bring precincts </w:t>
      </w:r>
      <w:r w:rsidR="00FB28DC" w:rsidRPr="00C16D1E">
        <w:rPr>
          <w:rFonts w:ascii="Times New Roman" w:eastAsia="Calibri" w:hAnsi="Times New Roman" w:cs="Times New Roman"/>
          <w:sz w:val="20"/>
          <w:szCs w:val="20"/>
        </w:rPr>
        <w:t xml:space="preserve">into our actions through rules and organisations developed in social life to direct how we should behave and to </w:t>
      </w:r>
      <w:r w:rsidRPr="00C16D1E">
        <w:rPr>
          <w:rFonts w:ascii="Times New Roman" w:eastAsia="Calibri" w:hAnsi="Times New Roman" w:cs="Times New Roman"/>
          <w:sz w:val="20"/>
          <w:szCs w:val="20"/>
        </w:rPr>
        <w:t>lead social life.</w:t>
      </w:r>
    </w:p>
    <w:p w14:paraId="46C6154A" w14:textId="140BF0DC" w:rsidR="00BF107E" w:rsidRPr="00C16D1E" w:rsidRDefault="00317800"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importance of institutional quality in supporting investment and economic growth cannot be overstated (Adenuga, 2023). Therefore, the quality of institutions is crucial for formulating effective policies and implementing </w:t>
      </w:r>
      <w:r w:rsidR="00BF107E" w:rsidRPr="00C16D1E">
        <w:rPr>
          <w:rFonts w:ascii="Times New Roman" w:eastAsia="Calibri" w:hAnsi="Times New Roman" w:cs="Times New Roman"/>
          <w:sz w:val="20"/>
          <w:szCs w:val="20"/>
        </w:rPr>
        <w:t xml:space="preserve">to achieve political, social, and economic progress (Victor </w:t>
      </w:r>
      <w:r w:rsidR="00BF107E" w:rsidRPr="00C16D1E">
        <w:rPr>
          <w:rFonts w:ascii="Times New Roman" w:eastAsia="Calibri" w:hAnsi="Times New Roman" w:cs="Times New Roman"/>
          <w:i/>
          <w:iCs/>
          <w:sz w:val="20"/>
          <w:szCs w:val="20"/>
        </w:rPr>
        <w:t>et al</w:t>
      </w:r>
      <w:r w:rsidR="00BF107E" w:rsidRPr="00C16D1E">
        <w:rPr>
          <w:rFonts w:ascii="Times New Roman" w:eastAsia="Calibri" w:hAnsi="Times New Roman" w:cs="Times New Roman"/>
          <w:sz w:val="20"/>
          <w:szCs w:val="20"/>
        </w:rPr>
        <w:t>.</w:t>
      </w:r>
      <w:r w:rsidR="00BF107E" w:rsidRPr="00C16D1E">
        <w:rPr>
          <w:rFonts w:ascii="Times New Roman" w:eastAsia="Calibri" w:hAnsi="Times New Roman" w:cs="Times New Roman"/>
          <w:i/>
          <w:sz w:val="20"/>
          <w:szCs w:val="20"/>
        </w:rPr>
        <w:t>,</w:t>
      </w:r>
      <w:r w:rsidR="00BF107E" w:rsidRPr="00C16D1E">
        <w:rPr>
          <w:rFonts w:ascii="Times New Roman" w:eastAsia="Calibri" w:hAnsi="Times New Roman" w:cs="Times New Roman"/>
          <w:sz w:val="20"/>
          <w:szCs w:val="20"/>
        </w:rPr>
        <w:t xml:space="preserve"> 2021). </w:t>
      </w:r>
    </w:p>
    <w:p w14:paraId="382B953F" w14:textId="4BD99E01" w:rsidR="00BF107E" w:rsidRPr="00C16D1E" w:rsidRDefault="00AB668C" w:rsidP="00524050">
      <w:pPr>
        <w:spacing w:after="200"/>
        <w:jc w:val="both"/>
        <w:rPr>
          <w:rFonts w:ascii="Times New Roman" w:eastAsia="Calibri" w:hAnsi="Times New Roman" w:cs="Times New Roman"/>
          <w:b/>
          <w:kern w:val="36"/>
          <w:sz w:val="20"/>
          <w:szCs w:val="20"/>
        </w:rPr>
      </w:pPr>
      <w:r w:rsidRPr="00C16D1E">
        <w:rPr>
          <w:rFonts w:ascii="Times New Roman" w:eastAsia="Calibri" w:hAnsi="Times New Roman" w:cs="Times New Roman"/>
          <w:b/>
          <w:kern w:val="36"/>
          <w:sz w:val="20"/>
          <w:szCs w:val="20"/>
        </w:rPr>
        <w:t xml:space="preserve">2.1 </w:t>
      </w:r>
      <w:r w:rsidR="00BF107E" w:rsidRPr="00C16D1E">
        <w:rPr>
          <w:rFonts w:ascii="Times New Roman" w:eastAsia="Calibri" w:hAnsi="Times New Roman" w:cs="Times New Roman"/>
          <w:b/>
          <w:kern w:val="36"/>
          <w:sz w:val="20"/>
          <w:szCs w:val="20"/>
        </w:rPr>
        <w:t xml:space="preserve">Measurement of Institutional Quality </w:t>
      </w:r>
    </w:p>
    <w:p w14:paraId="7B0951CC" w14:textId="77777777" w:rsidR="00BF107E" w:rsidRPr="00C16D1E" w:rsidRDefault="00BF107E" w:rsidP="00524050">
      <w:pPr>
        <w:spacing w:after="200"/>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rPr>
        <w:t xml:space="preserve">Based on the World Governance Indicator (WGI), the rule of law, government effectiveness, control of corruption, regulatory quality, voice and accountability, and political stability are the governance indices measured by institutional quality. </w:t>
      </w:r>
      <w:r w:rsidRPr="00C16D1E">
        <w:rPr>
          <w:rFonts w:ascii="Times New Roman" w:eastAsia="Calibri" w:hAnsi="Times New Roman" w:cs="Times New Roman"/>
          <w:sz w:val="20"/>
          <w:szCs w:val="20"/>
          <w:shd w:val="clear" w:color="auto" w:fill="FFFFFF"/>
        </w:rPr>
        <w:t xml:space="preserve">Institutional quality can be measured through several dimensions. While there is no single preferred index in measuring institutional quality, various indicators and indices have been developed by researchers and organisations, among which the following are notable: </w:t>
      </w:r>
    </w:p>
    <w:p w14:paraId="2F93FCFD" w14:textId="5E6352E2" w:rsidR="00BF107E" w:rsidRPr="00C16D1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t xml:space="preserve">Transparency International's Corruption Perception Index (CPI): This index ranks countries based on perceived levels of public sector corruption. In 2022, Nigeria scored 25 out of 100, indicating high levels </w:t>
      </w:r>
      <w:r w:rsidRPr="00C16D1E">
        <w:rPr>
          <w:rFonts w:ascii="Times New Roman" w:eastAsia="Calibri" w:hAnsi="Times New Roman" w:cs="Times New Roman"/>
          <w:sz w:val="20"/>
          <w:szCs w:val="20"/>
          <w:shd w:val="clear" w:color="auto" w:fill="FFFFFF"/>
        </w:rPr>
        <w:lastRenderedPageBreak/>
        <w:t xml:space="preserve">of corruption (Transparency International, 2022). The CPI serves as a crucial measure of institutional quality </w:t>
      </w:r>
      <w:r w:rsidR="002D77CB" w:rsidRPr="00C16D1E">
        <w:rPr>
          <w:rFonts w:ascii="Times New Roman" w:eastAsia="Calibri" w:hAnsi="Times New Roman" w:cs="Times New Roman"/>
          <w:sz w:val="20"/>
          <w:szCs w:val="20"/>
          <w:shd w:val="clear" w:color="auto" w:fill="FFFFFF"/>
        </w:rPr>
        <w:t>by highlighting</w:t>
      </w:r>
      <w:r w:rsidRPr="00C16D1E">
        <w:rPr>
          <w:rFonts w:ascii="Times New Roman" w:eastAsia="Calibri" w:hAnsi="Times New Roman" w:cs="Times New Roman"/>
          <w:sz w:val="20"/>
          <w:szCs w:val="20"/>
          <w:shd w:val="clear" w:color="auto" w:fill="FFFFFF"/>
        </w:rPr>
        <w:t xml:space="preserve"> transparency and accountability within government institutions.</w:t>
      </w:r>
    </w:p>
    <w:p w14:paraId="5B5D55BE" w14:textId="77777777" w:rsidR="00BF107E" w:rsidRPr="00C16D1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t xml:space="preserve">World Bank Governance Indicators: The World Bank publishes several governance indicators, including voice and accountability, political stability, government effectiveness, regulatory quality, rule of law, and control of corruption. </w:t>
      </w:r>
    </w:p>
    <w:p w14:paraId="26AF4014" w14:textId="36810FBA" w:rsidR="00BF107E" w:rsidRDefault="00BF107E" w:rsidP="00524050">
      <w:pPr>
        <w:numPr>
          <w:ilvl w:val="0"/>
          <w:numId w:val="6"/>
        </w:numPr>
        <w:spacing w:after="200"/>
        <w:contextualSpacing/>
        <w:jc w:val="both"/>
        <w:rPr>
          <w:rFonts w:ascii="Times New Roman" w:eastAsia="Calibri" w:hAnsi="Times New Roman" w:cs="Times New Roman"/>
          <w:sz w:val="20"/>
          <w:szCs w:val="20"/>
          <w:shd w:val="clear" w:color="auto" w:fill="FFFFFF"/>
        </w:rPr>
      </w:pPr>
      <w:r w:rsidRPr="00C16D1E">
        <w:rPr>
          <w:rFonts w:ascii="Times New Roman" w:eastAsia="Calibri" w:hAnsi="Times New Roman" w:cs="Times New Roman"/>
          <w:sz w:val="20"/>
          <w:szCs w:val="20"/>
          <w:shd w:val="clear" w:color="auto" w:fill="FFFFFF"/>
        </w:rPr>
        <w:t xml:space="preserve">The Ease of Doing Business Index: This index, developed by the World Bank, assesses the regulatory environment for businesses across various countries. Although the ease of doing business dimension reflects specific institutional components, such as property registration and tax payment, it is a useful indicator of overall institutional quality. </w:t>
      </w:r>
    </w:p>
    <w:p w14:paraId="10452751" w14:textId="77777777" w:rsidR="00C16D1E" w:rsidRPr="00C16D1E" w:rsidRDefault="00C16D1E" w:rsidP="00524050">
      <w:pPr>
        <w:numPr>
          <w:ilvl w:val="0"/>
          <w:numId w:val="6"/>
        </w:numPr>
        <w:spacing w:after="200"/>
        <w:contextualSpacing/>
        <w:jc w:val="both"/>
        <w:rPr>
          <w:rFonts w:ascii="Times New Roman" w:eastAsia="Calibri" w:hAnsi="Times New Roman" w:cs="Times New Roman"/>
          <w:sz w:val="20"/>
          <w:szCs w:val="20"/>
          <w:shd w:val="clear" w:color="auto" w:fill="FFFFFF"/>
        </w:rPr>
      </w:pPr>
    </w:p>
    <w:p w14:paraId="4866DA92" w14:textId="283D4F28" w:rsidR="00BF107E" w:rsidRPr="00C16D1E" w:rsidRDefault="00AB668C" w:rsidP="00524050">
      <w:pPr>
        <w:spacing w:after="200"/>
        <w:jc w:val="both"/>
        <w:rPr>
          <w:rFonts w:ascii="Times New Roman" w:eastAsia="Calibri" w:hAnsi="Times New Roman" w:cs="Times New Roman"/>
          <w:b/>
          <w:sz w:val="20"/>
          <w:szCs w:val="20"/>
        </w:rPr>
      </w:pPr>
      <w:r w:rsidRPr="00C16D1E">
        <w:rPr>
          <w:rFonts w:ascii="Times New Roman" w:eastAsia="Calibri" w:hAnsi="Times New Roman" w:cs="Times New Roman"/>
          <w:b/>
          <w:sz w:val="20"/>
          <w:szCs w:val="20"/>
        </w:rPr>
        <w:t>2.2.</w:t>
      </w:r>
      <w:r w:rsidR="00BF107E" w:rsidRPr="00C16D1E">
        <w:rPr>
          <w:rFonts w:ascii="Times New Roman" w:eastAsia="Calibri" w:hAnsi="Times New Roman" w:cs="Times New Roman"/>
          <w:b/>
          <w:sz w:val="20"/>
          <w:szCs w:val="20"/>
        </w:rPr>
        <w:t xml:space="preserve"> Resource Endowment</w:t>
      </w:r>
    </w:p>
    <w:p w14:paraId="0DC4B246" w14:textId="6DB29267" w:rsidR="00BF107E" w:rsidRPr="00C16D1E" w:rsidRDefault="00BF107E" w:rsidP="00524050">
      <w:pPr>
        <w:shd w:val="clear" w:color="auto" w:fill="FFFFFF"/>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Natural resources are materials created in nature that humans utilise. </w:t>
      </w:r>
      <w:r w:rsidRPr="00C16D1E">
        <w:rPr>
          <w:rFonts w:ascii="Times New Roman" w:eastAsia="Times New Roman" w:hAnsi="Times New Roman" w:cs="Times New Roman"/>
          <w:sz w:val="20"/>
          <w:szCs w:val="20"/>
          <w:shd w:val="clear" w:color="auto" w:fill="FFFFFF"/>
        </w:rPr>
        <w:t>Natural resource endowments refer to the abundance and availability of natural resources within a geographical area, including minerals, forests, water, and fertile land. These resources are crucial for economic development, influencing a country's growth trajectory, investment opportunities, and trade patterns.</w:t>
      </w:r>
      <w:r w:rsidRPr="00C16D1E">
        <w:rPr>
          <w:rFonts w:ascii="Times New Roman" w:eastAsia="Times New Roman" w:hAnsi="Times New Roman" w:cs="Times New Roman"/>
          <w:sz w:val="20"/>
          <w:szCs w:val="20"/>
        </w:rPr>
        <w:t xml:space="preserve"> They include natural substances (e.g., soil, water) and energy sources (e.g., coal, gas) that contribute to the economic satisfaction of human needs (Barsch </w:t>
      </w:r>
      <w:r w:rsidR="00FB28DC" w:rsidRPr="00C16D1E">
        <w:rPr>
          <w:rFonts w:ascii="Times New Roman" w:eastAsia="Times New Roman" w:hAnsi="Times New Roman" w:cs="Times New Roman"/>
          <w:sz w:val="20"/>
          <w:szCs w:val="20"/>
        </w:rPr>
        <w:t>&amp;</w:t>
      </w:r>
      <w:r w:rsidRPr="00C16D1E">
        <w:rPr>
          <w:rFonts w:ascii="Times New Roman" w:eastAsia="Times New Roman" w:hAnsi="Times New Roman" w:cs="Times New Roman"/>
          <w:sz w:val="20"/>
          <w:szCs w:val="20"/>
        </w:rPr>
        <w:t xml:space="preserve"> Bürger, 1996; Minc, 1976; Angelica, 2018). </w:t>
      </w:r>
    </w:p>
    <w:p w14:paraId="4DF7DE5A" w14:textId="20D0290B" w:rsidR="00BF107E" w:rsidRPr="00C16D1E" w:rsidRDefault="00BF107E" w:rsidP="00524050">
      <w:pPr>
        <w:shd w:val="clear" w:color="auto" w:fill="FFFFFF"/>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The country's primary resource is crude oil, making Nigeria the largest oil producer in Africa and contributing over 90% of its foreign exchange earnings (OPEC, 2021). The oil sector accounts for approximately 8% of Nigeria's Gross Domestic Product (GDP), but it has a significant multiplier effect on other sectors through government spending and foreign exchange earnings. In 2020, Nigeria produced approximately 1.5million barrels of oil per day (NBS, 2021). As noted by Adeleke (2022), “The oil sector has transformed Nigeria’s economic landscape, fueling growth, investment, and infrastructure development.” The revenue generated from oil exports has financed various social programs, infrastructure projects, and foreign reserves</w:t>
      </w:r>
      <w:r w:rsidR="00974831" w:rsidRPr="00C16D1E">
        <w:rPr>
          <w:rFonts w:ascii="Times New Roman" w:eastAsia="Times New Roman" w:hAnsi="Times New Roman" w:cs="Times New Roman"/>
          <w:sz w:val="20"/>
          <w:szCs w:val="20"/>
        </w:rPr>
        <w:t>. However,</w:t>
      </w:r>
      <w:r w:rsidRPr="00C16D1E">
        <w:rPr>
          <w:rFonts w:ascii="Times New Roman" w:eastAsia="Times New Roman" w:hAnsi="Times New Roman" w:cs="Times New Roman"/>
          <w:sz w:val="20"/>
          <w:szCs w:val="20"/>
        </w:rPr>
        <w:t xml:space="preserve"> it has also led to challenges such as over-dependence on oil and the “Dutch Disease” phenomenon. Natural gas is another vital resource, with Nigeria having the ninth-largest reserves globally, facilitating both domestic power generation and international exports (World Bank, 2020). Minerals such as tin, limestone, and coal also make substantial contributions to the economy. For instance, Nigeria ranks among the </w:t>
      </w:r>
      <w:r w:rsidR="00FB28DC" w:rsidRPr="00C16D1E">
        <w:rPr>
          <w:rFonts w:ascii="Times New Roman" w:eastAsia="Times New Roman" w:hAnsi="Times New Roman" w:cs="Times New Roman"/>
          <w:sz w:val="20"/>
          <w:szCs w:val="20"/>
        </w:rPr>
        <w:t>world's top tin producers</w:t>
      </w:r>
      <w:r w:rsidRPr="00C16D1E">
        <w:rPr>
          <w:rFonts w:ascii="Times New Roman" w:eastAsia="Times New Roman" w:hAnsi="Times New Roman" w:cs="Times New Roman"/>
          <w:sz w:val="20"/>
          <w:szCs w:val="20"/>
        </w:rPr>
        <w:t>, particularly in Jos, Plateau State. The solid minerals sector has the potential to generate about $3 billion annually. The country has also begun exploring its gold reserves, with several companies engaging in artisanal and small-scale mining operations, thereby promoting local economic development (Nigerian Minerals and Mining Act, 2007). Agricultural resources are vast, producing a variety of crops, including cocoa, cassava, yams, maize, and palm oil. Agriculture employs about 70% of the Nigerian population, and it is vital for food security (World Bank, 2021). According to a 2021 report by the Food and Agriculture Organisation, Nigerian cassava has the potential to significantly contribute to the nation’s GDP if processed into various forms, such as flour and starch, thereby adding higher economic value (FAO, 2021; Adeleke, 2022).</w:t>
      </w:r>
    </w:p>
    <w:p w14:paraId="00FE4B7B" w14:textId="73F67BEF" w:rsidR="00BF107E" w:rsidRPr="00C16D1E" w:rsidRDefault="00BF107E" w:rsidP="00524050">
      <w:pPr>
        <w:pStyle w:val="ListParagraph"/>
        <w:numPr>
          <w:ilvl w:val="1"/>
          <w:numId w:val="48"/>
        </w:numPr>
        <w:spacing w:after="200"/>
        <w:jc w:val="both"/>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rPr>
        <w:t>Measurement of Natural Resources and the Indicators</w:t>
      </w:r>
    </w:p>
    <w:p w14:paraId="4B4E030C" w14:textId="239D2DDB" w:rsidR="00BF107E" w:rsidRPr="00C16D1E" w:rsidRDefault="00BF107E" w:rsidP="00524050">
      <w:pPr>
        <w:shd w:val="clear" w:color="auto" w:fill="FFFFFF"/>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measurement of natural resources is a critical aspect of economic analysis, as it informs policymakers, businesses, and scholars about the availability, quality, and value of these resources. Natural resources can be classified into two broad categories: renewable and non-renewable resources. Renewable resources, such as forests, fisheries, and water</w:t>
      </w:r>
      <w:r w:rsidR="00E6410B" w:rsidRPr="00C16D1E">
        <w:rPr>
          <w:rFonts w:ascii="Times New Roman" w:eastAsia="Calibri" w:hAnsi="Times New Roman" w:cs="Times New Roman"/>
          <w:sz w:val="20"/>
          <w:szCs w:val="20"/>
        </w:rPr>
        <w:t>, can regenerate and are often measured by</w:t>
      </w:r>
      <w:r w:rsidRPr="00C16D1E">
        <w:rPr>
          <w:rFonts w:ascii="Times New Roman" w:eastAsia="Calibri" w:hAnsi="Times New Roman" w:cs="Times New Roman"/>
          <w:sz w:val="20"/>
          <w:szCs w:val="20"/>
        </w:rPr>
        <w:t xml:space="preserve"> their sustainable yield. Non-renewable resources, such as fossil fuels and minerals, are finite and are typically measured in terms of reserves, extraction rates, and depletion rates. Some of the approaches for measu</w:t>
      </w:r>
      <w:r w:rsidR="00AB668C" w:rsidRPr="00C16D1E">
        <w:rPr>
          <w:rFonts w:ascii="Times New Roman" w:eastAsia="Calibri" w:hAnsi="Times New Roman" w:cs="Times New Roman"/>
          <w:sz w:val="20"/>
          <w:szCs w:val="20"/>
        </w:rPr>
        <w:t xml:space="preserve">ring natural resources include: </w:t>
      </w:r>
      <w:r w:rsidRPr="00C16D1E">
        <w:rPr>
          <w:rFonts w:ascii="Times New Roman" w:eastAsia="Calibri" w:hAnsi="Times New Roman" w:cs="Times New Roman"/>
          <w:sz w:val="20"/>
          <w:szCs w:val="20"/>
        </w:rPr>
        <w:t>Physical Measurement</w:t>
      </w:r>
      <w:r w:rsidR="00AB668C" w:rsidRPr="00C16D1E">
        <w:rPr>
          <w:rFonts w:ascii="Times New Roman" w:eastAsia="Calibri" w:hAnsi="Times New Roman" w:cs="Times New Roman"/>
          <w:sz w:val="20"/>
          <w:szCs w:val="20"/>
        </w:rPr>
        <w:t xml:space="preserve"> (FAO, 2020), </w:t>
      </w:r>
      <w:r w:rsidRPr="00C16D1E">
        <w:rPr>
          <w:rFonts w:ascii="Times New Roman" w:eastAsia="Calibri" w:hAnsi="Times New Roman" w:cs="Times New Roman"/>
          <w:sz w:val="20"/>
          <w:szCs w:val="20"/>
        </w:rPr>
        <w:t xml:space="preserve">Economic valuation (Abdulrazak </w:t>
      </w:r>
      <w:r w:rsidRPr="00C16D1E">
        <w:rPr>
          <w:rFonts w:ascii="Times New Roman" w:eastAsia="Calibri" w:hAnsi="Times New Roman" w:cs="Times New Roman"/>
          <w:i/>
          <w:iCs/>
          <w:sz w:val="20"/>
          <w:szCs w:val="20"/>
        </w:rPr>
        <w:t>et al</w:t>
      </w:r>
      <w:r w:rsidR="00AB668C" w:rsidRPr="00C16D1E">
        <w:rPr>
          <w:rFonts w:ascii="Times New Roman" w:eastAsia="Calibri" w:hAnsi="Times New Roman" w:cs="Times New Roman"/>
          <w:sz w:val="20"/>
          <w:szCs w:val="20"/>
        </w:rPr>
        <w:t xml:space="preserve">., 2016), </w:t>
      </w:r>
      <w:r w:rsidRPr="00C16D1E">
        <w:rPr>
          <w:rFonts w:ascii="Times New Roman" w:eastAsia="Calibri" w:hAnsi="Times New Roman" w:cs="Times New Roman"/>
          <w:sz w:val="20"/>
          <w:szCs w:val="20"/>
        </w:rPr>
        <w:t>Total Economic Value (TEV)</w:t>
      </w:r>
      <w:r w:rsidR="00AB668C" w:rsidRPr="00C16D1E">
        <w:rPr>
          <w:rFonts w:ascii="Times New Roman" w:eastAsia="Calibri" w:hAnsi="Times New Roman" w:cs="Times New Roman"/>
          <w:sz w:val="20"/>
          <w:szCs w:val="20"/>
        </w:rPr>
        <w:t xml:space="preserve">. </w:t>
      </w:r>
    </w:p>
    <w:p w14:paraId="0AD7BC01" w14:textId="1CEE2247" w:rsidR="00BF107E" w:rsidRPr="00C16D1E" w:rsidRDefault="00B04554" w:rsidP="00524050">
      <w:pPr>
        <w:spacing w:after="200"/>
        <w:jc w:val="both"/>
        <w:rPr>
          <w:rFonts w:ascii="Times New Roman" w:eastAsia="Calibri" w:hAnsi="Times New Roman" w:cs="Times New Roman"/>
          <w:b/>
          <w:kern w:val="36"/>
          <w:sz w:val="20"/>
          <w:szCs w:val="20"/>
        </w:rPr>
      </w:pPr>
      <w:r>
        <w:rPr>
          <w:rFonts w:ascii="Times New Roman" w:eastAsia="Calibri" w:hAnsi="Times New Roman" w:cs="Times New Roman"/>
          <w:b/>
          <w:kern w:val="36"/>
          <w:sz w:val="20"/>
          <w:szCs w:val="20"/>
        </w:rPr>
        <w:t>2.4</w:t>
      </w:r>
      <w:r w:rsidR="00BF107E" w:rsidRPr="00C16D1E">
        <w:rPr>
          <w:rFonts w:ascii="Times New Roman" w:eastAsia="Calibri" w:hAnsi="Times New Roman" w:cs="Times New Roman"/>
          <w:b/>
          <w:kern w:val="36"/>
          <w:sz w:val="20"/>
          <w:szCs w:val="20"/>
        </w:rPr>
        <w:t xml:space="preserve"> New Institutional Economic Theory (NIET) </w:t>
      </w:r>
    </w:p>
    <w:p w14:paraId="094B152A" w14:textId="77777777" w:rsidR="00B1768B"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New Institutional Economics emerged in the late 20th century, primarily through the work of scholars such as Ronald Coase, Douglass North, and Klein.  New Institutional Economics posits that economic performance is significantly affected by institutions, which are viewed as the rules of the game in a society (North, 1991). It provides a better understanding of the institutions of social, political, and commercial life (Klein, 1999). North opines that economic development can be achieved through concerted efforts to establish strong institutional frameworks (North, 1991). A strong legal institution (property rights) builds confidence in individuals to invest without dissimulation, thereby promoting economic growth. For instance, the economic transformation of Botswana, as highlighted by Acemoglu, Johnson, and Robinson (2004) in their seminal work on the role of institutions, demonstrates how Botswana has maintained a stable democratic government and strong protection of property rights, achieving significant economic growth since gaining independence.</w:t>
      </w:r>
    </w:p>
    <w:p w14:paraId="3BEF8417" w14:textId="30B13EC9" w:rsidR="00BF107E" w:rsidRPr="00C16D1E" w:rsidRDefault="00B04554" w:rsidP="00524050">
      <w:pPr>
        <w:spacing w:after="200"/>
        <w:jc w:val="both"/>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2.5</w:t>
      </w:r>
      <w:r w:rsidR="00BF107E" w:rsidRPr="00C16D1E">
        <w:rPr>
          <w:rFonts w:ascii="Times New Roman" w:eastAsia="Calibri" w:hAnsi="Times New Roman" w:cs="Times New Roman"/>
          <w:b/>
          <w:sz w:val="20"/>
          <w:szCs w:val="20"/>
        </w:rPr>
        <w:t xml:space="preserve"> Theoretical Link between Institutional Quality and Natural Resources </w:t>
      </w:r>
    </w:p>
    <w:p w14:paraId="6EAB382D" w14:textId="308AB5C8"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resource curse theory posits that countries endowed with abundant natural resources often experience slower economic growth, authoritarian governance, and poorer development outcomes than countries with fewer natural resources. A study by Sachs and Warner (1997) highlighted the phenomenon of the resource curse, indicating that </w:t>
      </w:r>
      <w:r w:rsidR="00D85EB2" w:rsidRPr="00C16D1E">
        <w:rPr>
          <w:rFonts w:ascii="Times New Roman" w:eastAsia="Calibri" w:hAnsi="Times New Roman" w:cs="Times New Roman"/>
          <w:sz w:val="20"/>
          <w:szCs w:val="20"/>
        </w:rPr>
        <w:t>resource-rich nations tend to have lower economic growth rates than resource-poor ones</w:t>
      </w:r>
      <w:r w:rsidRPr="00C16D1E">
        <w:rPr>
          <w:rFonts w:ascii="Times New Roman" w:eastAsia="Calibri" w:hAnsi="Times New Roman" w:cs="Times New Roman"/>
          <w:sz w:val="20"/>
          <w:szCs w:val="20"/>
        </w:rPr>
        <w:t xml:space="preserve">. The relationship between institutional quality and natural resources is pivotal in discussions of economic development. Strong institutions help to manage resources effectively, reducing the resource curse (Ross, 2015; Mehlum </w:t>
      </w:r>
      <w:r w:rsidRPr="00C16D1E">
        <w:rPr>
          <w:rFonts w:ascii="Times New Roman" w:eastAsia="Calibri" w:hAnsi="Times New Roman" w:cs="Times New Roman"/>
          <w:i/>
          <w:sz w:val="20"/>
          <w:szCs w:val="20"/>
        </w:rPr>
        <w:t>et al.,</w:t>
      </w:r>
      <w:r w:rsidRPr="00C16D1E">
        <w:rPr>
          <w:rFonts w:ascii="Times New Roman" w:eastAsia="Calibri" w:hAnsi="Times New Roman" w:cs="Times New Roman"/>
          <w:sz w:val="20"/>
          <w:szCs w:val="20"/>
        </w:rPr>
        <w:t xml:space="preserve"> 2006). Resource endowment does not guarantee that a country </w:t>
      </w:r>
      <w:r w:rsidR="00C51EEF" w:rsidRPr="00C16D1E">
        <w:rPr>
          <w:rFonts w:ascii="Times New Roman" w:eastAsia="Calibri" w:hAnsi="Times New Roman" w:cs="Times New Roman"/>
          <w:sz w:val="20"/>
          <w:szCs w:val="20"/>
        </w:rPr>
        <w:t>wil</w:t>
      </w:r>
      <w:r w:rsidRPr="00C16D1E">
        <w:rPr>
          <w:rFonts w:ascii="Times New Roman" w:eastAsia="Calibri" w:hAnsi="Times New Roman" w:cs="Times New Roman"/>
          <w:sz w:val="20"/>
          <w:szCs w:val="20"/>
        </w:rPr>
        <w:t xml:space="preserve">l realise socioeconomic development unless there are good quality institutions in place (Olander, 2019). Countries rich in natural resources often exhibit poor economic performance due to weak institutions, which can lead to corruption and inefficient resource management (Sachs &amp; Warner, 1995). Strong institutions can enhance resource management, as </w:t>
      </w:r>
      <w:r w:rsidR="00D85EB2" w:rsidRPr="00C16D1E">
        <w:rPr>
          <w:rFonts w:ascii="Times New Roman" w:eastAsia="Calibri" w:hAnsi="Times New Roman" w:cs="Times New Roman"/>
          <w:sz w:val="20"/>
          <w:szCs w:val="20"/>
        </w:rPr>
        <w:t xml:space="preserve">evidenced by </w:t>
      </w:r>
      <w:r w:rsidRPr="00C16D1E">
        <w:rPr>
          <w:rFonts w:ascii="Times New Roman" w:eastAsia="Calibri" w:hAnsi="Times New Roman" w:cs="Times New Roman"/>
          <w:sz w:val="20"/>
          <w:szCs w:val="20"/>
        </w:rPr>
        <w:t xml:space="preserve">Botswana, which effectively utilised diamond revenues to promote economic stability and growth (Acemoglu, Johnson &amp; Robinson, 2003). Improving institutional quality, such as transparency and the rule of law, correlates with better economic outcomes in resource-rich nations. Norway, with its high institutional quality, can effectively leverage oil revenues to support public welfare and sustainable development. A low level of institutional quality in Nigeria exacerbated the mismanagement of oil wealth, leading to economic misfortunes (Ross, 2015; Mehlum </w:t>
      </w:r>
      <w:r w:rsidRPr="00C16D1E">
        <w:rPr>
          <w:rFonts w:ascii="Times New Roman" w:eastAsia="Calibri" w:hAnsi="Times New Roman" w:cs="Times New Roman"/>
          <w:i/>
          <w:sz w:val="20"/>
          <w:szCs w:val="20"/>
        </w:rPr>
        <w:t>et al</w:t>
      </w:r>
      <w:r w:rsidRPr="00C16D1E">
        <w:rPr>
          <w:rFonts w:ascii="Times New Roman" w:eastAsia="Calibri" w:hAnsi="Times New Roman" w:cs="Times New Roman"/>
          <w:sz w:val="20"/>
          <w:szCs w:val="20"/>
        </w:rPr>
        <w:t>., 2006). Thus, robust institutions are essential for translating natural resource wealth into sustainable economic growth.</w:t>
      </w:r>
    </w:p>
    <w:p w14:paraId="7A7B7E24" w14:textId="58B62A0B" w:rsidR="00BF107E" w:rsidRPr="00C16D1E" w:rsidRDefault="00B04554" w:rsidP="00524050">
      <w:pPr>
        <w:spacing w:after="200"/>
        <w:jc w:val="both"/>
        <w:rPr>
          <w:rFonts w:ascii="Times New Roman" w:eastAsia="Calibri" w:hAnsi="Times New Roman" w:cs="Times New Roman"/>
          <w:sz w:val="20"/>
          <w:szCs w:val="20"/>
        </w:rPr>
      </w:pPr>
      <w:r>
        <w:rPr>
          <w:rFonts w:ascii="Times New Roman" w:eastAsia="Calibri" w:hAnsi="Times New Roman" w:cs="Times New Roman"/>
          <w:b/>
          <w:sz w:val="20"/>
          <w:szCs w:val="20"/>
        </w:rPr>
        <w:t>2.6</w:t>
      </w:r>
      <w:r w:rsidR="00BF107E" w:rsidRPr="00C16D1E">
        <w:rPr>
          <w:rFonts w:ascii="Times New Roman" w:eastAsia="Calibri" w:hAnsi="Times New Roman" w:cs="Times New Roman"/>
          <w:b/>
          <w:sz w:val="20"/>
          <w:szCs w:val="20"/>
        </w:rPr>
        <w:t xml:space="preserve"> New Structural Economic </w:t>
      </w:r>
      <w:r w:rsidR="00213B61" w:rsidRPr="00C16D1E">
        <w:rPr>
          <w:rFonts w:ascii="Times New Roman" w:eastAsia="Calibri" w:hAnsi="Times New Roman" w:cs="Times New Roman"/>
          <w:b/>
          <w:sz w:val="20"/>
          <w:szCs w:val="20"/>
        </w:rPr>
        <w:t xml:space="preserve">Theory of </w:t>
      </w:r>
      <w:r w:rsidR="00BF107E" w:rsidRPr="00C16D1E">
        <w:rPr>
          <w:rFonts w:ascii="Times New Roman" w:eastAsia="Calibri" w:hAnsi="Times New Roman" w:cs="Times New Roman"/>
          <w:b/>
          <w:sz w:val="20"/>
          <w:szCs w:val="20"/>
        </w:rPr>
        <w:t xml:space="preserve">Growth </w:t>
      </w:r>
    </w:p>
    <w:p w14:paraId="6EA31F11" w14:textId="365A40BA"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New Structural Economics Theory (NSET) presents a framework for economic development, emphasising the roles of institutions, structural changes, and market forces in growth. Economic growth is most effective when countries capitalise on their comparative advantages in specific sectors. According to Lin (2012), the optimal path for economic development is for a country to build on its endowments, both natural resources and human capital, while simultaneously enhancing its institutional framework. New Structural theory provides a lens to analyse how Nigeria can effectively translate its natural and human resources, coupled with a strong institutional framework, into sustainable growth. Better institutions lead to better economic performance by fostering investment and entrepreneurship (Acemoglu </w:t>
      </w:r>
      <w:r w:rsidRPr="00C16D1E">
        <w:rPr>
          <w:rFonts w:ascii="Times New Roman" w:eastAsia="Times New Roman" w:hAnsi="Times New Roman" w:cs="Times New Roman"/>
          <w:i/>
          <w:iCs/>
          <w:sz w:val="20"/>
          <w:szCs w:val="20"/>
        </w:rPr>
        <w:t>et al</w:t>
      </w:r>
      <w:r w:rsidRPr="00C16D1E">
        <w:rPr>
          <w:rFonts w:ascii="Times New Roman" w:eastAsia="Times New Roman" w:hAnsi="Times New Roman" w:cs="Times New Roman"/>
          <w:sz w:val="20"/>
          <w:szCs w:val="20"/>
        </w:rPr>
        <w:t xml:space="preserve">., 2001). Furthermore, a study by Haussmann and Rodrik (2003) supports the relevance of structural transformation in developing economies, finding that countries that effectively identify and exploit their unique structural characteristics can accelerate their growth trajectories. According to a World Bank report (2020), countries that underwent substantial structural shifts experienced </w:t>
      </w:r>
      <w:r w:rsidR="00F30EB3" w:rsidRPr="00C16D1E">
        <w:rPr>
          <w:rFonts w:ascii="Times New Roman" w:eastAsia="Times New Roman" w:hAnsi="Times New Roman" w:cs="Times New Roman"/>
          <w:sz w:val="20"/>
          <w:szCs w:val="20"/>
        </w:rPr>
        <w:t xml:space="preserve">a </w:t>
      </w:r>
      <w:r w:rsidRPr="00C16D1E">
        <w:rPr>
          <w:rFonts w:ascii="Times New Roman" w:eastAsia="Times New Roman" w:hAnsi="Times New Roman" w:cs="Times New Roman"/>
          <w:sz w:val="20"/>
          <w:szCs w:val="20"/>
        </w:rPr>
        <w:t>1.5 times increase in GDP growth rates compared to those that maintained moribund structures. In the same vein, a United Nations</w:t>
      </w:r>
      <w:r w:rsidR="00757C8A" w:rsidRPr="00C16D1E">
        <w:rPr>
          <w:rFonts w:ascii="Times New Roman" w:eastAsia="Times New Roman" w:hAnsi="Times New Roman" w:cs="Times New Roman"/>
          <w:sz w:val="20"/>
          <w:szCs w:val="20"/>
        </w:rPr>
        <w:t>, 2025</w:t>
      </w:r>
      <w:r w:rsidRPr="00C16D1E">
        <w:rPr>
          <w:rFonts w:ascii="Times New Roman" w:eastAsia="Times New Roman" w:hAnsi="Times New Roman" w:cs="Times New Roman"/>
          <w:sz w:val="20"/>
          <w:szCs w:val="20"/>
        </w:rPr>
        <w:t xml:space="preserve"> report indicated that diversification in the export sector can lead to more robust economic development, with a 2% increase in GDP for every 10% increase in d</w:t>
      </w:r>
      <w:r w:rsidR="00C72D7B" w:rsidRPr="00C16D1E">
        <w:rPr>
          <w:rFonts w:ascii="Times New Roman" w:eastAsia="Times New Roman" w:hAnsi="Times New Roman" w:cs="Times New Roman"/>
          <w:sz w:val="20"/>
          <w:szCs w:val="20"/>
        </w:rPr>
        <w:t>iversifying exports (UNCTAD, 2023</w:t>
      </w:r>
      <w:r w:rsidRPr="00C16D1E">
        <w:rPr>
          <w:rFonts w:ascii="Times New Roman" w:eastAsia="Times New Roman" w:hAnsi="Times New Roman" w:cs="Times New Roman"/>
          <w:sz w:val="20"/>
          <w:szCs w:val="20"/>
        </w:rPr>
        <w:t>).</w:t>
      </w:r>
    </w:p>
    <w:p w14:paraId="659D4900" w14:textId="1F3771B0"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b/>
          <w:sz w:val="20"/>
          <w:szCs w:val="20"/>
        </w:rPr>
        <w:t>2.</w:t>
      </w:r>
      <w:r w:rsidR="00B04554">
        <w:rPr>
          <w:rFonts w:ascii="Times New Roman" w:eastAsia="Calibri" w:hAnsi="Times New Roman" w:cs="Times New Roman"/>
          <w:b/>
          <w:sz w:val="20"/>
          <w:szCs w:val="20"/>
        </w:rPr>
        <w:t>7</w:t>
      </w:r>
      <w:r w:rsidRPr="00C16D1E">
        <w:rPr>
          <w:rFonts w:ascii="Times New Roman" w:eastAsia="Calibri" w:hAnsi="Times New Roman" w:cs="Times New Roman"/>
          <w:b/>
          <w:sz w:val="20"/>
          <w:szCs w:val="20"/>
        </w:rPr>
        <w:t xml:space="preserve"> Empirical Review</w:t>
      </w:r>
    </w:p>
    <w:p w14:paraId="5E067218" w14:textId="724BE05C"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The empirical reviews in this study consider various reviews across the globe, Africa, West Africa and down to single study cases in Nigeria that examined </w:t>
      </w:r>
      <w:r w:rsidRPr="00C16D1E">
        <w:rPr>
          <w:rFonts w:ascii="Times New Roman" w:eastAsia="Times New Roman" w:hAnsi="Times New Roman" w:cs="Times New Roman"/>
          <w:sz w:val="20"/>
          <w:szCs w:val="20"/>
        </w:rPr>
        <w:t xml:space="preserve">the impact of natural resource endowment on institutional </w:t>
      </w:r>
      <w:r w:rsidR="006E6754" w:rsidRPr="00C16D1E">
        <w:rPr>
          <w:rFonts w:ascii="Times New Roman" w:eastAsia="Calibri" w:hAnsi="Times New Roman" w:cs="Times New Roman"/>
          <w:sz w:val="20"/>
          <w:szCs w:val="20"/>
        </w:rPr>
        <w:t>quality</w:t>
      </w:r>
      <w:r w:rsidRPr="00C16D1E">
        <w:rPr>
          <w:rFonts w:ascii="Times New Roman" w:eastAsia="Calibri" w:hAnsi="Times New Roman" w:cs="Times New Roman"/>
          <w:sz w:val="20"/>
          <w:szCs w:val="20"/>
        </w:rPr>
        <w:t>.</w:t>
      </w:r>
    </w:p>
    <w:p w14:paraId="06F30C96" w14:textId="44D3D591" w:rsidR="00BF107E" w:rsidRPr="00C16D1E" w:rsidRDefault="00BF107E"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Jonathan </w:t>
      </w:r>
      <w:r w:rsidRPr="00C16D1E">
        <w:rPr>
          <w:rFonts w:ascii="Times New Roman" w:eastAsia="Calibri" w:hAnsi="Times New Roman" w:cs="Times New Roman"/>
          <w:i/>
          <w:iCs/>
          <w:sz w:val="20"/>
          <w:szCs w:val="20"/>
          <w:lang w:val="en-GB"/>
        </w:rPr>
        <w:t>et al</w:t>
      </w:r>
      <w:r w:rsidRPr="00C16D1E">
        <w:rPr>
          <w:rFonts w:ascii="Times New Roman" w:eastAsia="Calibri" w:hAnsi="Times New Roman" w:cs="Times New Roman"/>
          <w:sz w:val="20"/>
          <w:szCs w:val="20"/>
          <w:lang w:val="en-GB"/>
        </w:rPr>
        <w:t xml:space="preserve">. (2022) examined the mediating role of resource governance (RESOGV) in the relationship between institutional quality and resource-based economic sustainability (RES) in 80 resource-endowed economies from 2010 to 2017, using ordinary least squares. The study found significant differences in institutional quality, RESOGV, and RES across countries with varying economic development levels. While institutional quality had a marginal impact on RES, this influence was significantly amplified when partially and complementarily mediated by RESOGV. The research highlights the crucial role of host governments in enhancing institutional quality. </w:t>
      </w:r>
    </w:p>
    <w:p w14:paraId="405BBD5B" w14:textId="6DF7EA0C"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Mohammed (2023) examines the impact of institutional quality indices on economic growth in Sub-Saharan African countries, utilising panel data from 31 nations between 1991 and 2015, and employing a two-step system-GMM estimation technique. The research employs principal component analysis to refine institutional indicators, revealing that investment-promoting and democratic and regulatory institutions positively influence economic growth, while conflict-preventing institutions do not significantly affect growth. The findings advocate for ongoing institutional reforms in the region to bolster economic development.</w:t>
      </w:r>
    </w:p>
    <w:p w14:paraId="19C763BD" w14:textId="65FE18F0"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Aljarallah (2019) examines how natural resource rents and institutional quality affect human capital using a cointegration and error correction model through the ARDL approach. Corruption and law and order serve as proxies for institutional quality. The results show that a 1% rise in resource rents and corruption reduces human capital by 0.16% and 0.14% in the long term. Additionally, current corruption and lagged resource rents </w:t>
      </w:r>
      <w:r w:rsidRPr="00C16D1E">
        <w:rPr>
          <w:rFonts w:ascii="Times New Roman" w:eastAsia="Calibri" w:hAnsi="Times New Roman" w:cs="Times New Roman"/>
          <w:sz w:val="20"/>
          <w:szCs w:val="20"/>
          <w:lang w:val="en-GB"/>
        </w:rPr>
        <w:lastRenderedPageBreak/>
        <w:t>negatively impact human capital in the short term, while law and order positively influences human capital in both time frames, highlighting the critical need to prioritize education for long-term sustainability.</w:t>
      </w:r>
    </w:p>
    <w:p w14:paraId="22BE6582" w14:textId="7DEE62D6" w:rsidR="00D35FE7" w:rsidRPr="00C16D1E" w:rsidRDefault="00BF107E"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A</w:t>
      </w:r>
      <w:r w:rsidR="001D560C" w:rsidRPr="00C16D1E">
        <w:rPr>
          <w:rFonts w:ascii="Times New Roman" w:eastAsia="Calibri" w:hAnsi="Times New Roman" w:cs="Times New Roman"/>
          <w:sz w:val="20"/>
          <w:szCs w:val="20"/>
          <w:lang w:val="en-GB"/>
        </w:rPr>
        <w:t>degboye</w:t>
      </w:r>
      <w:r w:rsidRPr="00C16D1E">
        <w:rPr>
          <w:rFonts w:ascii="Times New Roman" w:eastAsia="Calibri" w:hAnsi="Times New Roman" w:cs="Times New Roman"/>
          <w:sz w:val="20"/>
          <w:szCs w:val="20"/>
          <w:lang w:val="en-GB"/>
        </w:rPr>
        <w:t xml:space="preserve"> and Fagbemi (2017) employed a dynamic panel System Generalised Method of Moments (SGMM) to analyse the impact of natural resources and institutions on financial development in Sub-Saharan Africa. Their findings indicate that substantial natural resource rents </w:t>
      </w:r>
      <w:r w:rsidR="00D35FE7" w:rsidRPr="00C16D1E">
        <w:rPr>
          <w:rFonts w:ascii="Times New Roman" w:eastAsia="Calibri" w:hAnsi="Times New Roman" w:cs="Times New Roman"/>
          <w:sz w:val="20"/>
          <w:szCs w:val="20"/>
          <w:lang w:val="en-GB"/>
        </w:rPr>
        <w:t>have a negative impact on financial development, both directly and indirectly,</w:t>
      </w:r>
      <w:r w:rsidRPr="00C16D1E">
        <w:rPr>
          <w:rFonts w:ascii="Times New Roman" w:eastAsia="Calibri" w:hAnsi="Times New Roman" w:cs="Times New Roman"/>
          <w:sz w:val="20"/>
          <w:szCs w:val="20"/>
          <w:lang w:val="en-GB"/>
        </w:rPr>
        <w:t xml:space="preserve"> by weakening institutions. Conversely, low institutional quality hinders the financial system's ability to channel natural resource gains. </w:t>
      </w:r>
    </w:p>
    <w:p w14:paraId="06D66665" w14:textId="5001EC43"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Ferede (2025) analyses the impact of natural resource rents, institutional quality, and foreign direct investment (FDI) on human capital development in Sub-Saharan Africa from 2010 to 2022. The region saw growth rates of 10% in natural resource rents, 4.5% in FDI, and 1.8% in human capital, with institutional quality scores indicating weakness. The study finds that institutional quality negatively affects human capital, while factors like government effectiveness and political stability, along with prior education levels, positively influence it. Overall, weak institutions and resource rents hinder human capital development, whereas strong institutions enhance it.</w:t>
      </w:r>
    </w:p>
    <w:p w14:paraId="54EBAB41" w14:textId="00D82A3A" w:rsidR="009D0923" w:rsidRPr="00C16D1E" w:rsidRDefault="009D0923"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Ruba (2020) investigates the impact of natural resource dependency and institutional quality on human capital in Gulf Countries from 1984 to 2014 using an autoregressive distributed lag (ARDL) method. It finds that natural resource dependency negatively affects human capital in Kuwait, UAE, and Saudi Arabia, while corruption has a significant long-term adverse effect on human capital specifically in Kuwait and Saudi Arabia.</w:t>
      </w:r>
    </w:p>
    <w:p w14:paraId="0CFDFB92" w14:textId="77777777" w:rsidR="00D35FE7"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Akomolafe (2024) examines the influence of natural resource endowments and institutional quality on external debt in nine African countries from 1996 to 2019, employing feasible generalised least squares (FGLS). The study utilised control of corruption and government effectiveness as indicators of institutional quality. The findings indicate that natural resource rents correlate with increased external debt, while improved control of corruption and government effectiveness contribute to their reduction. Nonetheless, the moderating effects of institutional quality on natural resource rent do not fully offset the positive relationship between natural resources and external debt. </w:t>
      </w:r>
    </w:p>
    <w:p w14:paraId="6023D568" w14:textId="77777777" w:rsidR="001B5D70" w:rsidRPr="00C16D1E" w:rsidRDefault="00571171"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 Mohammad (2024) examines the roles of urbanisation, development level, and openness on institutions in Bangladesh, employing an autoregressive distributed lag (ARDL). The study employed two measures of institutional quality between 1996 and 2022, proxying institutional quality through Principal Component Analysis (PCA) and the average of the six World Governance Indicators (WGIS). For each indicator of institutional quality, three models were estimated, resulting in a total of six models. The impact of urbanisation on institutional quality is consistent in terms of sign and significance across all six models. The findings show that per-capita income has a significant negative impact. In contrast, openness has positive effects, and urbanisation has a significant negative effect in all six models over the long term.</w:t>
      </w:r>
      <w:r w:rsidR="00BF107E" w:rsidRPr="00C16D1E">
        <w:rPr>
          <w:rFonts w:ascii="Times New Roman" w:eastAsia="Calibri" w:hAnsi="Times New Roman" w:cs="Times New Roman"/>
          <w:sz w:val="20"/>
          <w:szCs w:val="20"/>
        </w:rPr>
        <w:t xml:space="preserve"> </w:t>
      </w:r>
    </w:p>
    <w:p w14:paraId="1B388F68" w14:textId="48AAEBC6" w:rsidR="00C03ADC" w:rsidRPr="00C16D1E" w:rsidRDefault="00C03ADC"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Oliver et al. (2022) investigates the impact of natural resource dependence on institutional quality in sub-Saharan Africa from 2005 to 2019, revealing a negative correlation. Their findings support the rent-seeking theory and indicate that dependence on natural resources undermines institutional quality. Conversely, employment, education, and Foreign Direct Investment (FDI) positively influence institutional quality. The study advocates for policies that promote the modernization and diversification of economies in SSA, reducing reliance on natural resources to foster growth in other sectors.</w:t>
      </w:r>
    </w:p>
    <w:p w14:paraId="3E10C248" w14:textId="77777777" w:rsidR="00F9280D"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José </w:t>
      </w:r>
      <w:r w:rsidRPr="00C16D1E">
        <w:rPr>
          <w:rFonts w:ascii="Times New Roman" w:eastAsia="Calibri" w:hAnsi="Times New Roman" w:cs="Times New Roman"/>
          <w:i/>
          <w:sz w:val="20"/>
          <w:szCs w:val="20"/>
        </w:rPr>
        <w:t>et al</w:t>
      </w:r>
      <w:r w:rsidR="00805367" w:rsidRPr="00C16D1E">
        <w:rPr>
          <w:rFonts w:ascii="Times New Roman" w:eastAsia="Calibri" w:hAnsi="Times New Roman" w:cs="Times New Roman"/>
          <w:i/>
          <w:sz w:val="20"/>
          <w:szCs w:val="20"/>
        </w:rPr>
        <w:t>.</w:t>
      </w:r>
      <w:r w:rsidRPr="00C16D1E">
        <w:rPr>
          <w:rFonts w:ascii="Times New Roman" w:eastAsia="Calibri" w:hAnsi="Times New Roman" w:cs="Times New Roman"/>
          <w:sz w:val="20"/>
          <w:szCs w:val="20"/>
        </w:rPr>
        <w:t xml:space="preserve"> (2020) investigate determinants of institutional quality. They applied the generalised method of moments (GM). They found that institutional quality is influenced by variables that can be adjusted through public policy, such as income per capita, international openness, education, taxation, and patterns of income distribution. Furthermore, after </w:t>
      </w:r>
      <w:r w:rsidR="00822024" w:rsidRPr="00C16D1E">
        <w:rPr>
          <w:rFonts w:ascii="Times New Roman" w:eastAsia="Calibri" w:hAnsi="Times New Roman" w:cs="Times New Roman"/>
          <w:sz w:val="20"/>
          <w:szCs w:val="20"/>
        </w:rPr>
        <w:t>accounting for multicollinearity, education emerges as a significant and positive factor, confirming its role in</w:t>
      </w:r>
      <w:r w:rsidRPr="00C16D1E">
        <w:rPr>
          <w:rFonts w:ascii="Times New Roman" w:eastAsia="Calibri" w:hAnsi="Times New Roman" w:cs="Times New Roman"/>
          <w:sz w:val="20"/>
          <w:szCs w:val="20"/>
        </w:rPr>
        <w:t xml:space="preserve"> promoting the dynamic efficiency of institutions. The study suggests the need for policies </w:t>
      </w:r>
      <w:r w:rsidR="00822024" w:rsidRPr="00C16D1E">
        <w:rPr>
          <w:rFonts w:ascii="Times New Roman" w:eastAsia="Calibri" w:hAnsi="Times New Roman" w:cs="Times New Roman"/>
          <w:sz w:val="20"/>
          <w:szCs w:val="20"/>
        </w:rPr>
        <w:t>to improve institutional quality</w:t>
      </w:r>
      <w:r w:rsidRPr="00C16D1E">
        <w:rPr>
          <w:rFonts w:ascii="Times New Roman" w:eastAsia="Calibri" w:hAnsi="Times New Roman" w:cs="Times New Roman"/>
          <w:sz w:val="20"/>
          <w:szCs w:val="20"/>
        </w:rPr>
        <w:t>, as the observed variables are amenable to government action.</w:t>
      </w:r>
      <w:r w:rsidR="00F9280D"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sz w:val="20"/>
          <w:szCs w:val="20"/>
        </w:rPr>
        <w:t xml:space="preserve">Moreover, </w:t>
      </w:r>
      <w:r w:rsidRPr="00C16D1E">
        <w:rPr>
          <w:rFonts w:ascii="Times New Roman" w:eastAsia="Times New Roman" w:hAnsi="Times New Roman" w:cs="Times New Roman"/>
          <w:sz w:val="20"/>
          <w:szCs w:val="20"/>
        </w:rPr>
        <w:t xml:space="preserve">Ojeka </w:t>
      </w:r>
      <w:r w:rsidRPr="00C16D1E">
        <w:rPr>
          <w:rFonts w:ascii="Times New Roman" w:eastAsia="Times New Roman" w:hAnsi="Times New Roman" w:cs="Times New Roman"/>
          <w:i/>
          <w:sz w:val="20"/>
          <w:szCs w:val="20"/>
        </w:rPr>
        <w:t xml:space="preserve">et al. </w:t>
      </w:r>
      <w:r w:rsidRPr="00C16D1E">
        <w:rPr>
          <w:rFonts w:ascii="Times New Roman" w:eastAsia="Times New Roman" w:hAnsi="Times New Roman" w:cs="Times New Roman"/>
          <w:iCs/>
          <w:sz w:val="20"/>
          <w:szCs w:val="20"/>
        </w:rPr>
        <w:t>(2020) investigate the effects of corruption perception, institutional quality, and performance of listed companies in Nigeria from 2013 to 2017, using the</w:t>
      </w:r>
      <w:r w:rsidRPr="00C16D1E">
        <w:rPr>
          <w:rFonts w:ascii="Times New Roman" w:eastAsia="Times New Roman" w:hAnsi="Times New Roman" w:cs="Times New Roman"/>
          <w:i/>
          <w:sz w:val="20"/>
          <w:szCs w:val="20"/>
        </w:rPr>
        <w:t xml:space="preserve"> </w:t>
      </w:r>
      <w:r w:rsidRPr="00C16D1E">
        <w:rPr>
          <w:rFonts w:ascii="Times New Roman" w:eastAsia="Calibri" w:hAnsi="Times New Roman" w:cs="Times New Roman"/>
          <w:sz w:val="20"/>
          <w:szCs w:val="20"/>
        </w:rPr>
        <w:t xml:space="preserve">Generalised Method of Moments (GMM). The study uses the Transparency International Corruption Perception Index as the baseline for analysis, which evaluates the corruption practices of public officials and politicians to capture institutional quality, and Principal Component Analysis (PCA) of six governance indicators. The results suggest that corruption and institutional quality weaken </w:t>
      </w:r>
      <w:r w:rsidR="00950EF0" w:rsidRPr="00C16D1E">
        <w:rPr>
          <w:rFonts w:ascii="Times New Roman" w:eastAsia="Calibri" w:hAnsi="Times New Roman" w:cs="Times New Roman"/>
          <w:sz w:val="20"/>
          <w:szCs w:val="20"/>
        </w:rPr>
        <w:t xml:space="preserve">firms' market and accounting performance </w:t>
      </w:r>
      <w:r w:rsidRPr="00C16D1E">
        <w:rPr>
          <w:rFonts w:ascii="Times New Roman" w:eastAsia="Calibri" w:hAnsi="Times New Roman" w:cs="Times New Roman"/>
          <w:sz w:val="20"/>
          <w:szCs w:val="20"/>
        </w:rPr>
        <w:t xml:space="preserve">in Nigeria. The finding suggests that Nigeria needs more effective mechanisms to curb corruption practices and enhance its institutions. </w:t>
      </w:r>
    </w:p>
    <w:p w14:paraId="2CC9048A" w14:textId="3BDC065B" w:rsidR="00AD0277" w:rsidRPr="00C16D1E" w:rsidRDefault="00AD0277" w:rsidP="00524050">
      <w:pPr>
        <w:spacing w:after="200"/>
        <w:jc w:val="both"/>
        <w:rPr>
          <w:rFonts w:ascii="Times New Roman" w:eastAsia="Calibri" w:hAnsi="Times New Roman" w:cs="Times New Roman"/>
          <w:sz w:val="20"/>
          <w:szCs w:val="20"/>
          <w:lang w:val="en-GB"/>
        </w:rPr>
      </w:pPr>
      <w:r w:rsidRPr="00C16D1E">
        <w:rPr>
          <w:rFonts w:ascii="Times New Roman" w:eastAsia="Calibri" w:hAnsi="Times New Roman" w:cs="Times New Roman"/>
          <w:sz w:val="20"/>
          <w:szCs w:val="20"/>
          <w:lang w:val="en-GB"/>
        </w:rPr>
        <w:t xml:space="preserve">Igbakula et al. (2021) analyse the impact of institutional quality on Nigeria's economic growth from 2001 to 2019 using the Autoregressive Distributed Lag model. Their findings, confirmed by the Pesaran, Shin, and Smith Bounds test, indicate a long-run relationship between institutional quality and economic growth, with institutional </w:t>
      </w:r>
      <w:r w:rsidRPr="00C16D1E">
        <w:rPr>
          <w:rFonts w:ascii="Times New Roman" w:eastAsia="Calibri" w:hAnsi="Times New Roman" w:cs="Times New Roman"/>
          <w:sz w:val="20"/>
          <w:szCs w:val="20"/>
          <w:lang w:val="en-GB"/>
        </w:rPr>
        <w:lastRenderedPageBreak/>
        <w:t>quality negatively affecting economic growth. The study's error correction term suggests that economic growth slowly reverts to its long-run equilibrium following any imbalance.</w:t>
      </w:r>
    </w:p>
    <w:p w14:paraId="6C6F5E28" w14:textId="61E4366C" w:rsidR="00BF107E" w:rsidRPr="00C16D1E" w:rsidRDefault="00BF107E"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Ukwueze </w:t>
      </w:r>
      <w:r w:rsidRPr="00C16D1E">
        <w:rPr>
          <w:rFonts w:ascii="Times New Roman" w:eastAsia="Calibri" w:hAnsi="Times New Roman" w:cs="Times New Roman"/>
          <w:i/>
          <w:sz w:val="20"/>
          <w:szCs w:val="20"/>
        </w:rPr>
        <w:t>et al</w:t>
      </w:r>
      <w:r w:rsidR="00F11018" w:rsidRPr="00C16D1E">
        <w:rPr>
          <w:rFonts w:ascii="Times New Roman" w:eastAsia="Calibri" w:hAnsi="Times New Roman" w:cs="Times New Roman"/>
          <w:sz w:val="20"/>
          <w:szCs w:val="20"/>
        </w:rPr>
        <w:t>.</w:t>
      </w:r>
      <w:r w:rsidRPr="00C16D1E">
        <w:rPr>
          <w:rFonts w:ascii="Times New Roman" w:eastAsia="Calibri" w:hAnsi="Times New Roman" w:cs="Times New Roman"/>
          <w:sz w:val="20"/>
          <w:szCs w:val="20"/>
        </w:rPr>
        <w:t xml:space="preserve"> (2021) investigate the impact of institutional quality on multilateral aid in Nigeria. The study employed the </w:t>
      </w:r>
      <w:r w:rsidR="006204C0" w:rsidRPr="00C16D1E">
        <w:rPr>
          <w:rFonts w:ascii="Times New Roman" w:eastAsia="Calibri" w:hAnsi="Times New Roman" w:cs="Times New Roman"/>
          <w:sz w:val="20"/>
          <w:szCs w:val="20"/>
        </w:rPr>
        <w:t xml:space="preserve">autoregressive distributed lag (ARDL) bounds testing technique using data from the ICRG, WGI, Transparency International, and the </w:t>
      </w:r>
      <w:r w:rsidRPr="00C16D1E">
        <w:rPr>
          <w:rFonts w:ascii="Times New Roman" w:eastAsia="Calibri" w:hAnsi="Times New Roman" w:cs="Times New Roman"/>
          <w:sz w:val="20"/>
          <w:szCs w:val="20"/>
        </w:rPr>
        <w:t xml:space="preserve">World Development Indicators (WDI). The findings indicate that institutional quality variables do not influence multilateral aid in Nigeria, except for the independence of the judiciary, which appears statistically significant. Furthermore, the short-run analysis indicated that almost all </w:t>
      </w:r>
      <w:r w:rsidR="007A1755" w:rsidRPr="00C16D1E">
        <w:rPr>
          <w:rFonts w:ascii="Times New Roman" w:eastAsia="Calibri" w:hAnsi="Times New Roman" w:cs="Times New Roman"/>
          <w:sz w:val="20"/>
          <w:szCs w:val="20"/>
        </w:rPr>
        <w:t>variables had a statistically significant influence on</w:t>
      </w:r>
      <w:r w:rsidRPr="00C16D1E">
        <w:rPr>
          <w:rFonts w:ascii="Times New Roman" w:eastAsia="Calibri" w:hAnsi="Times New Roman" w:cs="Times New Roman"/>
          <w:sz w:val="20"/>
          <w:szCs w:val="20"/>
        </w:rPr>
        <w:t xml:space="preserve"> multilateral aid. The study therefore recommends that donor agencies should consider other crucial factors that negatively affect development aid, such as politics, location, and colonial history. </w:t>
      </w:r>
    </w:p>
    <w:p w14:paraId="59E059FD" w14:textId="5B1A8B22" w:rsidR="00BF107E" w:rsidRPr="00C16D1E" w:rsidRDefault="00BF107E" w:rsidP="00524050">
      <w:pPr>
        <w:spacing w:after="200"/>
        <w:jc w:val="both"/>
        <w:rPr>
          <w:rFonts w:ascii="Times New Roman" w:eastAsia="Times New Roman" w:hAnsi="Times New Roman" w:cs="Times New Roman"/>
          <w:sz w:val="20"/>
          <w:szCs w:val="20"/>
        </w:rPr>
      </w:pPr>
      <w:r w:rsidRPr="00C16D1E">
        <w:rPr>
          <w:rFonts w:ascii="Times New Roman" w:eastAsia="Calibri" w:hAnsi="Times New Roman" w:cs="Times New Roman"/>
          <w:sz w:val="20"/>
          <w:szCs w:val="20"/>
        </w:rPr>
        <w:t xml:space="preserve"> </w:t>
      </w:r>
      <w:r w:rsidRPr="00C16D1E">
        <w:rPr>
          <w:rFonts w:ascii="Times New Roman" w:eastAsia="Times New Roman" w:hAnsi="Times New Roman" w:cs="Times New Roman"/>
          <w:b/>
          <w:bCs/>
          <w:sz w:val="20"/>
          <w:szCs w:val="20"/>
        </w:rPr>
        <w:t>2.</w:t>
      </w:r>
      <w:r w:rsidR="00A10A76" w:rsidRPr="00C16D1E">
        <w:rPr>
          <w:rFonts w:ascii="Times New Roman" w:eastAsia="Times New Roman" w:hAnsi="Times New Roman" w:cs="Times New Roman"/>
          <w:b/>
          <w:bCs/>
          <w:sz w:val="20"/>
          <w:szCs w:val="20"/>
        </w:rPr>
        <w:t>8</w:t>
      </w:r>
      <w:r w:rsidRPr="00C16D1E">
        <w:rPr>
          <w:rFonts w:ascii="Times New Roman" w:eastAsia="Times New Roman" w:hAnsi="Times New Roman" w:cs="Times New Roman"/>
          <w:b/>
          <w:bCs/>
          <w:sz w:val="20"/>
          <w:szCs w:val="20"/>
        </w:rPr>
        <w:t xml:space="preserve"> Research Gap</w:t>
      </w:r>
    </w:p>
    <w:p w14:paraId="0EE92856" w14:textId="62C7AB52" w:rsidR="00BF107E" w:rsidRPr="00C16D1E" w:rsidRDefault="008A7412"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relationship between</w:t>
      </w:r>
      <w:r w:rsidR="00BF107E" w:rsidRPr="00C16D1E">
        <w:rPr>
          <w:rFonts w:ascii="Times New Roman" w:eastAsia="Calibri" w:hAnsi="Times New Roman" w:cs="Times New Roman"/>
          <w:sz w:val="20"/>
          <w:szCs w:val="20"/>
        </w:rPr>
        <w:t xml:space="preserve"> natural resource endowment and </w:t>
      </w:r>
      <w:r w:rsidRPr="00C16D1E">
        <w:rPr>
          <w:rFonts w:ascii="Times New Roman" w:eastAsia="Calibri" w:hAnsi="Times New Roman" w:cs="Times New Roman"/>
          <w:sz w:val="20"/>
          <w:szCs w:val="20"/>
        </w:rPr>
        <w:t>Institutional quality</w:t>
      </w:r>
      <w:r w:rsidR="00BF107E" w:rsidRPr="00C16D1E">
        <w:rPr>
          <w:rFonts w:ascii="Times New Roman" w:eastAsia="Calibri" w:hAnsi="Times New Roman" w:cs="Times New Roman"/>
          <w:sz w:val="20"/>
          <w:szCs w:val="20"/>
        </w:rPr>
        <w:t xml:space="preserve"> remains </w:t>
      </w:r>
      <w:r w:rsidR="00983BA2" w:rsidRPr="00C16D1E">
        <w:rPr>
          <w:rFonts w:ascii="Times New Roman" w:eastAsia="Calibri" w:hAnsi="Times New Roman" w:cs="Times New Roman"/>
          <w:sz w:val="20"/>
          <w:szCs w:val="20"/>
        </w:rPr>
        <w:t>unclear</w:t>
      </w:r>
      <w:r w:rsidR="00BF107E" w:rsidRPr="00C16D1E">
        <w:rPr>
          <w:rFonts w:ascii="Times New Roman" w:eastAsia="Calibri" w:hAnsi="Times New Roman" w:cs="Times New Roman"/>
          <w:sz w:val="20"/>
          <w:szCs w:val="20"/>
        </w:rPr>
        <w:t xml:space="preserve">. </w:t>
      </w:r>
      <w:r w:rsidR="00BF107E" w:rsidRPr="00C16D1E">
        <w:rPr>
          <w:rFonts w:ascii="Times New Roman" w:eastAsia="Times New Roman" w:hAnsi="Times New Roman" w:cs="Times New Roman"/>
          <w:sz w:val="20"/>
          <w:szCs w:val="20"/>
        </w:rPr>
        <w:t xml:space="preserve">Many existing studies often explore these elements in isolation. For instance, works like Gylfason (2001) and Sachs and Warner (1995) discuss the resource curse phenomenon expansively, indicating that countries with natural resource endowments often suffer from poor economic performance due to weak institutions. Conversely, authors such as Rodrik (2008), José </w:t>
      </w:r>
      <w:r w:rsidR="00BF107E" w:rsidRPr="00C16D1E">
        <w:rPr>
          <w:rFonts w:ascii="Times New Roman" w:eastAsia="Times New Roman" w:hAnsi="Times New Roman" w:cs="Times New Roman"/>
          <w:i/>
          <w:iCs/>
          <w:sz w:val="20"/>
          <w:szCs w:val="20"/>
        </w:rPr>
        <w:t>et al</w:t>
      </w:r>
      <w:r w:rsidR="00BF107E" w:rsidRPr="00C16D1E">
        <w:rPr>
          <w:rFonts w:ascii="Times New Roman" w:eastAsia="Times New Roman" w:hAnsi="Times New Roman" w:cs="Times New Roman"/>
          <w:sz w:val="20"/>
          <w:szCs w:val="20"/>
        </w:rPr>
        <w:t xml:space="preserve">. (2020), and Sharma (2022) emphasise the role of institutional quality as a critical driver of economic growth, arguing that better governance can lead to improved economic outcomes. However, there is limited empirical exploration of how these two variables interact specifically within the Nigerian context. </w:t>
      </w:r>
      <w:r w:rsidR="00BF107E" w:rsidRPr="00C16D1E">
        <w:rPr>
          <w:rFonts w:ascii="Times New Roman" w:eastAsia="Calibri" w:hAnsi="Times New Roman" w:cs="Times New Roman"/>
          <w:sz w:val="20"/>
          <w:szCs w:val="20"/>
        </w:rPr>
        <w:t xml:space="preserve">The growth of an economy is one of the important goals of macroeconomic policy. Scholars have extensively assessed the impact of natural resources on </w:t>
      </w:r>
      <w:r w:rsidRPr="00C16D1E">
        <w:rPr>
          <w:rFonts w:ascii="Times New Roman" w:eastAsia="Calibri" w:hAnsi="Times New Roman" w:cs="Times New Roman"/>
          <w:sz w:val="20"/>
          <w:szCs w:val="20"/>
        </w:rPr>
        <w:t xml:space="preserve">growth, </w:t>
      </w:r>
      <w:r w:rsidR="00BF107E" w:rsidRPr="00C16D1E">
        <w:rPr>
          <w:rFonts w:ascii="Times New Roman" w:eastAsia="Calibri" w:hAnsi="Times New Roman" w:cs="Times New Roman"/>
          <w:sz w:val="20"/>
          <w:szCs w:val="20"/>
        </w:rPr>
        <w:t xml:space="preserve">while also taking into account institutional frameworks. However, not many of them have examined the peculiarities of Nigeria in their discussions. </w:t>
      </w:r>
    </w:p>
    <w:p w14:paraId="06F42F38" w14:textId="1E77C9EF" w:rsidR="008A7412" w:rsidRPr="00C16D1E" w:rsidRDefault="00BF107E" w:rsidP="00FD129C">
      <w:pPr>
        <w:spacing w:after="200"/>
        <w:jc w:val="both"/>
        <w:rPr>
          <w:rFonts w:ascii="Times New Roman" w:eastAsia="Times New Roman" w:hAnsi="Times New Roman" w:cs="Times New Roman"/>
          <w:b/>
          <w:sz w:val="20"/>
          <w:szCs w:val="20"/>
        </w:rPr>
      </w:pPr>
      <w:r w:rsidRPr="00C16D1E">
        <w:rPr>
          <w:rFonts w:ascii="Times New Roman" w:eastAsia="Calibri" w:hAnsi="Times New Roman" w:cs="Times New Roman"/>
          <w:sz w:val="20"/>
          <w:szCs w:val="20"/>
        </w:rPr>
        <w:t xml:space="preserve">Furthermore, previous studies have shown that poor institutional frameworks hinder the economic benefits derived from natural resources. However, the moderating effect of institutional quality on the relationship between natural resource endowment and economic </w:t>
      </w:r>
      <w:r w:rsidR="008A7412" w:rsidRPr="00C16D1E">
        <w:rPr>
          <w:rFonts w:ascii="Times New Roman" w:eastAsia="Calibri" w:hAnsi="Times New Roman" w:cs="Times New Roman"/>
          <w:sz w:val="20"/>
          <w:szCs w:val="20"/>
        </w:rPr>
        <w:t>outcomes</w:t>
      </w:r>
      <w:r w:rsidRPr="00C16D1E">
        <w:rPr>
          <w:rFonts w:ascii="Times New Roman" w:eastAsia="Calibri" w:hAnsi="Times New Roman" w:cs="Times New Roman"/>
          <w:sz w:val="20"/>
          <w:szCs w:val="20"/>
        </w:rPr>
        <w:t xml:space="preserve"> in the Nigerian context remains under-researched. Most studies employ either cross-country analysis or fail to incorporate Nigeria's unique conditions, including ethnic diversity, political instability, and economic policies. Therefore, this identified research gap provides robust opportunities for this study to inquire, paving the way for practical policy recommendations and ensuring that Nigeria's wealth in natural resources is translated into sustainable economic development</w:t>
      </w:r>
      <w:r w:rsidR="00FD129C" w:rsidRPr="00C16D1E">
        <w:rPr>
          <w:rFonts w:ascii="Times New Roman" w:eastAsia="Calibri" w:hAnsi="Times New Roman" w:cs="Times New Roman"/>
          <w:sz w:val="20"/>
          <w:szCs w:val="20"/>
        </w:rPr>
        <w:t xml:space="preserve"> through governance reforms</w:t>
      </w:r>
      <w:r w:rsidRPr="00C16D1E">
        <w:rPr>
          <w:rFonts w:ascii="Times New Roman" w:eastAsia="Calibri" w:hAnsi="Times New Roman" w:cs="Times New Roman"/>
          <w:sz w:val="20"/>
          <w:szCs w:val="20"/>
        </w:rPr>
        <w:t xml:space="preserve">. </w:t>
      </w:r>
    </w:p>
    <w:p w14:paraId="5CEB643A" w14:textId="2B353073" w:rsidR="001B5D70" w:rsidRPr="00C16D1E" w:rsidRDefault="00B1768B"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bCs/>
          <w:sz w:val="20"/>
          <w:szCs w:val="20"/>
        </w:rPr>
        <w:t>3.</w:t>
      </w:r>
      <w:r w:rsidR="001B5D70" w:rsidRPr="00C16D1E">
        <w:rPr>
          <w:rFonts w:ascii="Times New Roman" w:eastAsia="Times New Roman" w:hAnsi="Times New Roman" w:cs="Times New Roman"/>
          <w:b/>
          <w:bCs/>
          <w:sz w:val="20"/>
          <w:szCs w:val="20"/>
        </w:rPr>
        <w:t xml:space="preserve"> Theoretical Framework and Methodology</w:t>
      </w:r>
    </w:p>
    <w:p w14:paraId="4D70E8F3" w14:textId="77777777" w:rsidR="001B5D70" w:rsidRPr="00C16D1E" w:rsidRDefault="001B5D70" w:rsidP="00524050">
      <w:pPr>
        <w:shd w:val="clear" w:color="auto" w:fill="FFFFFF"/>
        <w:spacing w:after="200"/>
        <w:jc w:val="both"/>
        <w:rPr>
          <w:rFonts w:ascii="Times New Roman" w:eastAsia="Times New Roman" w:hAnsi="Times New Roman" w:cs="Times New Roman"/>
          <w:spacing w:val="1"/>
          <w:sz w:val="20"/>
          <w:szCs w:val="20"/>
        </w:rPr>
      </w:pPr>
      <w:r w:rsidRPr="00C16D1E">
        <w:rPr>
          <w:rFonts w:ascii="Times New Roman" w:eastAsia="Times New Roman" w:hAnsi="Times New Roman" w:cs="Times New Roman"/>
          <w:sz w:val="20"/>
          <w:szCs w:val="20"/>
          <w:lang w:val="en-GB"/>
        </w:rPr>
        <w:t xml:space="preserve">The study is anchored on the new structural economic theory propounded by Justin Yifu Lin in 2011. It </w:t>
      </w:r>
      <w:r w:rsidRPr="00C16D1E">
        <w:rPr>
          <w:rFonts w:ascii="Times New Roman" w:eastAsia="Times New Roman" w:hAnsi="Times New Roman" w:cs="Times New Roman"/>
          <w:sz w:val="20"/>
          <w:szCs w:val="20"/>
        </w:rPr>
        <w:t xml:space="preserve">provides a solid foundation by focusing on the structure of economic systems, including industries, institutions, resource endowments, and technological progress, to address the dynamic interactions and offer a path for economic diversification in Nigeria. </w:t>
      </w:r>
      <w:r w:rsidRPr="00C16D1E">
        <w:rPr>
          <w:rFonts w:ascii="Times New Roman" w:eastAsia="Times New Roman" w:hAnsi="Times New Roman" w:cs="Times New Roman"/>
          <w:spacing w:val="1"/>
          <w:sz w:val="20"/>
          <w:szCs w:val="20"/>
        </w:rPr>
        <w:t xml:space="preserve">Ju </w:t>
      </w:r>
      <w:r w:rsidRPr="00C16D1E">
        <w:rPr>
          <w:rFonts w:ascii="Times New Roman" w:eastAsia="Times New Roman" w:hAnsi="Times New Roman" w:cs="Times New Roman"/>
          <w:i/>
          <w:iCs/>
          <w:spacing w:val="1"/>
          <w:sz w:val="20"/>
          <w:szCs w:val="20"/>
        </w:rPr>
        <w:t>et al</w:t>
      </w:r>
      <w:r w:rsidRPr="00C16D1E">
        <w:rPr>
          <w:rFonts w:ascii="Times New Roman" w:eastAsia="Times New Roman" w:hAnsi="Times New Roman" w:cs="Times New Roman"/>
          <w:spacing w:val="1"/>
          <w:sz w:val="20"/>
          <w:szCs w:val="20"/>
        </w:rPr>
        <w:t>. (2015) suggest that economic growth involves transitioning from lower to higher productivity, and accelerating capital accumulation is achieved through comparative advantages and strong institutional frameworks.</w:t>
      </w:r>
    </w:p>
    <w:p w14:paraId="7FA590FC" w14:textId="77777777" w:rsidR="001B5D70" w:rsidRPr="00C16D1E" w:rsidRDefault="001B5D70" w:rsidP="00524050">
      <w:pPr>
        <w:autoSpaceDE w:val="0"/>
        <w:autoSpaceDN w:val="0"/>
        <w:adjustRightInd w:val="0"/>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Furthermore, a study by Haussmann and Rodrik (2003) supports the relevance of structural transformation in developing economies, advocating that countries that effectively identify and exploit their unique structural characteristics can fast-track their growth trajectories.</w:t>
      </w:r>
    </w:p>
    <w:p w14:paraId="0DB8042B" w14:textId="77777777" w:rsidR="001B5D70" w:rsidRPr="00C16D1E" w:rsidRDefault="001B5D70" w:rsidP="00524050">
      <w:pPr>
        <w:autoSpaceDE w:val="0"/>
        <w:autoSpaceDN w:val="0"/>
        <w:adjustRightInd w:val="0"/>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pacing w:val="1"/>
          <w:sz w:val="20"/>
          <w:szCs w:val="20"/>
        </w:rPr>
        <w:t xml:space="preserve"> T</w:t>
      </w:r>
      <w:r w:rsidRPr="00C16D1E">
        <w:rPr>
          <w:rFonts w:ascii="Times New Roman" w:eastAsia="Times New Roman" w:hAnsi="Times New Roman" w:cs="Times New Roman"/>
          <w:sz w:val="20"/>
          <w:szCs w:val="20"/>
        </w:rPr>
        <w:t>his study adopts a fundamental Cobb-Douglas production function, which relates inputs to output with particular attention paid to technological progress and structural changes as outlined below:</w:t>
      </w:r>
    </w:p>
    <w:p w14:paraId="67849965" w14:textId="03E5C15D" w:rsidR="001B5D70" w:rsidRPr="00C16D1E" w:rsidRDefault="001B5D70" w:rsidP="00524050">
      <w:pPr>
        <w:spacing w:after="200"/>
        <w:jc w:val="both"/>
        <w:rPr>
          <w:rFonts w:ascii="Times New Roman" w:eastAsiaTheme="minorEastAsia" w:hAnsi="Times New Roman" w:cs="Times New Roman"/>
          <w:sz w:val="20"/>
          <w:szCs w:val="20"/>
        </w:rPr>
      </w:pPr>
      <m:oMath>
        <m:r>
          <w:rPr>
            <w:rFonts w:ascii="Cambria Math" w:hAnsi="Cambria Math" w:cs="Times New Roman"/>
            <w:sz w:val="20"/>
            <w:szCs w:val="20"/>
          </w:rPr>
          <m:t>Y=</m:t>
        </m:r>
        <m:r>
          <m:rPr>
            <m:sty m:val="p"/>
          </m:rPr>
          <w:rPr>
            <w:rFonts w:ascii="Cambria Math" w:hAnsi="Cambria Math" w:cs="Times New Roman"/>
            <w:sz w:val="20"/>
            <w:szCs w:val="20"/>
          </w:rPr>
          <m:t>A.F(K.L)</m:t>
        </m:r>
      </m:oMath>
      <w:r w:rsidRPr="00C16D1E">
        <w:rPr>
          <w:rFonts w:ascii="Times New Roman" w:eastAsiaTheme="minorEastAsia" w:hAnsi="Times New Roman" w:cs="Times New Roman"/>
          <w:sz w:val="20"/>
          <w:szCs w:val="20"/>
        </w:rPr>
        <w:t xml:space="preserve">                                                                      </w:t>
      </w:r>
      <w:r w:rsidR="00B04554">
        <w:rPr>
          <w:rFonts w:ascii="Times New Roman" w:eastAsiaTheme="minorEastAsia" w:hAnsi="Times New Roman" w:cs="Times New Roman"/>
          <w:sz w:val="20"/>
          <w:szCs w:val="20"/>
        </w:rPr>
        <w:t xml:space="preserve">                              (3</w:t>
      </w:r>
      <w:r w:rsidRPr="00C16D1E">
        <w:rPr>
          <w:rFonts w:ascii="Times New Roman" w:eastAsiaTheme="minorEastAsia" w:hAnsi="Times New Roman" w:cs="Times New Roman"/>
          <w:sz w:val="20"/>
          <w:szCs w:val="20"/>
        </w:rPr>
        <w:t>.1)</w:t>
      </w:r>
    </w:p>
    <w:p w14:paraId="64FDA53C" w14:textId="77777777" w:rsidR="001B5D70" w:rsidRPr="00C16D1E" w:rsidRDefault="001B5D70"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Where Y is output, K is the capital stock, L is labour, and A represents the level of technology or total factor productivity. </w:t>
      </w:r>
    </w:p>
    <w:p w14:paraId="71B8DE10" w14:textId="062C5DE9" w:rsidR="001B5D70" w:rsidRPr="00C16D1E" w:rsidRDefault="00913C58" w:rsidP="00524050">
      <w:pPr>
        <w:spacing w:after="200"/>
        <w:jc w:val="both"/>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rPr>
          <m:t>=f(</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(t)</m:t>
            </m:r>
          </m:sub>
        </m:sSub>
        <m:r>
          <w:rPr>
            <w:rFonts w:ascii="Cambria Math" w:hAnsi="Cambria Math" w:cs="Times New Roman"/>
            <w:sz w:val="20"/>
            <w:szCs w:val="20"/>
          </w:rPr>
          <m:t>)</m:t>
        </m:r>
      </m:oMath>
      <w:r w:rsidR="001B5D70" w:rsidRPr="00C16D1E">
        <w:rPr>
          <w:rFonts w:ascii="Times New Roman" w:eastAsia="Times New Roman" w:hAnsi="Times New Roman" w:cs="Times New Roman"/>
          <w:sz w:val="20"/>
          <w:szCs w:val="20"/>
        </w:rPr>
        <w:t xml:space="preserve">                                                      </w:t>
      </w:r>
      <w:r w:rsidR="00B04554">
        <w:rPr>
          <w:rFonts w:ascii="Times New Roman" w:eastAsia="Times New Roman" w:hAnsi="Times New Roman" w:cs="Times New Roman"/>
          <w:sz w:val="20"/>
          <w:szCs w:val="20"/>
        </w:rPr>
        <w:t xml:space="preserve">                              (3</w:t>
      </w:r>
      <w:r w:rsidR="001B5D70" w:rsidRPr="00C16D1E">
        <w:rPr>
          <w:rFonts w:ascii="Times New Roman" w:eastAsia="Times New Roman" w:hAnsi="Times New Roman" w:cs="Times New Roman"/>
          <w:sz w:val="20"/>
          <w:szCs w:val="20"/>
        </w:rPr>
        <w:t>.2)</w:t>
      </w:r>
    </w:p>
    <w:p w14:paraId="5C2C01E6" w14:textId="77777777" w:rsidR="001B5D70" w:rsidRPr="00C16D1E" w:rsidRDefault="001B5D70" w:rsidP="00524050">
      <w:pPr>
        <w:spacing w:after="200"/>
        <w:jc w:val="both"/>
        <w:rPr>
          <w:rFonts w:ascii="Times New Roman" w:hAnsi="Times New Roman" w:cs="Times New Roman"/>
          <w:sz w:val="20"/>
          <w:szCs w:val="20"/>
        </w:rPr>
      </w:pPr>
      <w:r w:rsidRPr="00C16D1E">
        <w:rPr>
          <w:rFonts w:ascii="Times New Roman" w:hAnsi="Times New Roman" w:cs="Times New Roman"/>
          <w:sz w:val="20"/>
          <w:szCs w:val="20"/>
        </w:rPr>
        <w:t xml:space="preserve">Economic growth is driven by a combination of physical capital and augmented labour through technological advancements over time. </w:t>
      </w:r>
    </w:p>
    <w:p w14:paraId="1F51B896" w14:textId="2014151B" w:rsidR="001B5D70" w:rsidRPr="00C16D1E" w:rsidRDefault="00913C58" w:rsidP="00524050">
      <w:pPr>
        <w:spacing w:after="200"/>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Y</m:t>
            </m:r>
          </m:e>
          <m:sub>
            <m:r>
              <w:rPr>
                <w:rFonts w:ascii="Cambria Math" w:eastAsia="Times New Roman" w:hAnsi="Cambria Math" w:cs="Times New Roman"/>
                <w:sz w:val="20"/>
                <w:szCs w:val="20"/>
              </w:rPr>
              <m:t>(t)</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sub>
        </m:sSub>
        <m:r>
          <w:rPr>
            <w:rFonts w:ascii="Cambria Math" w:eastAsia="Times New Roman" w:hAnsi="Cambria Math" w:cs="Times New Roman"/>
            <w:sz w:val="20"/>
            <w:szCs w:val="20"/>
          </w:rPr>
          <m:t>.f(</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K</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r>
              <w:rPr>
                <w:rFonts w:ascii="Cambria Math" w:eastAsia="Times New Roman" w:hAnsi="Cambria Math" w:cs="Times New Roman"/>
                <w:sz w:val="20"/>
                <w:szCs w:val="20"/>
              </w:rPr>
              <m:t xml:space="preserve">,  </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sub>
        </m:sSub>
        <m:r>
          <w:rPr>
            <w:rFonts w:ascii="Cambria Math" w:eastAsia="Times New Roman" w:hAnsi="Cambria Math" w:cs="Times New Roman"/>
            <w:sz w:val="20"/>
            <w:szCs w:val="20"/>
          </w:rPr>
          <m:t>)</m:t>
        </m:r>
      </m:oMath>
      <w:r w:rsidR="001B5D70" w:rsidRPr="00C16D1E">
        <w:rPr>
          <w:rFonts w:ascii="Times New Roman" w:eastAsia="Times New Roman" w:hAnsi="Times New Roman" w:cs="Times New Roman"/>
          <w:sz w:val="20"/>
          <w:szCs w:val="20"/>
        </w:rPr>
        <w:t xml:space="preserve">                                                        </w:t>
      </w:r>
      <w:r w:rsidR="00B04554">
        <w:rPr>
          <w:rFonts w:ascii="Times New Roman" w:eastAsia="Times New Roman" w:hAnsi="Times New Roman" w:cs="Times New Roman"/>
          <w:sz w:val="20"/>
          <w:szCs w:val="20"/>
        </w:rPr>
        <w:t xml:space="preserve">                              (3</w:t>
      </w:r>
      <w:r w:rsidR="001B5D70" w:rsidRPr="00C16D1E">
        <w:rPr>
          <w:rFonts w:ascii="Times New Roman" w:eastAsia="Times New Roman" w:hAnsi="Times New Roman" w:cs="Times New Roman"/>
          <w:sz w:val="20"/>
          <w:szCs w:val="20"/>
        </w:rPr>
        <w:t>.3)</w:t>
      </w:r>
    </w:p>
    <w:p w14:paraId="1D2318C7" w14:textId="77777777" w:rsidR="001B5D70" w:rsidRPr="00C16D1E" w:rsidRDefault="001B5D70" w:rsidP="00524050">
      <w:pPr>
        <w:spacing w:after="20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A</w:t>
      </w:r>
      <w:r w:rsidRPr="00C16D1E">
        <w:rPr>
          <w:rFonts w:ascii="Times New Roman" w:eastAsia="Times New Roman" w:hAnsi="Times New Roman" w:cs="Times New Roman"/>
          <w:sz w:val="20"/>
          <w:szCs w:val="20"/>
          <w:vertAlign w:val="subscript"/>
        </w:rPr>
        <w:t>(t)</w:t>
      </w:r>
      <w:r w:rsidRPr="00C16D1E">
        <w:rPr>
          <w:rFonts w:ascii="Times New Roman" w:eastAsia="Times New Roman" w:hAnsi="Times New Roman" w:cs="Times New Roman"/>
          <w:sz w:val="20"/>
          <w:szCs w:val="20"/>
        </w:rPr>
        <w:t xml:space="preserve"> evolves according to technological change.</w:t>
      </w:r>
    </w:p>
    <w:p w14:paraId="667A4C4E" w14:textId="538CF76D" w:rsidR="001B5D70" w:rsidRPr="00C16D1E" w:rsidRDefault="00913C58" w:rsidP="00524050">
      <w:pPr>
        <w:spacing w:after="200"/>
        <w:jc w:val="both"/>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δ</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 xml:space="preserve">= </m:t>
        </m:r>
        <m:d>
          <m:dPr>
            <m:ctrlPr>
              <w:rPr>
                <w:rFonts w:ascii="Cambria Math" w:hAnsi="Cambria Math" w:cs="Times New Roman"/>
                <w:i/>
                <w:sz w:val="20"/>
                <w:szCs w:val="20"/>
              </w:rPr>
            </m:ctrlPr>
          </m:dPr>
          <m:e>
            <m:r>
              <w:rPr>
                <w:rFonts w:ascii="Cambria Math" w:hAnsi="Cambria Math" w:cs="Times New Roman"/>
                <w:sz w:val="20"/>
                <w:szCs w:val="20"/>
              </w:rPr>
              <m:t>∅.β</m:t>
            </m:r>
          </m:e>
        </m:d>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oMath>
      <w:r w:rsidR="001B5D70" w:rsidRPr="00C16D1E">
        <w:rPr>
          <w:rFonts w:ascii="Times New Roman" w:eastAsiaTheme="minorEastAsia" w:hAnsi="Times New Roman" w:cs="Times New Roman"/>
          <w:sz w:val="20"/>
          <w:szCs w:val="20"/>
        </w:rPr>
        <w:t xml:space="preserve">                                                                                                (</w:t>
      </w:r>
      <w:r w:rsidR="00B04554">
        <w:rPr>
          <w:rFonts w:ascii="Times New Roman" w:eastAsiaTheme="minorEastAsia" w:hAnsi="Times New Roman" w:cs="Times New Roman"/>
          <w:sz w:val="20"/>
          <w:szCs w:val="20"/>
        </w:rPr>
        <w:t>3</w:t>
      </w:r>
      <w:r w:rsidR="001B5D70" w:rsidRPr="00C16D1E">
        <w:rPr>
          <w:rFonts w:ascii="Times New Roman" w:eastAsiaTheme="minorEastAsia" w:hAnsi="Times New Roman" w:cs="Times New Roman"/>
          <w:sz w:val="20"/>
          <w:szCs w:val="20"/>
        </w:rPr>
        <w:t>.4)</w:t>
      </w:r>
    </w:p>
    <w:p w14:paraId="7CCE2725"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 xml:space="preserve">Where </w:t>
      </w:r>
      <w:r w:rsidRPr="00C16D1E">
        <w:rPr>
          <w:rFonts w:ascii="Cambria Math" w:eastAsiaTheme="minorEastAsia" w:hAnsi="Cambria Math" w:cs="Cambria Math"/>
          <w:sz w:val="20"/>
          <w:szCs w:val="20"/>
        </w:rPr>
        <w:t>∅</w:t>
      </w:r>
      <w:r w:rsidRPr="00C16D1E">
        <w:rPr>
          <w:rFonts w:ascii="Times New Roman" w:eastAsiaTheme="minorEastAsia" w:hAnsi="Times New Roman" w:cs="Times New Roman"/>
          <w:sz w:val="20"/>
          <w:szCs w:val="20"/>
        </w:rPr>
        <w:t xml:space="preserve"> and β are the parameters denoting technological growth dynamics.</w:t>
      </w:r>
    </w:p>
    <w:p w14:paraId="0BC0BC57" w14:textId="77777777" w:rsidR="001B5D70" w:rsidRPr="00C16D1E" w:rsidRDefault="001B5D70" w:rsidP="00524050">
      <w:pPr>
        <w:spacing w:after="200"/>
        <w:jc w:val="both"/>
        <w:rPr>
          <w:rFonts w:ascii="Times New Roman" w:eastAsiaTheme="minorEastAsia" w:hAnsi="Times New Roman" w:cs="Times New Roman"/>
          <w:sz w:val="20"/>
          <w:szCs w:val="20"/>
        </w:rPr>
      </w:pPr>
    </w:p>
    <w:p w14:paraId="7C061FDB" w14:textId="3383FA93" w:rsidR="001B5D70" w:rsidRPr="00C16D1E" w:rsidRDefault="00913C58" w:rsidP="00524050">
      <w:pPr>
        <w:spacing w:after="200"/>
        <w:jc w:val="both"/>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δk</m:t>
            </m:r>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001B5D70" w:rsidRPr="00C16D1E">
        <w:rPr>
          <w:rFonts w:ascii="Times New Roman" w:eastAsiaTheme="minorEastAsia" w:hAnsi="Times New Roman" w:cs="Times New Roman"/>
          <w:sz w:val="20"/>
          <w:szCs w:val="20"/>
        </w:rPr>
        <w:t xml:space="preserve">                                                                 </w:t>
      </w:r>
      <w:r w:rsidR="00B04554">
        <w:rPr>
          <w:rFonts w:ascii="Times New Roman" w:eastAsiaTheme="minorEastAsia" w:hAnsi="Times New Roman" w:cs="Times New Roman"/>
          <w:sz w:val="20"/>
          <w:szCs w:val="20"/>
        </w:rPr>
        <w:t xml:space="preserve">                              (3</w:t>
      </w:r>
      <w:r w:rsidR="001B5D70" w:rsidRPr="00C16D1E">
        <w:rPr>
          <w:rFonts w:ascii="Times New Roman" w:eastAsiaTheme="minorEastAsia" w:hAnsi="Times New Roman" w:cs="Times New Roman"/>
          <w:sz w:val="20"/>
          <w:szCs w:val="20"/>
        </w:rPr>
        <w:t>.5)</w:t>
      </w:r>
    </w:p>
    <w:p w14:paraId="120114FD"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Where: I</w:t>
      </w:r>
      <w:r w:rsidRPr="00C16D1E">
        <w:rPr>
          <w:rFonts w:ascii="Times New Roman" w:eastAsiaTheme="minorEastAsia" w:hAnsi="Times New Roman" w:cs="Times New Roman"/>
          <w:sz w:val="20"/>
          <w:szCs w:val="20"/>
          <w:vertAlign w:val="subscript"/>
        </w:rPr>
        <w:t>(t)</w:t>
      </w:r>
      <w:r w:rsidRPr="00C16D1E">
        <w:rPr>
          <w:rFonts w:ascii="Times New Roman" w:eastAsiaTheme="minorEastAsia" w:hAnsi="Times New Roman" w:cs="Times New Roman"/>
          <w:sz w:val="20"/>
          <w:szCs w:val="20"/>
        </w:rPr>
        <w:t xml:space="preserve"> = investment at time t</w:t>
      </w:r>
    </w:p>
    <w:p w14:paraId="4E8EEE46" w14:textId="77777777" w:rsidR="001B5D70" w:rsidRPr="00C16D1E" w:rsidRDefault="001B5D70" w:rsidP="00524050">
      <w:pPr>
        <w:spacing w:after="200"/>
        <w:jc w:val="both"/>
        <w:rPr>
          <w:rFonts w:ascii="Times New Roman" w:eastAsiaTheme="minorEastAsia" w:hAnsi="Times New Roman" w:cs="Times New Roman"/>
          <w:sz w:val="20"/>
          <w:szCs w:val="20"/>
        </w:rPr>
      </w:pPr>
      <w:r w:rsidRPr="00C16D1E">
        <w:rPr>
          <w:rFonts w:ascii="Times New Roman" w:eastAsiaTheme="minorEastAsia" w:hAnsi="Times New Roman" w:cs="Times New Roman"/>
          <w:sz w:val="20"/>
          <w:szCs w:val="20"/>
        </w:rPr>
        <w:t xml:space="preserve">               </w:t>
      </w:r>
      <m:oMath>
        <m:r>
          <w:rPr>
            <w:rFonts w:ascii="Cambria Math" w:hAnsi="Cambria Math" w:cs="Times New Roman"/>
            <w:sz w:val="20"/>
            <w:szCs w:val="20"/>
          </w:rPr>
          <m:t>δ</m:t>
        </m:r>
      </m:oMath>
      <w:r w:rsidRPr="00C16D1E">
        <w:rPr>
          <w:rFonts w:ascii="Times New Roman" w:eastAsiaTheme="minorEastAsia" w:hAnsi="Times New Roman" w:cs="Times New Roman"/>
          <w:sz w:val="20"/>
          <w:szCs w:val="20"/>
        </w:rPr>
        <w:t xml:space="preserve"> = depreciation rate           </w:t>
      </w:r>
    </w:p>
    <w:p w14:paraId="5C57CE64" w14:textId="77777777" w:rsidR="001B5D70" w:rsidRPr="00C16D1E" w:rsidRDefault="001B5D70" w:rsidP="00524050">
      <w:pPr>
        <w:spacing w:after="20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 xml:space="preserve">Economic growth can be achieved through investment, which depends on expected profitability, policies, and structural infrastructure. </w:t>
      </w:r>
      <w:r w:rsidRPr="00C16D1E">
        <w:rPr>
          <w:rFonts w:ascii="Times New Roman" w:eastAsia="Times New Roman" w:hAnsi="Times New Roman" w:cs="Times New Roman"/>
          <w:sz w:val="20"/>
          <w:szCs w:val="20"/>
          <w:lang w:val="en-GB"/>
        </w:rPr>
        <w:t>Investment fuels capital accumulation, expanding a nation's stock of capital goods such as infrastructure, technology, and machinery. Barro and Sala-i-Martín (2004) submit that long-term investments boost economic development, productivity, and lower prices.</w:t>
      </w:r>
    </w:p>
    <w:p w14:paraId="2F95BFCD" w14:textId="77777777" w:rsidR="001B5D70" w:rsidRPr="00C16D1E" w:rsidRDefault="001B5D70" w:rsidP="00524050">
      <w:pPr>
        <w:spacing w:after="200"/>
        <w:jc w:val="both"/>
        <w:rPr>
          <w:rFonts w:ascii="Times New Roman" w:eastAsia="Times New Roman" w:hAnsi="Times New Roman" w:cs="Times New Roman"/>
          <w:sz w:val="20"/>
          <w:szCs w:val="20"/>
          <w:lang w:val="en-GB"/>
        </w:rPr>
      </w:pPr>
      <w:r w:rsidRPr="00C16D1E">
        <w:rPr>
          <w:rFonts w:ascii="Times New Roman" w:hAnsi="Times New Roman" w:cs="Times New Roman"/>
          <w:sz w:val="20"/>
          <w:szCs w:val="20"/>
        </w:rPr>
        <w:t xml:space="preserve">The equation </w:t>
      </w:r>
      <m:oMath>
        <m:f>
          <m:fPr>
            <m:ctrlPr>
              <w:rPr>
                <w:rFonts w:ascii="Cambria Math" w:hAnsi="Cambria Math" w:cs="Times New Roman"/>
                <w:i/>
                <w:sz w:val="20"/>
                <w:szCs w:val="20"/>
              </w:rPr>
            </m:ctrlPr>
          </m:fPr>
          <m:num>
            <m:r>
              <w:rPr>
                <w:rFonts w:ascii="Cambria Math" w:hAnsi="Cambria Math" w:cs="Times New Roman"/>
                <w:sz w:val="20"/>
                <w:szCs w:val="20"/>
              </w:rPr>
              <m:t>δ</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δ</m:t>
                </m:r>
              </m:e>
              <m:sub>
                <m:r>
                  <w:rPr>
                    <w:rFonts w:ascii="Cambria Math" w:hAnsi="Cambria Math" w:cs="Times New Roman"/>
                    <w:sz w:val="20"/>
                    <w:szCs w:val="20"/>
                  </w:rPr>
                  <m:t>(t)</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represents the change in capital stock over time, influenced by investment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and depreciation </w:t>
      </w:r>
      <m:oMath>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Institutional quality, such as property rights, governance, and legal systems, affects </w:t>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by influencing investment efficiency and allocation. Strong institutions with improved reforms attract both domestic and foreign investment and boost capital accumulation (World Bank, 2020). Natural resource endowments, such as oil reserves, directly impact </w:t>
      </w:r>
      <m:oMath>
        <m:sSub>
          <m:sSubPr>
            <m:ctrlPr>
              <w:rPr>
                <w:rFonts w:ascii="Cambria Math" w:hAnsi="Cambria Math" w:cs="Times New Roman"/>
                <w:i/>
                <w:sz w:val="20"/>
                <w:szCs w:val="20"/>
              </w:rPr>
            </m:ctrlPr>
          </m:sSubPr>
          <m:e>
            <m:r>
              <w:rPr>
                <w:rFonts w:ascii="Cambria Math" w:hAnsi="Cambria Math" w:cs="Times New Roman"/>
                <w:sz w:val="20"/>
                <w:szCs w:val="20"/>
              </w:rPr>
              <m:t>δK</m:t>
            </m:r>
          </m:e>
          <m:sub>
            <m:r>
              <w:rPr>
                <w:rFonts w:ascii="Cambria Math" w:hAnsi="Cambria Math" w:cs="Times New Roman"/>
                <w:sz w:val="20"/>
                <w:szCs w:val="20"/>
              </w:rPr>
              <m:t>(t)</m:t>
            </m:r>
          </m:sub>
        </m:sSub>
      </m:oMath>
      <w:r w:rsidRPr="00C16D1E">
        <w:rPr>
          <w:rFonts w:ascii="Times New Roman" w:hAnsi="Times New Roman" w:cs="Times New Roman"/>
          <w:sz w:val="20"/>
          <w:szCs w:val="20"/>
        </w:rPr>
        <w:t xml:space="preserve"> by providing substantial resource rents, which can either promote growth or lead to a resource curse (Sachs &amp; Warner, 1995). Hence, achieving sustainable economic growth goes beyond the accumulation of capital stock; institutional factors creating an enabling environment for effective management of resource endowments are also crucial.</w:t>
      </w:r>
    </w:p>
    <w:p w14:paraId="07FE68FC" w14:textId="5963BCAD" w:rsidR="00D000B5" w:rsidRPr="00C16D1E" w:rsidRDefault="00D000B5" w:rsidP="00524050">
      <w:pPr>
        <w:shd w:val="clear" w:color="auto" w:fill="FFFFFF"/>
        <w:spacing w:after="200"/>
        <w:jc w:val="both"/>
        <w:rPr>
          <w:sz w:val="20"/>
          <w:szCs w:val="20"/>
        </w:rPr>
      </w:pPr>
      <w:r w:rsidRPr="00C16D1E">
        <w:rPr>
          <w:rFonts w:ascii="Times New Roman" w:eastAsia="Times New Roman" w:hAnsi="Times New Roman" w:cs="Times New Roman"/>
          <w:sz w:val="20"/>
          <w:szCs w:val="20"/>
        </w:rPr>
        <w:t xml:space="preserve">Furthermore, a study by Haussmann and Rodrik (2003) </w:t>
      </w:r>
      <w:r w:rsidR="00CE7787" w:rsidRPr="00C16D1E">
        <w:rPr>
          <w:rFonts w:ascii="Times New Roman" w:eastAsia="Times New Roman" w:hAnsi="Times New Roman" w:cs="Times New Roman"/>
          <w:sz w:val="20"/>
          <w:szCs w:val="20"/>
        </w:rPr>
        <w:t>underscores the relevance of structural transformation in developing economies, arguing that countries that effectively identify and exploit their unique structural characteristics can fast-track their growth</w:t>
      </w:r>
      <w:r w:rsidRPr="00C16D1E">
        <w:rPr>
          <w:rFonts w:ascii="Times New Roman" w:eastAsia="Times New Roman" w:hAnsi="Times New Roman" w:cs="Times New Roman"/>
          <w:sz w:val="20"/>
          <w:szCs w:val="20"/>
        </w:rPr>
        <w:t>.</w:t>
      </w:r>
      <w:r w:rsidRPr="00C16D1E">
        <w:rPr>
          <w:rFonts w:ascii="Times New Roman" w:eastAsia="Times New Roman" w:hAnsi="Times New Roman" w:cs="Times New Roman"/>
          <w:spacing w:val="1"/>
          <w:sz w:val="20"/>
          <w:szCs w:val="20"/>
        </w:rPr>
        <w:t xml:space="preserve"> </w:t>
      </w:r>
      <w:r w:rsidRPr="00C16D1E">
        <w:rPr>
          <w:rFonts w:ascii="Times New Roman" w:eastAsia="Times New Roman" w:hAnsi="Times New Roman" w:cs="Times New Roman"/>
          <w:sz w:val="20"/>
          <w:szCs w:val="20"/>
        </w:rPr>
        <w:t xml:space="preserve">Economic growth can be achieved through investment, </w:t>
      </w:r>
      <w:r w:rsidR="00ED6B27" w:rsidRPr="00C16D1E">
        <w:rPr>
          <w:rFonts w:ascii="Times New Roman" w:eastAsia="Times New Roman" w:hAnsi="Times New Roman" w:cs="Times New Roman"/>
          <w:sz w:val="20"/>
          <w:szCs w:val="20"/>
        </w:rPr>
        <w:t>which</w:t>
      </w:r>
      <w:r w:rsidRPr="00C16D1E">
        <w:rPr>
          <w:rFonts w:ascii="Times New Roman" w:eastAsia="Times New Roman" w:hAnsi="Times New Roman" w:cs="Times New Roman"/>
          <w:sz w:val="20"/>
          <w:szCs w:val="20"/>
        </w:rPr>
        <w:t xml:space="preserve"> depends on expected profitability, policies, and structural infrastructure. </w:t>
      </w:r>
      <w:r w:rsidRPr="00C16D1E">
        <w:rPr>
          <w:rFonts w:ascii="Times New Roman" w:eastAsia="Times New Roman" w:hAnsi="Times New Roman" w:cs="Times New Roman"/>
          <w:sz w:val="20"/>
          <w:szCs w:val="20"/>
          <w:lang w:val="en-GB"/>
        </w:rPr>
        <w:t xml:space="preserve">Investment fuels capital accumulation, expanding a nation's stock of capital goods such as infrastructure, technology, and machinery. Barro and </w:t>
      </w:r>
      <w:r w:rsidR="00CE7787" w:rsidRPr="00C16D1E">
        <w:rPr>
          <w:rFonts w:ascii="Times New Roman" w:eastAsia="Times New Roman" w:hAnsi="Times New Roman" w:cs="Times New Roman"/>
          <w:sz w:val="20"/>
          <w:szCs w:val="20"/>
          <w:lang w:val="en-GB"/>
        </w:rPr>
        <w:t>Sala-i-Martin (2004) argue that long-term investments boost economic development and productivity</w:t>
      </w:r>
      <w:r w:rsidRPr="00C16D1E">
        <w:rPr>
          <w:rFonts w:ascii="Times New Roman" w:eastAsia="Times New Roman" w:hAnsi="Times New Roman" w:cs="Times New Roman"/>
          <w:sz w:val="20"/>
          <w:szCs w:val="20"/>
          <w:lang w:val="en-GB"/>
        </w:rPr>
        <w:t xml:space="preserve"> and lower prices.</w:t>
      </w:r>
      <w:r w:rsidRPr="00C16D1E">
        <w:rPr>
          <w:sz w:val="20"/>
          <w:szCs w:val="20"/>
        </w:rPr>
        <w:t xml:space="preserve">                          </w:t>
      </w:r>
    </w:p>
    <w:p w14:paraId="29025878" w14:textId="0594836F" w:rsidR="00D000B5" w:rsidRPr="00C16D1E" w:rsidRDefault="00D000B5"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ab/>
        <w:t xml:space="preserve">Model Specification </w:t>
      </w:r>
    </w:p>
    <w:p w14:paraId="3BA260C1" w14:textId="7B973808" w:rsidR="00AE4FF8" w:rsidRPr="00C16D1E" w:rsidRDefault="00AE4FF8" w:rsidP="00524050">
      <w:pPr>
        <w:spacing w:after="200"/>
        <w:jc w:val="both"/>
        <w:rPr>
          <w:rFonts w:ascii="Times New Roman" w:eastAsia="Times New Roman" w:hAnsi="Times New Roman" w:cs="Times New Roman"/>
          <w:sz w:val="20"/>
          <w:szCs w:val="20"/>
        </w:rPr>
      </w:pPr>
      <w:bookmarkStart w:id="2" w:name="_Hlk219308563"/>
      <w:r w:rsidRPr="00C16D1E">
        <w:rPr>
          <w:rFonts w:ascii="Times New Roman" w:eastAsia="Times New Roman" w:hAnsi="Times New Roman" w:cs="Times New Roman"/>
          <w:sz w:val="20"/>
          <w:szCs w:val="20"/>
        </w:rPr>
        <w:t xml:space="preserve">Following the new structural economic theory and in line with the studies of </w:t>
      </w:r>
      <w:r w:rsidRPr="00C16D1E">
        <w:rPr>
          <w:rFonts w:ascii="Times New Roman" w:hAnsi="Times New Roman" w:cs="Times New Roman"/>
          <w:sz w:val="20"/>
          <w:szCs w:val="20"/>
        </w:rPr>
        <w:t>Grabowski and Self (2021)</w:t>
      </w:r>
      <w:r w:rsidRPr="00C16D1E">
        <w:rPr>
          <w:rFonts w:ascii="Times New Roman" w:eastAsia="Times New Roman" w:hAnsi="Times New Roman" w:cs="Times New Roman"/>
          <w:sz w:val="20"/>
          <w:szCs w:val="20"/>
        </w:rPr>
        <w:t xml:space="preserve"> and </w:t>
      </w:r>
      <w:r w:rsidRPr="00C16D1E">
        <w:rPr>
          <w:rFonts w:ascii="Times New Roman" w:hAnsi="Times New Roman" w:cs="Times New Roman"/>
          <w:sz w:val="20"/>
          <w:szCs w:val="20"/>
        </w:rPr>
        <w:t>Oliver</w:t>
      </w:r>
      <w:r w:rsidRPr="00C16D1E">
        <w:rPr>
          <w:rFonts w:ascii="Times New Roman" w:hAnsi="Times New Roman" w:cs="Times New Roman"/>
          <w:i/>
          <w:iCs/>
          <w:sz w:val="20"/>
          <w:szCs w:val="20"/>
        </w:rPr>
        <w:t xml:space="preserve"> et al</w:t>
      </w:r>
      <w:r w:rsidRPr="00C16D1E">
        <w:rPr>
          <w:rFonts w:ascii="Times New Roman" w:hAnsi="Times New Roman" w:cs="Times New Roman"/>
          <w:sz w:val="20"/>
          <w:szCs w:val="20"/>
        </w:rPr>
        <w:t xml:space="preserve"> (2022),</w:t>
      </w:r>
      <w:r w:rsidRPr="00C16D1E">
        <w:rPr>
          <w:rFonts w:ascii="Times New Roman" w:eastAsia="Times New Roman" w:hAnsi="Times New Roman" w:cs="Times New Roman"/>
          <w:sz w:val="20"/>
          <w:szCs w:val="20"/>
        </w:rPr>
        <w:t xml:space="preserve"> the following </w:t>
      </w:r>
      <w:r w:rsidR="00BC7CF0" w:rsidRPr="00C16D1E">
        <w:rPr>
          <w:rFonts w:ascii="Times New Roman" w:eastAsia="Times New Roman" w:hAnsi="Times New Roman" w:cs="Times New Roman"/>
          <w:sz w:val="20"/>
          <w:szCs w:val="20"/>
        </w:rPr>
        <w:t>A</w:t>
      </w:r>
      <w:r w:rsidR="007461AB" w:rsidRPr="00C16D1E">
        <w:rPr>
          <w:rFonts w:ascii="Times New Roman" w:eastAsia="Times New Roman" w:hAnsi="Times New Roman" w:cs="Times New Roman"/>
          <w:sz w:val="20"/>
          <w:szCs w:val="20"/>
        </w:rPr>
        <w:t>uto</w:t>
      </w:r>
      <w:r w:rsidR="00BC7CF0" w:rsidRPr="00C16D1E">
        <w:rPr>
          <w:rFonts w:ascii="Times New Roman" w:eastAsia="Times New Roman" w:hAnsi="Times New Roman" w:cs="Times New Roman"/>
          <w:sz w:val="20"/>
          <w:szCs w:val="20"/>
        </w:rPr>
        <w:t>R</w:t>
      </w:r>
      <w:r w:rsidR="007461AB" w:rsidRPr="00C16D1E">
        <w:rPr>
          <w:rFonts w:ascii="Times New Roman" w:eastAsia="Times New Roman" w:hAnsi="Times New Roman" w:cs="Times New Roman"/>
          <w:sz w:val="20"/>
          <w:szCs w:val="20"/>
        </w:rPr>
        <w:t xml:space="preserve">egressive </w:t>
      </w:r>
      <w:r w:rsidR="00BC7CF0" w:rsidRPr="00C16D1E">
        <w:rPr>
          <w:rFonts w:ascii="Times New Roman" w:eastAsia="Times New Roman" w:hAnsi="Times New Roman" w:cs="Times New Roman"/>
          <w:sz w:val="20"/>
          <w:szCs w:val="20"/>
        </w:rPr>
        <w:t>D</w:t>
      </w:r>
      <w:r w:rsidR="007461AB" w:rsidRPr="00C16D1E">
        <w:rPr>
          <w:rFonts w:ascii="Times New Roman" w:eastAsia="Times New Roman" w:hAnsi="Times New Roman" w:cs="Times New Roman"/>
          <w:sz w:val="20"/>
          <w:szCs w:val="20"/>
        </w:rPr>
        <w:t xml:space="preserve">istributed </w:t>
      </w:r>
      <w:r w:rsidR="00BC7CF0" w:rsidRPr="00C16D1E">
        <w:rPr>
          <w:rFonts w:ascii="Times New Roman" w:eastAsia="Times New Roman" w:hAnsi="Times New Roman" w:cs="Times New Roman"/>
          <w:sz w:val="20"/>
          <w:szCs w:val="20"/>
        </w:rPr>
        <w:t>L</w:t>
      </w:r>
      <w:r w:rsidR="007461AB" w:rsidRPr="00C16D1E">
        <w:rPr>
          <w:rFonts w:ascii="Times New Roman" w:eastAsia="Times New Roman" w:hAnsi="Times New Roman" w:cs="Times New Roman"/>
          <w:sz w:val="20"/>
          <w:szCs w:val="20"/>
        </w:rPr>
        <w:t>ag (ARDL)</w:t>
      </w:r>
      <w:r w:rsidR="002E0D37" w:rsidRPr="00C16D1E">
        <w:rPr>
          <w:rFonts w:ascii="Times New Roman" w:eastAsia="Times New Roman" w:hAnsi="Times New Roman" w:cs="Times New Roman"/>
          <w:sz w:val="20"/>
          <w:szCs w:val="20"/>
        </w:rPr>
        <w:t xml:space="preserve"> </w:t>
      </w:r>
      <w:r w:rsidR="006C4F44" w:rsidRPr="00C16D1E">
        <w:rPr>
          <w:rFonts w:ascii="Times New Roman" w:eastAsia="Times New Roman" w:hAnsi="Times New Roman" w:cs="Times New Roman"/>
          <w:sz w:val="20"/>
          <w:szCs w:val="20"/>
        </w:rPr>
        <w:t xml:space="preserve">and </w:t>
      </w:r>
      <w:r w:rsidR="002C444D" w:rsidRPr="00C16D1E">
        <w:rPr>
          <w:rFonts w:ascii="Times New Roman" w:eastAsia="Times New Roman" w:hAnsi="Times New Roman" w:cs="Times New Roman"/>
          <w:sz w:val="20"/>
          <w:szCs w:val="20"/>
          <w:lang w:val="en-GB" w:eastAsia="en-GB"/>
        </w:rPr>
        <w:t xml:space="preserve">Toda-Yamamoto </w:t>
      </w:r>
      <w:r w:rsidR="006C4F44" w:rsidRPr="00C16D1E">
        <w:rPr>
          <w:rFonts w:ascii="Times New Roman" w:eastAsia="Times New Roman" w:hAnsi="Times New Roman" w:cs="Times New Roman"/>
          <w:sz w:val="20"/>
          <w:szCs w:val="20"/>
        </w:rPr>
        <w:t xml:space="preserve">causality </w:t>
      </w:r>
      <w:r w:rsidR="00F93C12" w:rsidRPr="00C16D1E">
        <w:rPr>
          <w:rFonts w:ascii="Times New Roman" w:eastAsia="Times New Roman" w:hAnsi="Times New Roman" w:cs="Times New Roman"/>
          <w:sz w:val="20"/>
          <w:szCs w:val="20"/>
        </w:rPr>
        <w:t>test</w:t>
      </w:r>
      <w:r w:rsidR="006C4F44"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sz w:val="20"/>
          <w:szCs w:val="20"/>
        </w:rPr>
        <w:t xml:space="preserve">models for each of the objectives </w:t>
      </w:r>
      <w:r w:rsidR="002C444D" w:rsidRPr="00C16D1E">
        <w:rPr>
          <w:rFonts w:ascii="Times New Roman" w:eastAsia="Times New Roman" w:hAnsi="Times New Roman" w:cs="Times New Roman"/>
          <w:sz w:val="20"/>
          <w:szCs w:val="20"/>
        </w:rPr>
        <w:t>were</w:t>
      </w:r>
      <w:r w:rsidRPr="00C16D1E">
        <w:rPr>
          <w:rFonts w:ascii="Times New Roman" w:eastAsia="Times New Roman" w:hAnsi="Times New Roman" w:cs="Times New Roman"/>
          <w:sz w:val="20"/>
          <w:szCs w:val="20"/>
        </w:rPr>
        <w:t xml:space="preserve"> specified</w:t>
      </w:r>
      <w:r w:rsidR="00F93C12" w:rsidRPr="00C16D1E">
        <w:rPr>
          <w:rFonts w:ascii="Times New Roman" w:eastAsia="Times New Roman" w:hAnsi="Times New Roman" w:cs="Times New Roman"/>
          <w:sz w:val="20"/>
          <w:szCs w:val="20"/>
        </w:rPr>
        <w:t>.</w:t>
      </w:r>
    </w:p>
    <w:p w14:paraId="4AAD740B" w14:textId="3D0E30F7" w:rsidR="006C4F44" w:rsidRPr="00C16D1E" w:rsidRDefault="00BC7CF0" w:rsidP="00524050">
      <w:pPr>
        <w:jc w:val="both"/>
        <w:outlineLvl w:val="1"/>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w:t>
      </w:r>
      <w:r w:rsidR="006C4F44" w:rsidRPr="00C16D1E">
        <w:rPr>
          <w:rFonts w:ascii="Times New Roman" w:eastAsia="Times New Roman" w:hAnsi="Times New Roman" w:cs="Times New Roman"/>
          <w:b/>
          <w:bCs/>
          <w:sz w:val="20"/>
          <w:szCs w:val="20"/>
          <w:lang w:val="en-GB" w:eastAsia="en-GB"/>
        </w:rPr>
        <w:t>Natural Resource Endowment and Institutional Quality</w:t>
      </w:r>
    </w:p>
    <w:p w14:paraId="7B49B957" w14:textId="00639584"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To examine the dynamic relationship between natural resource endowment and institutional quality, institutional quality is </w:t>
      </w:r>
      <w:r w:rsidR="00BC7CF0" w:rsidRPr="00C16D1E">
        <w:rPr>
          <w:rFonts w:ascii="Times New Roman" w:eastAsia="Times New Roman" w:hAnsi="Times New Roman" w:cs="Times New Roman"/>
          <w:sz w:val="20"/>
          <w:szCs w:val="20"/>
          <w:lang w:val="en-GB" w:eastAsia="en-GB"/>
        </w:rPr>
        <w:t>modelled</w:t>
      </w:r>
      <w:r w:rsidRPr="00C16D1E">
        <w:rPr>
          <w:rFonts w:ascii="Times New Roman" w:eastAsia="Times New Roman" w:hAnsi="Times New Roman" w:cs="Times New Roman"/>
          <w:sz w:val="20"/>
          <w:szCs w:val="20"/>
          <w:lang w:val="en-GB" w:eastAsia="en-GB"/>
        </w:rPr>
        <w:t xml:space="preserve"> as a function of natural resource endowment, economic performance, trade openness, foreign direct investment, capital formation, and </w:t>
      </w:r>
      <w:r w:rsidR="002E0D37" w:rsidRPr="00C16D1E">
        <w:rPr>
          <w:rFonts w:ascii="Times New Roman" w:eastAsia="Times New Roman" w:hAnsi="Times New Roman" w:cs="Times New Roman"/>
          <w:sz w:val="20"/>
          <w:szCs w:val="20"/>
          <w:lang w:val="en-GB" w:eastAsia="en-GB"/>
        </w:rPr>
        <w:t xml:space="preserve">secondary school enrolment </w:t>
      </w:r>
      <w:r w:rsidR="00F93C12" w:rsidRPr="00C16D1E">
        <w:rPr>
          <w:rFonts w:ascii="Times New Roman" w:eastAsia="Times New Roman" w:hAnsi="Times New Roman" w:cs="Times New Roman"/>
          <w:sz w:val="20"/>
          <w:szCs w:val="20"/>
          <w:lang w:val="en-GB" w:eastAsia="en-GB"/>
        </w:rPr>
        <w:t xml:space="preserve">as a </w:t>
      </w:r>
      <w:r w:rsidR="002E0D37" w:rsidRPr="00C16D1E">
        <w:rPr>
          <w:rFonts w:ascii="Times New Roman" w:eastAsia="Times New Roman" w:hAnsi="Times New Roman" w:cs="Times New Roman"/>
          <w:sz w:val="20"/>
          <w:szCs w:val="20"/>
          <w:lang w:val="en-GB" w:eastAsia="en-GB"/>
        </w:rPr>
        <w:t xml:space="preserve">proxy for </w:t>
      </w:r>
      <w:r w:rsidRPr="00C16D1E">
        <w:rPr>
          <w:rFonts w:ascii="Times New Roman" w:eastAsia="Times New Roman" w:hAnsi="Times New Roman" w:cs="Times New Roman"/>
          <w:sz w:val="20"/>
          <w:szCs w:val="20"/>
          <w:lang w:val="en-GB" w:eastAsia="en-GB"/>
        </w:rPr>
        <w:t>human capital development. The functional form is specified as:</w:t>
      </w:r>
    </w:p>
    <w:p w14:paraId="56582C4D" w14:textId="27878733" w:rsidR="006C4F44" w:rsidRPr="00C16D1E" w:rsidRDefault="006C4F44" w:rsidP="00524050">
      <w:pPr>
        <w:spacing w:after="100" w:afterAutospacing="1"/>
        <w:jc w:val="center"/>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INQ = f(NRE, GDPPC, LTRO, FDI, GFCF, SSE)</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w:t>
      </w:r>
      <w:r w:rsidR="002E0D37" w:rsidRPr="00C16D1E">
        <w:rPr>
          <w:rFonts w:ascii="Times New Roman" w:eastAsia="Times New Roman" w:hAnsi="Times New Roman" w:cs="Times New Roman"/>
          <w:sz w:val="20"/>
          <w:szCs w:val="20"/>
          <w:lang w:val="en-GB" w:eastAsia="en-GB"/>
        </w:rPr>
        <w:t xml:space="preserve">                </w:t>
      </w:r>
      <w:r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6</w:t>
      </w:r>
      <w:r w:rsidRPr="00C16D1E">
        <w:rPr>
          <w:rFonts w:ascii="Times New Roman" w:eastAsia="Times New Roman" w:hAnsi="Times New Roman" w:cs="Times New Roman"/>
          <w:sz w:val="20"/>
          <w:szCs w:val="20"/>
          <w:lang w:val="en-GB" w:eastAsia="en-GB"/>
        </w:rPr>
        <w:t>)</w:t>
      </w:r>
    </w:p>
    <w:p w14:paraId="0FA85CD1" w14:textId="5A7D539A"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where INQ represents the institutional quality index, NRE denotes natural resource endowment measured by resource rents as a percentage of GDP, GDPPC is real GDP per capita, LTRO captures trade openness measured as total trade as a percentage of GDP, FDI represents foreign direct investment inflows, GFCF denotes gross fixed</w:t>
      </w:r>
      <w:r w:rsidR="002E0D37" w:rsidRPr="00C16D1E">
        <w:rPr>
          <w:rFonts w:ascii="Times New Roman" w:eastAsia="Times New Roman" w:hAnsi="Times New Roman" w:cs="Times New Roman"/>
          <w:sz w:val="20"/>
          <w:szCs w:val="20"/>
          <w:lang w:val="en-GB" w:eastAsia="en-GB"/>
        </w:rPr>
        <w:t xml:space="preserve"> capital formation, and</w:t>
      </w:r>
      <w:r w:rsidRPr="00C16D1E">
        <w:rPr>
          <w:rFonts w:ascii="Times New Roman" w:eastAsia="Times New Roman" w:hAnsi="Times New Roman" w:cs="Times New Roman"/>
          <w:sz w:val="20"/>
          <w:szCs w:val="20"/>
          <w:lang w:val="en-GB" w:eastAsia="en-GB"/>
        </w:rPr>
        <w:t xml:space="preserve"> human capital development through secondary school enrolment.</w:t>
      </w:r>
    </w:p>
    <w:p w14:paraId="48FD8568" w14:textId="2598690A"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dynamic model is specified as:</w:t>
      </w:r>
      <w:r w:rsidR="002E0D37" w:rsidRPr="00C16D1E">
        <w:rPr>
          <w:rFonts w:ascii="Times New Roman" w:eastAsia="Times New Roman" w:hAnsi="Times New Roman" w:cs="Times New Roman"/>
          <w:sz w:val="20"/>
          <w:szCs w:val="20"/>
          <w:lang w:val="en-GB" w:eastAsia="en-GB"/>
        </w:rPr>
        <w:t xml:space="preserve"> </w:t>
      </w:r>
    </w:p>
    <w:p w14:paraId="27BC8676" w14:textId="77777777" w:rsidR="002E0D37" w:rsidRPr="00C16D1E" w:rsidRDefault="006C4F44"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INQₜ = α₀ + α₁ INQₜ₋₁ + α₂ NREₜ +α₃ GDPPCₜ + α₄ LTROₜ</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α₅ FDIₜ +</w:t>
      </w:r>
    </w:p>
    <w:p w14:paraId="63D5128D" w14:textId="1777CFD4" w:rsidR="006C4F44" w:rsidRPr="00C16D1E" w:rsidRDefault="006C4F44"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 α₆ GFCFₜ + α₇ SSEₜ + εₜ</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w:t>
      </w:r>
      <w:r w:rsidR="002E0D37" w:rsidRPr="00C16D1E">
        <w:rPr>
          <w:rFonts w:ascii="Times New Roman" w:eastAsia="Times New Roman" w:hAnsi="Times New Roman" w:cs="Times New Roman"/>
          <w:sz w:val="20"/>
          <w:szCs w:val="20"/>
          <w:lang w:val="en-GB" w:eastAsia="en-GB"/>
        </w:rPr>
        <w:t xml:space="preserve">                                                                            </w:t>
      </w:r>
      <w:r w:rsidR="00B04554">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7</w:t>
      </w:r>
      <w:r w:rsidRPr="00C16D1E">
        <w:rPr>
          <w:rFonts w:ascii="Times New Roman" w:eastAsia="Times New Roman" w:hAnsi="Times New Roman" w:cs="Times New Roman"/>
          <w:sz w:val="20"/>
          <w:szCs w:val="20"/>
          <w:lang w:val="en-GB" w:eastAsia="en-GB"/>
        </w:rPr>
        <w:t>)</w:t>
      </w:r>
    </w:p>
    <w:p w14:paraId="003590C1" w14:textId="45249F12" w:rsidR="006C4F44" w:rsidRPr="00C16D1E" w:rsidRDefault="00983BA2"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 equation 3.2</w:t>
      </w:r>
      <w:r w:rsidR="002E0D37" w:rsidRPr="00C16D1E">
        <w:rPr>
          <w:rFonts w:ascii="Times New Roman" w:eastAsia="Times New Roman" w:hAnsi="Times New Roman" w:cs="Times New Roman"/>
          <w:sz w:val="20"/>
          <w:szCs w:val="20"/>
          <w:lang w:val="en-GB" w:eastAsia="en-GB"/>
        </w:rPr>
        <w:t xml:space="preserve">, </w:t>
      </w:r>
      <w:r w:rsidR="006C4F44" w:rsidRPr="00C16D1E">
        <w:rPr>
          <w:rFonts w:ascii="Times New Roman" w:eastAsia="Times New Roman" w:hAnsi="Times New Roman" w:cs="Times New Roman"/>
          <w:sz w:val="20"/>
          <w:szCs w:val="20"/>
          <w:lang w:val="en-GB" w:eastAsia="en-GB"/>
        </w:rPr>
        <w:t xml:space="preserve">models institutional quality as a dynamic function of its own past value and key economic and structural variables. The constant term α₀ captures the baseline level of INQ, while α₁ reflects the degree of persistence in INQ. The coefficient α₂ measures the effect of NRE on INQ. The parameter α₃ captures the impact </w:t>
      </w:r>
      <w:r w:rsidR="006C4F44" w:rsidRPr="00C16D1E">
        <w:rPr>
          <w:rFonts w:ascii="Times New Roman" w:eastAsia="Times New Roman" w:hAnsi="Times New Roman" w:cs="Times New Roman"/>
          <w:sz w:val="20"/>
          <w:szCs w:val="20"/>
          <w:lang w:val="en-GB" w:eastAsia="en-GB"/>
        </w:rPr>
        <w:lastRenderedPageBreak/>
        <w:t>of GDPPC on INQ. Trade openness, represented by LTRO and captured by α₄, reflects the extent to which external trade exposure shapes institutional standards and regulatory practices. The coefficient α₅ measures the contribution of FDI to INQ. The parameter α₆ represents the effect of GFCF on INQ. Finally, α₇ measures the influence of SSE on INQ, highlighting the role of human capital development in improving governance quality. The disturbance term εₜ captures exogenous shocks and other institutional influences not explicitly included in the model.</w:t>
      </w:r>
    </w:p>
    <w:p w14:paraId="21FEF450" w14:textId="77777777" w:rsidR="006C4F44" w:rsidRPr="00C16D1E" w:rsidRDefault="006C4F44"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 distinguish between short run dynamics and long run equilibrium relationships, the ARDL error correction representation is specified as:</w:t>
      </w:r>
    </w:p>
    <w:p w14:paraId="4CEF5D61" w14:textId="79650744" w:rsidR="006C4F44" w:rsidRPr="00C16D1E" w:rsidRDefault="006C4F44" w:rsidP="00524050">
      <w:pPr>
        <w:spacing w:after="100" w:afterAutospacing="1"/>
        <w:jc w:val="center"/>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ΔINQₜ = ϕ₀ + Σᵢ ϕ₁ᵢ ΔINQₜ₋ᵢ + Σᵢ ϕ₂ᵢ ΔNREₜ₋ᵢ + Σᵢ ϕ₃ᵢ ΔGDPPCₜ₋ᵢ + Σᵢ ϕ₄ᵢ ΔLTROₜ₋ᵢ + Σᵢ ϕ₅ᵢ ΔFDIₜ₋ᵢ + Σᵢ ϕ₆ᵢ ΔGFCFₜ₋ᵢ </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Σᵢ ϕ₇ᵢ ΔSSEₜ₋ᵢ</w:t>
      </w:r>
      <w:r w:rsidRPr="00C16D1E">
        <w:rPr>
          <w:rFonts w:ascii="Times New Roman" w:eastAsia="Times New Roman" w:hAnsi="Times New Roman" w:cs="Times New Roman"/>
          <w:sz w:val="20"/>
          <w:szCs w:val="20"/>
          <w:lang w:val="en-GB" w:eastAsia="en-GB"/>
        </w:rPr>
        <w:t> </w:t>
      </w:r>
      <w:r w:rsidRPr="00C16D1E">
        <w:rPr>
          <w:rFonts w:ascii="Times New Roman" w:eastAsia="Times New Roman" w:hAnsi="Times New Roman" w:cs="Times New Roman"/>
          <w:sz w:val="20"/>
          <w:szCs w:val="20"/>
          <w:lang w:val="en-GB" w:eastAsia="en-GB"/>
        </w:rPr>
        <w:t xml:space="preserve">+ λ₁ INQₜ₋₁ + λ₂ NREₜ₋₁ + λ₃ GDPPCₜ₋₁ + λ₄ LTROₜ₋₁+ λ₅ FDIₜ₋₁ + λ₆ GFCFₜ₋₁ + λ₇ SSEₜ₋₁ + νₜ </w:t>
      </w:r>
      <w:r w:rsidR="006F6F4D" w:rsidRPr="00C16D1E">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 xml:space="preserve"> </w:t>
      </w:r>
      <w:r w:rsidR="00B04554">
        <w:rPr>
          <w:rFonts w:ascii="Times New Roman" w:eastAsia="Times New Roman" w:hAnsi="Times New Roman" w:cs="Times New Roman"/>
          <w:sz w:val="20"/>
          <w:szCs w:val="20"/>
          <w:lang w:val="en-GB" w:eastAsia="en-GB"/>
        </w:rPr>
        <w:t xml:space="preserve">             </w:t>
      </w:r>
      <w:r w:rsidR="008853F7" w:rsidRPr="00C16D1E">
        <w:rPr>
          <w:rFonts w:ascii="Times New Roman" w:eastAsia="Times New Roman" w:hAnsi="Times New Roman" w:cs="Times New Roman"/>
          <w:sz w:val="20"/>
          <w:szCs w:val="20"/>
          <w:lang w:val="en-GB" w:eastAsia="en-GB"/>
        </w:rPr>
        <w:t>(3.</w:t>
      </w:r>
      <w:r w:rsidR="00B04554">
        <w:rPr>
          <w:rFonts w:ascii="Times New Roman" w:eastAsia="Times New Roman" w:hAnsi="Times New Roman" w:cs="Times New Roman"/>
          <w:sz w:val="20"/>
          <w:szCs w:val="20"/>
          <w:lang w:val="en-GB" w:eastAsia="en-GB"/>
        </w:rPr>
        <w:t>8</w:t>
      </w:r>
      <w:r w:rsidRPr="00C16D1E">
        <w:rPr>
          <w:rFonts w:ascii="Times New Roman" w:eastAsia="Times New Roman" w:hAnsi="Times New Roman" w:cs="Times New Roman"/>
          <w:sz w:val="20"/>
          <w:szCs w:val="20"/>
          <w:lang w:val="en-GB" w:eastAsia="en-GB"/>
        </w:rPr>
        <w:t>)</w:t>
      </w:r>
    </w:p>
    <w:p w14:paraId="15DE42EF" w14:textId="6A79F834" w:rsidR="006C4F44" w:rsidRPr="00C16D1E" w:rsidRDefault="008853F7" w:rsidP="00524050">
      <w:pPr>
        <w:spacing w:after="100" w:afterAutospacing="1"/>
        <w:jc w:val="both"/>
        <w:rPr>
          <w:rFonts w:ascii="Times New Roman" w:eastAsia="Times New Roman" w:hAnsi="Times New Roman" w:cs="Times New Roman"/>
          <w:sz w:val="20"/>
          <w:szCs w:val="20"/>
          <w:lang w:val="en-GB" w:eastAsia="en-GB"/>
        </w:rPr>
      </w:pPr>
      <w:r w:rsidRPr="00C16D1E">
        <w:rPr>
          <w:rFonts w:ascii="Times New Roman" w:eastAsia="Aptos" w:hAnsi="Times New Roman" w:cs="Times New Roman"/>
          <w:kern w:val="2"/>
          <w:sz w:val="20"/>
          <w:szCs w:val="20"/>
          <w:lang w:val="en-GB"/>
          <w14:ligatures w14:val="standardContextual"/>
        </w:rPr>
        <w:t>Equation (3.3</w:t>
      </w:r>
      <w:r w:rsidR="006C4F44" w:rsidRPr="00C16D1E">
        <w:rPr>
          <w:rFonts w:ascii="Times New Roman" w:eastAsia="Aptos" w:hAnsi="Times New Roman" w:cs="Times New Roman"/>
          <w:kern w:val="2"/>
          <w:sz w:val="20"/>
          <w:szCs w:val="20"/>
          <w:lang w:val="en-GB"/>
          <w14:ligatures w14:val="standardContextual"/>
        </w:rPr>
        <w:t>) expresses the change in in</w:t>
      </w:r>
      <w:r w:rsidR="00A108AB" w:rsidRPr="00C16D1E">
        <w:rPr>
          <w:rFonts w:ascii="Times New Roman" w:eastAsia="Aptos" w:hAnsi="Times New Roman" w:cs="Times New Roman"/>
          <w:kern w:val="2"/>
          <w:sz w:val="20"/>
          <w:szCs w:val="20"/>
          <w:lang w:val="en-GB"/>
          <w14:ligatures w14:val="standardContextual"/>
        </w:rPr>
        <w:t>stitutional quality</w:t>
      </w:r>
      <w:r w:rsidR="006C4F44" w:rsidRPr="00C16D1E">
        <w:rPr>
          <w:rFonts w:ascii="Times New Roman" w:eastAsia="Aptos" w:hAnsi="Times New Roman" w:cs="Times New Roman"/>
          <w:kern w:val="2"/>
          <w:sz w:val="20"/>
          <w:szCs w:val="20"/>
          <w:lang w:val="en-GB"/>
          <w14:ligatures w14:val="standardContextual"/>
        </w:rPr>
        <w:t xml:space="preserve"> (ΔINQₜ) as a function of several clearly defined parameters. The constant term ϕ₀ captures the autonomous component of industrial output growth. The coefficients ϕ₁ᵢ measure the short run effects of past changes in industrial output itself, while ϕ₂ᵢ, ϕ₃ᵢ, ϕ₄ᵢ, ϕ₅ᵢ, ϕ₆ᵢ and ϕ₇ᵢ represent the short run dynamic impacts of changes in natural resource endowment (ΔNREₜ₋ᵢ), gross domestic product per capita (ΔGDPPCₜ₋ᵢ), </w:t>
      </w:r>
      <w:r w:rsidR="00AD74A5" w:rsidRPr="00C16D1E">
        <w:rPr>
          <w:rFonts w:ascii="Times New Roman" w:eastAsia="Aptos" w:hAnsi="Times New Roman" w:cs="Times New Roman"/>
          <w:kern w:val="2"/>
          <w:sz w:val="20"/>
          <w:szCs w:val="20"/>
          <w:lang w:val="en-GB"/>
          <w14:ligatures w14:val="standardContextual"/>
        </w:rPr>
        <w:t xml:space="preserve">log of </w:t>
      </w:r>
      <w:r w:rsidR="006F6F4D" w:rsidRPr="00C16D1E">
        <w:rPr>
          <w:rFonts w:ascii="Times New Roman" w:eastAsia="Aptos" w:hAnsi="Times New Roman" w:cs="Times New Roman"/>
          <w:kern w:val="2"/>
          <w:sz w:val="20"/>
          <w:szCs w:val="20"/>
          <w:lang w:val="en-GB"/>
          <w14:ligatures w14:val="standardContextual"/>
        </w:rPr>
        <w:t>trade openness</w:t>
      </w:r>
      <w:r w:rsidR="006C4F44" w:rsidRPr="00C16D1E">
        <w:rPr>
          <w:rFonts w:ascii="Times New Roman" w:eastAsia="Aptos" w:hAnsi="Times New Roman" w:cs="Times New Roman"/>
          <w:kern w:val="2"/>
          <w:sz w:val="20"/>
          <w:szCs w:val="20"/>
          <w:lang w:val="en-GB"/>
          <w14:ligatures w14:val="standardContextual"/>
        </w:rPr>
        <w:t xml:space="preserve"> (ΔLTROₜ₋ᵢ), foreign direct investment (ΔFDIₜ₋ᵢ), gross fixed capital formation (ΔGFCFₜ₋ᵢ) and secondary school enrolment (ΔSSEₜ₋ᵢ) respectively. The coefficients λ₂, λ₃, λ₄, λ₅, λ₆, and λ₇ measure the long run effects of natural resour</w:t>
      </w:r>
      <w:r w:rsidR="006F6F4D" w:rsidRPr="00C16D1E">
        <w:rPr>
          <w:rFonts w:ascii="Times New Roman" w:eastAsia="Aptos" w:hAnsi="Times New Roman" w:cs="Times New Roman"/>
          <w:kern w:val="2"/>
          <w:sz w:val="20"/>
          <w:szCs w:val="20"/>
          <w:lang w:val="en-GB"/>
          <w14:ligatures w14:val="standardContextual"/>
        </w:rPr>
        <w:t>ce endowment, GDP per capita, Trade openness</w:t>
      </w:r>
      <w:r w:rsidR="006C4F44" w:rsidRPr="00C16D1E">
        <w:rPr>
          <w:rFonts w:ascii="Times New Roman" w:eastAsia="Aptos" w:hAnsi="Times New Roman" w:cs="Times New Roman"/>
          <w:kern w:val="2"/>
          <w:sz w:val="20"/>
          <w:szCs w:val="20"/>
          <w:lang w:val="en-GB"/>
          <w14:ligatures w14:val="standardContextual"/>
        </w:rPr>
        <w:t xml:space="preserve">, foreign direct investment, gross fixed capital formation, and secondary school enrolment on institutional quality. Specifically, λ₁ measures the speed and direction of adjustment of institutional quality toward long run equilibrium. A negative and statistically significant λ₁ indicates convergence following short term disturbances.  Finally, the error term νₜ captures random shocks and omitted influences that affect institutional quality but are not explicitly included in the model. These parameters jointly indicate the extent and direction of </w:t>
      </w:r>
      <w:r w:rsidR="00AD74A5" w:rsidRPr="00C16D1E">
        <w:rPr>
          <w:rFonts w:ascii="Times New Roman" w:eastAsia="Aptos" w:hAnsi="Times New Roman" w:cs="Times New Roman"/>
          <w:kern w:val="2"/>
          <w:sz w:val="20"/>
          <w:szCs w:val="20"/>
          <w:lang w:val="en-GB"/>
          <w14:ligatures w14:val="standardContextual"/>
        </w:rPr>
        <w:t>long run equilibrium adjustment.</w:t>
      </w:r>
    </w:p>
    <w:p w14:paraId="0ABA857F" w14:textId="41B16E2C" w:rsidR="006C4F44" w:rsidRPr="00C16D1E" w:rsidRDefault="006C4F44" w:rsidP="00524050">
      <w:pPr>
        <w:spacing w:after="100" w:afterAutospacing="1"/>
        <w:jc w:val="both"/>
        <w:outlineLvl w:val="2"/>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To determine the direction of causality and because the variables are </w:t>
      </w:r>
      <w:proofErr w:type="gramStart"/>
      <w:r w:rsidRPr="00C16D1E">
        <w:rPr>
          <w:rFonts w:ascii="Times New Roman" w:eastAsia="Times New Roman" w:hAnsi="Times New Roman" w:cs="Times New Roman"/>
          <w:sz w:val="20"/>
          <w:szCs w:val="20"/>
          <w:lang w:val="en-GB" w:eastAsia="en-GB"/>
        </w:rPr>
        <w:t>I(</w:t>
      </w:r>
      <w:proofErr w:type="gramEnd"/>
      <w:r w:rsidRPr="00C16D1E">
        <w:rPr>
          <w:rFonts w:ascii="Times New Roman" w:eastAsia="Times New Roman" w:hAnsi="Times New Roman" w:cs="Times New Roman"/>
          <w:sz w:val="20"/>
          <w:szCs w:val="20"/>
          <w:lang w:val="en-GB" w:eastAsia="en-GB"/>
        </w:rPr>
        <w:t>0) and I(1), the Toda-Yamamoto causality test equations were specified  thus;</w:t>
      </w:r>
    </w:p>
    <w:p w14:paraId="30A0153B" w14:textId="505EF570"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1</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ρ</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κ</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η</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1t</m:t>
                  </m:r>
                </m:sub>
              </m:sSub>
            </m:e>
          </m:mr>
        </m:m>
        <m:r>
          <w:rPr>
            <w:rFonts w:ascii="Cambria Math" w:eastAsia="Times New Roman" w:hAnsi="Cambria Math" w:cs="Times New Roman"/>
            <w:sz w:val="20"/>
            <w:szCs w:val="20"/>
            <w:lang w:val="en-GB" w:eastAsia="en-GB"/>
          </w:rPr>
          <m:t xml:space="preserve">          </m:t>
        </m:r>
      </m:oMath>
      <w:r w:rsidR="003D5F77" w:rsidRPr="00C16D1E">
        <w:rPr>
          <w:rFonts w:ascii="Cambria Math" w:eastAsia="Times New Roman" w:hAnsi="Cambria Math" w:cs="Times New Roman"/>
          <w:sz w:val="20"/>
          <w:szCs w:val="20"/>
          <w:lang w:val="en-GB" w:eastAsia="en-GB"/>
        </w:rPr>
        <w:t xml:space="preserve"> (3.</w:t>
      </w:r>
      <w:r w:rsidR="00B04554">
        <w:rPr>
          <w:rFonts w:ascii="Cambria Math" w:eastAsia="Times New Roman" w:hAnsi="Cambria Math" w:cs="Times New Roman"/>
          <w:sz w:val="20"/>
          <w:szCs w:val="20"/>
          <w:lang w:val="en-GB" w:eastAsia="en-GB"/>
        </w:rPr>
        <w:t>9</w:t>
      </w:r>
      <w:r w:rsidR="006C4F44" w:rsidRPr="00C16D1E">
        <w:rPr>
          <w:rFonts w:ascii="Cambria Math" w:eastAsia="Times New Roman" w:hAnsi="Cambria Math" w:cs="Times New Roman"/>
          <w:sz w:val="20"/>
          <w:szCs w:val="20"/>
          <w:lang w:val="en-GB" w:eastAsia="en-GB"/>
        </w:rPr>
        <w:t>a)</w:t>
      </w:r>
      <w:r w:rsidR="006C4F44" w:rsidRPr="00C16D1E">
        <w:rPr>
          <w:rFonts w:ascii="Cambria Math" w:eastAsia="Times New Roman" w:hAnsi="Cambria Math" w:cs="Times New Roman"/>
          <w:sz w:val="20"/>
          <w:szCs w:val="20"/>
          <w:lang w:val="en-GB" w:eastAsia="en-GB"/>
        </w:rPr>
        <w:br/>
      </w:r>
    </w:p>
    <w:p w14:paraId="085B45D7" w14:textId="604A28C0"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2</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χ</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ω</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μ</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ν</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2t</m:t>
                  </m:r>
                </m:sub>
              </m:sSub>
            </m:e>
          </m:mr>
        </m:m>
      </m:oMath>
      <w:r w:rsidR="00AD74A5" w:rsidRPr="00C16D1E">
        <w:rPr>
          <w:rFonts w:ascii="Cambria Math" w:eastAsia="Times New Roman" w:hAnsi="Cambria Math" w:cs="Times New Roman"/>
          <w:sz w:val="20"/>
          <w:szCs w:val="20"/>
          <w:lang w:val="en-GB" w:eastAsia="en-GB"/>
        </w:rPr>
        <w:t xml:space="preserve">   </w:t>
      </w:r>
      <w:r w:rsidR="006C4F44" w:rsidRPr="00C16D1E">
        <w:rPr>
          <w:rFonts w:ascii="Cambria Math" w:eastAsia="Times New Roman" w:hAnsi="Cambria Math" w:cs="Times New Roman"/>
          <w:sz w:val="20"/>
          <w:szCs w:val="20"/>
          <w:lang w:val="en-GB" w:eastAsia="en-GB"/>
        </w:rPr>
        <w:t xml:space="preserve"> </w:t>
      </w:r>
      <w:r w:rsidR="00AD74A5" w:rsidRPr="00C16D1E">
        <w:rPr>
          <w:rFonts w:ascii="Cambria Math" w:eastAsia="Times New Roman" w:hAnsi="Cambria Math" w:cs="Times New Roman"/>
          <w:sz w:val="20"/>
          <w:szCs w:val="20"/>
          <w:lang w:val="en-GB" w:eastAsia="en-GB"/>
        </w:rPr>
        <w:t xml:space="preserve">    </w:t>
      </w:r>
      <w:r w:rsidR="003D5F77" w:rsidRPr="00C16D1E">
        <w:rPr>
          <w:rFonts w:ascii="Cambria Math" w:eastAsia="Times New Roman" w:hAnsi="Cambria Math" w:cs="Times New Roman"/>
          <w:sz w:val="20"/>
          <w:szCs w:val="20"/>
          <w:lang w:val="en-GB" w:eastAsia="en-GB"/>
        </w:rPr>
        <w:t>(3.</w:t>
      </w:r>
      <w:r w:rsidR="00B04554">
        <w:rPr>
          <w:rFonts w:ascii="Cambria Math" w:eastAsia="Times New Roman" w:hAnsi="Cambria Math" w:cs="Times New Roman"/>
          <w:sz w:val="20"/>
          <w:szCs w:val="20"/>
          <w:lang w:val="en-GB" w:eastAsia="en-GB"/>
        </w:rPr>
        <w:t>10</w:t>
      </w:r>
      <w:r w:rsidR="006C4F44" w:rsidRPr="00C16D1E">
        <w:rPr>
          <w:rFonts w:ascii="Cambria Math" w:eastAsia="Times New Roman" w:hAnsi="Cambria Math" w:cs="Times New Roman"/>
          <w:sz w:val="20"/>
          <w:szCs w:val="20"/>
          <w:lang w:val="en-GB" w:eastAsia="en-GB"/>
        </w:rPr>
        <w:t>b)</w:t>
      </w:r>
      <w:r w:rsidR="006C4F44" w:rsidRPr="00C16D1E">
        <w:rPr>
          <w:rFonts w:ascii="Cambria Math" w:eastAsia="Times New Roman" w:hAnsi="Cambria Math" w:cs="Times New Roman"/>
          <w:sz w:val="20"/>
          <w:szCs w:val="20"/>
          <w:lang w:val="en-GB" w:eastAsia="en-GB"/>
        </w:rPr>
        <w:br/>
      </w:r>
    </w:p>
    <w:p w14:paraId="3092EE92" w14:textId="4AE88E65"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3</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χ</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ω</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3t</m:t>
                  </m:r>
                </m:sub>
              </m:sSub>
            </m:e>
          </m:mr>
        </m:m>
      </m:oMath>
      <w:r w:rsidR="0087380D" w:rsidRPr="00C16D1E">
        <w:rPr>
          <w:rFonts w:ascii="Cambria Math" w:eastAsia="Times New Roman" w:hAnsi="Cambria Math" w:cs="Times New Roman"/>
          <w:sz w:val="20"/>
          <w:szCs w:val="20"/>
          <w:lang w:val="en-GB" w:eastAsia="en-GB"/>
        </w:rPr>
        <w:t xml:space="preserve"> </w:t>
      </w:r>
      <w:r w:rsidR="003D5F77" w:rsidRPr="00C16D1E">
        <w:rPr>
          <w:rFonts w:ascii="Cambria Math" w:eastAsia="Times New Roman" w:hAnsi="Cambria Math" w:cs="Times New Roman"/>
          <w:sz w:val="20"/>
          <w:szCs w:val="20"/>
          <w:lang w:val="en-GB" w:eastAsia="en-GB"/>
        </w:rPr>
        <w:t xml:space="preserve"> (3.</w:t>
      </w:r>
      <w:r w:rsidR="00B04554">
        <w:rPr>
          <w:rFonts w:ascii="Cambria Math" w:eastAsia="Times New Roman" w:hAnsi="Cambria Math" w:cs="Times New Roman"/>
          <w:sz w:val="20"/>
          <w:szCs w:val="20"/>
          <w:lang w:val="en-GB" w:eastAsia="en-GB"/>
        </w:rPr>
        <w:t>11</w:t>
      </w:r>
      <w:r w:rsidR="006C4F44" w:rsidRPr="00C16D1E">
        <w:rPr>
          <w:rFonts w:ascii="Cambria Math" w:eastAsia="Times New Roman" w:hAnsi="Cambria Math" w:cs="Times New Roman"/>
          <w:sz w:val="20"/>
          <w:szCs w:val="20"/>
          <w:lang w:val="en-GB" w:eastAsia="en-GB"/>
        </w:rPr>
        <w:t>c)</w:t>
      </w:r>
      <w:r w:rsidR="006C4F44" w:rsidRPr="00C16D1E">
        <w:rPr>
          <w:rFonts w:ascii="Cambria Math" w:eastAsia="Times New Roman" w:hAnsi="Cambria Math" w:cs="Times New Roman"/>
          <w:sz w:val="20"/>
          <w:szCs w:val="20"/>
          <w:lang w:val="en-GB" w:eastAsia="en-GB"/>
        </w:rPr>
        <w:br/>
      </w:r>
    </w:p>
    <w:p w14:paraId="0FD729FD" w14:textId="3F76DE86"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4</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λ</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4t</m:t>
                  </m:r>
                </m:sub>
              </m:sSub>
            </m:e>
          </m:mr>
        </m:m>
      </m:oMath>
      <w:r w:rsidR="0087380D" w:rsidRPr="00C16D1E">
        <w:rPr>
          <w:rFonts w:ascii="Cambria Math" w:eastAsia="Times New Roman" w:hAnsi="Cambria Math" w:cs="Times New Roman"/>
          <w:sz w:val="20"/>
          <w:szCs w:val="20"/>
          <w:lang w:val="en-GB" w:eastAsia="en-GB"/>
        </w:rPr>
        <w:t xml:space="preserve"> </w:t>
      </w:r>
      <w:r w:rsidR="00B04554">
        <w:rPr>
          <w:rFonts w:ascii="Cambria Math" w:eastAsia="Times New Roman" w:hAnsi="Cambria Math" w:cs="Times New Roman"/>
          <w:sz w:val="20"/>
          <w:szCs w:val="20"/>
          <w:lang w:val="en-GB" w:eastAsia="en-GB"/>
        </w:rPr>
        <w:t>(3.12</w:t>
      </w:r>
      <w:r w:rsidR="006C4F44" w:rsidRPr="00C16D1E">
        <w:rPr>
          <w:rFonts w:ascii="Cambria Math" w:eastAsia="Times New Roman" w:hAnsi="Cambria Math" w:cs="Times New Roman"/>
          <w:sz w:val="20"/>
          <w:szCs w:val="20"/>
          <w:lang w:val="en-GB" w:eastAsia="en-GB"/>
        </w:rPr>
        <w:t>d)</w:t>
      </w:r>
      <w:r w:rsidR="006C4F44" w:rsidRPr="00C16D1E">
        <w:rPr>
          <w:rFonts w:ascii="Cambria Math" w:eastAsia="Times New Roman" w:hAnsi="Cambria Math" w:cs="Times New Roman"/>
          <w:sz w:val="20"/>
          <w:szCs w:val="20"/>
          <w:lang w:val="en-GB" w:eastAsia="en-GB"/>
        </w:rPr>
        <w:br/>
      </w:r>
    </w:p>
    <w:p w14:paraId="4C72854F" w14:textId="7617F3C9"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5</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5t</m:t>
                  </m:r>
                </m:sub>
              </m:sSub>
            </m:e>
          </m:mr>
        </m:m>
      </m:oMath>
      <w:r w:rsidR="0087380D" w:rsidRPr="00C16D1E">
        <w:rPr>
          <w:rFonts w:ascii="Cambria Math" w:eastAsia="Times New Roman" w:hAnsi="Cambria Math" w:cs="Times New Roman"/>
          <w:sz w:val="20"/>
          <w:szCs w:val="20"/>
          <w:lang w:val="en-GB" w:eastAsia="en-GB"/>
        </w:rPr>
        <w:t xml:space="preserve"> </w:t>
      </w:r>
      <w:r w:rsidR="00B04554">
        <w:rPr>
          <w:rFonts w:ascii="Cambria Math" w:eastAsia="Times New Roman" w:hAnsi="Cambria Math" w:cs="Times New Roman"/>
          <w:sz w:val="20"/>
          <w:szCs w:val="20"/>
          <w:lang w:val="en-GB" w:eastAsia="en-GB"/>
        </w:rPr>
        <w:t xml:space="preserve"> (3.13</w:t>
      </w:r>
      <w:r w:rsidR="006C4F44" w:rsidRPr="00C16D1E">
        <w:rPr>
          <w:rFonts w:ascii="Cambria Math" w:eastAsia="Times New Roman" w:hAnsi="Cambria Math" w:cs="Times New Roman"/>
          <w:sz w:val="20"/>
          <w:szCs w:val="20"/>
          <w:lang w:val="en-GB" w:eastAsia="en-GB"/>
        </w:rPr>
        <w:t>e)</w:t>
      </w:r>
      <w:r w:rsidR="006C4F44" w:rsidRPr="00C16D1E">
        <w:rPr>
          <w:rFonts w:ascii="Cambria Math" w:eastAsia="Times New Roman" w:hAnsi="Cambria Math" w:cs="Times New Roman"/>
          <w:sz w:val="20"/>
          <w:szCs w:val="20"/>
          <w:lang w:val="en-GB" w:eastAsia="en-GB"/>
        </w:rPr>
        <w:br/>
      </w:r>
    </w:p>
    <w:p w14:paraId="6070FC97" w14:textId="56285171"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6</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6t</m:t>
                  </m:r>
                </m:sub>
              </m:sSub>
            </m:e>
          </m:mr>
        </m:m>
      </m:oMath>
      <w:r w:rsidR="0087380D" w:rsidRPr="00C16D1E">
        <w:rPr>
          <w:rFonts w:ascii="Cambria Math" w:eastAsia="Times New Roman" w:hAnsi="Cambria Math" w:cs="Times New Roman"/>
          <w:sz w:val="20"/>
          <w:szCs w:val="20"/>
          <w:lang w:val="en-GB" w:eastAsia="en-GB"/>
        </w:rPr>
        <w:t xml:space="preserve"> </w:t>
      </w:r>
      <w:r w:rsidR="007D31AA" w:rsidRPr="00C16D1E">
        <w:rPr>
          <w:rFonts w:ascii="Cambria Math" w:eastAsia="Times New Roman" w:hAnsi="Cambria Math" w:cs="Times New Roman"/>
          <w:sz w:val="20"/>
          <w:szCs w:val="20"/>
          <w:lang w:val="en-GB" w:eastAsia="en-GB"/>
        </w:rPr>
        <w:t>(3.</w:t>
      </w:r>
      <w:r w:rsidR="00B04554">
        <w:rPr>
          <w:rFonts w:ascii="Cambria Math" w:eastAsia="Times New Roman" w:hAnsi="Cambria Math" w:cs="Times New Roman"/>
          <w:sz w:val="20"/>
          <w:szCs w:val="20"/>
          <w:lang w:val="en-GB" w:eastAsia="en-GB"/>
        </w:rPr>
        <w:t>1</w:t>
      </w:r>
      <w:r w:rsidR="007D31AA" w:rsidRPr="00C16D1E">
        <w:rPr>
          <w:rFonts w:ascii="Cambria Math" w:eastAsia="Times New Roman" w:hAnsi="Cambria Math" w:cs="Times New Roman"/>
          <w:sz w:val="20"/>
          <w:szCs w:val="20"/>
          <w:lang w:val="en-GB" w:eastAsia="en-GB"/>
        </w:rPr>
        <w:t>4</w:t>
      </w:r>
      <w:r w:rsidR="006C4F44" w:rsidRPr="00C16D1E">
        <w:rPr>
          <w:rFonts w:ascii="Cambria Math" w:eastAsia="Times New Roman" w:hAnsi="Cambria Math" w:cs="Times New Roman"/>
          <w:sz w:val="20"/>
          <w:szCs w:val="20"/>
          <w:lang w:val="en-GB" w:eastAsia="en-GB"/>
        </w:rPr>
        <w:t>f)</w:t>
      </w:r>
      <w:r w:rsidR="006C4F44" w:rsidRPr="00C16D1E">
        <w:rPr>
          <w:rFonts w:ascii="Cambria Math" w:eastAsia="Times New Roman" w:hAnsi="Cambria Math" w:cs="Times New Roman"/>
          <w:sz w:val="20"/>
          <w:szCs w:val="20"/>
          <w:lang w:val="en-GB" w:eastAsia="en-GB"/>
        </w:rPr>
        <w:br/>
      </w:r>
    </w:p>
    <w:p w14:paraId="69972557" w14:textId="3AA1F92C" w:rsidR="006C4F44" w:rsidRPr="00C16D1E" w:rsidRDefault="00913C58" w:rsidP="00524050">
      <w:pPr>
        <w:rPr>
          <w:rFonts w:ascii="Times New Roman" w:eastAsia="Times New Roman" w:hAnsi="Times New Roman" w:cs="Times New Roman"/>
          <w:sz w:val="20"/>
          <w:szCs w:val="20"/>
          <w:lang w:val="en-GB" w:eastAsia="en-GB"/>
        </w:rPr>
      </w:pPr>
      <m:oMath>
        <m:m>
          <m:mPr>
            <m:plcHide m:val="1"/>
            <m:mcs>
              <m:mc>
                <m:mcPr>
                  <m:count m:val="2"/>
                  <m:mcJc m:val="center"/>
                </m:mcPr>
              </m:mc>
            </m:mcs>
            <m:ctrlPr>
              <w:rPr>
                <w:rFonts w:ascii="Cambria Math" w:eastAsia="Times New Roman" w:hAnsi="Cambria Math" w:cs="Times New Roman"/>
                <w:sz w:val="20"/>
                <w:szCs w:val="20"/>
                <w:lang w:val="en-GB" w:eastAsia="en-GB"/>
              </w:rPr>
            </m:ctrlPr>
          </m:mPr>
          <m:mr>
            <m:e>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m:t>
                  </m:r>
                </m:sub>
              </m:sSub>
            </m:e>
            <m:e>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7</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δ</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SS</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α</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IN</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Q</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β</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NR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E</m:t>
                  </m:r>
                </m:e>
                <m:sub>
                  <m:r>
                    <w:rPr>
                      <w:rFonts w:ascii="Cambria Math" w:eastAsia="Times New Roman" w:hAnsi="Cambria Math" w:cs="Times New Roman"/>
                      <w:sz w:val="20"/>
                      <w:szCs w:val="20"/>
                      <w:lang w:val="en-GB" w:eastAsia="en-GB"/>
                    </w:rPr>
                    <m:t>t-i</m:t>
                  </m:r>
                </m:sub>
              </m:sSub>
            </m:e>
          </m:mr>
          <m:mr>
            <m:e/>
            <m:e>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ϕ</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GDPP</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C</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θ</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LTR</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O</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ψ</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FD</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I</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nary>
                <m:naryPr>
                  <m:chr m:val="∑"/>
                  <m:limLoc m:val="undOvr"/>
                  <m:grow m:val="1"/>
                  <m:ctrlPr>
                    <w:rPr>
                      <w:rFonts w:ascii="Cambria Math" w:eastAsia="Times New Roman" w:hAnsi="Cambria Math" w:cs="Times New Roman"/>
                      <w:sz w:val="20"/>
                      <w:szCs w:val="20"/>
                      <w:lang w:val="en-GB" w:eastAsia="en-GB"/>
                    </w:rPr>
                  </m:ctrlPr>
                </m:naryPr>
                <m:sub>
                  <m:r>
                    <w:rPr>
                      <w:rFonts w:ascii="Cambria Math" w:eastAsia="Times New Roman" w:hAnsi="Cambria Math" w:cs="Times New Roman"/>
                      <w:sz w:val="20"/>
                      <w:szCs w:val="20"/>
                      <w:lang w:val="en-GB" w:eastAsia="en-GB"/>
                    </w:rPr>
                    <m:t>i=1</m:t>
                  </m:r>
                </m:sub>
                <m:sup>
                  <m:r>
                    <w:rPr>
                      <w:rFonts w:ascii="Cambria Math" w:eastAsia="Times New Roman" w:hAnsi="Cambria Math" w:cs="Times New Roman"/>
                      <w:sz w:val="20"/>
                      <w:szCs w:val="20"/>
                      <w:lang w:val="en-GB" w:eastAsia="en-GB"/>
                    </w:rPr>
                    <m:t>p</m:t>
                  </m:r>
                </m:sup>
                <m:e>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γ</m:t>
                      </m:r>
                    </m:e>
                    <m:sub>
                      <m:r>
                        <w:rPr>
                          <w:rFonts w:ascii="Cambria Math" w:eastAsia="Times New Roman" w:hAnsi="Cambria Math" w:cs="Times New Roman"/>
                          <w:sz w:val="20"/>
                          <w:szCs w:val="20"/>
                          <w:lang w:val="en-GB" w:eastAsia="en-GB"/>
                        </w:rPr>
                        <m:t>i</m:t>
                      </m:r>
                    </m:sub>
                  </m:sSub>
                </m:e>
              </m:nary>
              <m:r>
                <w:rPr>
                  <w:rFonts w:ascii="Cambria Math" w:eastAsia="Times New Roman" w:hAnsi="Cambria Math" w:cs="Times New Roman"/>
                  <w:sz w:val="20"/>
                  <w:szCs w:val="20"/>
                  <w:lang w:val="en-GB" w:eastAsia="en-GB"/>
                </w:rPr>
                <m:t>GFC</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F</m:t>
                  </m:r>
                </m:e>
                <m:sub>
                  <m:r>
                    <w:rPr>
                      <w:rFonts w:ascii="Cambria Math" w:eastAsia="Times New Roman" w:hAnsi="Cambria Math" w:cs="Times New Roman"/>
                      <w:sz w:val="20"/>
                      <w:szCs w:val="20"/>
                      <w:lang w:val="en-GB" w:eastAsia="en-GB"/>
                    </w:rPr>
                    <m:t>t-i</m:t>
                  </m:r>
                </m:sub>
              </m:sSub>
              <m:r>
                <w:rPr>
                  <w:rFonts w:ascii="Cambria Math" w:eastAsia="Times New Roman" w:hAnsi="Cambria Math" w:cs="Times New Roman"/>
                  <w:sz w:val="20"/>
                  <w:szCs w:val="20"/>
                  <w:lang w:val="en-GB" w:eastAsia="en-GB"/>
                </w:rPr>
                <m:t>+</m:t>
              </m:r>
              <m:sSub>
                <m:sSubPr>
                  <m:ctrlPr>
                    <w:rPr>
                      <w:rFonts w:ascii="Cambria Math" w:eastAsia="Times New Roman" w:hAnsi="Cambria Math" w:cs="Times New Roman"/>
                      <w:sz w:val="20"/>
                      <w:szCs w:val="20"/>
                      <w:lang w:val="en-GB" w:eastAsia="en-GB"/>
                    </w:rPr>
                  </m:ctrlPr>
                </m:sSubPr>
                <m:e>
                  <m:r>
                    <w:rPr>
                      <w:rFonts w:ascii="Cambria Math" w:eastAsia="Times New Roman" w:hAnsi="Cambria Math" w:cs="Times New Roman"/>
                      <w:sz w:val="20"/>
                      <w:szCs w:val="20"/>
                      <w:lang w:val="en-GB" w:eastAsia="en-GB"/>
                    </w:rPr>
                    <m:t>ζ</m:t>
                  </m:r>
                </m:e>
                <m:sub>
                  <m:r>
                    <w:rPr>
                      <w:rFonts w:ascii="Cambria Math" w:eastAsia="Times New Roman" w:hAnsi="Cambria Math" w:cs="Times New Roman"/>
                      <w:sz w:val="20"/>
                      <w:szCs w:val="20"/>
                      <w:lang w:val="en-GB" w:eastAsia="en-GB"/>
                    </w:rPr>
                    <m:t>7t</m:t>
                  </m:r>
                </m:sub>
              </m:sSub>
            </m:e>
          </m:mr>
        </m:m>
      </m:oMath>
      <w:r w:rsidR="0087380D" w:rsidRPr="00C16D1E">
        <w:rPr>
          <w:rFonts w:ascii="Cambria Math" w:eastAsia="Times New Roman" w:hAnsi="Cambria Math" w:cs="Times New Roman"/>
          <w:sz w:val="20"/>
          <w:szCs w:val="20"/>
          <w:lang w:val="en-GB" w:eastAsia="en-GB"/>
        </w:rPr>
        <w:t xml:space="preserve"> </w:t>
      </w:r>
      <w:r w:rsidR="007D31AA" w:rsidRPr="00C16D1E">
        <w:rPr>
          <w:rFonts w:ascii="Cambria Math" w:eastAsia="Times New Roman" w:hAnsi="Cambria Math" w:cs="Times New Roman"/>
          <w:sz w:val="20"/>
          <w:szCs w:val="20"/>
          <w:lang w:val="en-GB" w:eastAsia="en-GB"/>
        </w:rPr>
        <w:t xml:space="preserve"> (3.</w:t>
      </w:r>
      <w:r w:rsidR="00B04554">
        <w:rPr>
          <w:rFonts w:ascii="Cambria Math" w:eastAsia="Times New Roman" w:hAnsi="Cambria Math" w:cs="Times New Roman"/>
          <w:sz w:val="20"/>
          <w:szCs w:val="20"/>
          <w:lang w:val="en-GB" w:eastAsia="en-GB"/>
        </w:rPr>
        <w:t>15</w:t>
      </w:r>
      <w:r w:rsidR="006C4F44" w:rsidRPr="00C16D1E">
        <w:rPr>
          <w:rFonts w:ascii="Cambria Math" w:eastAsia="Times New Roman" w:hAnsi="Cambria Math" w:cs="Times New Roman"/>
          <w:sz w:val="20"/>
          <w:szCs w:val="20"/>
          <w:lang w:val="en-GB" w:eastAsia="en-GB"/>
        </w:rPr>
        <w:t>g)</w:t>
      </w:r>
      <w:r w:rsidR="006C4F44" w:rsidRPr="00C16D1E">
        <w:rPr>
          <w:rFonts w:ascii="Cambria Math" w:eastAsia="Times New Roman" w:hAnsi="Cambria Math" w:cs="Times New Roman"/>
          <w:sz w:val="20"/>
          <w:szCs w:val="20"/>
          <w:lang w:val="en-GB" w:eastAsia="en-GB"/>
        </w:rPr>
        <w:br/>
      </w:r>
    </w:p>
    <w:p w14:paraId="7AC14AFD" w14:textId="1FC692DD" w:rsidR="00F67961" w:rsidRPr="00C16D1E" w:rsidRDefault="007D31AA" w:rsidP="00524050">
      <w:pPr>
        <w:spacing w:after="100" w:afterAutospacing="1"/>
        <w:jc w:val="both"/>
        <w:outlineLvl w:val="1"/>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In equations (3.4a) to (3.4</w:t>
      </w:r>
      <w:r w:rsidR="00F67961" w:rsidRPr="00C16D1E">
        <w:rPr>
          <w:rFonts w:ascii="Times New Roman" w:eastAsia="Times New Roman" w:hAnsi="Times New Roman" w:cs="Times New Roman"/>
          <w:sz w:val="20"/>
          <w:szCs w:val="20"/>
          <w:lang w:val="en-GB" w:eastAsia="en-GB"/>
        </w:rPr>
        <w:t xml:space="preserve">g), each variable—INQₜ, NREₜ, GDPPCₜ, LTROₜ, FDIₜ, and SSEₜ—is expressed as a function of its own lagged values and the lagged values of all other variables in the system. </w:t>
      </w:r>
    </w:p>
    <w:p w14:paraId="66805771" w14:textId="63923327" w:rsidR="006C4F44" w:rsidRPr="00C16D1E" w:rsidRDefault="006C4F44" w:rsidP="00524050">
      <w:pPr>
        <w:spacing w:after="100" w:afterAutospacing="1"/>
        <w:jc w:val="both"/>
        <w:outlineLvl w:val="1"/>
        <w:rPr>
          <w:rFonts w:ascii="Times New Roman" w:eastAsia="Times New Roman" w:hAnsi="Times New Roman" w:cs="Times New Roman"/>
          <w:sz w:val="20"/>
          <w:szCs w:val="20"/>
          <w:lang w:val="en-GB" w:eastAsia="en-GB"/>
        </w:rPr>
      </w:pPr>
      <w:r w:rsidRPr="00C16D1E">
        <w:rPr>
          <w:rFonts w:ascii="Times New Roman" w:eastAsia="Aptos" w:hAnsi="Times New Roman" w:cs="Times New Roman"/>
          <w:kern w:val="2"/>
          <w:sz w:val="20"/>
          <w:szCs w:val="20"/>
          <w:lang w:val="en-GB"/>
          <w14:ligatures w14:val="standardContextual"/>
        </w:rPr>
        <w:t>In the Toda-Yamamoto augmented VAR framework, p</w:t>
      </w:r>
      <w:r w:rsidRPr="00C16D1E">
        <w:rPr>
          <w:rFonts w:ascii="Times New Roman" w:eastAsia="Aptos" w:hAnsi="Times New Roman" w:cs="Times New Roman"/>
          <w:b/>
          <w:bCs/>
          <w:kern w:val="2"/>
          <w:sz w:val="20"/>
          <w:szCs w:val="20"/>
          <w:lang w:val="en-GB"/>
          <w14:ligatures w14:val="standardContextual"/>
        </w:rPr>
        <w:t xml:space="preserve"> </w:t>
      </w:r>
      <w:r w:rsidRPr="00C16D1E">
        <w:rPr>
          <w:rFonts w:ascii="Times New Roman" w:eastAsia="Aptos" w:hAnsi="Times New Roman" w:cs="Times New Roman"/>
          <w:kern w:val="2"/>
          <w:sz w:val="20"/>
          <w:szCs w:val="20"/>
          <w:lang w:val="en-GB"/>
          <w14:ligatures w14:val="standardContextual"/>
        </w:rPr>
        <w:t xml:space="preserve">represents the optimal lag length of the VAR system, typically determined using information criteria such as AIC, BIC, or HQ, to capture the dynamic interactions </w:t>
      </w:r>
      <w:r w:rsidRPr="00C16D1E">
        <w:rPr>
          <w:rFonts w:ascii="Times New Roman" w:eastAsia="Aptos" w:hAnsi="Times New Roman" w:cs="Times New Roman"/>
          <w:kern w:val="2"/>
          <w:sz w:val="20"/>
          <w:szCs w:val="20"/>
          <w:lang w:val="en-GB"/>
          <w14:ligatures w14:val="standardContextual"/>
        </w:rPr>
        <w:lastRenderedPageBreak/>
        <w:t>among variables without overfitting. The terms c₁ to</w:t>
      </w:r>
      <w:r w:rsidRPr="00C16D1E">
        <w:rPr>
          <w:rFonts w:ascii="Times New Roman" w:eastAsia="Aptos" w:hAnsi="Times New Roman" w:cs="Times New Roman"/>
          <w:b/>
          <w:bCs/>
          <w:kern w:val="2"/>
          <w:sz w:val="20"/>
          <w:szCs w:val="20"/>
          <w:lang w:val="en-GB"/>
          <w14:ligatures w14:val="standardContextual"/>
        </w:rPr>
        <w:t xml:space="preserve"> c₇</w:t>
      </w:r>
      <w:r w:rsidRPr="00C16D1E">
        <w:rPr>
          <w:rFonts w:ascii="Times New Roman" w:eastAsia="Aptos" w:hAnsi="Times New Roman" w:cs="Times New Roman"/>
          <w:kern w:val="2"/>
          <w:sz w:val="20"/>
          <w:szCs w:val="20"/>
          <w:lang w:val="en-GB"/>
          <w14:ligatures w14:val="standardContextual"/>
        </w:rPr>
        <w:t xml:space="preserve"> are the intercepts in each equation, accounting for the autonomous component of each dependent variable, while </w:t>
      </w:r>
      <w:r w:rsidRPr="00C16D1E">
        <w:rPr>
          <w:rFonts w:ascii="Times New Roman" w:eastAsia="Aptos" w:hAnsi="Times New Roman" w:cs="Times New Roman"/>
          <w:b/>
          <w:bCs/>
          <w:kern w:val="2"/>
          <w:sz w:val="20"/>
          <w:szCs w:val="20"/>
          <w:lang w:val="en-GB"/>
          <w14:ligatures w14:val="standardContextual"/>
        </w:rPr>
        <w:t>ζₜ</w:t>
      </w:r>
      <w:r w:rsidRPr="00C16D1E">
        <w:rPr>
          <w:rFonts w:ascii="Times New Roman" w:eastAsia="Aptos" w:hAnsi="Times New Roman" w:cs="Times New Roman"/>
          <w:kern w:val="2"/>
          <w:sz w:val="20"/>
          <w:szCs w:val="20"/>
          <w:lang w:val="en-GB"/>
          <w14:ligatures w14:val="standardContextual"/>
        </w:rPr>
        <w:t xml:space="preserve"> denotes the white noise residuals, capturing random shocks or unobserved influences. When any variable is integrated of order one, </w:t>
      </w:r>
      <w:proofErr w:type="gramStart"/>
      <w:r w:rsidRPr="00C16D1E">
        <w:rPr>
          <w:rFonts w:ascii="Times New Roman" w:eastAsia="Aptos" w:hAnsi="Times New Roman" w:cs="Times New Roman"/>
          <w:kern w:val="2"/>
          <w:sz w:val="20"/>
          <w:szCs w:val="20"/>
          <w:lang w:val="en-GB"/>
          <w14:ligatures w14:val="standardContextual"/>
        </w:rPr>
        <w:t>I(</w:t>
      </w:r>
      <w:proofErr w:type="gramEnd"/>
      <w:r w:rsidRPr="00C16D1E">
        <w:rPr>
          <w:rFonts w:ascii="Times New Roman" w:eastAsia="Aptos" w:hAnsi="Times New Roman" w:cs="Times New Roman"/>
          <w:kern w:val="2"/>
          <w:sz w:val="20"/>
          <w:szCs w:val="20"/>
          <w:lang w:val="en-GB"/>
          <w14:ligatures w14:val="standardContextual"/>
        </w:rPr>
        <w:t>1), the VAR is augmented by d_max</w:t>
      </w:r>
      <w:r w:rsidRPr="00C16D1E">
        <w:rPr>
          <w:rFonts w:ascii="Times New Roman" w:eastAsia="Aptos" w:hAnsi="Times New Roman" w:cs="Times New Roman"/>
          <w:b/>
          <w:bCs/>
          <w:kern w:val="2"/>
          <w:sz w:val="20"/>
          <w:szCs w:val="20"/>
          <w:lang w:val="en-GB"/>
          <w14:ligatures w14:val="standardContextual"/>
        </w:rPr>
        <w:t>,</w:t>
      </w:r>
      <w:r w:rsidRPr="00C16D1E">
        <w:rPr>
          <w:rFonts w:ascii="Times New Roman" w:eastAsia="Aptos" w:hAnsi="Times New Roman" w:cs="Times New Roman"/>
          <w:kern w:val="2"/>
          <w:sz w:val="20"/>
          <w:szCs w:val="20"/>
          <w:lang w:val="en-GB"/>
          <w14:ligatures w14:val="standardContextual"/>
        </w:rPr>
        <w:t xml:space="preserve"> the maximum order of integration among the variables, usually one, to ensure that Wald tests for Granger causality remain valid. Granger causality is then tested by examining the joint significance of the coefficients on the lagged explanatory variables in each equation; rejection of the null hypothesis that these coefficients are jointly zero indicates that the explanatory variables have predictive power over the dependent variable, confirming the presence of Granger causality.</w:t>
      </w:r>
    </w:p>
    <w:bookmarkEnd w:id="2"/>
    <w:p w14:paraId="4F0E00A1" w14:textId="3F6A1B6D" w:rsidR="00D000B5" w:rsidRPr="00C16D1E" w:rsidRDefault="00D000B5" w:rsidP="00524050">
      <w:pPr>
        <w:autoSpaceDE w:val="0"/>
        <w:autoSpaceDN w:val="0"/>
        <w:adjustRightInd w:val="0"/>
        <w:spacing w:after="200"/>
        <w:jc w:val="both"/>
        <w:rPr>
          <w:rFonts w:ascii="Times New Roman" w:eastAsia="Calibri" w:hAnsi="Times New Roman" w:cs="Times New Roman"/>
          <w:b/>
          <w:bCs/>
          <w:sz w:val="20"/>
          <w:szCs w:val="20"/>
        </w:rPr>
      </w:pPr>
      <w:r w:rsidRPr="00C16D1E">
        <w:rPr>
          <w:rFonts w:ascii="Times New Roman" w:eastAsia="Calibri" w:hAnsi="Times New Roman" w:cs="Times New Roman"/>
          <w:b/>
          <w:sz w:val="20"/>
          <w:szCs w:val="20"/>
        </w:rPr>
        <w:t>Table</w:t>
      </w:r>
      <w:r w:rsidR="004144ED" w:rsidRPr="00C16D1E">
        <w:rPr>
          <w:rFonts w:ascii="Times New Roman" w:eastAsia="Calibri" w:hAnsi="Times New Roman" w:cs="Times New Roman"/>
          <w:b/>
          <w:sz w:val="20"/>
          <w:szCs w:val="20"/>
        </w:rPr>
        <w:t xml:space="preserve"> 3.</w:t>
      </w:r>
      <w:r w:rsidRPr="00C16D1E">
        <w:rPr>
          <w:rFonts w:ascii="Times New Roman" w:eastAsia="Calibri" w:hAnsi="Times New Roman" w:cs="Times New Roman"/>
          <w:b/>
          <w:sz w:val="20"/>
          <w:szCs w:val="20"/>
        </w:rPr>
        <w:t>1</w:t>
      </w:r>
      <w:r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b/>
          <w:bCs/>
          <w:sz w:val="20"/>
          <w:szCs w:val="20"/>
        </w:rPr>
        <w:t>Description of Variables in the Study</w:t>
      </w:r>
    </w:p>
    <w:tbl>
      <w:tblPr>
        <w:tblStyle w:val="TableGrid22"/>
        <w:tblW w:w="9492" w:type="dxa"/>
        <w:tblLook w:val="04A0" w:firstRow="1" w:lastRow="0" w:firstColumn="1" w:lastColumn="0" w:noHBand="0" w:noVBand="1"/>
      </w:tblPr>
      <w:tblGrid>
        <w:gridCol w:w="1873"/>
        <w:gridCol w:w="861"/>
        <w:gridCol w:w="5953"/>
        <w:gridCol w:w="805"/>
      </w:tblGrid>
      <w:tr w:rsidR="00503A20" w:rsidRPr="00C16D1E" w14:paraId="620248C7" w14:textId="77777777" w:rsidTr="00503A20">
        <w:trPr>
          <w:trHeight w:val="252"/>
        </w:trPr>
        <w:tc>
          <w:tcPr>
            <w:tcW w:w="0" w:type="auto"/>
            <w:hideMark/>
          </w:tcPr>
          <w:p w14:paraId="2720B941"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Variable</w:t>
            </w:r>
          </w:p>
        </w:tc>
        <w:tc>
          <w:tcPr>
            <w:tcW w:w="0" w:type="auto"/>
            <w:hideMark/>
          </w:tcPr>
          <w:p w14:paraId="2D6FB467"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Code</w:t>
            </w:r>
          </w:p>
        </w:tc>
        <w:tc>
          <w:tcPr>
            <w:tcW w:w="0" w:type="auto"/>
            <w:hideMark/>
          </w:tcPr>
          <w:p w14:paraId="31689954"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Description and Measurements</w:t>
            </w:r>
          </w:p>
        </w:tc>
        <w:tc>
          <w:tcPr>
            <w:tcW w:w="0" w:type="auto"/>
            <w:hideMark/>
          </w:tcPr>
          <w:p w14:paraId="14CEF10D" w14:textId="77777777" w:rsidR="00503A20" w:rsidRPr="00C16D1E" w:rsidRDefault="00503A20"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Source</w:t>
            </w:r>
          </w:p>
        </w:tc>
      </w:tr>
      <w:tr w:rsidR="00503A20" w:rsidRPr="00C16D1E" w14:paraId="69B41446" w14:textId="77777777" w:rsidTr="00503A20">
        <w:trPr>
          <w:trHeight w:val="770"/>
        </w:trPr>
        <w:tc>
          <w:tcPr>
            <w:tcW w:w="0" w:type="auto"/>
            <w:hideMark/>
          </w:tcPr>
          <w:p w14:paraId="0CAED7F5"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GDP per capita</w:t>
            </w:r>
          </w:p>
        </w:tc>
        <w:tc>
          <w:tcPr>
            <w:tcW w:w="0" w:type="auto"/>
            <w:hideMark/>
          </w:tcPr>
          <w:p w14:paraId="2A9F876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GDPPC</w:t>
            </w:r>
          </w:p>
        </w:tc>
        <w:tc>
          <w:tcPr>
            <w:tcW w:w="0" w:type="auto"/>
            <w:hideMark/>
          </w:tcPr>
          <w:p w14:paraId="451B4DF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Calculated by dividing a country’s GDP by its population, showcasing the nation’s economic value on a per-person basis.</w:t>
            </w:r>
          </w:p>
        </w:tc>
        <w:tc>
          <w:tcPr>
            <w:tcW w:w="0" w:type="auto"/>
            <w:hideMark/>
          </w:tcPr>
          <w:p w14:paraId="438BEA9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1B2FD587" w14:textId="77777777" w:rsidTr="00503A20">
        <w:trPr>
          <w:trHeight w:val="770"/>
        </w:trPr>
        <w:tc>
          <w:tcPr>
            <w:tcW w:w="0" w:type="auto"/>
            <w:hideMark/>
          </w:tcPr>
          <w:p w14:paraId="3C7AA4B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Rule of Law</w:t>
            </w:r>
          </w:p>
        </w:tc>
        <w:tc>
          <w:tcPr>
            <w:tcW w:w="0" w:type="auto"/>
            <w:hideMark/>
          </w:tcPr>
          <w:p w14:paraId="480DA77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RL</w:t>
            </w:r>
          </w:p>
        </w:tc>
        <w:tc>
          <w:tcPr>
            <w:tcW w:w="0" w:type="auto"/>
            <w:hideMark/>
          </w:tcPr>
          <w:p w14:paraId="4EDD854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extent to which agents have confidence in and abide by the rules of society.</w:t>
            </w:r>
          </w:p>
        </w:tc>
        <w:tc>
          <w:tcPr>
            <w:tcW w:w="0" w:type="auto"/>
            <w:hideMark/>
          </w:tcPr>
          <w:p w14:paraId="234EA58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25188103" w14:textId="77777777" w:rsidTr="00503A20">
        <w:trPr>
          <w:trHeight w:val="770"/>
        </w:trPr>
        <w:tc>
          <w:tcPr>
            <w:tcW w:w="0" w:type="auto"/>
            <w:hideMark/>
          </w:tcPr>
          <w:p w14:paraId="151F4E19"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Government Effectiveness</w:t>
            </w:r>
          </w:p>
        </w:tc>
        <w:tc>
          <w:tcPr>
            <w:tcW w:w="0" w:type="auto"/>
            <w:hideMark/>
          </w:tcPr>
          <w:p w14:paraId="6D03D57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GE</w:t>
            </w:r>
          </w:p>
        </w:tc>
        <w:tc>
          <w:tcPr>
            <w:tcW w:w="0" w:type="auto"/>
            <w:hideMark/>
          </w:tcPr>
          <w:p w14:paraId="4720516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Perceptions of the quality of public services, civil service, and the degree of its independence from political pressures.</w:t>
            </w:r>
          </w:p>
        </w:tc>
        <w:tc>
          <w:tcPr>
            <w:tcW w:w="0" w:type="auto"/>
            <w:hideMark/>
          </w:tcPr>
          <w:p w14:paraId="3DDEBD7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0DEF73E6" w14:textId="77777777" w:rsidTr="00503A20">
        <w:trPr>
          <w:trHeight w:val="1022"/>
        </w:trPr>
        <w:tc>
          <w:tcPr>
            <w:tcW w:w="0" w:type="auto"/>
            <w:hideMark/>
          </w:tcPr>
          <w:p w14:paraId="381A1BB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Regulatory Quality</w:t>
            </w:r>
          </w:p>
        </w:tc>
        <w:tc>
          <w:tcPr>
            <w:tcW w:w="0" w:type="auto"/>
            <w:hideMark/>
          </w:tcPr>
          <w:p w14:paraId="5CA539B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RQ</w:t>
            </w:r>
          </w:p>
        </w:tc>
        <w:tc>
          <w:tcPr>
            <w:tcW w:w="0" w:type="auto"/>
            <w:hideMark/>
          </w:tcPr>
          <w:p w14:paraId="49A3978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ability of the government to formulate and implement sound policies and regulations that permit and promote private sector development.</w:t>
            </w:r>
          </w:p>
        </w:tc>
        <w:tc>
          <w:tcPr>
            <w:tcW w:w="0" w:type="auto"/>
            <w:hideMark/>
          </w:tcPr>
          <w:p w14:paraId="23F876B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3C681B4D" w14:textId="77777777" w:rsidTr="00503A20">
        <w:trPr>
          <w:trHeight w:val="1289"/>
        </w:trPr>
        <w:tc>
          <w:tcPr>
            <w:tcW w:w="0" w:type="auto"/>
            <w:hideMark/>
          </w:tcPr>
          <w:p w14:paraId="363DE61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Voice &amp; Accountability</w:t>
            </w:r>
          </w:p>
        </w:tc>
        <w:tc>
          <w:tcPr>
            <w:tcW w:w="0" w:type="auto"/>
            <w:hideMark/>
          </w:tcPr>
          <w:p w14:paraId="7FB1E32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VA</w:t>
            </w:r>
          </w:p>
        </w:tc>
        <w:tc>
          <w:tcPr>
            <w:tcW w:w="0" w:type="auto"/>
            <w:hideMark/>
          </w:tcPr>
          <w:p w14:paraId="6663B88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Perception of the extent to which a country’s citizens can participate in selecting their government, freedom of speech and association, and the independence of the media.</w:t>
            </w:r>
          </w:p>
        </w:tc>
        <w:tc>
          <w:tcPr>
            <w:tcW w:w="0" w:type="auto"/>
            <w:hideMark/>
          </w:tcPr>
          <w:p w14:paraId="1AAB65A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58CD4F41" w14:textId="77777777" w:rsidTr="00503A20">
        <w:trPr>
          <w:trHeight w:val="504"/>
        </w:trPr>
        <w:tc>
          <w:tcPr>
            <w:tcW w:w="0" w:type="auto"/>
            <w:hideMark/>
          </w:tcPr>
          <w:p w14:paraId="00EC2C1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Control of Corruption</w:t>
            </w:r>
          </w:p>
        </w:tc>
        <w:tc>
          <w:tcPr>
            <w:tcW w:w="0" w:type="auto"/>
            <w:hideMark/>
          </w:tcPr>
          <w:p w14:paraId="7F6372D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CC</w:t>
            </w:r>
          </w:p>
        </w:tc>
        <w:tc>
          <w:tcPr>
            <w:tcW w:w="0" w:type="auto"/>
            <w:hideMark/>
          </w:tcPr>
          <w:p w14:paraId="253AC808" w14:textId="5CBF0174" w:rsidR="00503A20" w:rsidRPr="00C16D1E" w:rsidRDefault="00ED7E6C"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extent</w:t>
            </w:r>
            <w:r w:rsidR="00503A20" w:rsidRPr="00C16D1E">
              <w:rPr>
                <w:rFonts w:ascii="Times New Roman" w:eastAsia="Times New Roman" w:hAnsi="Times New Roman" w:cs="Times New Roman"/>
                <w:sz w:val="20"/>
                <w:szCs w:val="20"/>
                <w:lang w:val="en-GB" w:eastAsia="en-GB"/>
              </w:rPr>
              <w:t xml:space="preserve"> to which public power is exercised for private gain.</w:t>
            </w:r>
          </w:p>
        </w:tc>
        <w:tc>
          <w:tcPr>
            <w:tcW w:w="0" w:type="auto"/>
            <w:hideMark/>
          </w:tcPr>
          <w:p w14:paraId="5B18930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64D91964" w14:textId="77777777" w:rsidTr="00503A20">
        <w:trPr>
          <w:trHeight w:val="770"/>
        </w:trPr>
        <w:tc>
          <w:tcPr>
            <w:tcW w:w="0" w:type="auto"/>
            <w:hideMark/>
          </w:tcPr>
          <w:p w14:paraId="5766570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Political Stability</w:t>
            </w:r>
          </w:p>
        </w:tc>
        <w:tc>
          <w:tcPr>
            <w:tcW w:w="0" w:type="auto"/>
            <w:hideMark/>
          </w:tcPr>
          <w:p w14:paraId="0C26001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PS</w:t>
            </w:r>
          </w:p>
        </w:tc>
        <w:tc>
          <w:tcPr>
            <w:tcW w:w="0" w:type="auto"/>
            <w:hideMark/>
          </w:tcPr>
          <w:p w14:paraId="28DE239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Measures the perception of the likelihood of political instability, politically motivated violence, or terrorism.</w:t>
            </w:r>
          </w:p>
        </w:tc>
        <w:tc>
          <w:tcPr>
            <w:tcW w:w="0" w:type="auto"/>
            <w:hideMark/>
          </w:tcPr>
          <w:p w14:paraId="6D07F1E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WGI</w:t>
            </w:r>
          </w:p>
        </w:tc>
      </w:tr>
      <w:tr w:rsidR="00503A20" w:rsidRPr="00C16D1E" w14:paraId="47BA9772" w14:textId="77777777" w:rsidTr="00503A20">
        <w:trPr>
          <w:trHeight w:val="770"/>
        </w:trPr>
        <w:tc>
          <w:tcPr>
            <w:tcW w:w="0" w:type="auto"/>
            <w:hideMark/>
          </w:tcPr>
          <w:p w14:paraId="77D53CC1"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Secondary School Enrolment</w:t>
            </w:r>
          </w:p>
        </w:tc>
        <w:tc>
          <w:tcPr>
            <w:tcW w:w="0" w:type="auto"/>
            <w:hideMark/>
          </w:tcPr>
          <w:p w14:paraId="4A88BE4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SSE</w:t>
            </w:r>
          </w:p>
        </w:tc>
        <w:tc>
          <w:tcPr>
            <w:tcW w:w="0" w:type="auto"/>
            <w:hideMark/>
          </w:tcPr>
          <w:p w14:paraId="7AF9C2D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Measured as the net % of secondary school enrolment.</w:t>
            </w:r>
          </w:p>
        </w:tc>
        <w:tc>
          <w:tcPr>
            <w:tcW w:w="0" w:type="auto"/>
            <w:hideMark/>
          </w:tcPr>
          <w:p w14:paraId="5AB40898"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059809EF" w14:textId="77777777" w:rsidTr="00503A20">
        <w:trPr>
          <w:trHeight w:val="504"/>
        </w:trPr>
        <w:tc>
          <w:tcPr>
            <w:tcW w:w="0" w:type="auto"/>
            <w:hideMark/>
          </w:tcPr>
          <w:p w14:paraId="5C50BD4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Foreign Direct Investment</w:t>
            </w:r>
          </w:p>
        </w:tc>
        <w:tc>
          <w:tcPr>
            <w:tcW w:w="0" w:type="auto"/>
            <w:hideMark/>
          </w:tcPr>
          <w:p w14:paraId="207AA7A9"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FDI</w:t>
            </w:r>
          </w:p>
        </w:tc>
        <w:tc>
          <w:tcPr>
            <w:tcW w:w="0" w:type="auto"/>
            <w:hideMark/>
          </w:tcPr>
          <w:p w14:paraId="1C7EC7D4"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Measures the net flows as a percentage of GDP.</w:t>
            </w:r>
          </w:p>
        </w:tc>
        <w:tc>
          <w:tcPr>
            <w:tcW w:w="0" w:type="auto"/>
            <w:hideMark/>
          </w:tcPr>
          <w:p w14:paraId="46C4C3CA"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58A9802B" w14:textId="77777777" w:rsidTr="00503A20">
        <w:trPr>
          <w:trHeight w:val="518"/>
        </w:trPr>
        <w:tc>
          <w:tcPr>
            <w:tcW w:w="0" w:type="auto"/>
            <w:hideMark/>
          </w:tcPr>
          <w:p w14:paraId="34C1B85E"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Trade Openness</w:t>
            </w:r>
          </w:p>
        </w:tc>
        <w:tc>
          <w:tcPr>
            <w:tcW w:w="0" w:type="auto"/>
            <w:hideMark/>
          </w:tcPr>
          <w:p w14:paraId="06CABDE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TRO</w:t>
            </w:r>
          </w:p>
        </w:tc>
        <w:tc>
          <w:tcPr>
            <w:tcW w:w="0" w:type="auto"/>
            <w:hideMark/>
          </w:tcPr>
          <w:p w14:paraId="2AE2F80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Sum of imports and exports as a percentage of GDP.</w:t>
            </w:r>
          </w:p>
        </w:tc>
        <w:tc>
          <w:tcPr>
            <w:tcW w:w="0" w:type="auto"/>
            <w:hideMark/>
          </w:tcPr>
          <w:p w14:paraId="60528447"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456F3649" w14:textId="77777777" w:rsidTr="00503A20">
        <w:trPr>
          <w:trHeight w:val="770"/>
        </w:trPr>
        <w:tc>
          <w:tcPr>
            <w:tcW w:w="0" w:type="auto"/>
            <w:hideMark/>
          </w:tcPr>
          <w:p w14:paraId="6AE2AF3B"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Natural Resource Endowment</w:t>
            </w:r>
          </w:p>
        </w:tc>
        <w:tc>
          <w:tcPr>
            <w:tcW w:w="0" w:type="auto"/>
            <w:hideMark/>
          </w:tcPr>
          <w:p w14:paraId="15696026"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NRE</w:t>
            </w:r>
          </w:p>
        </w:tc>
        <w:tc>
          <w:tcPr>
            <w:tcW w:w="0" w:type="auto"/>
            <w:hideMark/>
          </w:tcPr>
          <w:p w14:paraId="069A5312"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Total natural resource rents as a percentage of GDP, including oil, gas, mineral, and forest rents.</w:t>
            </w:r>
          </w:p>
        </w:tc>
        <w:tc>
          <w:tcPr>
            <w:tcW w:w="0" w:type="auto"/>
            <w:hideMark/>
          </w:tcPr>
          <w:p w14:paraId="69719508"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r w:rsidR="00503A20" w:rsidRPr="00C16D1E" w14:paraId="1F3D5E2A" w14:textId="77777777" w:rsidTr="00503A20">
        <w:trPr>
          <w:trHeight w:val="770"/>
        </w:trPr>
        <w:tc>
          <w:tcPr>
            <w:tcW w:w="0" w:type="auto"/>
            <w:hideMark/>
          </w:tcPr>
          <w:p w14:paraId="56827B50"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Gross Fixed Capital Formation</w:t>
            </w:r>
          </w:p>
        </w:tc>
        <w:tc>
          <w:tcPr>
            <w:tcW w:w="0" w:type="auto"/>
            <w:hideMark/>
          </w:tcPr>
          <w:p w14:paraId="66C1A25F"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GFCF</w:t>
            </w:r>
          </w:p>
        </w:tc>
        <w:tc>
          <w:tcPr>
            <w:tcW w:w="0" w:type="auto"/>
            <w:hideMark/>
          </w:tcPr>
          <w:p w14:paraId="2D7F0F73"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Total investment in fixed assets, plus net changes in the level of inventories, measured as a percentage of GDP.</w:t>
            </w:r>
          </w:p>
        </w:tc>
        <w:tc>
          <w:tcPr>
            <w:tcW w:w="0" w:type="auto"/>
            <w:hideMark/>
          </w:tcPr>
          <w:p w14:paraId="7E8068B2" w14:textId="77777777" w:rsidR="00503A20" w:rsidRPr="00C16D1E" w:rsidRDefault="00503A20" w:rsidP="00524050">
            <w:pPr>
              <w:jc w:val="left"/>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WDI</w:t>
            </w:r>
          </w:p>
        </w:tc>
      </w:tr>
    </w:tbl>
    <w:p w14:paraId="7508DAB7" w14:textId="77777777" w:rsidR="00351E7F" w:rsidRPr="00C16D1E" w:rsidRDefault="00D000B5" w:rsidP="00524050">
      <w:pPr>
        <w:autoSpaceDE w:val="0"/>
        <w:autoSpaceDN w:val="0"/>
        <w:adjustRightInd w:val="0"/>
        <w:spacing w:after="200"/>
        <w:jc w:val="both"/>
        <w:rPr>
          <w:rFonts w:ascii="Times New Roman" w:eastAsia="Calibri" w:hAnsi="Times New Roman" w:cs="Times New Roman"/>
          <w:bCs/>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b/>
          <w:sz w:val="20"/>
          <w:szCs w:val="20"/>
        </w:rPr>
        <w:t xml:space="preserve">: </w:t>
      </w:r>
      <w:r w:rsidRPr="00C16D1E">
        <w:rPr>
          <w:rFonts w:ascii="Times New Roman" w:eastAsia="Calibri" w:hAnsi="Times New Roman" w:cs="Times New Roman"/>
          <w:bCs/>
          <w:sz w:val="20"/>
          <w:szCs w:val="20"/>
        </w:rPr>
        <w:t>WDI represents World Development Indicators, and WGI represents World Governance Indicators.</w:t>
      </w:r>
    </w:p>
    <w:p w14:paraId="70AB99CF" w14:textId="4A4931D0" w:rsidR="00A86A09" w:rsidRPr="00C16D1E" w:rsidRDefault="00D000B5" w:rsidP="00524050">
      <w:pPr>
        <w:autoSpaceDE w:val="0"/>
        <w:autoSpaceDN w:val="0"/>
        <w:adjustRightInd w:val="0"/>
        <w:spacing w:after="200"/>
        <w:jc w:val="both"/>
        <w:rPr>
          <w:b/>
          <w:sz w:val="20"/>
          <w:szCs w:val="20"/>
        </w:rPr>
      </w:pPr>
      <w:r w:rsidRPr="00C16D1E">
        <w:rPr>
          <w:rFonts w:ascii="Times New Roman" w:eastAsia="Times New Roman" w:hAnsi="Times New Roman" w:cs="Times New Roman"/>
          <w:b/>
          <w:sz w:val="20"/>
          <w:szCs w:val="20"/>
        </w:rPr>
        <w:t xml:space="preserve">Source: </w:t>
      </w:r>
      <w:r w:rsidRPr="00C16D1E">
        <w:rPr>
          <w:rFonts w:ascii="Times New Roman" w:eastAsia="Times New Roman" w:hAnsi="Times New Roman" w:cs="Times New Roman"/>
          <w:bCs/>
          <w:sz w:val="20"/>
          <w:szCs w:val="20"/>
          <w:lang w:val="en-GB"/>
        </w:rPr>
        <w:t>Author’s Compilation 202</w:t>
      </w:r>
      <w:r w:rsidR="00E636FD" w:rsidRPr="00C16D1E">
        <w:rPr>
          <w:rFonts w:ascii="Times New Roman" w:eastAsia="Times New Roman" w:hAnsi="Times New Roman" w:cs="Times New Roman"/>
          <w:bCs/>
          <w:sz w:val="20"/>
          <w:szCs w:val="20"/>
          <w:lang w:val="en-GB"/>
        </w:rPr>
        <w:t>6</w:t>
      </w:r>
      <w:r w:rsidR="00ED7E6C" w:rsidRPr="00C16D1E">
        <w:rPr>
          <w:rFonts w:ascii="Times New Roman" w:eastAsia="Times New Roman" w:hAnsi="Times New Roman" w:cs="Times New Roman"/>
          <w:bCs/>
          <w:sz w:val="20"/>
          <w:szCs w:val="20"/>
          <w:lang w:val="en-GB"/>
        </w:rPr>
        <w:t>.</w:t>
      </w:r>
    </w:p>
    <w:p w14:paraId="6E91B785" w14:textId="56869AA9" w:rsidR="00D000B5" w:rsidRPr="00C16D1E" w:rsidRDefault="00D000B5" w:rsidP="00524050">
      <w:pPr>
        <w:pStyle w:val="NormalWeb"/>
        <w:jc w:val="both"/>
        <w:rPr>
          <w:b/>
          <w:sz w:val="20"/>
          <w:szCs w:val="20"/>
        </w:rPr>
      </w:pPr>
      <w:r w:rsidRPr="00C16D1E">
        <w:rPr>
          <w:b/>
          <w:sz w:val="20"/>
          <w:szCs w:val="20"/>
        </w:rPr>
        <w:t>3.</w:t>
      </w:r>
      <w:r w:rsidR="005D680B" w:rsidRPr="00C16D1E">
        <w:rPr>
          <w:b/>
          <w:sz w:val="20"/>
          <w:szCs w:val="20"/>
        </w:rPr>
        <w:t>4</w:t>
      </w:r>
      <w:r w:rsidRPr="00C16D1E">
        <w:rPr>
          <w:b/>
          <w:sz w:val="20"/>
          <w:szCs w:val="20"/>
        </w:rPr>
        <w:t xml:space="preserve"> Justification for Employing the Principal Component Analysis</w:t>
      </w:r>
    </w:p>
    <w:p w14:paraId="673A69D1" w14:textId="77777777" w:rsidR="00D000B5" w:rsidRPr="00C16D1E" w:rsidRDefault="00D000B5" w:rsidP="00524050">
      <w:pPr>
        <w:pStyle w:val="NormalWeb"/>
        <w:jc w:val="both"/>
        <w:rPr>
          <w:sz w:val="20"/>
          <w:szCs w:val="20"/>
        </w:rPr>
      </w:pPr>
      <w:r w:rsidRPr="00C16D1E">
        <w:rPr>
          <w:sz w:val="20"/>
          <w:szCs w:val="20"/>
        </w:rPr>
        <w:t xml:space="preserve">The six Worldwide Governance Indicators: Voice and Accountability, Political Stability, Government Effectiveness, Regulatory Quality, Rule of Law, and Control of Corruption were combined into a single </w:t>
      </w:r>
      <w:r w:rsidRPr="00C16D1E">
        <w:rPr>
          <w:sz w:val="20"/>
          <w:szCs w:val="20"/>
        </w:rPr>
        <w:lastRenderedPageBreak/>
        <w:t xml:space="preserve">composite index using principal component analysis (PCA). This method extracts the first principal component, which captures the maximum shared variance among the highly correlated indicators (pairwise correlations 0.75–0.95), thereby generating data-driven weights while addressing multicollinearity that would arise from separate inclusion (Langbein &amp; Knack, 2010). PCA reduces dimensionality, mitigates measurement error, and produces a parsimonious measure of institutional quality widely employed in the empirical institutions literature (Emara &amp; Chiu, 2016; Polat, 2020; Ejemeyovwi </w:t>
      </w:r>
      <w:r w:rsidRPr="00C16D1E">
        <w:rPr>
          <w:i/>
          <w:sz w:val="20"/>
          <w:szCs w:val="20"/>
        </w:rPr>
        <w:t>et al</w:t>
      </w:r>
      <w:r w:rsidRPr="00C16D1E">
        <w:rPr>
          <w:sz w:val="20"/>
          <w:szCs w:val="20"/>
        </w:rPr>
        <w:t xml:space="preserve">., 2024; Shaharuddin </w:t>
      </w:r>
      <w:r w:rsidRPr="00C16D1E">
        <w:rPr>
          <w:i/>
          <w:sz w:val="20"/>
          <w:szCs w:val="20"/>
        </w:rPr>
        <w:t>et al</w:t>
      </w:r>
      <w:r w:rsidRPr="00C16D1E">
        <w:rPr>
          <w:sz w:val="20"/>
          <w:szCs w:val="20"/>
        </w:rPr>
        <w:t>., 2024). The resulting index, normalised to a 0–100 scale, serves as the primary measure of institutional quality (INQ) in all specifications, with robustness to equal weighting reported in Appendix C.</w:t>
      </w:r>
    </w:p>
    <w:p w14:paraId="46FA648C" w14:textId="577582D9" w:rsidR="00D000B5" w:rsidRPr="00C16D1E" w:rsidRDefault="005D680B" w:rsidP="00524050">
      <w:pPr>
        <w:spacing w:after="200"/>
        <w:jc w:val="both"/>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3.5</w:t>
      </w:r>
      <w:r w:rsidR="00D000B5" w:rsidRPr="00C16D1E">
        <w:rPr>
          <w:rFonts w:ascii="Times New Roman" w:eastAsia="Times New Roman" w:hAnsi="Times New Roman" w:cs="Times New Roman"/>
          <w:b/>
          <w:sz w:val="20"/>
          <w:szCs w:val="20"/>
        </w:rPr>
        <w:t xml:space="preserve"> Estimation Technique</w:t>
      </w:r>
    </w:p>
    <w:p w14:paraId="03A89071" w14:textId="4454D511" w:rsidR="005F57BB" w:rsidRPr="00C16D1E" w:rsidRDefault="00AE4D31" w:rsidP="00524050">
      <w:pPr>
        <w:jc w:val="both"/>
        <w:rPr>
          <w:rFonts w:ascii="Times New Roman" w:eastAsia="Calibri" w:hAnsi="Times New Roman" w:cs="Times New Roman"/>
          <w:b/>
          <w:sz w:val="20"/>
          <w:szCs w:val="20"/>
        </w:rPr>
      </w:pPr>
      <w:r w:rsidRPr="00C16D1E">
        <w:rPr>
          <w:rFonts w:ascii="Times New Roman" w:eastAsia="Calibri" w:hAnsi="Times New Roman" w:cs="Times New Roman"/>
          <w:sz w:val="20"/>
          <w:szCs w:val="20"/>
          <w:lang w:val="en-GB"/>
        </w:rPr>
        <w:t xml:space="preserve"> </w:t>
      </w:r>
      <w:r w:rsidR="00DB7714" w:rsidRPr="00C16D1E">
        <w:rPr>
          <w:rFonts w:ascii="Times New Roman" w:eastAsia="Calibri" w:hAnsi="Times New Roman" w:cs="Times New Roman"/>
          <w:sz w:val="20"/>
          <w:szCs w:val="20"/>
          <w:lang w:val="en-GB"/>
        </w:rPr>
        <w:t>The estimation phase utilised the ARDL error correction framework to analyse both short-run and long-run dynamics.</w:t>
      </w:r>
      <w:r w:rsidR="001C1EA3" w:rsidRPr="00C16D1E">
        <w:rPr>
          <w:rFonts w:ascii="Times New Roman" w:eastAsia="Calibri" w:hAnsi="Times New Roman" w:cs="Times New Roman"/>
          <w:sz w:val="20"/>
          <w:szCs w:val="20"/>
          <w:lang w:val="en-GB"/>
        </w:rPr>
        <w:t xml:space="preserve"> The key advantages of the bounds testing approach </w:t>
      </w:r>
      <w:r w:rsidR="00543C33" w:rsidRPr="00C16D1E">
        <w:rPr>
          <w:rFonts w:ascii="Times New Roman" w:eastAsia="Calibri" w:hAnsi="Times New Roman" w:cs="Times New Roman"/>
          <w:sz w:val="20"/>
          <w:szCs w:val="20"/>
          <w:lang w:val="en-GB"/>
        </w:rPr>
        <w:t>allow for mixed orders of integration [</w:t>
      </w:r>
      <w:proofErr w:type="gramStart"/>
      <w:r w:rsidR="00543C33" w:rsidRPr="00C16D1E">
        <w:rPr>
          <w:rFonts w:ascii="Times New Roman" w:eastAsia="Calibri" w:hAnsi="Times New Roman" w:cs="Times New Roman"/>
          <w:sz w:val="20"/>
          <w:szCs w:val="20"/>
          <w:lang w:val="en-GB"/>
        </w:rPr>
        <w:t>I(</w:t>
      </w:r>
      <w:proofErr w:type="gramEnd"/>
      <w:r w:rsidR="00543C33" w:rsidRPr="00C16D1E">
        <w:rPr>
          <w:rFonts w:ascii="Times New Roman" w:eastAsia="Calibri" w:hAnsi="Times New Roman" w:cs="Times New Roman"/>
          <w:sz w:val="20"/>
          <w:szCs w:val="20"/>
          <w:lang w:val="en-GB"/>
        </w:rPr>
        <w:t>0) and I(1)], unlike traditional integration methods that require all variables to be integrated to the same order, usually I(1). Also, the technique is effective with small sample sizes (e.g., 30-80 data points), as it yields more robust, reliable, and super-consistent results.</w:t>
      </w:r>
      <w:r w:rsidR="00DB7714" w:rsidRPr="00C16D1E">
        <w:rPr>
          <w:rFonts w:ascii="Times New Roman" w:eastAsia="Calibri" w:hAnsi="Times New Roman" w:cs="Times New Roman"/>
          <w:sz w:val="20"/>
          <w:szCs w:val="20"/>
          <w:lang w:val="en-GB"/>
        </w:rPr>
        <w:t xml:space="preserve"> The technique </w:t>
      </w:r>
      <w:r w:rsidR="00273386" w:rsidRPr="00C16D1E">
        <w:rPr>
          <w:rFonts w:ascii="Times New Roman" w:eastAsia="Calibri" w:hAnsi="Times New Roman" w:cs="Times New Roman"/>
          <w:sz w:val="20"/>
          <w:szCs w:val="20"/>
          <w:lang w:val="en-GB"/>
        </w:rPr>
        <w:t>minimises</w:t>
      </w:r>
      <w:r w:rsidR="00DB7714" w:rsidRPr="00C16D1E">
        <w:rPr>
          <w:rFonts w:ascii="Times New Roman" w:eastAsia="Calibri" w:hAnsi="Times New Roman" w:cs="Times New Roman"/>
          <w:sz w:val="20"/>
          <w:szCs w:val="20"/>
          <w:lang w:val="en-GB"/>
        </w:rPr>
        <w:t xml:space="preserve"> endogeneity issues </w:t>
      </w:r>
      <w:r w:rsidR="00A734D9" w:rsidRPr="00C16D1E">
        <w:rPr>
          <w:rFonts w:ascii="Times New Roman" w:eastAsia="Calibri" w:hAnsi="Times New Roman" w:cs="Times New Roman"/>
          <w:sz w:val="20"/>
          <w:szCs w:val="20"/>
          <w:lang w:val="en-GB"/>
        </w:rPr>
        <w:t>by operating under the assumption that all variables are endogenous and by involving</w:t>
      </w:r>
      <w:r w:rsidR="00DB7714" w:rsidRPr="00C16D1E">
        <w:rPr>
          <w:rFonts w:ascii="Times New Roman" w:eastAsia="Calibri" w:hAnsi="Times New Roman" w:cs="Times New Roman"/>
          <w:sz w:val="20"/>
          <w:szCs w:val="20"/>
          <w:lang w:val="en-GB"/>
        </w:rPr>
        <w:t xml:space="preserve"> a single long-run relationship, allowing for clear identification of dependent and independent variables. According to Pesaran, Smith, and Shin (2001), the ARDL approach posits a unique </w:t>
      </w:r>
      <w:r w:rsidR="00273386" w:rsidRPr="00C16D1E">
        <w:rPr>
          <w:rFonts w:ascii="Times New Roman" w:eastAsia="Calibri" w:hAnsi="Times New Roman" w:cs="Times New Roman"/>
          <w:sz w:val="20"/>
          <w:szCs w:val="20"/>
          <w:lang w:val="en-GB"/>
        </w:rPr>
        <w:t>reduced-form</w:t>
      </w:r>
      <w:r w:rsidR="00DB7714" w:rsidRPr="00C16D1E">
        <w:rPr>
          <w:rFonts w:ascii="Times New Roman" w:eastAsia="Calibri" w:hAnsi="Times New Roman" w:cs="Times New Roman"/>
          <w:sz w:val="20"/>
          <w:szCs w:val="20"/>
          <w:lang w:val="en-GB"/>
        </w:rPr>
        <w:t xml:space="preserve"> equation relationship between the dependent and exogenous variables. </w:t>
      </w:r>
      <w:r w:rsidR="00273386" w:rsidRPr="00C16D1E">
        <w:rPr>
          <w:rFonts w:ascii="Times New Roman" w:eastAsia="Calibri" w:hAnsi="Times New Roman" w:cs="Times New Roman"/>
          <w:sz w:val="20"/>
          <w:szCs w:val="20"/>
          <w:lang w:val="en-GB"/>
        </w:rPr>
        <w:t>Moreover</w:t>
      </w:r>
      <w:r w:rsidR="00DB7714" w:rsidRPr="00C16D1E">
        <w:rPr>
          <w:rFonts w:ascii="Times New Roman" w:eastAsia="Calibri" w:hAnsi="Times New Roman" w:cs="Times New Roman"/>
          <w:sz w:val="20"/>
          <w:szCs w:val="20"/>
          <w:lang w:val="en-GB"/>
        </w:rPr>
        <w:t xml:space="preserve">, </w:t>
      </w:r>
      <w:r w:rsidR="00A734D9" w:rsidRPr="00C16D1E">
        <w:rPr>
          <w:rFonts w:ascii="Times New Roman" w:eastAsia="Calibri" w:hAnsi="Times New Roman" w:cs="Times New Roman"/>
          <w:sz w:val="20"/>
          <w:szCs w:val="20"/>
          <w:lang w:val="en-GB"/>
        </w:rPr>
        <w:t>Toda-Yamamoto Granger causality tests were conducted to examine the direction of causality among</w:t>
      </w:r>
      <w:r w:rsidR="00D000B5" w:rsidRPr="00C16D1E">
        <w:rPr>
          <w:rFonts w:ascii="Times New Roman" w:eastAsia="Calibri" w:hAnsi="Times New Roman" w:cs="Times New Roman"/>
          <w:sz w:val="20"/>
          <w:szCs w:val="20"/>
          <w:lang w:val="en-GB"/>
        </w:rPr>
        <w:t xml:space="preserve"> natural resource endowment, institutional quality, and economic performance. Model stability was assessed using the CUSUM and CUSUMSQ tests, and a series of diagnostic evaluations covering serial correlation, heteroskedasticity, normality, variance inflation test and CUSUMSQ stability tests were performed to confirm the robustness and validity of the estimated models. All empirical analyses were conducted using EViews 1</w:t>
      </w:r>
      <w:r w:rsidR="00C03FDE" w:rsidRPr="00C16D1E">
        <w:rPr>
          <w:rFonts w:ascii="Times New Roman" w:eastAsia="Calibri" w:hAnsi="Times New Roman" w:cs="Times New Roman"/>
          <w:sz w:val="20"/>
          <w:szCs w:val="20"/>
          <w:lang w:val="en-GB"/>
        </w:rPr>
        <w:t>4</w:t>
      </w:r>
      <w:r w:rsidR="00F830B2" w:rsidRPr="00C16D1E">
        <w:rPr>
          <w:rFonts w:ascii="Times New Roman" w:eastAsia="Calibri" w:hAnsi="Times New Roman" w:cs="Times New Roman"/>
          <w:sz w:val="20"/>
          <w:szCs w:val="20"/>
          <w:lang w:val="en-GB"/>
        </w:rPr>
        <w:t>.</w:t>
      </w:r>
      <w:bookmarkStart w:id="3" w:name="_Hlk160382094"/>
      <w:bookmarkStart w:id="4" w:name="_Hlk208452993"/>
    </w:p>
    <w:p w14:paraId="488693D2" w14:textId="77777777" w:rsidR="00D207FE" w:rsidRPr="00C16D1E" w:rsidRDefault="00D207FE" w:rsidP="00524050">
      <w:pPr>
        <w:contextualSpacing/>
        <w:jc w:val="center"/>
        <w:rPr>
          <w:rFonts w:ascii="Times New Roman" w:eastAsia="Times New Roman" w:hAnsi="Times New Roman" w:cs="Times New Roman"/>
          <w:b/>
          <w:sz w:val="20"/>
          <w:szCs w:val="20"/>
        </w:rPr>
      </w:pPr>
      <w:r w:rsidRPr="00C16D1E">
        <w:rPr>
          <w:rFonts w:ascii="Times New Roman" w:eastAsia="Times New Roman" w:hAnsi="Times New Roman" w:cs="Times New Roman"/>
          <w:b/>
          <w:sz w:val="20"/>
          <w:szCs w:val="20"/>
        </w:rPr>
        <w:t>DATA PRESENTATION AND RESULTS</w:t>
      </w:r>
    </w:p>
    <w:p w14:paraId="5AD19E4F" w14:textId="77777777" w:rsidR="00A86A09" w:rsidRPr="00C16D1E" w:rsidRDefault="00A86A09" w:rsidP="00524050">
      <w:pPr>
        <w:spacing w:after="200"/>
        <w:jc w:val="both"/>
        <w:rPr>
          <w:rFonts w:ascii="Times New Roman" w:eastAsia="Calibri" w:hAnsi="Times New Roman" w:cs="Times New Roman"/>
          <w:b/>
          <w:sz w:val="20"/>
          <w:szCs w:val="20"/>
        </w:rPr>
      </w:pPr>
      <w:r w:rsidRPr="00C16D1E">
        <w:rPr>
          <w:rFonts w:ascii="Times New Roman" w:eastAsia="Calibri" w:hAnsi="Times New Roman" w:cs="Times New Roman"/>
          <w:b/>
          <w:sz w:val="20"/>
          <w:szCs w:val="20"/>
        </w:rPr>
        <w:t>4.1 Preamble</w:t>
      </w:r>
    </w:p>
    <w:p w14:paraId="36B32813" w14:textId="382ED1CE" w:rsidR="00A86A09" w:rsidRPr="00C16D1E" w:rsidRDefault="00A86A09"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 xml:space="preserve">This chapter </w:t>
      </w:r>
      <w:r w:rsidR="009439CA" w:rsidRPr="00C16D1E">
        <w:rPr>
          <w:rFonts w:ascii="Times New Roman" w:eastAsia="Calibri" w:hAnsi="Times New Roman" w:cs="Times New Roman"/>
          <w:sz w:val="20"/>
          <w:szCs w:val="20"/>
        </w:rPr>
        <w:t>presents</w:t>
      </w:r>
      <w:r w:rsidRPr="00C16D1E">
        <w:rPr>
          <w:rFonts w:ascii="Times New Roman" w:eastAsia="Calibri" w:hAnsi="Times New Roman" w:cs="Times New Roman"/>
          <w:sz w:val="20"/>
          <w:szCs w:val="20"/>
        </w:rPr>
        <w:t xml:space="preserve"> the empirical analysis of the study on</w:t>
      </w:r>
      <w:r w:rsidR="008602E3" w:rsidRPr="00C16D1E">
        <w:rPr>
          <w:rFonts w:ascii="Times New Roman" w:eastAsia="Calibri" w:hAnsi="Times New Roman" w:cs="Times New Roman"/>
          <w:sz w:val="20"/>
          <w:szCs w:val="20"/>
        </w:rPr>
        <w:t xml:space="preserve"> the effect of natural resource endowment on</w:t>
      </w:r>
      <w:r w:rsidRPr="00C16D1E">
        <w:rPr>
          <w:rFonts w:ascii="Times New Roman" w:eastAsia="Calibri" w:hAnsi="Times New Roman" w:cs="Times New Roman"/>
          <w:sz w:val="20"/>
          <w:szCs w:val="20"/>
        </w:rPr>
        <w:t xml:space="preserve"> institutional quality in Nigeria. The analysis commenced with pre-estimation procedures comprising descriptive statistics and correlation analysis, followed by unit root testing using the Augmented </w:t>
      </w:r>
      <w:r w:rsidR="000E31E2" w:rsidRPr="00C16D1E">
        <w:rPr>
          <w:rFonts w:ascii="Times New Roman" w:eastAsia="Calibri" w:hAnsi="Times New Roman" w:cs="Times New Roman"/>
          <w:sz w:val="20"/>
          <w:szCs w:val="20"/>
        </w:rPr>
        <w:t xml:space="preserve">Dickey-Fuller, Phillips-Perron, and Zivot-Andrews approaches to establish </w:t>
      </w:r>
      <w:r w:rsidR="00F830B2" w:rsidRPr="00C16D1E">
        <w:rPr>
          <w:rFonts w:ascii="Times New Roman" w:eastAsia="Calibri" w:hAnsi="Times New Roman" w:cs="Times New Roman"/>
          <w:sz w:val="20"/>
          <w:szCs w:val="20"/>
        </w:rPr>
        <w:t>stationarity properties</w:t>
      </w:r>
      <w:r w:rsidRPr="00C16D1E">
        <w:rPr>
          <w:rFonts w:ascii="Times New Roman" w:eastAsia="Calibri" w:hAnsi="Times New Roman" w:cs="Times New Roman"/>
          <w:sz w:val="20"/>
          <w:szCs w:val="20"/>
        </w:rPr>
        <w:t>. The ARDL bounds testing procedure was subsequently applied to ascertain the existence of long run relationships among the variables.</w:t>
      </w:r>
    </w:p>
    <w:p w14:paraId="12151F8C" w14:textId="7674DEAC" w:rsidR="00A86A09" w:rsidRPr="00C16D1E" w:rsidRDefault="00A86A09" w:rsidP="00524050">
      <w:pPr>
        <w:spacing w:after="200"/>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The estimation phase employed the ARDL error correction framework to capture both short run and long run dynamics, while pairwise Granger causality tests were conducted to examine th</w:t>
      </w:r>
      <w:r w:rsidR="0066444D" w:rsidRPr="00C16D1E">
        <w:rPr>
          <w:rFonts w:ascii="Times New Roman" w:eastAsia="Calibri" w:hAnsi="Times New Roman" w:cs="Times New Roman"/>
          <w:sz w:val="20"/>
          <w:szCs w:val="20"/>
        </w:rPr>
        <w:t xml:space="preserve">e direction of causality between natural resource endowment and </w:t>
      </w:r>
      <w:r w:rsidRPr="00C16D1E">
        <w:rPr>
          <w:rFonts w:ascii="Times New Roman" w:eastAsia="Calibri" w:hAnsi="Times New Roman" w:cs="Times New Roman"/>
          <w:sz w:val="20"/>
          <w:szCs w:val="20"/>
        </w:rPr>
        <w:t xml:space="preserve">institutional quality. </w:t>
      </w:r>
      <w:r w:rsidR="00F35D21" w:rsidRPr="00C16D1E">
        <w:rPr>
          <w:rFonts w:ascii="Times New Roman" w:eastAsia="Calibri" w:hAnsi="Times New Roman" w:cs="Times New Roman"/>
          <w:sz w:val="20"/>
          <w:szCs w:val="20"/>
        </w:rPr>
        <w:t>A series</w:t>
      </w:r>
      <w:r w:rsidRPr="00C16D1E">
        <w:rPr>
          <w:rFonts w:ascii="Times New Roman" w:eastAsia="Calibri" w:hAnsi="Times New Roman" w:cs="Times New Roman"/>
          <w:sz w:val="20"/>
          <w:szCs w:val="20"/>
        </w:rPr>
        <w:t xml:space="preserve"> of diagnostic evaluations covering serial correlation, heteroskedasticity, normality and stability tests </w:t>
      </w:r>
      <w:r w:rsidR="00F35D21" w:rsidRPr="00C16D1E">
        <w:rPr>
          <w:rFonts w:ascii="Times New Roman" w:eastAsia="Calibri" w:hAnsi="Times New Roman" w:cs="Times New Roman"/>
          <w:sz w:val="20"/>
          <w:szCs w:val="20"/>
        </w:rPr>
        <w:t>was</w:t>
      </w:r>
      <w:r w:rsidRPr="00C16D1E">
        <w:rPr>
          <w:rFonts w:ascii="Times New Roman" w:eastAsia="Calibri" w:hAnsi="Times New Roman" w:cs="Times New Roman"/>
          <w:sz w:val="20"/>
          <w:szCs w:val="20"/>
        </w:rPr>
        <w:t xml:space="preserve"> performed to confirm the robustness, validity and stability of the estimated models. All empirical analy</w:t>
      </w:r>
      <w:r w:rsidR="00F830B2" w:rsidRPr="00C16D1E">
        <w:rPr>
          <w:rFonts w:ascii="Times New Roman" w:eastAsia="Calibri" w:hAnsi="Times New Roman" w:cs="Times New Roman"/>
          <w:sz w:val="20"/>
          <w:szCs w:val="20"/>
        </w:rPr>
        <w:t>ses were conducted using EViews</w:t>
      </w:r>
      <w:r w:rsidRPr="00C16D1E">
        <w:rPr>
          <w:rFonts w:ascii="Times New Roman" w:eastAsia="Calibri" w:hAnsi="Times New Roman" w:cs="Times New Roman"/>
          <w:sz w:val="20"/>
          <w:szCs w:val="20"/>
        </w:rPr>
        <w:t>.</w:t>
      </w:r>
    </w:p>
    <w:p w14:paraId="4F67EBA4" w14:textId="77777777"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4.2:</w:t>
      </w:r>
      <w:r w:rsidRPr="00C16D1E">
        <w:rPr>
          <w:b/>
          <w:bCs/>
          <w:sz w:val="20"/>
          <w:szCs w:val="20"/>
        </w:rPr>
        <w:t xml:space="preserve"> </w:t>
      </w:r>
      <w:r w:rsidRPr="00C16D1E">
        <w:rPr>
          <w:rFonts w:ascii="Times New Roman" w:eastAsia="Calibri" w:hAnsi="Times New Roman" w:cs="Times New Roman"/>
          <w:b/>
          <w:bCs/>
          <w:sz w:val="20"/>
          <w:szCs w:val="20"/>
        </w:rPr>
        <w:t>Principal Component Analysis of Governance Indicators</w:t>
      </w:r>
    </w:p>
    <w:p w14:paraId="7ACCCCE3" w14:textId="1BC4A0CA"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Calibri" w:hAnsi="Times New Roman" w:cs="Times New Roman"/>
          <w:sz w:val="20"/>
          <w:szCs w:val="20"/>
        </w:rPr>
        <w:t>A composite governance index was constructed using Principal Component Analysis (PCA) on six governance indicators: rule of law, government effectiveness, regulatory quality, voice and accountability, control of corruption, and political stability. PCA reduces dimensionality by extracting the common variation across these indicators. Table 4.1 shows the eigenvalue, variance explained, and loadings of the first principal component, which was used as the governance index in the analysis.</w:t>
      </w:r>
    </w:p>
    <w:p w14:paraId="3449FFDE" w14:textId="0838E5C1"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4.1: Principal Component Analysis of Governance Indicators (1996–2024)</w:t>
      </w:r>
    </w:p>
    <w:tbl>
      <w:tblPr>
        <w:tblStyle w:val="TableGrid22"/>
        <w:tblW w:w="8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2153"/>
      </w:tblGrid>
      <w:tr w:rsidR="00A86A09" w:rsidRPr="00C16D1E" w14:paraId="19492D4F" w14:textId="77777777" w:rsidTr="00A86A09">
        <w:trPr>
          <w:trHeight w:val="292"/>
          <w:jc w:val="center"/>
        </w:trPr>
        <w:tc>
          <w:tcPr>
            <w:tcW w:w="0" w:type="auto"/>
            <w:tcBorders>
              <w:top w:val="single" w:sz="4" w:space="0" w:color="auto"/>
            </w:tcBorders>
            <w:hideMark/>
          </w:tcPr>
          <w:p w14:paraId="15E9ACBC"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Item</w:t>
            </w:r>
          </w:p>
        </w:tc>
        <w:tc>
          <w:tcPr>
            <w:tcW w:w="0" w:type="auto"/>
            <w:tcBorders>
              <w:top w:val="single" w:sz="4" w:space="0" w:color="auto"/>
            </w:tcBorders>
            <w:vAlign w:val="center"/>
            <w:hideMark/>
          </w:tcPr>
          <w:p w14:paraId="40946DE8"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PC1</w:t>
            </w:r>
          </w:p>
        </w:tc>
      </w:tr>
      <w:tr w:rsidR="00A86A09" w:rsidRPr="00C16D1E" w14:paraId="3A2B7CA5" w14:textId="77777777" w:rsidTr="00A86A09">
        <w:trPr>
          <w:trHeight w:val="292"/>
          <w:jc w:val="center"/>
        </w:trPr>
        <w:tc>
          <w:tcPr>
            <w:tcW w:w="0" w:type="auto"/>
            <w:hideMark/>
          </w:tcPr>
          <w:p w14:paraId="275BE2E1"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Eigenvalue</w:t>
            </w:r>
          </w:p>
        </w:tc>
        <w:tc>
          <w:tcPr>
            <w:tcW w:w="0" w:type="auto"/>
            <w:vAlign w:val="center"/>
            <w:hideMark/>
          </w:tcPr>
          <w:p w14:paraId="0B1B878A"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2.8456</w:t>
            </w:r>
          </w:p>
        </w:tc>
      </w:tr>
      <w:tr w:rsidR="00A86A09" w:rsidRPr="00C16D1E" w14:paraId="7C3F4609" w14:textId="77777777" w:rsidTr="00A86A09">
        <w:trPr>
          <w:trHeight w:val="292"/>
          <w:jc w:val="center"/>
        </w:trPr>
        <w:tc>
          <w:tcPr>
            <w:tcW w:w="0" w:type="auto"/>
            <w:hideMark/>
          </w:tcPr>
          <w:p w14:paraId="315992AB"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Proportion of Variance Explained</w:t>
            </w:r>
          </w:p>
        </w:tc>
        <w:tc>
          <w:tcPr>
            <w:tcW w:w="0" w:type="auto"/>
            <w:vAlign w:val="center"/>
            <w:hideMark/>
          </w:tcPr>
          <w:p w14:paraId="545C83F6"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0.4743</w:t>
            </w:r>
          </w:p>
        </w:tc>
      </w:tr>
      <w:tr w:rsidR="00A86A09" w:rsidRPr="00C16D1E" w14:paraId="42B6E468" w14:textId="77777777" w:rsidTr="00A86A09">
        <w:trPr>
          <w:trHeight w:val="292"/>
          <w:jc w:val="center"/>
        </w:trPr>
        <w:tc>
          <w:tcPr>
            <w:tcW w:w="0" w:type="auto"/>
            <w:tcBorders>
              <w:bottom w:val="single" w:sz="4" w:space="0" w:color="auto"/>
            </w:tcBorders>
            <w:hideMark/>
          </w:tcPr>
          <w:p w14:paraId="226EC706"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Cumulative Variance Explained</w:t>
            </w:r>
          </w:p>
        </w:tc>
        <w:tc>
          <w:tcPr>
            <w:tcW w:w="0" w:type="auto"/>
            <w:tcBorders>
              <w:bottom w:val="single" w:sz="4" w:space="0" w:color="auto"/>
            </w:tcBorders>
            <w:vAlign w:val="center"/>
            <w:hideMark/>
          </w:tcPr>
          <w:p w14:paraId="0ED5FF7C"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0.4743</w:t>
            </w:r>
          </w:p>
        </w:tc>
      </w:tr>
      <w:tr w:rsidR="00A86A09" w:rsidRPr="00C16D1E" w14:paraId="39E0C21B" w14:textId="77777777" w:rsidTr="00A86A09">
        <w:trPr>
          <w:trHeight w:hRule="exact" w:val="14"/>
          <w:jc w:val="center"/>
        </w:trPr>
        <w:tc>
          <w:tcPr>
            <w:tcW w:w="0" w:type="auto"/>
            <w:tcBorders>
              <w:top w:val="single" w:sz="4" w:space="0" w:color="auto"/>
            </w:tcBorders>
            <w:hideMark/>
          </w:tcPr>
          <w:p w14:paraId="7D6531A2" w14:textId="77777777" w:rsidR="00A86A09" w:rsidRPr="00C16D1E" w:rsidRDefault="00A86A09" w:rsidP="00524050">
            <w:pPr>
              <w:jc w:val="both"/>
              <w:rPr>
                <w:rFonts w:ascii="Times New Roman" w:hAnsi="Times New Roman"/>
                <w:sz w:val="20"/>
                <w:szCs w:val="20"/>
                <w:lang w:eastAsia="en-GB"/>
              </w:rPr>
            </w:pPr>
          </w:p>
        </w:tc>
        <w:tc>
          <w:tcPr>
            <w:tcW w:w="0" w:type="auto"/>
            <w:tcBorders>
              <w:top w:val="single" w:sz="4" w:space="0" w:color="auto"/>
            </w:tcBorders>
            <w:vAlign w:val="center"/>
            <w:hideMark/>
          </w:tcPr>
          <w:p w14:paraId="2E2E1B79" w14:textId="77777777" w:rsidR="00A86A09" w:rsidRPr="00C16D1E" w:rsidRDefault="00A86A09" w:rsidP="00524050">
            <w:pPr>
              <w:jc w:val="both"/>
              <w:rPr>
                <w:rFonts w:ascii="Times New Roman" w:hAnsi="Times New Roman"/>
                <w:sz w:val="20"/>
                <w:szCs w:val="20"/>
                <w:lang w:eastAsia="en-GB"/>
              </w:rPr>
            </w:pPr>
          </w:p>
        </w:tc>
      </w:tr>
      <w:tr w:rsidR="00A86A09" w:rsidRPr="00C16D1E" w14:paraId="31133C50" w14:textId="77777777" w:rsidTr="00A86A09">
        <w:trPr>
          <w:trHeight w:val="292"/>
          <w:jc w:val="center"/>
        </w:trPr>
        <w:tc>
          <w:tcPr>
            <w:tcW w:w="0" w:type="auto"/>
            <w:vAlign w:val="center"/>
            <w:hideMark/>
          </w:tcPr>
          <w:p w14:paraId="7E8354C8" w14:textId="77777777" w:rsidR="00A86A09" w:rsidRPr="00C16D1E" w:rsidRDefault="00A86A09" w:rsidP="00524050">
            <w:pPr>
              <w:jc w:val="both"/>
              <w:rPr>
                <w:rFonts w:ascii="Times New Roman" w:hAnsi="Times New Roman"/>
                <w:sz w:val="20"/>
                <w:szCs w:val="20"/>
                <w:lang w:eastAsia="en-GB"/>
              </w:rPr>
            </w:pPr>
            <w:r w:rsidRPr="00C16D1E">
              <w:rPr>
                <w:rFonts w:ascii="Times New Roman" w:eastAsia="Times New Roman" w:hAnsi="Times New Roman"/>
                <w:b/>
                <w:bCs/>
                <w:sz w:val="20"/>
                <w:szCs w:val="20"/>
                <w:lang w:eastAsia="en-GB"/>
              </w:rPr>
              <w:t>Governance Indicators</w:t>
            </w:r>
          </w:p>
        </w:tc>
        <w:tc>
          <w:tcPr>
            <w:tcW w:w="0" w:type="auto"/>
            <w:vAlign w:val="center"/>
            <w:hideMark/>
          </w:tcPr>
          <w:p w14:paraId="0F5867BB"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PC1</w:t>
            </w:r>
          </w:p>
          <w:p w14:paraId="4D903A23" w14:textId="77777777" w:rsidR="00A86A09" w:rsidRPr="00C16D1E" w:rsidRDefault="00A86A09" w:rsidP="00524050">
            <w:pPr>
              <w:jc w:val="both"/>
              <w:rPr>
                <w:rFonts w:ascii="Times New Roman" w:hAnsi="Times New Roman"/>
                <w:b/>
                <w:bCs/>
                <w:sz w:val="20"/>
                <w:szCs w:val="20"/>
                <w:lang w:eastAsia="en-GB"/>
              </w:rPr>
            </w:pPr>
            <w:r w:rsidRPr="00C16D1E">
              <w:rPr>
                <w:rFonts w:ascii="Times New Roman" w:hAnsi="Times New Roman"/>
                <w:b/>
                <w:bCs/>
                <w:sz w:val="20"/>
                <w:szCs w:val="20"/>
                <w:lang w:eastAsia="en-GB"/>
              </w:rPr>
              <w:t>(Loading)</w:t>
            </w:r>
          </w:p>
        </w:tc>
      </w:tr>
      <w:tr w:rsidR="00A86A09" w:rsidRPr="00C16D1E" w14:paraId="0D7C406F" w14:textId="77777777" w:rsidTr="00A86A09">
        <w:trPr>
          <w:trHeight w:val="292"/>
          <w:jc w:val="center"/>
        </w:trPr>
        <w:tc>
          <w:tcPr>
            <w:tcW w:w="0" w:type="auto"/>
            <w:hideMark/>
          </w:tcPr>
          <w:p w14:paraId="49FD9C9B"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Rule of Law (ROL)</w:t>
            </w:r>
          </w:p>
        </w:tc>
        <w:tc>
          <w:tcPr>
            <w:tcW w:w="0" w:type="auto"/>
            <w:vAlign w:val="center"/>
            <w:hideMark/>
          </w:tcPr>
          <w:p w14:paraId="216DD475"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0.4985</w:t>
            </w:r>
          </w:p>
        </w:tc>
      </w:tr>
      <w:tr w:rsidR="00A86A09" w:rsidRPr="00C16D1E" w14:paraId="3F4174CB" w14:textId="77777777" w:rsidTr="00A86A09">
        <w:trPr>
          <w:trHeight w:val="292"/>
          <w:jc w:val="center"/>
        </w:trPr>
        <w:tc>
          <w:tcPr>
            <w:tcW w:w="0" w:type="auto"/>
            <w:hideMark/>
          </w:tcPr>
          <w:p w14:paraId="72C09114"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Government Effectiveness (GEF)</w:t>
            </w:r>
          </w:p>
        </w:tc>
        <w:tc>
          <w:tcPr>
            <w:tcW w:w="0" w:type="auto"/>
            <w:vAlign w:val="center"/>
            <w:hideMark/>
          </w:tcPr>
          <w:p w14:paraId="608A934A"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-0.3303</w:t>
            </w:r>
          </w:p>
        </w:tc>
      </w:tr>
      <w:tr w:rsidR="00A86A09" w:rsidRPr="00C16D1E" w14:paraId="182108E4" w14:textId="77777777" w:rsidTr="00A86A09">
        <w:trPr>
          <w:trHeight w:val="292"/>
          <w:jc w:val="center"/>
        </w:trPr>
        <w:tc>
          <w:tcPr>
            <w:tcW w:w="0" w:type="auto"/>
            <w:hideMark/>
          </w:tcPr>
          <w:p w14:paraId="4D2A73B3"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Regulatory Quality (RQ)</w:t>
            </w:r>
          </w:p>
        </w:tc>
        <w:tc>
          <w:tcPr>
            <w:tcW w:w="0" w:type="auto"/>
            <w:vAlign w:val="center"/>
            <w:hideMark/>
          </w:tcPr>
          <w:p w14:paraId="70A57FB4"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0.3561</w:t>
            </w:r>
          </w:p>
        </w:tc>
      </w:tr>
      <w:tr w:rsidR="00A86A09" w:rsidRPr="00C16D1E" w14:paraId="7B0B253D" w14:textId="77777777" w:rsidTr="00A86A09">
        <w:trPr>
          <w:trHeight w:val="292"/>
          <w:jc w:val="center"/>
        </w:trPr>
        <w:tc>
          <w:tcPr>
            <w:tcW w:w="0" w:type="auto"/>
            <w:hideMark/>
          </w:tcPr>
          <w:p w14:paraId="465EC6E7"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Voice and Accountability (VOA)</w:t>
            </w:r>
          </w:p>
        </w:tc>
        <w:tc>
          <w:tcPr>
            <w:tcW w:w="0" w:type="auto"/>
            <w:vAlign w:val="center"/>
            <w:hideMark/>
          </w:tcPr>
          <w:p w14:paraId="3D016EF9"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0.3445</w:t>
            </w:r>
          </w:p>
        </w:tc>
      </w:tr>
      <w:tr w:rsidR="00A86A09" w:rsidRPr="00C16D1E" w14:paraId="76F0EA8A" w14:textId="77777777" w:rsidTr="00A86A09">
        <w:trPr>
          <w:trHeight w:val="292"/>
          <w:jc w:val="center"/>
        </w:trPr>
        <w:tc>
          <w:tcPr>
            <w:tcW w:w="0" w:type="auto"/>
            <w:hideMark/>
          </w:tcPr>
          <w:p w14:paraId="75A08CBE"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Control of Corruption (COC)</w:t>
            </w:r>
          </w:p>
        </w:tc>
        <w:tc>
          <w:tcPr>
            <w:tcW w:w="0" w:type="auto"/>
            <w:vAlign w:val="center"/>
            <w:hideMark/>
          </w:tcPr>
          <w:p w14:paraId="2B445155"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0.4627</w:t>
            </w:r>
          </w:p>
        </w:tc>
      </w:tr>
      <w:tr w:rsidR="00A86A09" w:rsidRPr="00C16D1E" w14:paraId="504E89CE" w14:textId="77777777" w:rsidTr="00A86A09">
        <w:trPr>
          <w:trHeight w:val="292"/>
          <w:jc w:val="center"/>
        </w:trPr>
        <w:tc>
          <w:tcPr>
            <w:tcW w:w="0" w:type="auto"/>
            <w:tcBorders>
              <w:bottom w:val="single" w:sz="4" w:space="0" w:color="auto"/>
            </w:tcBorders>
            <w:hideMark/>
          </w:tcPr>
          <w:p w14:paraId="1362A6F9"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Political Stability (POLS)</w:t>
            </w:r>
          </w:p>
        </w:tc>
        <w:tc>
          <w:tcPr>
            <w:tcW w:w="0" w:type="auto"/>
            <w:tcBorders>
              <w:bottom w:val="single" w:sz="4" w:space="0" w:color="auto"/>
            </w:tcBorders>
            <w:vAlign w:val="center"/>
            <w:hideMark/>
          </w:tcPr>
          <w:p w14:paraId="4AAC553B" w14:textId="77777777" w:rsidR="00A86A09" w:rsidRPr="00C16D1E" w:rsidRDefault="00A86A09" w:rsidP="00524050">
            <w:pPr>
              <w:jc w:val="both"/>
              <w:rPr>
                <w:rFonts w:ascii="Times New Roman" w:hAnsi="Times New Roman"/>
                <w:sz w:val="20"/>
                <w:szCs w:val="20"/>
                <w:lang w:eastAsia="en-GB"/>
              </w:rPr>
            </w:pPr>
            <w:r w:rsidRPr="00C16D1E">
              <w:rPr>
                <w:rFonts w:ascii="Times New Roman" w:hAnsi="Times New Roman"/>
                <w:sz w:val="20"/>
                <w:szCs w:val="20"/>
                <w:lang w:eastAsia="en-GB"/>
              </w:rPr>
              <w:t>-0.4277</w:t>
            </w:r>
          </w:p>
        </w:tc>
      </w:tr>
    </w:tbl>
    <w:p w14:paraId="700987B6" w14:textId="6326D47E"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sz w:val="20"/>
          <w:szCs w:val="20"/>
          <w:lang w:eastAsia="en-GB"/>
        </w:rPr>
        <w:lastRenderedPageBreak/>
        <w:t>Source</w:t>
      </w:r>
      <w:r w:rsidRPr="00C16D1E">
        <w:rPr>
          <w:rFonts w:ascii="Times New Roman" w:eastAsia="Times New Roman" w:hAnsi="Times New Roman" w:cs="Times New Roman"/>
          <w:sz w:val="20"/>
          <w:szCs w:val="20"/>
          <w:lang w:eastAsia="en-GB"/>
        </w:rPr>
        <w:t>: Author</w:t>
      </w:r>
      <w:r w:rsidR="00D52E46" w:rsidRPr="00C16D1E">
        <w:rPr>
          <w:rFonts w:ascii="Times New Roman" w:eastAsia="Times New Roman" w:hAnsi="Times New Roman" w:cs="Times New Roman"/>
          <w:sz w:val="20"/>
          <w:szCs w:val="20"/>
          <w:lang w:eastAsia="en-GB"/>
        </w:rPr>
        <w:t>’</w:t>
      </w:r>
      <w:r w:rsidR="00F830B2" w:rsidRPr="00C16D1E">
        <w:rPr>
          <w:rFonts w:ascii="Times New Roman" w:eastAsia="Times New Roman" w:hAnsi="Times New Roman" w:cs="Times New Roman"/>
          <w:sz w:val="20"/>
          <w:szCs w:val="20"/>
          <w:lang w:eastAsia="en-GB"/>
        </w:rPr>
        <w:t>s Computation</w:t>
      </w:r>
      <w:r w:rsidR="00930105" w:rsidRPr="00C16D1E">
        <w:rPr>
          <w:rFonts w:ascii="Times New Roman" w:eastAsia="Times New Roman" w:hAnsi="Times New Roman" w:cs="Times New Roman"/>
          <w:sz w:val="20"/>
          <w:szCs w:val="20"/>
          <w:lang w:eastAsia="en-GB"/>
        </w:rPr>
        <w:t>.</w:t>
      </w:r>
    </w:p>
    <w:p w14:paraId="63B2DD5B" w14:textId="77777777" w:rsidR="00BA4FCB" w:rsidRPr="00C16D1E" w:rsidRDefault="00BA4FCB" w:rsidP="00524050">
      <w:pPr>
        <w:jc w:val="both"/>
        <w:rPr>
          <w:rFonts w:ascii="Times New Roman" w:eastAsia="Times New Roman" w:hAnsi="Times New Roman" w:cs="Times New Roman"/>
          <w:sz w:val="20"/>
          <w:szCs w:val="20"/>
          <w:lang w:eastAsia="en-GB"/>
        </w:rPr>
      </w:pPr>
    </w:p>
    <w:p w14:paraId="53941F73" w14:textId="55DAAED5" w:rsidR="00524050" w:rsidRPr="00C16D1E" w:rsidRDefault="00524050" w:rsidP="00524050">
      <w:pPr>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t>Table 4.1 presents the Principal Component Analysis results of governance indicators from 1996 to 2024. The first principal component, with an eigenvalue of 2.8456, accounts for approximately 47.4</w:t>
      </w:r>
      <w:r w:rsidR="00BA4FCB" w:rsidRPr="00C16D1E">
        <w:rPr>
          <w:rFonts w:ascii="Times New Roman" w:hAnsi="Times New Roman" w:cs="Times New Roman"/>
          <w:sz w:val="20"/>
          <w:szCs w:val="20"/>
          <w:lang w:val="en-GB"/>
        </w:rPr>
        <w:t xml:space="preserve">% of the </w:t>
      </w:r>
      <w:r w:rsidRPr="00C16D1E">
        <w:rPr>
          <w:rFonts w:ascii="Times New Roman" w:hAnsi="Times New Roman" w:cs="Times New Roman"/>
          <w:sz w:val="20"/>
          <w:szCs w:val="20"/>
          <w:lang w:val="en-GB"/>
        </w:rPr>
        <w:t>total variation, indicating a strong common governance factor. Indicators such as rule of law, regulatory quality, voice and accountability, and control of corruption positively load on this component, suggesting that improvements in these areas are interconnected and enhance governance quality. Conversely, government effectiveness and political stability have negative loadings, highlighting their inverse relationship with certain governance dimensions during this period.</w:t>
      </w:r>
    </w:p>
    <w:p w14:paraId="2CFF600E" w14:textId="2EBFC06B"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 xml:space="preserve">4.3: Descriptive Statistics </w:t>
      </w:r>
    </w:p>
    <w:p w14:paraId="5C14D326" w14:textId="6FC4AF8B" w:rsidR="00A86A09" w:rsidRPr="00C16D1E" w:rsidRDefault="00A86A09" w:rsidP="00524050">
      <w:pPr>
        <w:jc w:val="both"/>
        <w:rPr>
          <w:rFonts w:ascii="Times New Roman" w:hAnsi="Times New Roman" w:cs="Times New Roman"/>
          <w:sz w:val="20"/>
          <w:szCs w:val="20"/>
        </w:rPr>
      </w:pPr>
      <w:bookmarkStart w:id="5" w:name="_Hlk160020595"/>
      <w:r w:rsidRPr="00C16D1E">
        <w:rPr>
          <w:rFonts w:ascii="Times New Roman" w:eastAsia="Calibri" w:hAnsi="Times New Roman" w:cs="Times New Roman"/>
          <w:sz w:val="20"/>
          <w:szCs w:val="20"/>
        </w:rPr>
        <w:t xml:space="preserve">This subsection presents an overview of the descriptive statistics for the key variables </w:t>
      </w:r>
      <w:r w:rsidR="00D4460C" w:rsidRPr="00C16D1E">
        <w:rPr>
          <w:rFonts w:ascii="Times New Roman" w:eastAsia="Calibri" w:hAnsi="Times New Roman" w:cs="Times New Roman"/>
          <w:sz w:val="20"/>
          <w:szCs w:val="20"/>
        </w:rPr>
        <w:t xml:space="preserve">used in the study, including </w:t>
      </w:r>
      <w:r w:rsidRPr="00C16D1E">
        <w:rPr>
          <w:rFonts w:ascii="Times New Roman" w:eastAsia="Calibri" w:hAnsi="Times New Roman" w:cs="Times New Roman"/>
          <w:sz w:val="20"/>
          <w:szCs w:val="20"/>
        </w:rPr>
        <w:t>institutional quality, natural reso</w:t>
      </w:r>
      <w:r w:rsidR="00D4460C" w:rsidRPr="00C16D1E">
        <w:rPr>
          <w:rFonts w:ascii="Times New Roman" w:eastAsia="Calibri" w:hAnsi="Times New Roman" w:cs="Times New Roman"/>
          <w:sz w:val="20"/>
          <w:szCs w:val="20"/>
        </w:rPr>
        <w:t xml:space="preserve">urce endowment, </w:t>
      </w:r>
      <w:r w:rsidRPr="00C16D1E">
        <w:rPr>
          <w:rFonts w:ascii="Times New Roman" w:eastAsia="Calibri" w:hAnsi="Times New Roman" w:cs="Times New Roman"/>
          <w:sz w:val="20"/>
          <w:szCs w:val="20"/>
        </w:rPr>
        <w:t>foreign direct investment, trade openness, school enrollment, real GDP per capita</w:t>
      </w:r>
      <w:r w:rsidR="0014554E" w:rsidRPr="00C16D1E">
        <w:rPr>
          <w:rFonts w:ascii="Times New Roman" w:eastAsia="Calibri" w:hAnsi="Times New Roman" w:cs="Times New Roman"/>
          <w:sz w:val="20"/>
          <w:szCs w:val="20"/>
        </w:rPr>
        <w:t>, gross fixed capital formation</w:t>
      </w:r>
      <w:r w:rsidR="00F830B2" w:rsidRPr="00C16D1E">
        <w:rPr>
          <w:rFonts w:ascii="Times New Roman" w:eastAsia="Calibri" w:hAnsi="Times New Roman" w:cs="Times New Roman"/>
          <w:sz w:val="20"/>
          <w:szCs w:val="20"/>
        </w:rPr>
        <w:t xml:space="preserve">. </w:t>
      </w:r>
      <w:r w:rsidRPr="00C16D1E">
        <w:rPr>
          <w:rFonts w:ascii="Times New Roman" w:eastAsia="Calibri" w:hAnsi="Times New Roman" w:cs="Times New Roman"/>
          <w:sz w:val="20"/>
          <w:szCs w:val="20"/>
        </w:rPr>
        <w:t xml:space="preserve">The detailed results are reported in Table 4.1.1. </w:t>
      </w:r>
      <w:r w:rsidRPr="00C16D1E">
        <w:rPr>
          <w:rFonts w:ascii="Times New Roman" w:hAnsi="Times New Roman" w:cs="Times New Roman"/>
          <w:sz w:val="20"/>
          <w:szCs w:val="20"/>
        </w:rPr>
        <w:t xml:space="preserve">Due to the high skewness of </w:t>
      </w:r>
      <w:r w:rsidR="00F830B2" w:rsidRPr="00C16D1E">
        <w:rPr>
          <w:rFonts w:ascii="Times New Roman" w:hAnsi="Times New Roman" w:cs="Times New Roman"/>
          <w:sz w:val="20"/>
          <w:szCs w:val="20"/>
        </w:rPr>
        <w:t>trade openness</w:t>
      </w:r>
      <w:r w:rsidRPr="00C16D1E">
        <w:rPr>
          <w:rFonts w:ascii="Times New Roman" w:hAnsi="Times New Roman" w:cs="Times New Roman"/>
          <w:sz w:val="20"/>
          <w:szCs w:val="20"/>
        </w:rPr>
        <w:t>, it was subsequently log-transformed to reduce distributional asymmetry and enhance the reliability of the regression estimates</w:t>
      </w:r>
    </w:p>
    <w:p w14:paraId="25F53F62" w14:textId="77777777" w:rsidR="00A86A09" w:rsidRPr="00C16D1E" w:rsidRDefault="00A86A09" w:rsidP="00524050">
      <w:pPr>
        <w:jc w:val="both"/>
        <w:rPr>
          <w:rFonts w:ascii="Times New Roman" w:eastAsia="Calibri" w:hAnsi="Times New Roman" w:cs="Times New Roman"/>
          <w:b/>
          <w:sz w:val="20"/>
          <w:szCs w:val="20"/>
        </w:rPr>
        <w:sectPr w:rsidR="00A86A09" w:rsidRPr="00C16D1E" w:rsidSect="00A86A09">
          <w:headerReference w:type="default" r:id="rId8"/>
          <w:footerReference w:type="default" r:id="rId9"/>
          <w:pgSz w:w="11906" w:h="16838"/>
          <w:pgMar w:top="1135" w:right="1286" w:bottom="1440" w:left="1440" w:header="708" w:footer="708" w:gutter="0"/>
          <w:cols w:space="708"/>
          <w:docGrid w:linePitch="360"/>
        </w:sectPr>
      </w:pPr>
    </w:p>
    <w:p w14:paraId="4C8D5FA1" w14:textId="77777777" w:rsidR="00A86A09" w:rsidRPr="00C16D1E" w:rsidRDefault="00A86A09" w:rsidP="00524050">
      <w:pPr>
        <w:jc w:val="center"/>
        <w:rPr>
          <w:rFonts w:ascii="Arial" w:hAnsi="Arial" w:cs="Arial"/>
          <w:sz w:val="20"/>
          <w:szCs w:val="20"/>
        </w:rPr>
      </w:pPr>
      <w:r w:rsidRPr="00C16D1E">
        <w:rPr>
          <w:rFonts w:ascii="Times New Roman" w:eastAsia="Calibri" w:hAnsi="Times New Roman" w:cs="Times New Roman"/>
          <w:b/>
          <w:sz w:val="20"/>
          <w:szCs w:val="20"/>
        </w:rPr>
        <w:lastRenderedPageBreak/>
        <w:t>Table 4.1.1: Descriptive Statistics</w:t>
      </w:r>
    </w:p>
    <w:tbl>
      <w:tblPr>
        <w:tblW w:w="12331" w:type="dxa"/>
        <w:jc w:val="center"/>
        <w:tblLayout w:type="fixed"/>
        <w:tblCellMar>
          <w:left w:w="0" w:type="dxa"/>
          <w:right w:w="0" w:type="dxa"/>
        </w:tblCellMar>
        <w:tblLook w:val="0000" w:firstRow="0" w:lastRow="0" w:firstColumn="0" w:lastColumn="0" w:noHBand="0" w:noVBand="0"/>
      </w:tblPr>
      <w:tblGrid>
        <w:gridCol w:w="1383"/>
        <w:gridCol w:w="1217"/>
        <w:gridCol w:w="1216"/>
        <w:gridCol w:w="1216"/>
        <w:gridCol w:w="1217"/>
        <w:gridCol w:w="1217"/>
        <w:gridCol w:w="1216"/>
        <w:gridCol w:w="1217"/>
        <w:gridCol w:w="1216"/>
        <w:gridCol w:w="1216"/>
      </w:tblGrid>
      <w:tr w:rsidR="0014554E" w:rsidRPr="00C16D1E" w14:paraId="632AEE52" w14:textId="77777777" w:rsidTr="0014554E">
        <w:trPr>
          <w:trHeight w:val="529"/>
          <w:jc w:val="center"/>
        </w:trPr>
        <w:tc>
          <w:tcPr>
            <w:tcW w:w="1383" w:type="dxa"/>
            <w:tcBorders>
              <w:top w:val="single" w:sz="4" w:space="0" w:color="auto"/>
            </w:tcBorders>
            <w:vAlign w:val="bottom"/>
          </w:tcPr>
          <w:p w14:paraId="669A72D6"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c>
          <w:tcPr>
            <w:tcW w:w="1217" w:type="dxa"/>
            <w:tcBorders>
              <w:top w:val="single" w:sz="4" w:space="0" w:color="auto"/>
            </w:tcBorders>
            <w:vAlign w:val="bottom"/>
          </w:tcPr>
          <w:p w14:paraId="4E34634B"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GDPPC</w:t>
            </w:r>
          </w:p>
        </w:tc>
        <w:tc>
          <w:tcPr>
            <w:tcW w:w="1216" w:type="dxa"/>
            <w:tcBorders>
              <w:top w:val="single" w:sz="4" w:space="0" w:color="auto"/>
            </w:tcBorders>
            <w:vAlign w:val="bottom"/>
          </w:tcPr>
          <w:p w14:paraId="4AD20F22"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FDI</w:t>
            </w:r>
          </w:p>
        </w:tc>
        <w:tc>
          <w:tcPr>
            <w:tcW w:w="1216" w:type="dxa"/>
            <w:tcBorders>
              <w:top w:val="single" w:sz="4" w:space="0" w:color="auto"/>
            </w:tcBorders>
            <w:vAlign w:val="bottom"/>
          </w:tcPr>
          <w:p w14:paraId="779B71DA"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NRE</w:t>
            </w:r>
          </w:p>
        </w:tc>
        <w:tc>
          <w:tcPr>
            <w:tcW w:w="1217" w:type="dxa"/>
            <w:tcBorders>
              <w:top w:val="single" w:sz="4" w:space="0" w:color="auto"/>
            </w:tcBorders>
            <w:vAlign w:val="bottom"/>
          </w:tcPr>
          <w:p w14:paraId="216BA49E"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SSE</w:t>
            </w:r>
          </w:p>
        </w:tc>
        <w:tc>
          <w:tcPr>
            <w:tcW w:w="1217" w:type="dxa"/>
            <w:tcBorders>
              <w:top w:val="single" w:sz="4" w:space="0" w:color="auto"/>
            </w:tcBorders>
            <w:vAlign w:val="bottom"/>
          </w:tcPr>
          <w:p w14:paraId="740B4FB1"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INQ</w:t>
            </w:r>
          </w:p>
        </w:tc>
        <w:tc>
          <w:tcPr>
            <w:tcW w:w="1216" w:type="dxa"/>
            <w:tcBorders>
              <w:top w:val="single" w:sz="4" w:space="0" w:color="auto"/>
            </w:tcBorders>
            <w:vAlign w:val="bottom"/>
          </w:tcPr>
          <w:p w14:paraId="70FD39F3"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GFCF</w:t>
            </w:r>
          </w:p>
        </w:tc>
        <w:tc>
          <w:tcPr>
            <w:tcW w:w="1217" w:type="dxa"/>
            <w:tcBorders>
              <w:top w:val="single" w:sz="4" w:space="0" w:color="auto"/>
            </w:tcBorders>
            <w:vAlign w:val="bottom"/>
          </w:tcPr>
          <w:p w14:paraId="3DA51AD6" w14:textId="77777777"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r w:rsidRPr="00C16D1E">
              <w:rPr>
                <w:rFonts w:ascii="Times New Roman" w:hAnsi="Times New Roman" w:cs="Times New Roman"/>
                <w:b/>
                <w:bCs/>
                <w:color w:val="000000"/>
                <w:sz w:val="20"/>
                <w:szCs w:val="20"/>
              </w:rPr>
              <w:t>TRO</w:t>
            </w:r>
          </w:p>
        </w:tc>
        <w:tc>
          <w:tcPr>
            <w:tcW w:w="1216" w:type="dxa"/>
            <w:tcBorders>
              <w:top w:val="single" w:sz="4" w:space="0" w:color="auto"/>
            </w:tcBorders>
            <w:vAlign w:val="bottom"/>
          </w:tcPr>
          <w:p w14:paraId="02034B74" w14:textId="6C906654"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c>
          <w:tcPr>
            <w:tcW w:w="1216" w:type="dxa"/>
            <w:tcBorders>
              <w:top w:val="single" w:sz="4" w:space="0" w:color="auto"/>
            </w:tcBorders>
            <w:vAlign w:val="bottom"/>
          </w:tcPr>
          <w:p w14:paraId="53724E19" w14:textId="39D2F1BB" w:rsidR="0014554E" w:rsidRPr="00C16D1E" w:rsidRDefault="0014554E" w:rsidP="00524050">
            <w:pPr>
              <w:autoSpaceDE w:val="0"/>
              <w:autoSpaceDN w:val="0"/>
              <w:adjustRightInd w:val="0"/>
              <w:jc w:val="center"/>
              <w:rPr>
                <w:rFonts w:ascii="Times New Roman" w:hAnsi="Times New Roman" w:cs="Times New Roman"/>
                <w:b/>
                <w:bCs/>
                <w:color w:val="000000"/>
                <w:sz w:val="20"/>
                <w:szCs w:val="20"/>
              </w:rPr>
            </w:pPr>
          </w:p>
        </w:tc>
      </w:tr>
      <w:tr w:rsidR="0014554E" w:rsidRPr="00C16D1E" w14:paraId="6E590414" w14:textId="77777777" w:rsidTr="0014554E">
        <w:trPr>
          <w:trHeight w:val="529"/>
          <w:jc w:val="center"/>
        </w:trPr>
        <w:tc>
          <w:tcPr>
            <w:tcW w:w="1383" w:type="dxa"/>
            <w:vAlign w:val="bottom"/>
          </w:tcPr>
          <w:p w14:paraId="0105BD73"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Mean</w:t>
            </w:r>
          </w:p>
        </w:tc>
        <w:tc>
          <w:tcPr>
            <w:tcW w:w="1217" w:type="dxa"/>
            <w:vAlign w:val="bottom"/>
          </w:tcPr>
          <w:p w14:paraId="5441895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2.079045</w:t>
            </w:r>
          </w:p>
        </w:tc>
        <w:tc>
          <w:tcPr>
            <w:tcW w:w="1216" w:type="dxa"/>
            <w:vAlign w:val="bottom"/>
          </w:tcPr>
          <w:p w14:paraId="713EC105"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0.398216</w:t>
            </w:r>
          </w:p>
        </w:tc>
        <w:tc>
          <w:tcPr>
            <w:tcW w:w="1216" w:type="dxa"/>
            <w:vAlign w:val="bottom"/>
          </w:tcPr>
          <w:p w14:paraId="0F7FD02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13.01583</w:t>
            </w:r>
          </w:p>
        </w:tc>
        <w:tc>
          <w:tcPr>
            <w:tcW w:w="1217" w:type="dxa"/>
            <w:vAlign w:val="bottom"/>
          </w:tcPr>
          <w:p w14:paraId="356070C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0.924891</w:t>
            </w:r>
          </w:p>
        </w:tc>
        <w:tc>
          <w:tcPr>
            <w:tcW w:w="1217" w:type="dxa"/>
            <w:vAlign w:val="bottom"/>
          </w:tcPr>
          <w:p w14:paraId="2677FBB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0.000690</w:t>
            </w:r>
          </w:p>
        </w:tc>
        <w:tc>
          <w:tcPr>
            <w:tcW w:w="1216" w:type="dxa"/>
            <w:vAlign w:val="bottom"/>
          </w:tcPr>
          <w:p w14:paraId="64005F8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9187833.</w:t>
            </w:r>
          </w:p>
        </w:tc>
        <w:tc>
          <w:tcPr>
            <w:tcW w:w="1217" w:type="dxa"/>
            <w:vAlign w:val="bottom"/>
          </w:tcPr>
          <w:p w14:paraId="7D5D221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0.373699</w:t>
            </w:r>
          </w:p>
        </w:tc>
        <w:tc>
          <w:tcPr>
            <w:tcW w:w="1216" w:type="dxa"/>
            <w:vAlign w:val="bottom"/>
          </w:tcPr>
          <w:p w14:paraId="78F1D612" w14:textId="2D9A8FBD"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0AE6B58" w14:textId="7AB284B8"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59B6E557" w14:textId="77777777" w:rsidTr="0014554E">
        <w:trPr>
          <w:trHeight w:val="529"/>
          <w:jc w:val="center"/>
        </w:trPr>
        <w:tc>
          <w:tcPr>
            <w:tcW w:w="1383" w:type="dxa"/>
            <w:vAlign w:val="bottom"/>
          </w:tcPr>
          <w:p w14:paraId="67FE6FDF"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Median</w:t>
            </w:r>
          </w:p>
        </w:tc>
        <w:tc>
          <w:tcPr>
            <w:tcW w:w="1217" w:type="dxa"/>
            <w:vAlign w:val="bottom"/>
          </w:tcPr>
          <w:p w14:paraId="27169A8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2.245000</w:t>
            </w:r>
          </w:p>
        </w:tc>
        <w:tc>
          <w:tcPr>
            <w:tcW w:w="1216" w:type="dxa"/>
            <w:vAlign w:val="bottom"/>
          </w:tcPr>
          <w:p w14:paraId="2933D33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0.384849</w:t>
            </w:r>
          </w:p>
        </w:tc>
        <w:tc>
          <w:tcPr>
            <w:tcW w:w="1216" w:type="dxa"/>
            <w:vAlign w:val="bottom"/>
          </w:tcPr>
          <w:p w14:paraId="443A9D1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13.04363</w:t>
            </w:r>
          </w:p>
        </w:tc>
        <w:tc>
          <w:tcPr>
            <w:tcW w:w="1217" w:type="dxa"/>
            <w:vAlign w:val="bottom"/>
          </w:tcPr>
          <w:p w14:paraId="17A9CA2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0.949850</w:t>
            </w:r>
          </w:p>
        </w:tc>
        <w:tc>
          <w:tcPr>
            <w:tcW w:w="1217" w:type="dxa"/>
            <w:vAlign w:val="bottom"/>
          </w:tcPr>
          <w:p w14:paraId="63580A7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0.377500</w:t>
            </w:r>
          </w:p>
        </w:tc>
        <w:tc>
          <w:tcPr>
            <w:tcW w:w="1216" w:type="dxa"/>
            <w:vAlign w:val="bottom"/>
          </w:tcPr>
          <w:p w14:paraId="4396021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9178168.</w:t>
            </w:r>
          </w:p>
        </w:tc>
        <w:tc>
          <w:tcPr>
            <w:tcW w:w="1217" w:type="dxa"/>
            <w:vAlign w:val="bottom"/>
          </w:tcPr>
          <w:p w14:paraId="6CDB3985"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0.288613</w:t>
            </w:r>
          </w:p>
        </w:tc>
        <w:tc>
          <w:tcPr>
            <w:tcW w:w="1216" w:type="dxa"/>
            <w:vAlign w:val="bottom"/>
          </w:tcPr>
          <w:p w14:paraId="313A8540" w14:textId="2FBB4C7C"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2D16AB50" w14:textId="1D891A1B"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3F697087" w14:textId="77777777" w:rsidTr="0014554E">
        <w:trPr>
          <w:trHeight w:val="529"/>
          <w:jc w:val="center"/>
        </w:trPr>
        <w:tc>
          <w:tcPr>
            <w:tcW w:w="1383" w:type="dxa"/>
            <w:vAlign w:val="bottom"/>
          </w:tcPr>
          <w:p w14:paraId="58892D2B"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Maximum</w:t>
            </w:r>
          </w:p>
        </w:tc>
        <w:tc>
          <w:tcPr>
            <w:tcW w:w="1217" w:type="dxa"/>
            <w:vAlign w:val="bottom"/>
          </w:tcPr>
          <w:p w14:paraId="2196C06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12.21000</w:t>
            </w:r>
          </w:p>
        </w:tc>
        <w:tc>
          <w:tcPr>
            <w:tcW w:w="1216" w:type="dxa"/>
            <w:vAlign w:val="bottom"/>
          </w:tcPr>
          <w:p w14:paraId="2F60444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0.885559</w:t>
            </w:r>
          </w:p>
        </w:tc>
        <w:tc>
          <w:tcPr>
            <w:tcW w:w="1216" w:type="dxa"/>
            <w:vAlign w:val="bottom"/>
          </w:tcPr>
          <w:p w14:paraId="1B2914B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24.93573</w:t>
            </w:r>
          </w:p>
        </w:tc>
        <w:tc>
          <w:tcPr>
            <w:tcW w:w="1217" w:type="dxa"/>
            <w:vAlign w:val="bottom"/>
          </w:tcPr>
          <w:p w14:paraId="120D7D8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1.005830</w:t>
            </w:r>
          </w:p>
        </w:tc>
        <w:tc>
          <w:tcPr>
            <w:tcW w:w="1217" w:type="dxa"/>
            <w:vAlign w:val="bottom"/>
          </w:tcPr>
          <w:p w14:paraId="51CC5A5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1.167700</w:t>
            </w:r>
          </w:p>
        </w:tc>
        <w:tc>
          <w:tcPr>
            <w:tcW w:w="1216" w:type="dxa"/>
            <w:vAlign w:val="bottom"/>
          </w:tcPr>
          <w:p w14:paraId="27B2F16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11766417</w:t>
            </w:r>
          </w:p>
        </w:tc>
        <w:tc>
          <w:tcPr>
            <w:tcW w:w="1217" w:type="dxa"/>
            <w:vAlign w:val="bottom"/>
          </w:tcPr>
          <w:p w14:paraId="16E3096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1.792713</w:t>
            </w:r>
          </w:p>
        </w:tc>
        <w:tc>
          <w:tcPr>
            <w:tcW w:w="1216" w:type="dxa"/>
            <w:vAlign w:val="bottom"/>
          </w:tcPr>
          <w:p w14:paraId="1EEC953A" w14:textId="13804A8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5259F9E" w14:textId="3F72003F"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68F6668F" w14:textId="77777777" w:rsidTr="0014554E">
        <w:trPr>
          <w:trHeight w:val="529"/>
          <w:jc w:val="center"/>
        </w:trPr>
        <w:tc>
          <w:tcPr>
            <w:tcW w:w="1383" w:type="dxa"/>
            <w:vAlign w:val="bottom"/>
          </w:tcPr>
          <w:p w14:paraId="4B0EB5E5"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Minimum</w:t>
            </w:r>
          </w:p>
        </w:tc>
        <w:tc>
          <w:tcPr>
            <w:tcW w:w="1217" w:type="dxa"/>
            <w:vAlign w:val="bottom"/>
          </w:tcPr>
          <w:p w14:paraId="0E64FDA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-4.018925</w:t>
            </w:r>
          </w:p>
        </w:tc>
        <w:tc>
          <w:tcPr>
            <w:tcW w:w="1216" w:type="dxa"/>
            <w:vAlign w:val="bottom"/>
          </w:tcPr>
          <w:p w14:paraId="5363423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-0.039285</w:t>
            </w:r>
          </w:p>
        </w:tc>
        <w:tc>
          <w:tcPr>
            <w:tcW w:w="1216" w:type="dxa"/>
            <w:vAlign w:val="bottom"/>
          </w:tcPr>
          <w:p w14:paraId="21EEFB7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4.554107</w:t>
            </w:r>
          </w:p>
        </w:tc>
        <w:tc>
          <w:tcPr>
            <w:tcW w:w="1217" w:type="dxa"/>
            <w:vAlign w:val="bottom"/>
          </w:tcPr>
          <w:p w14:paraId="6831B76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0.811570</w:t>
            </w:r>
          </w:p>
        </w:tc>
        <w:tc>
          <w:tcPr>
            <w:tcW w:w="1217" w:type="dxa"/>
            <w:vAlign w:val="bottom"/>
          </w:tcPr>
          <w:p w14:paraId="396FC36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-1.937100</w:t>
            </w:r>
          </w:p>
        </w:tc>
        <w:tc>
          <w:tcPr>
            <w:tcW w:w="1216" w:type="dxa"/>
            <w:vAlign w:val="bottom"/>
          </w:tcPr>
          <w:p w14:paraId="0FA8F95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6860444.</w:t>
            </w:r>
          </w:p>
        </w:tc>
        <w:tc>
          <w:tcPr>
            <w:tcW w:w="1217" w:type="dxa"/>
            <w:vAlign w:val="bottom"/>
          </w:tcPr>
          <w:p w14:paraId="6071BEF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0.066693</w:t>
            </w:r>
          </w:p>
        </w:tc>
        <w:tc>
          <w:tcPr>
            <w:tcW w:w="1216" w:type="dxa"/>
            <w:vAlign w:val="bottom"/>
          </w:tcPr>
          <w:p w14:paraId="06B8E7F3" w14:textId="74AD4D3D"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EA7084D" w14:textId="3BB6F3A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26D26824" w14:textId="77777777" w:rsidTr="0014554E">
        <w:trPr>
          <w:trHeight w:val="529"/>
          <w:jc w:val="center"/>
        </w:trPr>
        <w:tc>
          <w:tcPr>
            <w:tcW w:w="1383" w:type="dxa"/>
            <w:vAlign w:val="bottom"/>
          </w:tcPr>
          <w:p w14:paraId="4FC96E10"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Std. Dev.</w:t>
            </w:r>
          </w:p>
        </w:tc>
        <w:tc>
          <w:tcPr>
            <w:tcW w:w="1217" w:type="dxa"/>
            <w:vAlign w:val="bottom"/>
          </w:tcPr>
          <w:p w14:paraId="7D904E26"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3.216243</w:t>
            </w:r>
          </w:p>
        </w:tc>
        <w:tc>
          <w:tcPr>
            <w:tcW w:w="1216" w:type="dxa"/>
            <w:vAlign w:val="bottom"/>
          </w:tcPr>
          <w:p w14:paraId="24130F0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0.263043</w:t>
            </w:r>
          </w:p>
        </w:tc>
        <w:tc>
          <w:tcPr>
            <w:tcW w:w="1216" w:type="dxa"/>
            <w:vAlign w:val="bottom"/>
          </w:tcPr>
          <w:p w14:paraId="0A353A5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5.186866</w:t>
            </w:r>
          </w:p>
        </w:tc>
        <w:tc>
          <w:tcPr>
            <w:tcW w:w="1217" w:type="dxa"/>
            <w:vAlign w:val="bottom"/>
          </w:tcPr>
          <w:p w14:paraId="370B120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0.068834</w:t>
            </w:r>
          </w:p>
        </w:tc>
        <w:tc>
          <w:tcPr>
            <w:tcW w:w="1217" w:type="dxa"/>
            <w:vAlign w:val="bottom"/>
          </w:tcPr>
          <w:p w14:paraId="5FB20B3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1.017699</w:t>
            </w:r>
          </w:p>
        </w:tc>
        <w:tc>
          <w:tcPr>
            <w:tcW w:w="1216" w:type="dxa"/>
            <w:vAlign w:val="bottom"/>
          </w:tcPr>
          <w:p w14:paraId="4C653F6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1310859.</w:t>
            </w:r>
          </w:p>
        </w:tc>
        <w:tc>
          <w:tcPr>
            <w:tcW w:w="1217" w:type="dxa"/>
            <w:vAlign w:val="bottom"/>
          </w:tcPr>
          <w:p w14:paraId="633F41DD"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0.338685</w:t>
            </w:r>
          </w:p>
        </w:tc>
        <w:tc>
          <w:tcPr>
            <w:tcW w:w="1216" w:type="dxa"/>
            <w:vAlign w:val="bottom"/>
          </w:tcPr>
          <w:p w14:paraId="0CCEB280" w14:textId="3A7FA085"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0A28B99" w14:textId="377910A0"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3EC3AAF7" w14:textId="77777777" w:rsidTr="0014554E">
        <w:trPr>
          <w:trHeight w:val="529"/>
          <w:jc w:val="center"/>
        </w:trPr>
        <w:tc>
          <w:tcPr>
            <w:tcW w:w="1383" w:type="dxa"/>
            <w:vAlign w:val="bottom"/>
          </w:tcPr>
          <w:p w14:paraId="70F1F4C8"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Skewness</w:t>
            </w:r>
          </w:p>
        </w:tc>
        <w:tc>
          <w:tcPr>
            <w:tcW w:w="1217" w:type="dxa"/>
            <w:vAlign w:val="bottom"/>
          </w:tcPr>
          <w:p w14:paraId="0D48965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0.650398</w:t>
            </w:r>
          </w:p>
        </w:tc>
        <w:tc>
          <w:tcPr>
            <w:tcW w:w="1216" w:type="dxa"/>
            <w:vAlign w:val="bottom"/>
          </w:tcPr>
          <w:p w14:paraId="34BC60D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0.028274</w:t>
            </w:r>
          </w:p>
        </w:tc>
        <w:tc>
          <w:tcPr>
            <w:tcW w:w="1216" w:type="dxa"/>
            <w:vAlign w:val="bottom"/>
          </w:tcPr>
          <w:p w14:paraId="39DC251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0.234732</w:t>
            </w:r>
          </w:p>
        </w:tc>
        <w:tc>
          <w:tcPr>
            <w:tcW w:w="1217" w:type="dxa"/>
            <w:vAlign w:val="bottom"/>
          </w:tcPr>
          <w:p w14:paraId="4D88EA4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-0.383855</w:t>
            </w:r>
          </w:p>
        </w:tc>
        <w:tc>
          <w:tcPr>
            <w:tcW w:w="1217" w:type="dxa"/>
            <w:vAlign w:val="bottom"/>
          </w:tcPr>
          <w:p w14:paraId="5B8DFFD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-0.780173</w:t>
            </w:r>
          </w:p>
        </w:tc>
        <w:tc>
          <w:tcPr>
            <w:tcW w:w="1216" w:type="dxa"/>
            <w:vAlign w:val="bottom"/>
          </w:tcPr>
          <w:p w14:paraId="719BCC4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0.131179</w:t>
            </w:r>
          </w:p>
        </w:tc>
        <w:tc>
          <w:tcPr>
            <w:tcW w:w="1217" w:type="dxa"/>
            <w:vAlign w:val="bottom"/>
          </w:tcPr>
          <w:p w14:paraId="00F92B26"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2.702436</w:t>
            </w:r>
          </w:p>
        </w:tc>
        <w:tc>
          <w:tcPr>
            <w:tcW w:w="1216" w:type="dxa"/>
            <w:vAlign w:val="bottom"/>
          </w:tcPr>
          <w:p w14:paraId="71F8F272" w14:textId="57BB9DD6"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679EE9B" w14:textId="4D3DD25A"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2A94B76A" w14:textId="77777777" w:rsidTr="0014554E">
        <w:trPr>
          <w:trHeight w:val="529"/>
          <w:jc w:val="center"/>
        </w:trPr>
        <w:tc>
          <w:tcPr>
            <w:tcW w:w="1383" w:type="dxa"/>
            <w:vAlign w:val="bottom"/>
          </w:tcPr>
          <w:p w14:paraId="7382ACE7"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Kurtosis</w:t>
            </w:r>
          </w:p>
        </w:tc>
        <w:tc>
          <w:tcPr>
            <w:tcW w:w="1217" w:type="dxa"/>
            <w:vAlign w:val="bottom"/>
          </w:tcPr>
          <w:p w14:paraId="77301EB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4.936012</w:t>
            </w:r>
          </w:p>
        </w:tc>
        <w:tc>
          <w:tcPr>
            <w:tcW w:w="1216" w:type="dxa"/>
            <w:vAlign w:val="bottom"/>
          </w:tcPr>
          <w:p w14:paraId="0C16410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1.958849</w:t>
            </w:r>
          </w:p>
        </w:tc>
        <w:tc>
          <w:tcPr>
            <w:tcW w:w="1216" w:type="dxa"/>
            <w:vAlign w:val="bottom"/>
          </w:tcPr>
          <w:p w14:paraId="4CCA2D9E"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2.379244</w:t>
            </w:r>
          </w:p>
        </w:tc>
        <w:tc>
          <w:tcPr>
            <w:tcW w:w="1217" w:type="dxa"/>
            <w:vAlign w:val="bottom"/>
          </w:tcPr>
          <w:p w14:paraId="0344F27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1.628439</w:t>
            </w:r>
          </w:p>
        </w:tc>
        <w:tc>
          <w:tcPr>
            <w:tcW w:w="1217" w:type="dxa"/>
            <w:vAlign w:val="bottom"/>
          </w:tcPr>
          <w:p w14:paraId="6BCF293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2.085157</w:t>
            </w:r>
          </w:p>
        </w:tc>
        <w:tc>
          <w:tcPr>
            <w:tcW w:w="1216" w:type="dxa"/>
            <w:vAlign w:val="bottom"/>
          </w:tcPr>
          <w:p w14:paraId="056C7D1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2.016769</w:t>
            </w:r>
          </w:p>
        </w:tc>
        <w:tc>
          <w:tcPr>
            <w:tcW w:w="1217" w:type="dxa"/>
            <w:vAlign w:val="bottom"/>
          </w:tcPr>
          <w:p w14:paraId="2E06769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11.79835</w:t>
            </w:r>
          </w:p>
        </w:tc>
        <w:tc>
          <w:tcPr>
            <w:tcW w:w="1216" w:type="dxa"/>
            <w:vAlign w:val="bottom"/>
          </w:tcPr>
          <w:p w14:paraId="4900B6BB" w14:textId="2EFAD961"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3B6EF408" w14:textId="53A2FE19"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45C32466" w14:textId="77777777" w:rsidTr="0014554E">
        <w:trPr>
          <w:trHeight w:val="529"/>
          <w:jc w:val="center"/>
        </w:trPr>
        <w:tc>
          <w:tcPr>
            <w:tcW w:w="1383" w:type="dxa"/>
            <w:vAlign w:val="bottom"/>
          </w:tcPr>
          <w:p w14:paraId="264D358D"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Jarque-Bera</w:t>
            </w:r>
          </w:p>
        </w:tc>
        <w:tc>
          <w:tcPr>
            <w:tcW w:w="1217" w:type="dxa"/>
            <w:vAlign w:val="bottom"/>
          </w:tcPr>
          <w:p w14:paraId="7B0C261B"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6.573588</w:t>
            </w:r>
          </w:p>
        </w:tc>
        <w:tc>
          <w:tcPr>
            <w:tcW w:w="1216" w:type="dxa"/>
            <w:vAlign w:val="bottom"/>
          </w:tcPr>
          <w:p w14:paraId="1C1EC961"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1.313691</w:t>
            </w:r>
          </w:p>
        </w:tc>
        <w:tc>
          <w:tcPr>
            <w:tcW w:w="1216" w:type="dxa"/>
            <w:vAlign w:val="bottom"/>
          </w:tcPr>
          <w:p w14:paraId="6420538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0.731929</w:t>
            </w:r>
          </w:p>
        </w:tc>
        <w:tc>
          <w:tcPr>
            <w:tcW w:w="1217" w:type="dxa"/>
            <w:vAlign w:val="bottom"/>
          </w:tcPr>
          <w:p w14:paraId="4731FC5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2.985258</w:t>
            </w:r>
          </w:p>
        </w:tc>
        <w:tc>
          <w:tcPr>
            <w:tcW w:w="1217" w:type="dxa"/>
            <w:vAlign w:val="bottom"/>
          </w:tcPr>
          <w:p w14:paraId="4CED0C6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3.953203</w:t>
            </w:r>
          </w:p>
        </w:tc>
        <w:tc>
          <w:tcPr>
            <w:tcW w:w="1216" w:type="dxa"/>
            <w:vAlign w:val="bottom"/>
          </w:tcPr>
          <w:p w14:paraId="3D02CFEC"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1.251319</w:t>
            </w:r>
          </w:p>
        </w:tc>
        <w:tc>
          <w:tcPr>
            <w:tcW w:w="1217" w:type="dxa"/>
            <w:vAlign w:val="bottom"/>
          </w:tcPr>
          <w:p w14:paraId="2FEF6328"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128.8367</w:t>
            </w:r>
          </w:p>
        </w:tc>
        <w:tc>
          <w:tcPr>
            <w:tcW w:w="1216" w:type="dxa"/>
            <w:vAlign w:val="bottom"/>
          </w:tcPr>
          <w:p w14:paraId="0DBBC7E1" w14:textId="7D1B3442"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7EFCE1D" w14:textId="68721EF9"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4B93E6C1" w14:textId="77777777" w:rsidTr="0014554E">
        <w:trPr>
          <w:trHeight w:val="529"/>
          <w:jc w:val="center"/>
        </w:trPr>
        <w:tc>
          <w:tcPr>
            <w:tcW w:w="1383" w:type="dxa"/>
            <w:vAlign w:val="bottom"/>
          </w:tcPr>
          <w:p w14:paraId="6A582C40"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Probability</w:t>
            </w:r>
          </w:p>
        </w:tc>
        <w:tc>
          <w:tcPr>
            <w:tcW w:w="1217" w:type="dxa"/>
            <w:vAlign w:val="bottom"/>
          </w:tcPr>
          <w:p w14:paraId="53A6933A"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0.037373</w:t>
            </w:r>
          </w:p>
        </w:tc>
        <w:tc>
          <w:tcPr>
            <w:tcW w:w="1216" w:type="dxa"/>
            <w:vAlign w:val="bottom"/>
          </w:tcPr>
          <w:p w14:paraId="386AFB3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0.518484</w:t>
            </w:r>
          </w:p>
        </w:tc>
        <w:tc>
          <w:tcPr>
            <w:tcW w:w="1216" w:type="dxa"/>
            <w:vAlign w:val="bottom"/>
          </w:tcPr>
          <w:p w14:paraId="7B33B947"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0.693527</w:t>
            </w:r>
          </w:p>
        </w:tc>
        <w:tc>
          <w:tcPr>
            <w:tcW w:w="1217" w:type="dxa"/>
            <w:vAlign w:val="bottom"/>
          </w:tcPr>
          <w:p w14:paraId="0A57CC4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0.224781</w:t>
            </w:r>
          </w:p>
        </w:tc>
        <w:tc>
          <w:tcPr>
            <w:tcW w:w="1217" w:type="dxa"/>
            <w:vAlign w:val="bottom"/>
          </w:tcPr>
          <w:p w14:paraId="7683BE8B"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0.138539</w:t>
            </w:r>
          </w:p>
        </w:tc>
        <w:tc>
          <w:tcPr>
            <w:tcW w:w="1216" w:type="dxa"/>
            <w:vAlign w:val="bottom"/>
          </w:tcPr>
          <w:p w14:paraId="3731D800"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0.534909</w:t>
            </w:r>
          </w:p>
        </w:tc>
        <w:tc>
          <w:tcPr>
            <w:tcW w:w="1217" w:type="dxa"/>
            <w:vAlign w:val="bottom"/>
          </w:tcPr>
          <w:p w14:paraId="0E385B6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0.000000</w:t>
            </w:r>
          </w:p>
        </w:tc>
        <w:tc>
          <w:tcPr>
            <w:tcW w:w="1216" w:type="dxa"/>
            <w:vAlign w:val="bottom"/>
          </w:tcPr>
          <w:p w14:paraId="2318663A" w14:textId="73D70036"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vAlign w:val="bottom"/>
          </w:tcPr>
          <w:p w14:paraId="7A167BAF" w14:textId="17B0C735"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r w:rsidR="0014554E" w:rsidRPr="00C16D1E" w14:paraId="0164C296" w14:textId="77777777" w:rsidTr="0014554E">
        <w:trPr>
          <w:trHeight w:val="529"/>
          <w:jc w:val="center"/>
        </w:trPr>
        <w:tc>
          <w:tcPr>
            <w:tcW w:w="1383" w:type="dxa"/>
            <w:tcBorders>
              <w:bottom w:val="single" w:sz="4" w:space="0" w:color="auto"/>
            </w:tcBorders>
            <w:vAlign w:val="bottom"/>
          </w:tcPr>
          <w:p w14:paraId="04084F76" w14:textId="77777777" w:rsidR="0014554E" w:rsidRPr="00C16D1E" w:rsidRDefault="0014554E" w:rsidP="00524050">
            <w:pPr>
              <w:autoSpaceDE w:val="0"/>
              <w:autoSpaceDN w:val="0"/>
              <w:adjustRightInd w:val="0"/>
              <w:rPr>
                <w:rFonts w:ascii="Times New Roman" w:hAnsi="Times New Roman" w:cs="Times New Roman"/>
                <w:color w:val="000000"/>
                <w:sz w:val="20"/>
                <w:szCs w:val="20"/>
              </w:rPr>
            </w:pPr>
            <w:r w:rsidRPr="00C16D1E">
              <w:rPr>
                <w:rFonts w:ascii="Times New Roman" w:hAnsi="Times New Roman" w:cs="Times New Roman"/>
                <w:color w:val="000000"/>
                <w:sz w:val="20"/>
                <w:szCs w:val="20"/>
              </w:rPr>
              <w:t> Observations</w:t>
            </w:r>
          </w:p>
        </w:tc>
        <w:tc>
          <w:tcPr>
            <w:tcW w:w="1217" w:type="dxa"/>
            <w:tcBorders>
              <w:bottom w:val="single" w:sz="4" w:space="0" w:color="auto"/>
            </w:tcBorders>
            <w:vAlign w:val="bottom"/>
          </w:tcPr>
          <w:p w14:paraId="4DDD1112"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34E4CA0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4826B33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FB58AC4"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9C071CF"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36DAD509"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7" w:type="dxa"/>
            <w:tcBorders>
              <w:bottom w:val="single" w:sz="4" w:space="0" w:color="auto"/>
            </w:tcBorders>
            <w:vAlign w:val="bottom"/>
          </w:tcPr>
          <w:p w14:paraId="042B9503" w14:textId="77777777" w:rsidR="0014554E" w:rsidRPr="00C16D1E" w:rsidRDefault="0014554E"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w:t>
            </w:r>
          </w:p>
        </w:tc>
        <w:tc>
          <w:tcPr>
            <w:tcW w:w="1216" w:type="dxa"/>
            <w:tcBorders>
              <w:bottom w:val="single" w:sz="4" w:space="0" w:color="auto"/>
            </w:tcBorders>
            <w:vAlign w:val="bottom"/>
          </w:tcPr>
          <w:p w14:paraId="1700464B" w14:textId="409BD5CB"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c>
          <w:tcPr>
            <w:tcW w:w="1216" w:type="dxa"/>
            <w:tcBorders>
              <w:bottom w:val="single" w:sz="4" w:space="0" w:color="auto"/>
            </w:tcBorders>
            <w:vAlign w:val="bottom"/>
          </w:tcPr>
          <w:p w14:paraId="0095798D" w14:textId="1A300E28" w:rsidR="0014554E" w:rsidRPr="00C16D1E" w:rsidRDefault="0014554E" w:rsidP="00524050">
            <w:pPr>
              <w:autoSpaceDE w:val="0"/>
              <w:autoSpaceDN w:val="0"/>
              <w:adjustRightInd w:val="0"/>
              <w:jc w:val="center"/>
              <w:rPr>
                <w:rFonts w:ascii="Times New Roman" w:hAnsi="Times New Roman" w:cs="Times New Roman"/>
                <w:color w:val="000000"/>
                <w:sz w:val="20"/>
                <w:szCs w:val="20"/>
              </w:rPr>
            </w:pPr>
          </w:p>
        </w:tc>
      </w:tr>
    </w:tbl>
    <w:p w14:paraId="118995FD" w14:textId="77777777"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The table presents descriptive statistics for the key macroeconomic and institutional variables. The statistics include the mean, median, maximum, minimum, standard deviation, skewness, kurtosis, Jarque–Bera statistic, probability, sum, sum of squared deviations, and number of observations. Skewness indicates the asymmetry of the distribution, while kurtosis measures the peakedness. The Jarque–Bera test assesses the normality of the series, with the probability value indicating whether the null hypothesis of normality can be rejected.</w:t>
      </w:r>
    </w:p>
    <w:p w14:paraId="664BD14D" w14:textId="003DD2B8" w:rsidR="00A86A09" w:rsidRPr="00C16D1E" w:rsidRDefault="00A86A09" w:rsidP="00524050">
      <w:pPr>
        <w:spacing w:after="200"/>
        <w:jc w:val="both"/>
        <w:rPr>
          <w:rFonts w:ascii="Times New Roman" w:eastAsia="Calibri" w:hAnsi="Times New Roman" w:cs="Times New Roman"/>
          <w:sz w:val="20"/>
          <w:szCs w:val="20"/>
        </w:rPr>
        <w:sectPr w:rsidR="00A86A09" w:rsidRPr="00C16D1E" w:rsidSect="00A86A09">
          <w:pgSz w:w="16838" w:h="11906" w:orient="landscape"/>
          <w:pgMar w:top="1440" w:right="1138" w:bottom="1282" w:left="1440" w:header="708" w:footer="708" w:gutter="0"/>
          <w:cols w:space="708"/>
          <w:docGrid w:linePitch="360"/>
        </w:sectPr>
      </w:pPr>
      <w:r w:rsidRPr="00C16D1E">
        <w:rPr>
          <w:rFonts w:ascii="Times New Roman" w:eastAsia="Calibri" w:hAnsi="Times New Roman" w:cs="Times New Roman"/>
          <w:b/>
          <w:sz w:val="20"/>
          <w:szCs w:val="20"/>
        </w:rPr>
        <w:t>Source:</w:t>
      </w:r>
      <w:r w:rsidRPr="00C16D1E">
        <w:rPr>
          <w:rFonts w:ascii="Times New Roman" w:eastAsia="Calibri" w:hAnsi="Times New Roman" w:cs="Times New Roman"/>
          <w:sz w:val="20"/>
          <w:szCs w:val="20"/>
        </w:rPr>
        <w:t xml:space="preserve"> Author’s </w:t>
      </w:r>
      <w:r w:rsidR="001B47DD" w:rsidRPr="00C16D1E">
        <w:rPr>
          <w:rFonts w:ascii="Times New Roman" w:eastAsia="Calibri" w:hAnsi="Times New Roman" w:cs="Times New Roman"/>
          <w:sz w:val="20"/>
          <w:szCs w:val="20"/>
        </w:rPr>
        <w:t>computations, 2026</w:t>
      </w:r>
      <w:r w:rsidRPr="00C16D1E">
        <w:rPr>
          <w:rFonts w:ascii="Times New Roman" w:eastAsia="Calibri" w:hAnsi="Times New Roman" w:cs="Times New Roman"/>
          <w:sz w:val="20"/>
          <w:szCs w:val="20"/>
        </w:rPr>
        <w:t>.</w:t>
      </w:r>
      <w:bookmarkStart w:id="6" w:name="_Hlk160030220"/>
    </w:p>
    <w:p w14:paraId="05A965FC" w14:textId="79CE5D7C" w:rsidR="00A86A09" w:rsidRPr="00C16D1E" w:rsidRDefault="00A86A09" w:rsidP="00524050">
      <w:pPr>
        <w:pStyle w:val="NormalWeb"/>
        <w:jc w:val="both"/>
        <w:rPr>
          <w:sz w:val="20"/>
          <w:szCs w:val="20"/>
        </w:rPr>
      </w:pPr>
      <w:r w:rsidRPr="00C16D1E">
        <w:rPr>
          <w:sz w:val="20"/>
          <w:szCs w:val="20"/>
        </w:rPr>
        <w:lastRenderedPageBreak/>
        <w:t xml:space="preserve">The descriptive evidence in Table 4.1.1 presents a clear picture of the behaviour of the study variables over the sample period. Real GDP per capita growth averages 2.08 % (median: 2.25 %), fluctuating widely between a minimum of −4.02 % and a maximum of 12.21 %. The standard deviation (3.22 %) exceeds the mean, reflecting pronounced macroeconomic volatility that mirrors recurrent economic shocks in Nigeria, as documented in </w:t>
      </w:r>
      <w:r w:rsidR="0075614E" w:rsidRPr="00C16D1E">
        <w:rPr>
          <w:sz w:val="20"/>
          <w:szCs w:val="20"/>
        </w:rPr>
        <w:t xml:space="preserve">the </w:t>
      </w:r>
      <w:r w:rsidRPr="00C16D1E">
        <w:rPr>
          <w:sz w:val="20"/>
          <w:szCs w:val="20"/>
        </w:rPr>
        <w:t>literature (Ndikumana &amp; Boyce, 2011). The distribution is positively skewed (</w:t>
      </w:r>
      <w:r w:rsidR="0075614E" w:rsidRPr="00C16D1E">
        <w:rPr>
          <w:sz w:val="20"/>
          <w:szCs w:val="20"/>
        </w:rPr>
        <w:t>skewness: 0.65) and leptokurtic (kurtosis: 4.94), and</w:t>
      </w:r>
      <w:r w:rsidRPr="00C16D1E">
        <w:rPr>
          <w:sz w:val="20"/>
          <w:szCs w:val="20"/>
        </w:rPr>
        <w:t xml:space="preserve"> the Jarque-Bera probability (0.04) indicates non-normality. Foreign direct investment inflows remain low at 0.40 % of GDP (median: 0.38 %) and vary between −0.04 % and 0.89 %, with a standard deviation of 0.26 %. The distribution is nearly symmetric (skewness: 0.03) and flat (kurtosis: 1.96), with the Jarque-Bera probability (0.52) supporting normality, reflecting a constrained investment environment (UNCTAD, 2023). </w:t>
      </w:r>
    </w:p>
    <w:p w14:paraId="4EBA18A9" w14:textId="689CDCBA" w:rsidR="00A86A09" w:rsidRPr="00C16D1E" w:rsidRDefault="00A86A09" w:rsidP="00524050">
      <w:pPr>
        <w:pStyle w:val="NormalWeb"/>
        <w:jc w:val="both"/>
        <w:rPr>
          <w:sz w:val="20"/>
          <w:szCs w:val="20"/>
        </w:rPr>
      </w:pPr>
      <w:r w:rsidRPr="00C16D1E">
        <w:rPr>
          <w:sz w:val="20"/>
          <w:szCs w:val="20"/>
        </w:rPr>
        <w:t>Natural resource endowment</w:t>
      </w:r>
      <w:r w:rsidR="00A63C2E" w:rsidRPr="00C16D1E">
        <w:rPr>
          <w:sz w:val="20"/>
          <w:szCs w:val="20"/>
        </w:rPr>
        <w:t xml:space="preserve"> </w:t>
      </w:r>
      <w:r w:rsidRPr="00C16D1E">
        <w:rPr>
          <w:sz w:val="20"/>
          <w:szCs w:val="20"/>
        </w:rPr>
        <w:t xml:space="preserve">averages 13.02 % of GDP (median: 13.04 %) and </w:t>
      </w:r>
      <w:r w:rsidR="0075614E" w:rsidRPr="00C16D1E">
        <w:rPr>
          <w:sz w:val="20"/>
          <w:szCs w:val="20"/>
        </w:rPr>
        <w:t>ranges from 4.55 % to</w:t>
      </w:r>
      <w:r w:rsidRPr="00C16D1E">
        <w:rPr>
          <w:sz w:val="20"/>
          <w:szCs w:val="20"/>
        </w:rPr>
        <w:t xml:space="preserve"> 24.94 %, indicating strong exposure to global commodity cycles (Ross, 2015). The standard deviation (5.19 %) reflects substantial variation. Secondary school enrolment shows a high mean (0.92; median: 0.95) on a zero-to-one scale, with a narrow range of 0.81–1.01 and low standard deviation (0.07). Skewness is slightly negative (−0.38) with a flat distribution (kurtosis: 1.63), and the Jarque-Bera probability (0.22) confirms normality, reflecting steady improvements in human capital development (UNESCO, 2021). </w:t>
      </w:r>
    </w:p>
    <w:p w14:paraId="5450FA5D" w14:textId="39D2CFDF" w:rsidR="00A86A09" w:rsidRPr="00C16D1E" w:rsidRDefault="00A86A09" w:rsidP="00524050">
      <w:pPr>
        <w:pStyle w:val="NormalWeb"/>
        <w:jc w:val="both"/>
        <w:rPr>
          <w:sz w:val="20"/>
          <w:szCs w:val="20"/>
        </w:rPr>
      </w:pPr>
      <w:r w:rsidRPr="00C16D1E">
        <w:rPr>
          <w:sz w:val="20"/>
          <w:szCs w:val="20"/>
        </w:rPr>
        <w:t xml:space="preserve">Institutional quality, measured via normalised PCA scores, averages 0.000690 (median: 0.38) with a range of −1.94 to 1.17 and a standard deviation of 1.02. Skewness (−0.78) and kurtosis (2.09) suggest a moderately left-skewed distribution, with the Jarque-Bera probability (0.14) supporting approximate normality, reflecting governance cycles (Kaufmann </w:t>
      </w:r>
      <w:r w:rsidRPr="00C16D1E">
        <w:rPr>
          <w:i/>
          <w:sz w:val="20"/>
          <w:szCs w:val="20"/>
        </w:rPr>
        <w:t>et al</w:t>
      </w:r>
      <w:r w:rsidRPr="00C16D1E">
        <w:rPr>
          <w:sz w:val="20"/>
          <w:szCs w:val="20"/>
        </w:rPr>
        <w:t>., 2023).</w:t>
      </w:r>
    </w:p>
    <w:p w14:paraId="76B2F523" w14:textId="71662163" w:rsidR="006C211B" w:rsidRPr="00C16D1E" w:rsidRDefault="00A86A09" w:rsidP="00BA4FCB">
      <w:pPr>
        <w:pStyle w:val="NormalWeb"/>
        <w:jc w:val="both"/>
        <w:rPr>
          <w:rFonts w:eastAsia="Calibri"/>
          <w:b/>
          <w:bCs/>
          <w:sz w:val="20"/>
          <w:szCs w:val="20"/>
        </w:rPr>
      </w:pPr>
      <w:r w:rsidRPr="00C16D1E">
        <w:rPr>
          <w:sz w:val="20"/>
          <w:szCs w:val="20"/>
        </w:rPr>
        <w:t xml:space="preserve">Gross fixed capital formation averages 9,187,833 (median: 9,178,168), showing wide variation from 6,860,444 to 11,766,417 (standard deviation: 1,310,859), consistent with volatile investment patterns in developing economies (Aghion </w:t>
      </w:r>
      <w:r w:rsidRPr="00C16D1E">
        <w:rPr>
          <w:i/>
          <w:sz w:val="20"/>
          <w:szCs w:val="20"/>
        </w:rPr>
        <w:t>et al</w:t>
      </w:r>
      <w:r w:rsidRPr="00C16D1E">
        <w:rPr>
          <w:sz w:val="20"/>
          <w:szCs w:val="20"/>
        </w:rPr>
        <w:t xml:space="preserve">., 2019). Trade openness (TRO) averages 0.37 (median: 0.29), with a range from 0.07 to 1.79 (standard deviation: 0.34), exhibiting strong right skewness (2.70) and leptokurtic peak (kurtosis: 11.80). The Jarque-Bera probability (0.00) confirms non-normality, reflecting oil-export-driven trade swings (IMF, 2022). </w:t>
      </w:r>
    </w:p>
    <w:p w14:paraId="7F72AC6E" w14:textId="77777777" w:rsidR="006C211B" w:rsidRPr="00C16D1E" w:rsidRDefault="006C211B" w:rsidP="00524050">
      <w:pPr>
        <w:jc w:val="both"/>
        <w:rPr>
          <w:rFonts w:ascii="Times New Roman" w:eastAsia="Calibri" w:hAnsi="Times New Roman" w:cs="Times New Roman"/>
          <w:b/>
          <w:bCs/>
          <w:sz w:val="20"/>
          <w:szCs w:val="20"/>
        </w:rPr>
      </w:pPr>
    </w:p>
    <w:p w14:paraId="3547D6E4" w14:textId="43FA96A9" w:rsidR="00A86A09" w:rsidRPr="00C16D1E" w:rsidRDefault="00CA0543" w:rsidP="00524050">
      <w:pPr>
        <w:jc w:val="both"/>
        <w:rPr>
          <w:rFonts w:ascii="Times New Roman" w:eastAsia="Calibri" w:hAnsi="Times New Roman" w:cs="Times New Roman"/>
          <w:b/>
          <w:bCs/>
          <w:sz w:val="20"/>
          <w:szCs w:val="20"/>
        </w:rPr>
      </w:pPr>
      <w:r w:rsidRPr="00C16D1E">
        <w:rPr>
          <w:rFonts w:ascii="Times New Roman" w:eastAsia="Calibri" w:hAnsi="Times New Roman" w:cs="Times New Roman"/>
          <w:b/>
          <w:bCs/>
          <w:sz w:val="20"/>
          <w:szCs w:val="20"/>
        </w:rPr>
        <w:t>4.4</w:t>
      </w:r>
      <w:r w:rsidR="00A86A09" w:rsidRPr="00C16D1E">
        <w:rPr>
          <w:rFonts w:ascii="Times New Roman" w:eastAsia="Calibri" w:hAnsi="Times New Roman" w:cs="Times New Roman"/>
          <w:b/>
          <w:bCs/>
          <w:sz w:val="20"/>
          <w:szCs w:val="20"/>
        </w:rPr>
        <w:t>: Correlation Analysis</w:t>
      </w:r>
    </w:p>
    <w:p w14:paraId="5FC2D07C" w14:textId="6F1B3321"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Prior to conducting the econometric analysis, it is important to examine the relationships among the variables to identify potential associations and multicollinearity issues. Table 4.2.1 presents the pairwise correlation coefficients for all key variables over the sample period 1996–2024. The correlation analysis provides insights into the strength and direction of linear relationships, highlighting which variables may interact or move together in the Nigerian economic context.</w:t>
      </w:r>
    </w:p>
    <w:p w14:paraId="4FC51656" w14:textId="77777777" w:rsidR="00A86A09" w:rsidRPr="00C16D1E" w:rsidRDefault="00A86A09" w:rsidP="00524050">
      <w:pPr>
        <w:jc w:val="both"/>
        <w:rPr>
          <w:rFonts w:ascii="Times New Roman" w:eastAsia="Calibri" w:hAnsi="Times New Roman" w:cs="Times New Roman"/>
          <w:sz w:val="20"/>
          <w:szCs w:val="20"/>
        </w:rPr>
      </w:pPr>
    </w:p>
    <w:p w14:paraId="56F6D3A8" w14:textId="77777777" w:rsidR="00A86A09" w:rsidRPr="00C16D1E" w:rsidRDefault="00A86A09" w:rsidP="00524050">
      <w:pPr>
        <w:jc w:val="both"/>
        <w:rPr>
          <w:rFonts w:ascii="Times New Roman" w:eastAsia="Calibri" w:hAnsi="Times New Roman" w:cs="Times New Roman"/>
          <w:sz w:val="20"/>
          <w:szCs w:val="20"/>
        </w:rPr>
      </w:pPr>
    </w:p>
    <w:p w14:paraId="5622BBE1" w14:textId="77777777" w:rsidR="00A86A09" w:rsidRPr="00C16D1E" w:rsidRDefault="00A86A09" w:rsidP="00524050">
      <w:pPr>
        <w:jc w:val="both"/>
        <w:rPr>
          <w:rFonts w:ascii="Times New Roman" w:eastAsia="Calibri" w:hAnsi="Times New Roman" w:cs="Times New Roman"/>
          <w:sz w:val="20"/>
          <w:szCs w:val="20"/>
        </w:rPr>
      </w:pPr>
    </w:p>
    <w:p w14:paraId="0D8E9D81" w14:textId="77777777" w:rsidR="00A86A09" w:rsidRPr="00C16D1E" w:rsidRDefault="00A86A09" w:rsidP="00524050">
      <w:pPr>
        <w:jc w:val="both"/>
        <w:rPr>
          <w:rFonts w:ascii="Times New Roman" w:eastAsia="Calibri" w:hAnsi="Times New Roman" w:cs="Times New Roman"/>
          <w:sz w:val="20"/>
          <w:szCs w:val="20"/>
        </w:rPr>
      </w:pPr>
    </w:p>
    <w:p w14:paraId="333D0D85" w14:textId="77777777" w:rsidR="00A86A09" w:rsidRPr="00C16D1E" w:rsidRDefault="00A86A09" w:rsidP="00524050">
      <w:pPr>
        <w:jc w:val="both"/>
        <w:rPr>
          <w:rFonts w:ascii="Times New Roman" w:eastAsia="Calibri" w:hAnsi="Times New Roman" w:cs="Times New Roman"/>
          <w:sz w:val="20"/>
          <w:szCs w:val="20"/>
        </w:rPr>
        <w:sectPr w:rsidR="00A86A09" w:rsidRPr="00C16D1E" w:rsidSect="00A86A09">
          <w:pgSz w:w="11906" w:h="16838"/>
          <w:pgMar w:top="1138" w:right="1282" w:bottom="1440" w:left="1440" w:header="708" w:footer="708" w:gutter="0"/>
          <w:cols w:space="708"/>
          <w:docGrid w:linePitch="360"/>
        </w:sectPr>
      </w:pPr>
    </w:p>
    <w:p w14:paraId="483C6EDF" w14:textId="77777777" w:rsidR="00A86A09" w:rsidRPr="00C16D1E" w:rsidRDefault="00A86A09" w:rsidP="00524050">
      <w:pPr>
        <w:jc w:val="both"/>
        <w:rPr>
          <w:rFonts w:ascii="Times New Roman" w:eastAsia="Calibri" w:hAnsi="Times New Roman" w:cs="Times New Roman"/>
          <w:sz w:val="20"/>
          <w:szCs w:val="20"/>
        </w:rPr>
      </w:pPr>
    </w:p>
    <w:p w14:paraId="51764CC2"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Table 4.2: Pairwise Correlation Matrix</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064"/>
        <w:gridCol w:w="1371"/>
        <w:gridCol w:w="1193"/>
        <w:gridCol w:w="1415"/>
        <w:gridCol w:w="1350"/>
        <w:gridCol w:w="1417"/>
        <w:gridCol w:w="1193"/>
      </w:tblGrid>
      <w:tr w:rsidR="009213FB" w:rsidRPr="00C16D1E" w14:paraId="70D100D2" w14:textId="77777777" w:rsidTr="009213FB">
        <w:trPr>
          <w:trHeight w:val="296"/>
        </w:trPr>
        <w:tc>
          <w:tcPr>
            <w:tcW w:w="1345" w:type="dxa"/>
            <w:tcBorders>
              <w:top w:val="single" w:sz="4" w:space="0" w:color="auto"/>
            </w:tcBorders>
            <w:noWrap/>
            <w:hideMark/>
          </w:tcPr>
          <w:p w14:paraId="426B8FF5"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Variable</w:t>
            </w:r>
          </w:p>
        </w:tc>
        <w:tc>
          <w:tcPr>
            <w:tcW w:w="1064" w:type="dxa"/>
            <w:tcBorders>
              <w:top w:val="single" w:sz="4" w:space="0" w:color="auto"/>
            </w:tcBorders>
            <w:noWrap/>
            <w:hideMark/>
          </w:tcPr>
          <w:p w14:paraId="337E8FE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GDPPC</w:t>
            </w:r>
          </w:p>
        </w:tc>
        <w:tc>
          <w:tcPr>
            <w:tcW w:w="1371" w:type="dxa"/>
            <w:tcBorders>
              <w:top w:val="single" w:sz="4" w:space="0" w:color="auto"/>
            </w:tcBorders>
            <w:noWrap/>
            <w:hideMark/>
          </w:tcPr>
          <w:p w14:paraId="1963925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INQ</w:t>
            </w:r>
          </w:p>
        </w:tc>
        <w:tc>
          <w:tcPr>
            <w:tcW w:w="1193" w:type="dxa"/>
            <w:tcBorders>
              <w:top w:val="single" w:sz="4" w:space="0" w:color="auto"/>
            </w:tcBorders>
            <w:noWrap/>
            <w:hideMark/>
          </w:tcPr>
          <w:p w14:paraId="1BF121DE"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FDI</w:t>
            </w:r>
          </w:p>
        </w:tc>
        <w:tc>
          <w:tcPr>
            <w:tcW w:w="1415" w:type="dxa"/>
            <w:tcBorders>
              <w:top w:val="single" w:sz="4" w:space="0" w:color="auto"/>
            </w:tcBorders>
            <w:noWrap/>
            <w:hideMark/>
          </w:tcPr>
          <w:p w14:paraId="0CACFF7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NRE</w:t>
            </w:r>
          </w:p>
        </w:tc>
        <w:tc>
          <w:tcPr>
            <w:tcW w:w="1350" w:type="dxa"/>
            <w:tcBorders>
              <w:top w:val="single" w:sz="4" w:space="0" w:color="auto"/>
            </w:tcBorders>
            <w:noWrap/>
            <w:hideMark/>
          </w:tcPr>
          <w:p w14:paraId="63D14C7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SSE</w:t>
            </w:r>
          </w:p>
        </w:tc>
        <w:tc>
          <w:tcPr>
            <w:tcW w:w="1417" w:type="dxa"/>
            <w:tcBorders>
              <w:top w:val="single" w:sz="4" w:space="0" w:color="auto"/>
            </w:tcBorders>
            <w:noWrap/>
            <w:hideMark/>
          </w:tcPr>
          <w:p w14:paraId="05924136"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GFCF</w:t>
            </w:r>
          </w:p>
        </w:tc>
        <w:tc>
          <w:tcPr>
            <w:tcW w:w="1193" w:type="dxa"/>
            <w:tcBorders>
              <w:top w:val="single" w:sz="4" w:space="0" w:color="auto"/>
            </w:tcBorders>
            <w:noWrap/>
            <w:hideMark/>
          </w:tcPr>
          <w:p w14:paraId="56DC66E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TRO</w:t>
            </w:r>
          </w:p>
        </w:tc>
      </w:tr>
      <w:tr w:rsidR="009213FB" w:rsidRPr="00C16D1E" w14:paraId="311D60AA" w14:textId="77777777" w:rsidTr="009213FB">
        <w:trPr>
          <w:trHeight w:val="296"/>
        </w:trPr>
        <w:tc>
          <w:tcPr>
            <w:tcW w:w="1345" w:type="dxa"/>
            <w:noWrap/>
            <w:hideMark/>
          </w:tcPr>
          <w:p w14:paraId="1D197C64"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GDPPC</w:t>
            </w:r>
          </w:p>
        </w:tc>
        <w:tc>
          <w:tcPr>
            <w:tcW w:w="1064" w:type="dxa"/>
            <w:noWrap/>
            <w:hideMark/>
          </w:tcPr>
          <w:p w14:paraId="75C5C4C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371" w:type="dxa"/>
            <w:noWrap/>
            <w:hideMark/>
          </w:tcPr>
          <w:p w14:paraId="3F1B8FF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193" w:type="dxa"/>
            <w:noWrap/>
            <w:hideMark/>
          </w:tcPr>
          <w:p w14:paraId="1F6FBAA6"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5" w:type="dxa"/>
            <w:noWrap/>
            <w:hideMark/>
          </w:tcPr>
          <w:p w14:paraId="1C582EB3"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350" w:type="dxa"/>
            <w:noWrap/>
            <w:hideMark/>
          </w:tcPr>
          <w:p w14:paraId="7E044BEF"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4DBB80A3"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2D42BBE4"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34F9F560" w14:textId="77777777" w:rsidTr="009213FB">
        <w:trPr>
          <w:trHeight w:val="296"/>
        </w:trPr>
        <w:tc>
          <w:tcPr>
            <w:tcW w:w="1345" w:type="dxa"/>
            <w:noWrap/>
            <w:hideMark/>
          </w:tcPr>
          <w:p w14:paraId="4F121926"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INQ</w:t>
            </w:r>
          </w:p>
        </w:tc>
        <w:tc>
          <w:tcPr>
            <w:tcW w:w="1064" w:type="dxa"/>
            <w:noWrap/>
            <w:hideMark/>
          </w:tcPr>
          <w:p w14:paraId="045B93E9"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–0.356</w:t>
            </w:r>
          </w:p>
        </w:tc>
        <w:tc>
          <w:tcPr>
            <w:tcW w:w="1371" w:type="dxa"/>
            <w:noWrap/>
            <w:hideMark/>
          </w:tcPr>
          <w:p w14:paraId="48460199"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193" w:type="dxa"/>
            <w:noWrap/>
            <w:hideMark/>
          </w:tcPr>
          <w:p w14:paraId="40B82E0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415" w:type="dxa"/>
            <w:noWrap/>
            <w:hideMark/>
          </w:tcPr>
          <w:p w14:paraId="74CA0459"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350" w:type="dxa"/>
            <w:noWrap/>
            <w:hideMark/>
          </w:tcPr>
          <w:p w14:paraId="0515D3AE"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41400DF9"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164DAE7"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60BD6896" w14:textId="77777777" w:rsidTr="009213FB">
        <w:trPr>
          <w:trHeight w:val="296"/>
        </w:trPr>
        <w:tc>
          <w:tcPr>
            <w:tcW w:w="1345" w:type="dxa"/>
            <w:noWrap/>
            <w:hideMark/>
          </w:tcPr>
          <w:p w14:paraId="74473A6A"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FDI</w:t>
            </w:r>
          </w:p>
        </w:tc>
        <w:tc>
          <w:tcPr>
            <w:tcW w:w="1064" w:type="dxa"/>
            <w:noWrap/>
            <w:hideMark/>
          </w:tcPr>
          <w:p w14:paraId="6B98ECD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0.193</w:t>
            </w:r>
          </w:p>
        </w:tc>
        <w:tc>
          <w:tcPr>
            <w:tcW w:w="1371" w:type="dxa"/>
            <w:noWrap/>
            <w:hideMark/>
          </w:tcPr>
          <w:p w14:paraId="64C2E984"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0.558***</w:t>
            </w:r>
          </w:p>
        </w:tc>
        <w:tc>
          <w:tcPr>
            <w:tcW w:w="1193" w:type="dxa"/>
            <w:noWrap/>
            <w:hideMark/>
          </w:tcPr>
          <w:p w14:paraId="24855F1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415" w:type="dxa"/>
            <w:noWrap/>
            <w:hideMark/>
          </w:tcPr>
          <w:p w14:paraId="2B9D018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350" w:type="dxa"/>
            <w:noWrap/>
            <w:hideMark/>
          </w:tcPr>
          <w:p w14:paraId="415005D6"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417" w:type="dxa"/>
            <w:noWrap/>
            <w:hideMark/>
          </w:tcPr>
          <w:p w14:paraId="3B0F5AFC"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72240A0"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296BC25E" w14:textId="77777777" w:rsidTr="009213FB">
        <w:trPr>
          <w:trHeight w:val="296"/>
        </w:trPr>
        <w:tc>
          <w:tcPr>
            <w:tcW w:w="1345" w:type="dxa"/>
            <w:noWrap/>
            <w:hideMark/>
          </w:tcPr>
          <w:p w14:paraId="5D6237D4"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NRE</w:t>
            </w:r>
          </w:p>
        </w:tc>
        <w:tc>
          <w:tcPr>
            <w:tcW w:w="1064" w:type="dxa"/>
            <w:noWrap/>
            <w:hideMark/>
          </w:tcPr>
          <w:p w14:paraId="1C04AB1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0.417**</w:t>
            </w:r>
          </w:p>
        </w:tc>
        <w:tc>
          <w:tcPr>
            <w:tcW w:w="1371" w:type="dxa"/>
            <w:noWrap/>
            <w:hideMark/>
          </w:tcPr>
          <w:p w14:paraId="7A245A7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–0.607***</w:t>
            </w:r>
          </w:p>
        </w:tc>
        <w:tc>
          <w:tcPr>
            <w:tcW w:w="1193" w:type="dxa"/>
            <w:noWrap/>
            <w:hideMark/>
          </w:tcPr>
          <w:p w14:paraId="5FB02BA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–0.112</w:t>
            </w:r>
          </w:p>
        </w:tc>
        <w:tc>
          <w:tcPr>
            <w:tcW w:w="1415" w:type="dxa"/>
            <w:noWrap/>
            <w:hideMark/>
          </w:tcPr>
          <w:p w14:paraId="04886398"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350" w:type="dxa"/>
            <w:noWrap/>
            <w:hideMark/>
          </w:tcPr>
          <w:p w14:paraId="7F61663A"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c>
          <w:tcPr>
            <w:tcW w:w="1417" w:type="dxa"/>
            <w:noWrap/>
            <w:hideMark/>
          </w:tcPr>
          <w:p w14:paraId="2FFFF270"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090474EE"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587FFBA0" w14:textId="77777777" w:rsidTr="009213FB">
        <w:trPr>
          <w:trHeight w:val="296"/>
        </w:trPr>
        <w:tc>
          <w:tcPr>
            <w:tcW w:w="1345" w:type="dxa"/>
            <w:noWrap/>
            <w:hideMark/>
          </w:tcPr>
          <w:p w14:paraId="260C58AE"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SSE</w:t>
            </w:r>
          </w:p>
        </w:tc>
        <w:tc>
          <w:tcPr>
            <w:tcW w:w="1064" w:type="dxa"/>
            <w:noWrap/>
            <w:hideMark/>
          </w:tcPr>
          <w:p w14:paraId="42B2DE7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–0.266</w:t>
            </w:r>
          </w:p>
        </w:tc>
        <w:tc>
          <w:tcPr>
            <w:tcW w:w="1371" w:type="dxa"/>
            <w:noWrap/>
            <w:hideMark/>
          </w:tcPr>
          <w:p w14:paraId="630D00C6"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0.853***</w:t>
            </w:r>
          </w:p>
        </w:tc>
        <w:tc>
          <w:tcPr>
            <w:tcW w:w="1193" w:type="dxa"/>
            <w:noWrap/>
            <w:hideMark/>
          </w:tcPr>
          <w:p w14:paraId="04E396B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0.494**</w:t>
            </w:r>
          </w:p>
        </w:tc>
        <w:tc>
          <w:tcPr>
            <w:tcW w:w="1415" w:type="dxa"/>
            <w:noWrap/>
            <w:hideMark/>
          </w:tcPr>
          <w:p w14:paraId="2A194B0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–0.733***</w:t>
            </w:r>
          </w:p>
        </w:tc>
        <w:tc>
          <w:tcPr>
            <w:tcW w:w="1350" w:type="dxa"/>
            <w:noWrap/>
            <w:hideMark/>
          </w:tcPr>
          <w:p w14:paraId="275F80D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417" w:type="dxa"/>
            <w:noWrap/>
            <w:hideMark/>
          </w:tcPr>
          <w:p w14:paraId="1604E8ED" w14:textId="77777777" w:rsidR="009213FB" w:rsidRPr="00C16D1E" w:rsidRDefault="009213FB" w:rsidP="00524050">
            <w:pPr>
              <w:jc w:val="center"/>
              <w:rPr>
                <w:rFonts w:ascii="Times New Roman" w:eastAsia="Times New Roman" w:hAnsi="Times New Roman" w:cs="Times New Roman"/>
                <w:sz w:val="20"/>
                <w:szCs w:val="20"/>
                <w:lang w:eastAsia="en-GB"/>
              </w:rPr>
            </w:pPr>
          </w:p>
        </w:tc>
        <w:tc>
          <w:tcPr>
            <w:tcW w:w="1193" w:type="dxa"/>
            <w:noWrap/>
            <w:hideMark/>
          </w:tcPr>
          <w:p w14:paraId="5568893D" w14:textId="77777777" w:rsidR="009213FB" w:rsidRPr="00C16D1E" w:rsidRDefault="009213FB" w:rsidP="00524050">
            <w:pPr>
              <w:jc w:val="center"/>
              <w:rPr>
                <w:rFonts w:ascii="Times New Roman" w:eastAsia="Times New Roman" w:hAnsi="Times New Roman" w:cs="Times New Roman"/>
                <w:sz w:val="20"/>
                <w:szCs w:val="20"/>
                <w:lang w:eastAsia="en-GB"/>
              </w:rPr>
            </w:pPr>
          </w:p>
        </w:tc>
      </w:tr>
      <w:tr w:rsidR="009213FB" w:rsidRPr="00C16D1E" w14:paraId="3D922DF2" w14:textId="77777777" w:rsidTr="009213FB">
        <w:trPr>
          <w:trHeight w:val="296"/>
        </w:trPr>
        <w:tc>
          <w:tcPr>
            <w:tcW w:w="1345" w:type="dxa"/>
            <w:noWrap/>
            <w:hideMark/>
          </w:tcPr>
          <w:p w14:paraId="302AFD2B"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GFCF</w:t>
            </w:r>
          </w:p>
        </w:tc>
        <w:tc>
          <w:tcPr>
            <w:tcW w:w="1064" w:type="dxa"/>
            <w:noWrap/>
            <w:hideMark/>
          </w:tcPr>
          <w:p w14:paraId="7C3F1DAE"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–0.355</w:t>
            </w:r>
          </w:p>
        </w:tc>
        <w:tc>
          <w:tcPr>
            <w:tcW w:w="1371" w:type="dxa"/>
            <w:noWrap/>
            <w:hideMark/>
          </w:tcPr>
          <w:p w14:paraId="1C628BD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0.681***</w:t>
            </w:r>
          </w:p>
        </w:tc>
        <w:tc>
          <w:tcPr>
            <w:tcW w:w="1193" w:type="dxa"/>
            <w:noWrap/>
            <w:hideMark/>
          </w:tcPr>
          <w:p w14:paraId="0B9C1CEA"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0.166</w:t>
            </w:r>
          </w:p>
        </w:tc>
        <w:tc>
          <w:tcPr>
            <w:tcW w:w="1415" w:type="dxa"/>
            <w:noWrap/>
            <w:hideMark/>
          </w:tcPr>
          <w:p w14:paraId="7F0DF400"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–0.661***</w:t>
            </w:r>
          </w:p>
        </w:tc>
        <w:tc>
          <w:tcPr>
            <w:tcW w:w="1350" w:type="dxa"/>
            <w:noWrap/>
            <w:hideMark/>
          </w:tcPr>
          <w:p w14:paraId="5556B0A4"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0.752***</w:t>
            </w:r>
          </w:p>
        </w:tc>
        <w:tc>
          <w:tcPr>
            <w:tcW w:w="1417" w:type="dxa"/>
            <w:noWrap/>
            <w:hideMark/>
          </w:tcPr>
          <w:p w14:paraId="568D676C"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c>
          <w:tcPr>
            <w:tcW w:w="1193" w:type="dxa"/>
            <w:noWrap/>
            <w:hideMark/>
          </w:tcPr>
          <w:p w14:paraId="09C57C2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p>
        </w:tc>
      </w:tr>
      <w:tr w:rsidR="009213FB" w:rsidRPr="00C16D1E" w14:paraId="0A0AF9FE" w14:textId="77777777" w:rsidTr="009213FB">
        <w:trPr>
          <w:trHeight w:val="296"/>
        </w:trPr>
        <w:tc>
          <w:tcPr>
            <w:tcW w:w="1345" w:type="dxa"/>
            <w:noWrap/>
            <w:hideMark/>
          </w:tcPr>
          <w:p w14:paraId="2BF972EF" w14:textId="77777777" w:rsidR="009213FB" w:rsidRPr="00C16D1E" w:rsidRDefault="009213FB" w:rsidP="00524050">
            <w:pP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LTRO</w:t>
            </w:r>
          </w:p>
        </w:tc>
        <w:tc>
          <w:tcPr>
            <w:tcW w:w="1064" w:type="dxa"/>
            <w:noWrap/>
            <w:hideMark/>
          </w:tcPr>
          <w:p w14:paraId="1BBB0262"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–0.072</w:t>
            </w:r>
          </w:p>
        </w:tc>
        <w:tc>
          <w:tcPr>
            <w:tcW w:w="1371" w:type="dxa"/>
            <w:noWrap/>
            <w:hideMark/>
          </w:tcPr>
          <w:p w14:paraId="70572EFC"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0.488**</w:t>
            </w:r>
          </w:p>
        </w:tc>
        <w:tc>
          <w:tcPr>
            <w:tcW w:w="1193" w:type="dxa"/>
            <w:noWrap/>
            <w:hideMark/>
          </w:tcPr>
          <w:p w14:paraId="5BB25B07"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0.406**</w:t>
            </w:r>
          </w:p>
        </w:tc>
        <w:tc>
          <w:tcPr>
            <w:tcW w:w="1415" w:type="dxa"/>
            <w:noWrap/>
            <w:hideMark/>
          </w:tcPr>
          <w:p w14:paraId="645B0185"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–0.391</w:t>
            </w:r>
          </w:p>
        </w:tc>
        <w:tc>
          <w:tcPr>
            <w:tcW w:w="1350" w:type="dxa"/>
            <w:noWrap/>
            <w:hideMark/>
          </w:tcPr>
          <w:p w14:paraId="12562D53"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0.672***</w:t>
            </w:r>
          </w:p>
        </w:tc>
        <w:tc>
          <w:tcPr>
            <w:tcW w:w="1417" w:type="dxa"/>
            <w:noWrap/>
            <w:hideMark/>
          </w:tcPr>
          <w:p w14:paraId="49B9575D"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0.673***</w:t>
            </w:r>
          </w:p>
        </w:tc>
        <w:tc>
          <w:tcPr>
            <w:tcW w:w="1193" w:type="dxa"/>
            <w:noWrap/>
            <w:hideMark/>
          </w:tcPr>
          <w:p w14:paraId="66595B7B" w14:textId="77777777" w:rsidR="009213FB" w:rsidRPr="00C16D1E" w:rsidRDefault="009213FB" w:rsidP="00524050">
            <w:pPr>
              <w:jc w:val="center"/>
              <w:rPr>
                <w:rFonts w:ascii="Times New Roman" w:eastAsia="Times New Roman" w:hAnsi="Times New Roman" w:cs="Times New Roman"/>
                <w:color w:val="000000"/>
                <w:sz w:val="20"/>
                <w:szCs w:val="20"/>
                <w:lang w:eastAsia="en-GB"/>
              </w:rPr>
            </w:pPr>
            <w:r w:rsidRPr="00C16D1E">
              <w:rPr>
                <w:rFonts w:ascii="Times New Roman" w:eastAsia="Times New Roman" w:hAnsi="Times New Roman" w:cs="Times New Roman"/>
                <w:color w:val="000000"/>
                <w:sz w:val="20"/>
                <w:szCs w:val="20"/>
                <w:lang w:eastAsia="en-GB"/>
              </w:rPr>
              <w:t>1</w:t>
            </w:r>
          </w:p>
        </w:tc>
      </w:tr>
    </w:tbl>
    <w:p w14:paraId="7D2E5A12" w14:textId="43545EDC"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Notes</w:t>
      </w:r>
      <w:r w:rsidRPr="00C16D1E">
        <w:rPr>
          <w:rFonts w:ascii="Times New Roman" w:eastAsia="Times New Roman" w:hAnsi="Times New Roman" w:cs="Times New Roman"/>
          <w:sz w:val="20"/>
          <w:szCs w:val="20"/>
          <w:lang w:eastAsia="en-GB"/>
        </w:rPr>
        <w:t xml:space="preserve">: N = 29. GDPPC = real GDP per capita growth (%), NRE = natural resource endowment (% of GDP), INQ = institutional quality index (0–100), (%), GFCF = gross fixed capital formation (% of GDP), TRO = trade openness (% of GDP), SSE = secondary school enrolment ratio, FDI = foreign direct investment net inflows (% of GDP).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0.01,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0.05, </w:t>
      </w:r>
      <w:r w:rsidRPr="00C16D1E">
        <w:rPr>
          <w:rFonts w:ascii="Times New Roman" w:eastAsia="Times New Roman" w:hAnsi="Times New Roman" w:cs="Times New Roman"/>
          <w:sz w:val="20"/>
          <w:szCs w:val="20"/>
          <w:vertAlign w:val="superscript"/>
          <w:lang w:eastAsia="en-GB"/>
        </w:rPr>
        <w:t>*</w:t>
      </w:r>
      <w:r w:rsidRPr="00C16D1E">
        <w:rPr>
          <w:rFonts w:ascii="Times New Roman" w:eastAsia="Times New Roman" w:hAnsi="Times New Roman" w:cs="Times New Roman"/>
          <w:sz w:val="20"/>
          <w:szCs w:val="20"/>
          <w:lang w:eastAsia="en-GB"/>
        </w:rPr>
        <w:t xml:space="preserve"> p &lt; 0.10 (two-tailed tests.</w:t>
      </w:r>
    </w:p>
    <w:p w14:paraId="76424DE3" w14:textId="7073D1BB" w:rsidR="00A86A09" w:rsidRPr="00C16D1E" w:rsidRDefault="00A86A09" w:rsidP="00524050">
      <w:pPr>
        <w:spacing w:after="200"/>
        <w:jc w:val="both"/>
        <w:rPr>
          <w:rFonts w:ascii="Times New Roman" w:eastAsia="Calibri" w:hAnsi="Times New Roman" w:cs="Times New Roman"/>
          <w:sz w:val="20"/>
          <w:szCs w:val="20"/>
        </w:rPr>
        <w:sectPr w:rsidR="00A86A09" w:rsidRPr="00C16D1E" w:rsidSect="00A86A09">
          <w:pgSz w:w="16838" w:h="11906" w:orient="landscape"/>
          <w:pgMar w:top="1440" w:right="1138" w:bottom="1282" w:left="1440" w:header="708" w:footer="708" w:gutter="0"/>
          <w:cols w:space="708"/>
          <w:docGrid w:linePitch="360"/>
        </w:sectPr>
      </w:pPr>
      <w:r w:rsidRPr="00C16D1E">
        <w:rPr>
          <w:rFonts w:ascii="Times New Roman" w:eastAsia="Calibri" w:hAnsi="Times New Roman" w:cs="Times New Roman"/>
          <w:b/>
          <w:sz w:val="20"/>
          <w:szCs w:val="20"/>
        </w:rPr>
        <w:t>Source:</w:t>
      </w:r>
      <w:r w:rsidRPr="00C16D1E">
        <w:rPr>
          <w:rFonts w:ascii="Times New Roman" w:eastAsia="Calibri" w:hAnsi="Times New Roman" w:cs="Times New Roman"/>
          <w:sz w:val="20"/>
          <w:szCs w:val="20"/>
        </w:rPr>
        <w:t xml:space="preserve"> Author’s computations, 2026.</w:t>
      </w:r>
    </w:p>
    <w:p w14:paraId="68B2E64A" w14:textId="1BCE0764" w:rsidR="00A86A09" w:rsidRPr="00C16D1E" w:rsidRDefault="00A86A09" w:rsidP="00524050">
      <w:pPr>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lastRenderedPageBreak/>
        <w:t>Table 4.2 presents Pearson correlations among real GDP per capita growth (GDPPC), institutional quality (INQ), natural resource variables, and the full set of covariates. The results indicate that GDP per capita growth is positively and significantly correlated with natural resource endowment (NRE, 0.417**) consistent with resource-driven growth episodes and demographic dividend effects observed in Nigeria (Sala-i-Martin &amp; Subramanian, 2013).</w:t>
      </w:r>
      <w:r w:rsidRPr="00C16D1E">
        <w:rPr>
          <w:rFonts w:ascii="Times New Roman" w:hAnsi="Times New Roman" w:cs="Times New Roman"/>
          <w:sz w:val="20"/>
          <w:szCs w:val="20"/>
        </w:rPr>
        <w:t xml:space="preserve"> Its negative correlation with institutional quality (−0.356) provides preliminary evidence that stronger institutions may moderate short-term growth volatility arising from commodity dependence, a pattern highlighted in the resource-curse literature (Ross, 2015).</w:t>
      </w:r>
      <w:r w:rsidR="00930105" w:rsidRPr="00C16D1E">
        <w:rPr>
          <w:rFonts w:ascii="Times New Roman" w:hAnsi="Times New Roman" w:cs="Times New Roman"/>
          <w:sz w:val="20"/>
          <w:szCs w:val="20"/>
        </w:rPr>
        <w:t xml:space="preserve">  </w:t>
      </w:r>
    </w:p>
    <w:p w14:paraId="49FE5088" w14:textId="6C43CBFB" w:rsidR="00930105" w:rsidRPr="00C16D1E" w:rsidRDefault="00930105" w:rsidP="00524050">
      <w:pPr>
        <w:jc w:val="both"/>
        <w:rPr>
          <w:rFonts w:ascii="Times New Roman" w:hAnsi="Times New Roman" w:cs="Times New Roman"/>
          <w:sz w:val="20"/>
          <w:szCs w:val="20"/>
        </w:rPr>
      </w:pPr>
    </w:p>
    <w:p w14:paraId="32398338" w14:textId="5D19F471" w:rsidR="00A86A09" w:rsidRPr="00C16D1E" w:rsidRDefault="00CA0543" w:rsidP="00524050">
      <w:pPr>
        <w:pStyle w:val="NormalWeb"/>
        <w:spacing w:before="0" w:beforeAutospacing="0" w:after="0" w:afterAutospacing="0"/>
        <w:jc w:val="both"/>
        <w:rPr>
          <w:sz w:val="20"/>
          <w:szCs w:val="20"/>
        </w:rPr>
      </w:pPr>
      <w:r w:rsidRPr="00C16D1E">
        <w:rPr>
          <w:sz w:val="20"/>
          <w:szCs w:val="20"/>
        </w:rPr>
        <w:t>Trade openness</w:t>
      </w:r>
      <w:r w:rsidR="00743B37" w:rsidRPr="00C16D1E">
        <w:rPr>
          <w:sz w:val="20"/>
          <w:szCs w:val="20"/>
        </w:rPr>
        <w:t xml:space="preserve"> and</w:t>
      </w:r>
      <w:r w:rsidR="00A86A09" w:rsidRPr="00C16D1E">
        <w:rPr>
          <w:sz w:val="20"/>
          <w:szCs w:val="20"/>
        </w:rPr>
        <w:t xml:space="preserve"> F</w:t>
      </w:r>
      <w:r w:rsidRPr="00C16D1E">
        <w:rPr>
          <w:sz w:val="20"/>
          <w:szCs w:val="20"/>
        </w:rPr>
        <w:t xml:space="preserve">oreign </w:t>
      </w:r>
      <w:r w:rsidR="00A86A09" w:rsidRPr="00C16D1E">
        <w:rPr>
          <w:sz w:val="20"/>
          <w:szCs w:val="20"/>
        </w:rPr>
        <w:t>D</w:t>
      </w:r>
      <w:r w:rsidRPr="00C16D1E">
        <w:rPr>
          <w:sz w:val="20"/>
          <w:szCs w:val="20"/>
        </w:rPr>
        <w:t xml:space="preserve">irect </w:t>
      </w:r>
      <w:r w:rsidR="00A86A09" w:rsidRPr="00C16D1E">
        <w:rPr>
          <w:sz w:val="20"/>
          <w:szCs w:val="20"/>
        </w:rPr>
        <w:t>I</w:t>
      </w:r>
      <w:r w:rsidRPr="00C16D1E">
        <w:rPr>
          <w:sz w:val="20"/>
          <w:szCs w:val="20"/>
        </w:rPr>
        <w:t>nvestment</w:t>
      </w:r>
      <w:r w:rsidR="00A86A09" w:rsidRPr="00C16D1E">
        <w:rPr>
          <w:sz w:val="20"/>
          <w:szCs w:val="20"/>
        </w:rPr>
        <w:t xml:space="preserve"> inflows</w:t>
      </w:r>
      <w:r w:rsidR="00743B37" w:rsidRPr="00C16D1E">
        <w:rPr>
          <w:sz w:val="20"/>
          <w:szCs w:val="20"/>
        </w:rPr>
        <w:t xml:space="preserve"> </w:t>
      </w:r>
      <w:r w:rsidR="0075614E" w:rsidRPr="00C16D1E">
        <w:rPr>
          <w:sz w:val="20"/>
          <w:szCs w:val="20"/>
        </w:rPr>
        <w:t>exhibit the expected signs with growth but do not attain conventional significance levels in bivariate analyses</w:t>
      </w:r>
      <w:r w:rsidR="00A86A09" w:rsidRPr="00C16D1E">
        <w:rPr>
          <w:sz w:val="20"/>
          <w:szCs w:val="20"/>
        </w:rPr>
        <w:t xml:space="preserve">. </w:t>
      </w:r>
    </w:p>
    <w:p w14:paraId="636BC91E" w14:textId="77777777" w:rsidR="00A86A09" w:rsidRPr="00C16D1E" w:rsidRDefault="00A86A09" w:rsidP="00524050">
      <w:pPr>
        <w:pStyle w:val="NormalWeb"/>
        <w:spacing w:before="0" w:beforeAutospacing="0" w:after="0" w:afterAutospacing="0"/>
        <w:jc w:val="both"/>
        <w:rPr>
          <w:sz w:val="20"/>
          <w:szCs w:val="20"/>
        </w:rPr>
      </w:pPr>
      <w:r w:rsidRPr="00C16D1E">
        <w:rPr>
          <w:sz w:val="20"/>
          <w:szCs w:val="20"/>
        </w:rPr>
        <w:t>Institutional quality exhibits the strongest associations within the sample. It is highly positively correlated with secondary school enrolment (SSE, 0.853</w:t>
      </w:r>
      <w:r w:rsidRPr="00C16D1E">
        <w:rPr>
          <w:b/>
          <w:bCs/>
          <w:sz w:val="20"/>
          <w:szCs w:val="20"/>
        </w:rPr>
        <w:t>***</w:t>
      </w:r>
      <w:r w:rsidRPr="00C16D1E">
        <w:rPr>
          <w:sz w:val="20"/>
          <w:szCs w:val="20"/>
        </w:rPr>
        <w:t>) and FDI inflows (0.558</w:t>
      </w:r>
      <w:r w:rsidRPr="00C16D1E">
        <w:rPr>
          <w:b/>
          <w:bCs/>
          <w:sz w:val="20"/>
          <w:szCs w:val="20"/>
        </w:rPr>
        <w:t>***</w:t>
      </w:r>
      <w:r w:rsidRPr="00C16D1E">
        <w:rPr>
          <w:sz w:val="20"/>
          <w:szCs w:val="20"/>
        </w:rPr>
        <w:t>), and strongly negatively correlated with natural resource endowment (−0.607</w:t>
      </w:r>
      <w:r w:rsidRPr="00C16D1E">
        <w:rPr>
          <w:b/>
          <w:bCs/>
          <w:sz w:val="20"/>
          <w:szCs w:val="20"/>
        </w:rPr>
        <w:t>***</w:t>
      </w:r>
      <w:r w:rsidRPr="00C16D1E">
        <w:rPr>
          <w:sz w:val="20"/>
          <w:szCs w:val="20"/>
        </w:rPr>
        <w:t xml:space="preserve">). These patterns are consistent with theoretical expectations that superior institutions foster human capital accumulation and economic diversification while mitigating Dutch-disease dynamics (Acemoglu </w:t>
      </w:r>
      <w:r w:rsidRPr="00C16D1E">
        <w:rPr>
          <w:i/>
          <w:sz w:val="20"/>
          <w:szCs w:val="20"/>
        </w:rPr>
        <w:t>et al</w:t>
      </w:r>
      <w:r w:rsidRPr="00C16D1E">
        <w:rPr>
          <w:sz w:val="20"/>
          <w:szCs w:val="20"/>
        </w:rPr>
        <w:t xml:space="preserve">., 2005; Rodrik </w:t>
      </w:r>
      <w:r w:rsidRPr="00C16D1E">
        <w:rPr>
          <w:i/>
          <w:sz w:val="20"/>
          <w:szCs w:val="20"/>
        </w:rPr>
        <w:t>et al</w:t>
      </w:r>
      <w:r w:rsidRPr="00C16D1E">
        <w:rPr>
          <w:sz w:val="20"/>
          <w:szCs w:val="20"/>
        </w:rPr>
        <w:t>., 2004).</w:t>
      </w:r>
    </w:p>
    <w:p w14:paraId="390F7291" w14:textId="45A4D617" w:rsidR="00A86A09" w:rsidRPr="00C16D1E" w:rsidRDefault="00637D15" w:rsidP="00524050">
      <w:pPr>
        <w:pStyle w:val="NormalWeb"/>
        <w:jc w:val="both"/>
        <w:rPr>
          <w:sz w:val="20"/>
          <w:szCs w:val="20"/>
        </w:rPr>
      </w:pPr>
      <w:r w:rsidRPr="00C16D1E">
        <w:rPr>
          <w:sz w:val="20"/>
          <w:szCs w:val="20"/>
        </w:rPr>
        <w:t>Trade openness</w:t>
      </w:r>
      <w:r w:rsidR="00A86A09" w:rsidRPr="00C16D1E">
        <w:rPr>
          <w:sz w:val="20"/>
          <w:szCs w:val="20"/>
        </w:rPr>
        <w:t xml:space="preserve"> </w:t>
      </w:r>
      <w:r w:rsidR="00534F15" w:rsidRPr="00C16D1E">
        <w:rPr>
          <w:sz w:val="20"/>
          <w:szCs w:val="20"/>
        </w:rPr>
        <w:t>displays</w:t>
      </w:r>
      <w:r w:rsidR="00A86A09" w:rsidRPr="00C16D1E">
        <w:rPr>
          <w:sz w:val="20"/>
          <w:szCs w:val="20"/>
        </w:rPr>
        <w:t xml:space="preserve"> positive correlations with institutional quality, reinforcing the link between governance, fiscal policy, and economic openness.</w:t>
      </w:r>
    </w:p>
    <w:p w14:paraId="285BD0AA" w14:textId="60CBD94E" w:rsidR="00A86A09" w:rsidRPr="00C16D1E" w:rsidRDefault="00CA0543"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4.5</w:t>
      </w:r>
      <w:r w:rsidR="00A86A09" w:rsidRPr="00C16D1E">
        <w:rPr>
          <w:rFonts w:ascii="Times New Roman" w:eastAsia="Times New Roman" w:hAnsi="Times New Roman" w:cs="Times New Roman"/>
          <w:b/>
          <w:bCs/>
          <w:sz w:val="20"/>
          <w:szCs w:val="20"/>
          <w:lang w:eastAsia="en-GB"/>
        </w:rPr>
        <w:t>: Stationarity Test</w:t>
      </w:r>
    </w:p>
    <w:p w14:paraId="6849FB6D" w14:textId="7CB6A92B" w:rsidR="006C211B"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sz w:val="20"/>
          <w:szCs w:val="20"/>
          <w:lang w:eastAsia="en-GB"/>
        </w:rPr>
        <w:t>Given the small annual sample of the macroeconomic data, stationarity was assessed using the Augmented Dickey–Fuller (ADF), Phillips–Perron (PP), and Zivot–Andrews (1992) unit root tests</w:t>
      </w:r>
      <w:r w:rsidR="00F91718" w:rsidRPr="00C16D1E">
        <w:rPr>
          <w:rFonts w:ascii="Times New Roman" w:eastAsia="Times New Roman" w:hAnsi="Times New Roman" w:cs="Times New Roman"/>
          <w:sz w:val="20"/>
          <w:szCs w:val="20"/>
          <w:lang w:eastAsia="en-GB"/>
        </w:rPr>
        <w:t>, which</w:t>
      </w:r>
      <w:r w:rsidRPr="00C16D1E">
        <w:rPr>
          <w:rFonts w:ascii="Times New Roman" w:eastAsia="Times New Roman" w:hAnsi="Times New Roman" w:cs="Times New Roman"/>
          <w:sz w:val="20"/>
          <w:szCs w:val="20"/>
          <w:lang w:eastAsia="en-GB"/>
        </w:rPr>
        <w:t xml:space="preserve"> were perform</w:t>
      </w:r>
      <w:r w:rsidR="00D6079C" w:rsidRPr="00C16D1E">
        <w:rPr>
          <w:rFonts w:ascii="Times New Roman" w:eastAsia="Times New Roman" w:hAnsi="Times New Roman" w:cs="Times New Roman"/>
          <w:sz w:val="20"/>
          <w:szCs w:val="20"/>
          <w:lang w:eastAsia="en-GB"/>
        </w:rPr>
        <w:t>ed</w:t>
      </w:r>
      <w:r w:rsidRPr="00C16D1E">
        <w:rPr>
          <w:rFonts w:ascii="Times New Roman" w:eastAsia="Times New Roman" w:hAnsi="Times New Roman" w:cs="Times New Roman"/>
          <w:sz w:val="20"/>
          <w:szCs w:val="20"/>
          <w:lang w:eastAsia="en-GB"/>
        </w:rPr>
        <w:t xml:space="preserve"> to show the stationarity of the data. Table</w:t>
      </w:r>
      <w:r w:rsidR="00D6079C" w:rsidRPr="00C16D1E">
        <w:rPr>
          <w:rFonts w:ascii="Times New Roman" w:eastAsia="Times New Roman" w:hAnsi="Times New Roman" w:cs="Times New Roman"/>
          <w:sz w:val="20"/>
          <w:szCs w:val="20"/>
          <w:lang w:eastAsia="en-GB"/>
        </w:rPr>
        <w:t>s</w:t>
      </w:r>
      <w:r w:rsidRPr="00C16D1E">
        <w:rPr>
          <w:rFonts w:ascii="Times New Roman" w:eastAsia="Times New Roman" w:hAnsi="Times New Roman" w:cs="Times New Roman"/>
          <w:sz w:val="20"/>
          <w:szCs w:val="20"/>
          <w:lang w:eastAsia="en-GB"/>
        </w:rPr>
        <w:t xml:space="preserve"> 4.</w:t>
      </w:r>
      <w:r w:rsidR="00D6079C" w:rsidRPr="00C16D1E">
        <w:rPr>
          <w:rFonts w:ascii="Times New Roman" w:eastAsia="Times New Roman" w:hAnsi="Times New Roman" w:cs="Times New Roman"/>
          <w:sz w:val="20"/>
          <w:szCs w:val="20"/>
          <w:lang w:eastAsia="en-GB"/>
        </w:rPr>
        <w:t>3a-3c</w:t>
      </w:r>
      <w:r w:rsidRPr="00C16D1E">
        <w:rPr>
          <w:rFonts w:ascii="Times New Roman" w:eastAsia="Times New Roman" w:hAnsi="Times New Roman" w:cs="Times New Roman"/>
          <w:sz w:val="20"/>
          <w:szCs w:val="20"/>
          <w:lang w:eastAsia="en-GB"/>
        </w:rPr>
        <w:t xml:space="preserve"> report the results in levels and first differences.</w:t>
      </w:r>
    </w:p>
    <w:p w14:paraId="0A9D90E2" w14:textId="77777777" w:rsidR="006C211B" w:rsidRPr="00C16D1E" w:rsidRDefault="006C211B" w:rsidP="00524050">
      <w:pPr>
        <w:jc w:val="both"/>
        <w:rPr>
          <w:rFonts w:ascii="Times New Roman" w:eastAsia="Times New Roman" w:hAnsi="Times New Roman" w:cs="Times New Roman"/>
          <w:b/>
          <w:bCs/>
          <w:sz w:val="20"/>
          <w:szCs w:val="20"/>
          <w:lang w:eastAsia="en-GB"/>
        </w:rPr>
      </w:pPr>
    </w:p>
    <w:p w14:paraId="4BEF30F8" w14:textId="1A27F98F" w:rsidR="00A86A09" w:rsidRPr="00C16D1E" w:rsidRDefault="00A86A09" w:rsidP="00524050">
      <w:pPr>
        <w:jc w:val="both"/>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lang w:eastAsia="en-GB"/>
        </w:rPr>
        <w:t>Table 4.3a: Augmented Dickey–Fuller (ADF) Unit Root Test Result</w:t>
      </w:r>
      <w:bookmarkEnd w:id="5"/>
      <w:bookmarkEnd w:id="6"/>
    </w:p>
    <w:tbl>
      <w:tblPr>
        <w:tblStyle w:val="TableGrid23"/>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588"/>
        <w:gridCol w:w="1220"/>
        <w:gridCol w:w="2193"/>
        <w:gridCol w:w="2119"/>
        <w:gridCol w:w="1584"/>
      </w:tblGrid>
      <w:tr w:rsidR="00A86A09" w:rsidRPr="00C16D1E" w14:paraId="2EE8ABEF" w14:textId="77777777" w:rsidTr="00A86A09">
        <w:trPr>
          <w:trHeight w:val="359"/>
          <w:jc w:val="center"/>
        </w:trPr>
        <w:tc>
          <w:tcPr>
            <w:tcW w:w="0" w:type="auto"/>
            <w:vMerge w:val="restart"/>
            <w:tcBorders>
              <w:top w:val="single" w:sz="4" w:space="0" w:color="auto"/>
            </w:tcBorders>
            <w:vAlign w:val="center"/>
            <w:hideMark/>
          </w:tcPr>
          <w:p w14:paraId="32366AA5"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Variable</w:t>
            </w:r>
          </w:p>
        </w:tc>
        <w:tc>
          <w:tcPr>
            <w:tcW w:w="2640" w:type="dxa"/>
            <w:gridSpan w:val="2"/>
            <w:tcBorders>
              <w:top w:val="single" w:sz="4" w:space="0" w:color="auto"/>
            </w:tcBorders>
            <w:vAlign w:val="center"/>
          </w:tcPr>
          <w:p w14:paraId="6CA5F988"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Levels</w:t>
            </w:r>
          </w:p>
        </w:tc>
        <w:tc>
          <w:tcPr>
            <w:tcW w:w="4312" w:type="dxa"/>
            <w:gridSpan w:val="2"/>
            <w:tcBorders>
              <w:top w:val="single" w:sz="4" w:space="0" w:color="auto"/>
            </w:tcBorders>
            <w:vAlign w:val="center"/>
          </w:tcPr>
          <w:p w14:paraId="3662BC1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First Difference</w:t>
            </w:r>
          </w:p>
        </w:tc>
        <w:tc>
          <w:tcPr>
            <w:tcW w:w="1584" w:type="dxa"/>
            <w:vMerge w:val="restart"/>
            <w:tcBorders>
              <w:top w:val="single" w:sz="4" w:space="0" w:color="auto"/>
            </w:tcBorders>
            <w:vAlign w:val="center"/>
            <w:hideMark/>
          </w:tcPr>
          <w:p w14:paraId="04D65E3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Order of Integration</w:t>
            </w:r>
          </w:p>
        </w:tc>
      </w:tr>
      <w:tr w:rsidR="00A86A09" w:rsidRPr="00C16D1E" w14:paraId="57EDE459" w14:textId="77777777" w:rsidTr="00A86A09">
        <w:trPr>
          <w:trHeight w:val="367"/>
          <w:jc w:val="center"/>
        </w:trPr>
        <w:tc>
          <w:tcPr>
            <w:tcW w:w="0" w:type="auto"/>
            <w:vMerge/>
            <w:vAlign w:val="center"/>
          </w:tcPr>
          <w:p w14:paraId="2F18CEC2" w14:textId="77777777" w:rsidR="00A86A09" w:rsidRPr="00C16D1E" w:rsidRDefault="00A86A09" w:rsidP="00524050">
            <w:pPr>
              <w:jc w:val="center"/>
              <w:rPr>
                <w:rFonts w:ascii="Times New Roman" w:hAnsi="Times New Roman" w:cs="Times New Roman"/>
                <w:b/>
                <w:bCs/>
                <w:sz w:val="20"/>
                <w:szCs w:val="20"/>
                <w:lang w:eastAsia="en-GB"/>
              </w:rPr>
            </w:pPr>
          </w:p>
        </w:tc>
        <w:tc>
          <w:tcPr>
            <w:tcW w:w="0" w:type="auto"/>
            <w:vAlign w:val="center"/>
          </w:tcPr>
          <w:p w14:paraId="65C0C7A2"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ADF Statistic</w:t>
            </w:r>
          </w:p>
        </w:tc>
        <w:tc>
          <w:tcPr>
            <w:tcW w:w="1173" w:type="dxa"/>
            <w:vAlign w:val="center"/>
          </w:tcPr>
          <w:p w14:paraId="2FB785EB"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p-value</w:t>
            </w:r>
          </w:p>
        </w:tc>
        <w:tc>
          <w:tcPr>
            <w:tcW w:w="2193" w:type="dxa"/>
            <w:vAlign w:val="center"/>
          </w:tcPr>
          <w:p w14:paraId="2E9949B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ADF Statistic</w:t>
            </w:r>
          </w:p>
        </w:tc>
        <w:tc>
          <w:tcPr>
            <w:tcW w:w="2119" w:type="dxa"/>
            <w:vAlign w:val="center"/>
          </w:tcPr>
          <w:p w14:paraId="49AD8D9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p-value</w:t>
            </w:r>
          </w:p>
        </w:tc>
        <w:tc>
          <w:tcPr>
            <w:tcW w:w="1584" w:type="dxa"/>
            <w:vMerge/>
            <w:vAlign w:val="center"/>
          </w:tcPr>
          <w:p w14:paraId="221D4507" w14:textId="77777777" w:rsidR="00A86A09" w:rsidRPr="00C16D1E" w:rsidRDefault="00A86A09" w:rsidP="00524050">
            <w:pPr>
              <w:jc w:val="center"/>
              <w:rPr>
                <w:rFonts w:ascii="Times New Roman" w:hAnsi="Times New Roman" w:cs="Times New Roman"/>
                <w:b/>
                <w:bCs/>
                <w:sz w:val="20"/>
                <w:szCs w:val="20"/>
                <w:lang w:eastAsia="en-GB"/>
              </w:rPr>
            </w:pPr>
          </w:p>
        </w:tc>
      </w:tr>
      <w:tr w:rsidR="00A86A09" w:rsidRPr="00C16D1E" w14:paraId="693F23F9" w14:textId="77777777" w:rsidTr="00A86A09">
        <w:trPr>
          <w:trHeight w:val="197"/>
          <w:jc w:val="center"/>
        </w:trPr>
        <w:tc>
          <w:tcPr>
            <w:tcW w:w="0" w:type="auto"/>
            <w:vAlign w:val="center"/>
            <w:hideMark/>
          </w:tcPr>
          <w:p w14:paraId="5C5E1D1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GDPPC</w:t>
            </w:r>
          </w:p>
        </w:tc>
        <w:tc>
          <w:tcPr>
            <w:tcW w:w="0" w:type="auto"/>
            <w:vAlign w:val="center"/>
            <w:hideMark/>
          </w:tcPr>
          <w:p w14:paraId="2190129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–2.886</w:t>
            </w:r>
          </w:p>
        </w:tc>
        <w:tc>
          <w:tcPr>
            <w:tcW w:w="1173" w:type="dxa"/>
            <w:vAlign w:val="center"/>
            <w:hideMark/>
          </w:tcPr>
          <w:p w14:paraId="2F260D0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0.0597</w:t>
            </w:r>
          </w:p>
        </w:tc>
        <w:tc>
          <w:tcPr>
            <w:tcW w:w="2193" w:type="dxa"/>
            <w:vAlign w:val="center"/>
            <w:hideMark/>
          </w:tcPr>
          <w:p w14:paraId="61CE03F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–7.302</w:t>
            </w:r>
            <w:r w:rsidRPr="00C16D1E">
              <w:rPr>
                <w:rFonts w:ascii="Times New Roman" w:hAnsi="Times New Roman" w:cs="Times New Roman"/>
                <w:b/>
                <w:bCs/>
                <w:sz w:val="20"/>
                <w:szCs w:val="20"/>
                <w:vertAlign w:val="superscript"/>
                <w:lang w:eastAsia="en-GB"/>
              </w:rPr>
              <w:t>***</w:t>
            </w:r>
          </w:p>
        </w:tc>
        <w:tc>
          <w:tcPr>
            <w:tcW w:w="2119" w:type="dxa"/>
            <w:vAlign w:val="center"/>
            <w:hideMark/>
          </w:tcPr>
          <w:p w14:paraId="377B907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hideMark/>
          </w:tcPr>
          <w:p w14:paraId="1A63299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35DD994C" w14:textId="77777777" w:rsidTr="00A86A09">
        <w:trPr>
          <w:trHeight w:val="197"/>
          <w:jc w:val="center"/>
        </w:trPr>
        <w:tc>
          <w:tcPr>
            <w:tcW w:w="0" w:type="auto"/>
            <w:vAlign w:val="center"/>
            <w:hideMark/>
          </w:tcPr>
          <w:p w14:paraId="3654086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INQ</w:t>
            </w:r>
          </w:p>
        </w:tc>
        <w:tc>
          <w:tcPr>
            <w:tcW w:w="0" w:type="auto"/>
            <w:vAlign w:val="center"/>
            <w:hideMark/>
          </w:tcPr>
          <w:p w14:paraId="50D36EC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–2.708</w:t>
            </w:r>
          </w:p>
        </w:tc>
        <w:tc>
          <w:tcPr>
            <w:tcW w:w="1173" w:type="dxa"/>
            <w:vAlign w:val="center"/>
            <w:hideMark/>
          </w:tcPr>
          <w:p w14:paraId="5A4D787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0.0880</w:t>
            </w:r>
          </w:p>
        </w:tc>
        <w:tc>
          <w:tcPr>
            <w:tcW w:w="2193" w:type="dxa"/>
            <w:vAlign w:val="center"/>
            <w:hideMark/>
          </w:tcPr>
          <w:p w14:paraId="69138BE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–3.522</w:t>
            </w:r>
            <w:r w:rsidRPr="00C16D1E">
              <w:rPr>
                <w:rFonts w:ascii="Times New Roman" w:hAnsi="Times New Roman" w:cs="Times New Roman"/>
                <w:b/>
                <w:bCs/>
                <w:sz w:val="20"/>
                <w:szCs w:val="20"/>
                <w:lang w:eastAsia="en-GB"/>
              </w:rPr>
              <w:t>**</w:t>
            </w:r>
          </w:p>
        </w:tc>
        <w:tc>
          <w:tcPr>
            <w:tcW w:w="2119" w:type="dxa"/>
            <w:vAlign w:val="center"/>
            <w:hideMark/>
          </w:tcPr>
          <w:p w14:paraId="2DEBF85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0.0151</w:t>
            </w:r>
          </w:p>
        </w:tc>
        <w:tc>
          <w:tcPr>
            <w:tcW w:w="1584" w:type="dxa"/>
            <w:vAlign w:val="center"/>
            <w:hideMark/>
          </w:tcPr>
          <w:p w14:paraId="50A3C58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C060BDE" w14:textId="77777777" w:rsidTr="00A86A09">
        <w:trPr>
          <w:trHeight w:val="197"/>
          <w:jc w:val="center"/>
        </w:trPr>
        <w:tc>
          <w:tcPr>
            <w:tcW w:w="0" w:type="auto"/>
            <w:vAlign w:val="center"/>
            <w:hideMark/>
          </w:tcPr>
          <w:p w14:paraId="114EB68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NRE</w:t>
            </w:r>
          </w:p>
        </w:tc>
        <w:tc>
          <w:tcPr>
            <w:tcW w:w="0" w:type="auto"/>
            <w:vAlign w:val="center"/>
            <w:hideMark/>
          </w:tcPr>
          <w:p w14:paraId="13BC27B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–2.513</w:t>
            </w:r>
          </w:p>
        </w:tc>
        <w:tc>
          <w:tcPr>
            <w:tcW w:w="1173" w:type="dxa"/>
            <w:vAlign w:val="center"/>
            <w:hideMark/>
          </w:tcPr>
          <w:p w14:paraId="344B66F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0.1232</w:t>
            </w:r>
          </w:p>
        </w:tc>
        <w:tc>
          <w:tcPr>
            <w:tcW w:w="2193" w:type="dxa"/>
            <w:vAlign w:val="center"/>
            <w:hideMark/>
          </w:tcPr>
          <w:p w14:paraId="4BB9543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–5.482</w:t>
            </w:r>
            <w:r w:rsidRPr="00C16D1E">
              <w:rPr>
                <w:rFonts w:ascii="Times New Roman" w:hAnsi="Times New Roman" w:cs="Times New Roman"/>
                <w:b/>
                <w:bCs/>
                <w:sz w:val="20"/>
                <w:szCs w:val="20"/>
                <w:vertAlign w:val="superscript"/>
                <w:lang w:eastAsia="en-GB"/>
              </w:rPr>
              <w:t>***</w:t>
            </w:r>
          </w:p>
        </w:tc>
        <w:tc>
          <w:tcPr>
            <w:tcW w:w="2119" w:type="dxa"/>
            <w:vAlign w:val="center"/>
            <w:hideMark/>
          </w:tcPr>
          <w:p w14:paraId="1FE096F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0.0001</w:t>
            </w:r>
          </w:p>
        </w:tc>
        <w:tc>
          <w:tcPr>
            <w:tcW w:w="1584" w:type="dxa"/>
            <w:vAlign w:val="center"/>
            <w:hideMark/>
          </w:tcPr>
          <w:p w14:paraId="060BC15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52062F50" w14:textId="77777777" w:rsidTr="00A86A09">
        <w:trPr>
          <w:trHeight w:val="197"/>
          <w:jc w:val="center"/>
        </w:trPr>
        <w:tc>
          <w:tcPr>
            <w:tcW w:w="0" w:type="auto"/>
            <w:vAlign w:val="center"/>
            <w:hideMark/>
          </w:tcPr>
          <w:p w14:paraId="5F01F98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GFCF</w:t>
            </w:r>
          </w:p>
        </w:tc>
        <w:tc>
          <w:tcPr>
            <w:tcW w:w="0" w:type="auto"/>
            <w:vAlign w:val="center"/>
            <w:hideMark/>
          </w:tcPr>
          <w:p w14:paraId="69CE542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–0.249</w:t>
            </w:r>
          </w:p>
        </w:tc>
        <w:tc>
          <w:tcPr>
            <w:tcW w:w="1173" w:type="dxa"/>
            <w:vAlign w:val="center"/>
            <w:hideMark/>
          </w:tcPr>
          <w:p w14:paraId="2B7F718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0.9199</w:t>
            </w:r>
          </w:p>
        </w:tc>
        <w:tc>
          <w:tcPr>
            <w:tcW w:w="2193" w:type="dxa"/>
            <w:vAlign w:val="center"/>
            <w:hideMark/>
          </w:tcPr>
          <w:p w14:paraId="533215B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–8.837</w:t>
            </w:r>
            <w:r w:rsidRPr="00C16D1E">
              <w:rPr>
                <w:rFonts w:ascii="Times New Roman" w:hAnsi="Times New Roman" w:cs="Times New Roman"/>
                <w:b/>
                <w:bCs/>
                <w:sz w:val="20"/>
                <w:szCs w:val="20"/>
                <w:vertAlign w:val="superscript"/>
                <w:lang w:eastAsia="en-GB"/>
              </w:rPr>
              <w:t>***</w:t>
            </w:r>
          </w:p>
        </w:tc>
        <w:tc>
          <w:tcPr>
            <w:tcW w:w="2119" w:type="dxa"/>
            <w:vAlign w:val="center"/>
            <w:hideMark/>
          </w:tcPr>
          <w:p w14:paraId="4377DBA1"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hideMark/>
          </w:tcPr>
          <w:p w14:paraId="68319AA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37C43A8" w14:textId="77777777" w:rsidTr="00A86A09">
        <w:trPr>
          <w:trHeight w:val="197"/>
          <w:jc w:val="center"/>
        </w:trPr>
        <w:tc>
          <w:tcPr>
            <w:tcW w:w="0" w:type="auto"/>
            <w:vAlign w:val="center"/>
            <w:hideMark/>
          </w:tcPr>
          <w:p w14:paraId="39A3973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LTRO</w:t>
            </w:r>
          </w:p>
        </w:tc>
        <w:tc>
          <w:tcPr>
            <w:tcW w:w="0" w:type="auto"/>
            <w:vAlign w:val="center"/>
            <w:hideMark/>
          </w:tcPr>
          <w:p w14:paraId="53ECC82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0.438</w:t>
            </w:r>
          </w:p>
        </w:tc>
        <w:tc>
          <w:tcPr>
            <w:tcW w:w="1173" w:type="dxa"/>
            <w:vAlign w:val="center"/>
            <w:hideMark/>
          </w:tcPr>
          <w:p w14:paraId="3DC89D8C"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0.9811</w:t>
            </w:r>
          </w:p>
        </w:tc>
        <w:tc>
          <w:tcPr>
            <w:tcW w:w="2193" w:type="dxa"/>
            <w:vAlign w:val="center"/>
            <w:hideMark/>
          </w:tcPr>
          <w:p w14:paraId="5450E1F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–4.101</w:t>
            </w:r>
            <w:r w:rsidRPr="00C16D1E">
              <w:rPr>
                <w:rFonts w:ascii="Times New Roman" w:hAnsi="Times New Roman" w:cs="Times New Roman"/>
                <w:b/>
                <w:bCs/>
                <w:sz w:val="20"/>
                <w:szCs w:val="20"/>
                <w:vertAlign w:val="superscript"/>
                <w:lang w:eastAsia="en-GB"/>
              </w:rPr>
              <w:t>**</w:t>
            </w:r>
          </w:p>
        </w:tc>
        <w:tc>
          <w:tcPr>
            <w:tcW w:w="2119" w:type="dxa"/>
            <w:vAlign w:val="center"/>
            <w:hideMark/>
          </w:tcPr>
          <w:p w14:paraId="3DF9C65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0.0038</w:t>
            </w:r>
          </w:p>
        </w:tc>
        <w:tc>
          <w:tcPr>
            <w:tcW w:w="1584" w:type="dxa"/>
            <w:vAlign w:val="center"/>
            <w:hideMark/>
          </w:tcPr>
          <w:p w14:paraId="323A593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05F5F39C" w14:textId="77777777" w:rsidTr="00A86A09">
        <w:trPr>
          <w:trHeight w:val="197"/>
          <w:jc w:val="center"/>
        </w:trPr>
        <w:tc>
          <w:tcPr>
            <w:tcW w:w="0" w:type="auto"/>
            <w:vAlign w:val="center"/>
            <w:hideMark/>
          </w:tcPr>
          <w:p w14:paraId="513C46D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SSE</w:t>
            </w:r>
          </w:p>
        </w:tc>
        <w:tc>
          <w:tcPr>
            <w:tcW w:w="0" w:type="auto"/>
            <w:vAlign w:val="center"/>
            <w:hideMark/>
          </w:tcPr>
          <w:p w14:paraId="10778D6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–0.911</w:t>
            </w:r>
          </w:p>
        </w:tc>
        <w:tc>
          <w:tcPr>
            <w:tcW w:w="1173" w:type="dxa"/>
            <w:vAlign w:val="center"/>
            <w:hideMark/>
          </w:tcPr>
          <w:p w14:paraId="5577E78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0.7696</w:t>
            </w:r>
          </w:p>
        </w:tc>
        <w:tc>
          <w:tcPr>
            <w:tcW w:w="2193" w:type="dxa"/>
            <w:vAlign w:val="center"/>
            <w:hideMark/>
          </w:tcPr>
          <w:p w14:paraId="73FA1AB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–5.038</w:t>
            </w:r>
            <w:r w:rsidRPr="00C16D1E">
              <w:rPr>
                <w:rFonts w:ascii="Times New Roman" w:hAnsi="Times New Roman" w:cs="Times New Roman"/>
                <w:b/>
                <w:bCs/>
                <w:sz w:val="20"/>
                <w:szCs w:val="20"/>
                <w:vertAlign w:val="superscript"/>
                <w:lang w:eastAsia="en-GB"/>
              </w:rPr>
              <w:t>***</w:t>
            </w:r>
          </w:p>
        </w:tc>
        <w:tc>
          <w:tcPr>
            <w:tcW w:w="2119" w:type="dxa"/>
            <w:vAlign w:val="center"/>
            <w:hideMark/>
          </w:tcPr>
          <w:p w14:paraId="5CDF647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0.0004</w:t>
            </w:r>
          </w:p>
        </w:tc>
        <w:tc>
          <w:tcPr>
            <w:tcW w:w="1584" w:type="dxa"/>
            <w:vAlign w:val="center"/>
            <w:hideMark/>
          </w:tcPr>
          <w:p w14:paraId="011E642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r w:rsidR="00A86A09" w:rsidRPr="00C16D1E" w14:paraId="10EC39FE" w14:textId="77777777" w:rsidTr="00A86A09">
        <w:trPr>
          <w:trHeight w:val="184"/>
          <w:jc w:val="center"/>
        </w:trPr>
        <w:tc>
          <w:tcPr>
            <w:tcW w:w="0" w:type="auto"/>
            <w:vAlign w:val="center"/>
          </w:tcPr>
          <w:p w14:paraId="478F524F"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FDI</w:t>
            </w:r>
          </w:p>
        </w:tc>
        <w:tc>
          <w:tcPr>
            <w:tcW w:w="0" w:type="auto"/>
            <w:vAlign w:val="center"/>
          </w:tcPr>
          <w:p w14:paraId="60556D3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–2.728</w:t>
            </w:r>
          </w:p>
        </w:tc>
        <w:tc>
          <w:tcPr>
            <w:tcW w:w="1173" w:type="dxa"/>
            <w:vAlign w:val="center"/>
          </w:tcPr>
          <w:p w14:paraId="484C6AC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0.0820</w:t>
            </w:r>
          </w:p>
        </w:tc>
        <w:tc>
          <w:tcPr>
            <w:tcW w:w="2193" w:type="dxa"/>
            <w:vAlign w:val="center"/>
          </w:tcPr>
          <w:p w14:paraId="36A9B8FA"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–7.931</w:t>
            </w:r>
            <w:r w:rsidRPr="00C16D1E">
              <w:rPr>
                <w:rFonts w:ascii="Times New Roman" w:hAnsi="Times New Roman" w:cs="Times New Roman"/>
                <w:b/>
                <w:bCs/>
                <w:sz w:val="20"/>
                <w:szCs w:val="20"/>
                <w:vertAlign w:val="superscript"/>
                <w:lang w:eastAsia="en-GB"/>
              </w:rPr>
              <w:t>***</w:t>
            </w:r>
          </w:p>
        </w:tc>
        <w:tc>
          <w:tcPr>
            <w:tcW w:w="2119" w:type="dxa"/>
            <w:vAlign w:val="center"/>
          </w:tcPr>
          <w:p w14:paraId="282A106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0.0000</w:t>
            </w:r>
          </w:p>
        </w:tc>
        <w:tc>
          <w:tcPr>
            <w:tcW w:w="1584" w:type="dxa"/>
            <w:vAlign w:val="center"/>
          </w:tcPr>
          <w:p w14:paraId="70C356F7"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sz w:val="20"/>
                <w:szCs w:val="20"/>
                <w:lang w:eastAsia="en-GB"/>
              </w:rPr>
              <w:t>I(1)</w:t>
            </w:r>
          </w:p>
        </w:tc>
      </w:tr>
    </w:tbl>
    <w:p w14:paraId="7BF16A15" w14:textId="77777777"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ADF = Augmented Dickey–Fuller test statistic; levels and first differences represent the original series and its first-differenced form, respectively. ** and *** denote significance at the 5% and 1% levels, respectively. </w:t>
      </w:r>
      <w:proofErr w:type="gramStart"/>
      <w:r w:rsidRPr="00C16D1E">
        <w:rPr>
          <w:rFonts w:ascii="Times New Roman" w:eastAsia="Calibri" w:hAnsi="Times New Roman" w:cs="Times New Roman"/>
          <w:sz w:val="20"/>
          <w:szCs w:val="20"/>
        </w:rPr>
        <w:t>I(</w:t>
      </w:r>
      <w:proofErr w:type="gramEnd"/>
      <w:r w:rsidRPr="00C16D1E">
        <w:rPr>
          <w:rFonts w:ascii="Times New Roman" w:eastAsia="Calibri" w:hAnsi="Times New Roman" w:cs="Times New Roman"/>
          <w:sz w:val="20"/>
          <w:szCs w:val="20"/>
        </w:rPr>
        <w:t xml:space="preserve">0) indicates stationarity at levels, while I(1) indicates stationarity after first differencing. </w:t>
      </w:r>
    </w:p>
    <w:p w14:paraId="777FA9C7" w14:textId="1CEA94AF" w:rsidR="00A86A09"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Source: Author’s computation, 2026.</w:t>
      </w:r>
    </w:p>
    <w:p w14:paraId="6E56BD56" w14:textId="77777777" w:rsidR="00017F12" w:rsidRPr="00C16D1E" w:rsidRDefault="00017F12" w:rsidP="00524050">
      <w:pPr>
        <w:jc w:val="both"/>
        <w:rPr>
          <w:rFonts w:ascii="Times New Roman" w:eastAsia="Calibri" w:hAnsi="Times New Roman" w:cs="Times New Roman"/>
          <w:sz w:val="20"/>
          <w:szCs w:val="20"/>
        </w:rPr>
      </w:pPr>
    </w:p>
    <w:p w14:paraId="77A124C3" w14:textId="77777777" w:rsidR="00A86A09" w:rsidRPr="00C16D1E" w:rsidRDefault="00A86A09" w:rsidP="00524050">
      <w:pPr>
        <w:jc w:val="both"/>
        <w:rPr>
          <w:rFonts w:ascii="Times New Roman" w:eastAsia="Calibri" w:hAnsi="Times New Roman" w:cs="Times New Roman"/>
          <w:sz w:val="20"/>
          <w:szCs w:val="20"/>
        </w:rPr>
      </w:pPr>
    </w:p>
    <w:p w14:paraId="7C0C3536" w14:textId="42DB0B4A" w:rsidR="00A86A09" w:rsidRPr="00C16D1E" w:rsidRDefault="00A86A09" w:rsidP="00524050">
      <w:pPr>
        <w:pStyle w:val="NormalWeb"/>
        <w:spacing w:before="0" w:beforeAutospacing="0" w:after="0" w:afterAutospacing="0"/>
        <w:jc w:val="both"/>
        <w:rPr>
          <w:sz w:val="20"/>
          <w:szCs w:val="20"/>
        </w:rPr>
      </w:pPr>
      <w:r w:rsidRPr="00C16D1E">
        <w:rPr>
          <w:sz w:val="20"/>
          <w:szCs w:val="20"/>
        </w:rPr>
        <w:t>The Augmented Dickey Fuller unit root test was conducted to determine the stationarity properties of the variables. As shown in Table 4.3a, most of the series become stationary after first differencing, indicating integration of order one. Specifically, gross domestic product per capita GDPPC becomes stationary at first difference (ADF = −7.302, p = 0.0000), institutional quality INQ (ADF = −3.522, p = 0.0151), natural resource endowment NRE (ADF = −5.482, p = 0.0001), natural gas revenue Gross fixed capital formation GFCF (ADF = −8.837, p = 0.0000), infrastructure</w:t>
      </w:r>
      <w:r w:rsidR="00643391" w:rsidRPr="00C16D1E">
        <w:rPr>
          <w:sz w:val="20"/>
          <w:szCs w:val="20"/>
        </w:rPr>
        <w:t>,</w:t>
      </w:r>
      <w:r w:rsidRPr="00C16D1E">
        <w:rPr>
          <w:sz w:val="20"/>
          <w:szCs w:val="20"/>
        </w:rPr>
        <w:t xml:space="preserve"> trade openness LTRO (ADF = −4.101, p = 0.0038), secondary school enrolment SSE (ADF = −5.038, p = 0.0004), and foreign direct investment FDI (ADF = −7.931, p = 0.0000).</w:t>
      </w:r>
    </w:p>
    <w:p w14:paraId="071E803B" w14:textId="793E275C" w:rsidR="00A86A09" w:rsidRPr="00C16D1E" w:rsidRDefault="00A86A09" w:rsidP="00524050">
      <w:pPr>
        <w:pStyle w:val="NormalWeb"/>
        <w:spacing w:before="0" w:beforeAutospacing="0" w:after="0" w:afterAutospacing="0"/>
        <w:jc w:val="both"/>
        <w:rPr>
          <w:sz w:val="20"/>
          <w:szCs w:val="20"/>
        </w:rPr>
      </w:pPr>
      <w:r w:rsidRPr="00C16D1E">
        <w:rPr>
          <w:sz w:val="20"/>
          <w:szCs w:val="20"/>
        </w:rPr>
        <w:t>Overall, the unit root results reveal a mixed order of integration, with most var</w:t>
      </w:r>
      <w:r w:rsidR="00643391" w:rsidRPr="00C16D1E">
        <w:rPr>
          <w:sz w:val="20"/>
          <w:szCs w:val="20"/>
        </w:rPr>
        <w:t>iables integrated of order one</w:t>
      </w:r>
      <w:r w:rsidRPr="00C16D1E">
        <w:rPr>
          <w:sz w:val="20"/>
          <w:szCs w:val="20"/>
        </w:rPr>
        <w:t>. Given the small sample size, these results are interpreted with caution and are used primarily to inform model specification rather than to strictly enforce asymptotic cointegration based estimation requirements.</w:t>
      </w:r>
    </w:p>
    <w:p w14:paraId="53A569F0" w14:textId="77777777" w:rsidR="00643391" w:rsidRPr="00C16D1E" w:rsidRDefault="00643391" w:rsidP="00524050">
      <w:pPr>
        <w:pStyle w:val="NormalWeb"/>
        <w:spacing w:before="0" w:beforeAutospacing="0" w:after="0" w:afterAutospacing="0"/>
        <w:jc w:val="both"/>
        <w:rPr>
          <w:rFonts w:eastAsia="Calibri"/>
          <w:sz w:val="20"/>
          <w:szCs w:val="20"/>
        </w:rPr>
      </w:pPr>
    </w:p>
    <w:p w14:paraId="5EC1CC58"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059CC998"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15906A1E" w14:textId="77777777" w:rsidR="00EF60B3" w:rsidRDefault="00EF60B3" w:rsidP="00524050">
      <w:pPr>
        <w:spacing w:before="100" w:beforeAutospacing="1"/>
        <w:jc w:val="center"/>
        <w:rPr>
          <w:rFonts w:ascii="Times New Roman" w:eastAsia="Times New Roman" w:hAnsi="Times New Roman" w:cs="Times New Roman"/>
          <w:b/>
          <w:bCs/>
          <w:sz w:val="20"/>
          <w:szCs w:val="20"/>
          <w:lang w:eastAsia="en-GB"/>
        </w:rPr>
      </w:pPr>
    </w:p>
    <w:p w14:paraId="3829FE2C" w14:textId="6C33AD68" w:rsidR="00A86A09" w:rsidRPr="00C16D1E" w:rsidRDefault="00A86A09" w:rsidP="00524050">
      <w:pPr>
        <w:spacing w:before="100" w:beforeAutospacing="1"/>
        <w:jc w:val="center"/>
        <w:rPr>
          <w:rFonts w:ascii="Times New Roman" w:eastAsia="Calibri" w:hAnsi="Times New Roman" w:cs="Times New Roman"/>
          <w:b/>
          <w:bCs/>
          <w:sz w:val="20"/>
          <w:szCs w:val="20"/>
        </w:rPr>
      </w:pPr>
      <w:r w:rsidRPr="00C16D1E">
        <w:rPr>
          <w:rFonts w:ascii="Times New Roman" w:eastAsia="Times New Roman" w:hAnsi="Times New Roman" w:cs="Times New Roman"/>
          <w:b/>
          <w:bCs/>
          <w:sz w:val="20"/>
          <w:szCs w:val="20"/>
          <w:lang w:eastAsia="en-GB"/>
        </w:rPr>
        <w:lastRenderedPageBreak/>
        <w:t>Table 4.3b: Phillips–Perron (PP), Unit Root Test Result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20"/>
        <w:gridCol w:w="1555"/>
        <w:gridCol w:w="610"/>
        <w:gridCol w:w="2360"/>
        <w:gridCol w:w="610"/>
        <w:gridCol w:w="1842"/>
      </w:tblGrid>
      <w:tr w:rsidR="00A86A09" w:rsidRPr="00C16D1E" w14:paraId="642A012E" w14:textId="77777777" w:rsidTr="00A86A09">
        <w:trPr>
          <w:tblHeader/>
          <w:tblCellSpacing w:w="15" w:type="dxa"/>
          <w:jc w:val="center"/>
        </w:trPr>
        <w:tc>
          <w:tcPr>
            <w:tcW w:w="0" w:type="auto"/>
            <w:tcBorders>
              <w:top w:val="single" w:sz="4" w:space="0" w:color="auto"/>
            </w:tcBorders>
            <w:vAlign w:val="center"/>
            <w:hideMark/>
          </w:tcPr>
          <w:p w14:paraId="3E08B44D"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vAlign w:val="center"/>
            <w:hideMark/>
          </w:tcPr>
          <w:p w14:paraId="6EF9D16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Levels Adj. t-Stat</w:t>
            </w:r>
          </w:p>
        </w:tc>
        <w:tc>
          <w:tcPr>
            <w:tcW w:w="0" w:type="auto"/>
            <w:tcBorders>
              <w:top w:val="single" w:sz="4" w:space="0" w:color="auto"/>
            </w:tcBorders>
            <w:vAlign w:val="center"/>
            <w:hideMark/>
          </w:tcPr>
          <w:p w14:paraId="00E337A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27DBF158"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First Difference Adj. t-Stat</w:t>
            </w:r>
          </w:p>
        </w:tc>
        <w:tc>
          <w:tcPr>
            <w:tcW w:w="0" w:type="auto"/>
            <w:tcBorders>
              <w:top w:val="single" w:sz="4" w:space="0" w:color="auto"/>
            </w:tcBorders>
            <w:vAlign w:val="center"/>
            <w:hideMark/>
          </w:tcPr>
          <w:p w14:paraId="3BC67C5C"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489DAE0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Order of Integration</w:t>
            </w:r>
          </w:p>
        </w:tc>
      </w:tr>
      <w:tr w:rsidR="00A86A09" w:rsidRPr="00C16D1E" w14:paraId="05A45893" w14:textId="77777777" w:rsidTr="00A86A09">
        <w:trPr>
          <w:tblCellSpacing w:w="15" w:type="dxa"/>
          <w:jc w:val="center"/>
        </w:trPr>
        <w:tc>
          <w:tcPr>
            <w:tcW w:w="0" w:type="auto"/>
            <w:vAlign w:val="center"/>
            <w:hideMark/>
          </w:tcPr>
          <w:p w14:paraId="3A7C3C3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w:t>
            </w:r>
          </w:p>
        </w:tc>
        <w:tc>
          <w:tcPr>
            <w:tcW w:w="0" w:type="auto"/>
            <w:vAlign w:val="center"/>
            <w:hideMark/>
          </w:tcPr>
          <w:p w14:paraId="4B1F098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-2.814</w:t>
            </w:r>
          </w:p>
        </w:tc>
        <w:tc>
          <w:tcPr>
            <w:tcW w:w="0" w:type="auto"/>
            <w:vAlign w:val="center"/>
            <w:hideMark/>
          </w:tcPr>
          <w:p w14:paraId="00BC9FE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0.0691</w:t>
            </w:r>
          </w:p>
        </w:tc>
        <w:tc>
          <w:tcPr>
            <w:tcW w:w="0" w:type="auto"/>
            <w:vAlign w:val="center"/>
            <w:hideMark/>
          </w:tcPr>
          <w:p w14:paraId="5F4F85C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-7.427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8CB54B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7B7D013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078E68EF" w14:textId="77777777" w:rsidTr="00A86A09">
        <w:trPr>
          <w:tblCellSpacing w:w="15" w:type="dxa"/>
          <w:jc w:val="center"/>
        </w:trPr>
        <w:tc>
          <w:tcPr>
            <w:tcW w:w="0" w:type="auto"/>
            <w:vAlign w:val="center"/>
            <w:hideMark/>
          </w:tcPr>
          <w:p w14:paraId="0CE6BED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INQ</w:t>
            </w:r>
          </w:p>
        </w:tc>
        <w:tc>
          <w:tcPr>
            <w:tcW w:w="0" w:type="auto"/>
            <w:vAlign w:val="center"/>
            <w:hideMark/>
          </w:tcPr>
          <w:p w14:paraId="0B351EB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-1.736</w:t>
            </w:r>
          </w:p>
        </w:tc>
        <w:tc>
          <w:tcPr>
            <w:tcW w:w="0" w:type="auto"/>
            <w:vAlign w:val="center"/>
            <w:hideMark/>
          </w:tcPr>
          <w:p w14:paraId="0FE84B0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0.4028</w:t>
            </w:r>
          </w:p>
        </w:tc>
        <w:tc>
          <w:tcPr>
            <w:tcW w:w="0" w:type="auto"/>
            <w:vAlign w:val="center"/>
            <w:hideMark/>
          </w:tcPr>
          <w:p w14:paraId="5D93A27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-3.633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3CB7A6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0.0117</w:t>
            </w:r>
          </w:p>
        </w:tc>
        <w:tc>
          <w:tcPr>
            <w:tcW w:w="0" w:type="auto"/>
            <w:vAlign w:val="center"/>
            <w:hideMark/>
          </w:tcPr>
          <w:p w14:paraId="30249C5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430DC4A7" w14:textId="77777777" w:rsidTr="00A86A09">
        <w:trPr>
          <w:tblCellSpacing w:w="15" w:type="dxa"/>
          <w:jc w:val="center"/>
        </w:trPr>
        <w:tc>
          <w:tcPr>
            <w:tcW w:w="0" w:type="auto"/>
            <w:vAlign w:val="center"/>
            <w:hideMark/>
          </w:tcPr>
          <w:p w14:paraId="7D5C5C8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w:t>
            </w:r>
          </w:p>
        </w:tc>
        <w:tc>
          <w:tcPr>
            <w:tcW w:w="0" w:type="auto"/>
            <w:vAlign w:val="center"/>
            <w:hideMark/>
          </w:tcPr>
          <w:p w14:paraId="5B57BB9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-2.540</w:t>
            </w:r>
          </w:p>
        </w:tc>
        <w:tc>
          <w:tcPr>
            <w:tcW w:w="0" w:type="auto"/>
            <w:vAlign w:val="center"/>
            <w:hideMark/>
          </w:tcPr>
          <w:p w14:paraId="4FC410A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0.1172</w:t>
            </w:r>
          </w:p>
        </w:tc>
        <w:tc>
          <w:tcPr>
            <w:tcW w:w="0" w:type="auto"/>
            <w:vAlign w:val="center"/>
            <w:hideMark/>
          </w:tcPr>
          <w:p w14:paraId="2FC0BCF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-10.354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101E8D8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7F282B3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27882B75" w14:textId="77777777" w:rsidTr="00A86A09">
        <w:trPr>
          <w:tblCellSpacing w:w="15" w:type="dxa"/>
          <w:jc w:val="center"/>
        </w:trPr>
        <w:tc>
          <w:tcPr>
            <w:tcW w:w="0" w:type="auto"/>
            <w:vAlign w:val="center"/>
            <w:hideMark/>
          </w:tcPr>
          <w:p w14:paraId="023E0A0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vAlign w:val="center"/>
            <w:hideMark/>
          </w:tcPr>
          <w:p w14:paraId="2113230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-2.196</w:t>
            </w:r>
          </w:p>
        </w:tc>
        <w:tc>
          <w:tcPr>
            <w:tcW w:w="0" w:type="auto"/>
            <w:vAlign w:val="center"/>
            <w:hideMark/>
          </w:tcPr>
          <w:p w14:paraId="7632B84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0.2122</w:t>
            </w:r>
          </w:p>
        </w:tc>
        <w:tc>
          <w:tcPr>
            <w:tcW w:w="0" w:type="auto"/>
            <w:vAlign w:val="center"/>
            <w:hideMark/>
          </w:tcPr>
          <w:p w14:paraId="12D36CC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-13.241</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54000B8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20C7AEC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27EAC4B5" w14:textId="77777777" w:rsidTr="00A86A09">
        <w:trPr>
          <w:tblCellSpacing w:w="15" w:type="dxa"/>
          <w:jc w:val="center"/>
        </w:trPr>
        <w:tc>
          <w:tcPr>
            <w:tcW w:w="0" w:type="auto"/>
            <w:vAlign w:val="center"/>
            <w:hideMark/>
          </w:tcPr>
          <w:p w14:paraId="12DBB1E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w:t>
            </w:r>
          </w:p>
        </w:tc>
        <w:tc>
          <w:tcPr>
            <w:tcW w:w="0" w:type="auto"/>
            <w:vAlign w:val="center"/>
            <w:hideMark/>
          </w:tcPr>
          <w:p w14:paraId="1145E1C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0.438</w:t>
            </w:r>
          </w:p>
        </w:tc>
        <w:tc>
          <w:tcPr>
            <w:tcW w:w="0" w:type="auto"/>
            <w:vAlign w:val="center"/>
            <w:hideMark/>
          </w:tcPr>
          <w:p w14:paraId="40F3AC3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0.9811</w:t>
            </w:r>
          </w:p>
        </w:tc>
        <w:tc>
          <w:tcPr>
            <w:tcW w:w="0" w:type="auto"/>
            <w:vAlign w:val="center"/>
            <w:hideMark/>
          </w:tcPr>
          <w:p w14:paraId="5F21BB4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-4.095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C1A66B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0.0039</w:t>
            </w:r>
          </w:p>
        </w:tc>
        <w:tc>
          <w:tcPr>
            <w:tcW w:w="0" w:type="auto"/>
            <w:vAlign w:val="center"/>
            <w:hideMark/>
          </w:tcPr>
          <w:p w14:paraId="0BE33EB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0D2A5618" w14:textId="77777777" w:rsidTr="00A86A09">
        <w:trPr>
          <w:tblCellSpacing w:w="15" w:type="dxa"/>
          <w:jc w:val="center"/>
        </w:trPr>
        <w:tc>
          <w:tcPr>
            <w:tcW w:w="0" w:type="auto"/>
            <w:vAlign w:val="center"/>
            <w:hideMark/>
          </w:tcPr>
          <w:p w14:paraId="74892AB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w:t>
            </w:r>
          </w:p>
        </w:tc>
        <w:tc>
          <w:tcPr>
            <w:tcW w:w="0" w:type="auto"/>
            <w:vAlign w:val="center"/>
            <w:hideMark/>
          </w:tcPr>
          <w:p w14:paraId="4D39B6C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-0.913</w:t>
            </w:r>
          </w:p>
        </w:tc>
        <w:tc>
          <w:tcPr>
            <w:tcW w:w="0" w:type="auto"/>
            <w:vAlign w:val="center"/>
            <w:hideMark/>
          </w:tcPr>
          <w:p w14:paraId="3A26D96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0.7690</w:t>
            </w:r>
          </w:p>
        </w:tc>
        <w:tc>
          <w:tcPr>
            <w:tcW w:w="0" w:type="auto"/>
            <w:vAlign w:val="center"/>
            <w:hideMark/>
          </w:tcPr>
          <w:p w14:paraId="7F6DF7D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-5.038</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38CAB7C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0.0004</w:t>
            </w:r>
          </w:p>
        </w:tc>
        <w:tc>
          <w:tcPr>
            <w:tcW w:w="0" w:type="auto"/>
            <w:vAlign w:val="center"/>
            <w:hideMark/>
          </w:tcPr>
          <w:p w14:paraId="53F8DC5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356B3693" w14:textId="77777777" w:rsidTr="00A86A09">
        <w:trPr>
          <w:tblCellSpacing w:w="15" w:type="dxa"/>
          <w:jc w:val="center"/>
        </w:trPr>
        <w:tc>
          <w:tcPr>
            <w:tcW w:w="0" w:type="auto"/>
            <w:vAlign w:val="center"/>
            <w:hideMark/>
          </w:tcPr>
          <w:p w14:paraId="2C3591B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w:t>
            </w:r>
          </w:p>
        </w:tc>
        <w:tc>
          <w:tcPr>
            <w:tcW w:w="0" w:type="auto"/>
            <w:vAlign w:val="center"/>
            <w:hideMark/>
          </w:tcPr>
          <w:p w14:paraId="1E22E4E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-2.572</w:t>
            </w:r>
          </w:p>
        </w:tc>
        <w:tc>
          <w:tcPr>
            <w:tcW w:w="0" w:type="auto"/>
            <w:vAlign w:val="center"/>
            <w:hideMark/>
          </w:tcPr>
          <w:p w14:paraId="3BB4553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0.1105</w:t>
            </w:r>
          </w:p>
        </w:tc>
        <w:tc>
          <w:tcPr>
            <w:tcW w:w="0" w:type="auto"/>
            <w:vAlign w:val="center"/>
            <w:hideMark/>
          </w:tcPr>
          <w:p w14:paraId="103552D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-8.473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68B8606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0.0000</w:t>
            </w:r>
          </w:p>
        </w:tc>
        <w:tc>
          <w:tcPr>
            <w:tcW w:w="0" w:type="auto"/>
            <w:vAlign w:val="center"/>
            <w:hideMark/>
          </w:tcPr>
          <w:p w14:paraId="0457BFF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bl>
    <w:p w14:paraId="5CCE96C0" w14:textId="77777777" w:rsidR="00A86A09" w:rsidRPr="00C16D1E" w:rsidRDefault="00A86A09" w:rsidP="00524050">
      <w:pPr>
        <w:autoSpaceDE w:val="0"/>
        <w:autoSpaceDN w:val="0"/>
        <w:adjustRightInd w:val="0"/>
        <w:jc w:val="both"/>
        <w:rPr>
          <w:rFonts w:ascii="Times New Roman" w:eastAsia="Calibri" w:hAnsi="Times New Roman" w:cs="Times New Roman"/>
          <w:sz w:val="20"/>
          <w:szCs w:val="20"/>
        </w:rPr>
      </w:pPr>
      <w:r w:rsidRPr="00C16D1E">
        <w:rPr>
          <w:rFonts w:ascii="Times New Roman" w:eastAsia="Calibri" w:hAnsi="Times New Roman" w:cs="Times New Roman"/>
          <w:b/>
          <w:bCs/>
          <w:sz w:val="20"/>
          <w:szCs w:val="20"/>
        </w:rPr>
        <w:t>Note:</w:t>
      </w:r>
      <w:r w:rsidRPr="00C16D1E">
        <w:rPr>
          <w:rFonts w:ascii="Times New Roman" w:eastAsia="Calibri" w:hAnsi="Times New Roman" w:cs="Times New Roman"/>
          <w:sz w:val="20"/>
          <w:szCs w:val="20"/>
        </w:rPr>
        <w:t xml:space="preserve"> PP = Phillips–Perron test statistic; levels and first differences refer to the original series and its first-differenced form, respectively. *** denotes significance at the 1% level. </w:t>
      </w:r>
      <w:proofErr w:type="gramStart"/>
      <w:r w:rsidRPr="00C16D1E">
        <w:rPr>
          <w:rFonts w:ascii="Times New Roman" w:eastAsia="Calibri" w:hAnsi="Times New Roman" w:cs="Times New Roman"/>
          <w:sz w:val="20"/>
          <w:szCs w:val="20"/>
        </w:rPr>
        <w:t>I(</w:t>
      </w:r>
      <w:proofErr w:type="gramEnd"/>
      <w:r w:rsidRPr="00C16D1E">
        <w:rPr>
          <w:rFonts w:ascii="Times New Roman" w:eastAsia="Calibri" w:hAnsi="Times New Roman" w:cs="Times New Roman"/>
          <w:sz w:val="20"/>
          <w:szCs w:val="20"/>
        </w:rPr>
        <w:t xml:space="preserve">0) indicates stationarity at levels, I(1) indicates stationarity after first differencing. </w:t>
      </w:r>
    </w:p>
    <w:p w14:paraId="7C7A1CB0" w14:textId="31392340" w:rsidR="00A86A09" w:rsidRPr="00C16D1E" w:rsidRDefault="00A86A09" w:rsidP="00524050">
      <w:pPr>
        <w:autoSpaceDE w:val="0"/>
        <w:autoSpaceDN w:val="0"/>
        <w:adjustRightInd w:val="0"/>
        <w:jc w:val="both"/>
        <w:rPr>
          <w:rFonts w:ascii="Times New Roman" w:eastAsia="Calibri" w:hAnsi="Times New Roman" w:cs="Times New Roman"/>
          <w:iCs/>
          <w:sz w:val="20"/>
          <w:szCs w:val="20"/>
        </w:rPr>
      </w:pPr>
      <w:r w:rsidRPr="00C16D1E">
        <w:rPr>
          <w:rFonts w:ascii="Times New Roman" w:eastAsia="Calibri" w:hAnsi="Times New Roman" w:cs="Times New Roman"/>
          <w:sz w:val="20"/>
          <w:szCs w:val="20"/>
        </w:rPr>
        <w:t>Source: Author’s computation, 2026</w:t>
      </w:r>
      <w:r w:rsidR="00442A51" w:rsidRPr="00C16D1E">
        <w:rPr>
          <w:rFonts w:ascii="Times New Roman" w:eastAsia="Calibri" w:hAnsi="Times New Roman" w:cs="Times New Roman"/>
          <w:sz w:val="20"/>
          <w:szCs w:val="20"/>
        </w:rPr>
        <w:t>.</w:t>
      </w:r>
    </w:p>
    <w:p w14:paraId="73AB7D14" w14:textId="77777777" w:rsidR="00A86A09" w:rsidRPr="00C16D1E" w:rsidRDefault="00A86A09" w:rsidP="00524050">
      <w:pPr>
        <w:autoSpaceDE w:val="0"/>
        <w:autoSpaceDN w:val="0"/>
        <w:adjustRightInd w:val="0"/>
        <w:jc w:val="both"/>
        <w:rPr>
          <w:rFonts w:ascii="Times New Roman" w:eastAsia="Calibri" w:hAnsi="Times New Roman" w:cs="Times New Roman"/>
          <w:i/>
          <w:sz w:val="20"/>
          <w:szCs w:val="20"/>
        </w:rPr>
      </w:pPr>
    </w:p>
    <w:p w14:paraId="42371426" w14:textId="77777777" w:rsidR="00017F12" w:rsidRPr="00C16D1E" w:rsidRDefault="00017F12" w:rsidP="00524050">
      <w:pPr>
        <w:pStyle w:val="NormalWeb"/>
        <w:spacing w:before="0" w:beforeAutospacing="0" w:after="0" w:afterAutospacing="0"/>
        <w:jc w:val="both"/>
        <w:rPr>
          <w:sz w:val="20"/>
          <w:szCs w:val="20"/>
        </w:rPr>
      </w:pPr>
    </w:p>
    <w:p w14:paraId="7B94C4EE" w14:textId="02165138" w:rsidR="00A86A09" w:rsidRPr="00C16D1E" w:rsidRDefault="00A86A09" w:rsidP="00524050">
      <w:pPr>
        <w:pStyle w:val="NormalWeb"/>
        <w:spacing w:before="0" w:beforeAutospacing="0" w:after="0" w:afterAutospacing="0"/>
        <w:jc w:val="both"/>
        <w:rPr>
          <w:sz w:val="20"/>
          <w:szCs w:val="20"/>
        </w:rPr>
      </w:pPr>
      <w:r w:rsidRPr="00C16D1E">
        <w:rPr>
          <w:sz w:val="20"/>
          <w:szCs w:val="20"/>
        </w:rPr>
        <w:t>The Phillips–Perron (PP) unit root test was conducted on the selected macroeconomic and institutional variables to assess their stationarity properties and determine their order of integration. As shown in Table 4.3b, most variables are non-stationary at levels, failing to reject the null hypothesis of a unit root at the 5% significance level. Specifically, GDP per capita (GDPPC, PP = −2.814, p = 0.0691), Institutional Quality (INQ, PP = −1.736, p = 0.4028), Natural Resource Endowment (NRE, PP = −2.540, p = 0.1172), Gross Fixed Capital Formation (GFCF, PP = −2.196, p = 0.2122), Secondary School Enrolment (SSE, PP = −0.913, p = 0.7690), Foreign Direct Investment</w:t>
      </w:r>
      <w:r w:rsidR="00191DFE" w:rsidRPr="00C16D1E">
        <w:rPr>
          <w:sz w:val="20"/>
          <w:szCs w:val="20"/>
        </w:rPr>
        <w:t xml:space="preserve"> (FDI, PP = −2.572, p = 0.1105) and</w:t>
      </w:r>
      <w:r w:rsidRPr="00C16D1E">
        <w:rPr>
          <w:sz w:val="20"/>
          <w:szCs w:val="20"/>
        </w:rPr>
        <w:t xml:space="preserve"> Trade Openness</w:t>
      </w:r>
      <w:r w:rsidR="00191DFE" w:rsidRPr="00C16D1E">
        <w:rPr>
          <w:sz w:val="20"/>
          <w:szCs w:val="20"/>
        </w:rPr>
        <w:t xml:space="preserve"> (LTRO, PP = 0.438, p = 0.9811) </w:t>
      </w:r>
      <w:r w:rsidRPr="00C16D1E">
        <w:rPr>
          <w:sz w:val="20"/>
          <w:szCs w:val="20"/>
        </w:rPr>
        <w:t>all exhibit non-stationarity in levels, consistent with the stochastic trends commonly ob</w:t>
      </w:r>
      <w:r w:rsidR="00191DFE" w:rsidRPr="00C16D1E">
        <w:rPr>
          <w:sz w:val="20"/>
          <w:szCs w:val="20"/>
        </w:rPr>
        <w:t>served in macroeconomic series.</w:t>
      </w:r>
      <w:r w:rsidRPr="00C16D1E">
        <w:rPr>
          <w:sz w:val="20"/>
          <w:szCs w:val="20"/>
        </w:rPr>
        <w:t xml:space="preserve"> All other non-stationary variables achieve stationarity only after first differencing, with their first-difference statistics significant at the 1% level, confirming they are integrated of order one, I(1).</w:t>
      </w:r>
    </w:p>
    <w:p w14:paraId="220D21F7" w14:textId="77777777" w:rsidR="00191DFE" w:rsidRPr="00C16D1E" w:rsidRDefault="00191DFE" w:rsidP="00524050">
      <w:pPr>
        <w:pStyle w:val="NormalWeb"/>
        <w:spacing w:before="0" w:beforeAutospacing="0" w:after="0" w:afterAutospacing="0"/>
        <w:jc w:val="both"/>
        <w:rPr>
          <w:sz w:val="20"/>
          <w:szCs w:val="20"/>
        </w:rPr>
      </w:pPr>
    </w:p>
    <w:p w14:paraId="286D634A" w14:textId="77777777" w:rsidR="00930105" w:rsidRPr="00C16D1E" w:rsidRDefault="00930105" w:rsidP="00524050">
      <w:pPr>
        <w:jc w:val="center"/>
        <w:outlineLvl w:val="2"/>
        <w:rPr>
          <w:rFonts w:ascii="Times New Roman" w:eastAsia="Times New Roman" w:hAnsi="Times New Roman" w:cs="Times New Roman"/>
          <w:b/>
          <w:bCs/>
          <w:sz w:val="20"/>
          <w:szCs w:val="20"/>
          <w:lang w:eastAsia="en-GB"/>
        </w:rPr>
      </w:pPr>
    </w:p>
    <w:p w14:paraId="4BDA255E" w14:textId="6851E28E" w:rsidR="00A86A09" w:rsidRPr="00C16D1E" w:rsidRDefault="00A86A09" w:rsidP="00524050">
      <w:pPr>
        <w:jc w:val="center"/>
        <w:outlineLvl w:val="2"/>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Table 4.3c: Zivot–Andrews Unit Root Test Results (Structural Break)</w:t>
      </w:r>
    </w:p>
    <w:tbl>
      <w:tblPr>
        <w:tblStyle w:val="TableGrid1"/>
        <w:tblW w:w="83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910"/>
        <w:gridCol w:w="1071"/>
        <w:gridCol w:w="1289"/>
        <w:gridCol w:w="2773"/>
      </w:tblGrid>
      <w:tr w:rsidR="00A86A09" w:rsidRPr="00C16D1E" w14:paraId="2455EE5F" w14:textId="77777777" w:rsidTr="00A86A09">
        <w:trPr>
          <w:trHeight w:val="276"/>
          <w:jc w:val="center"/>
        </w:trPr>
        <w:tc>
          <w:tcPr>
            <w:tcW w:w="0" w:type="auto"/>
            <w:tcBorders>
              <w:top w:val="single" w:sz="4" w:space="0" w:color="auto"/>
            </w:tcBorders>
            <w:hideMark/>
          </w:tcPr>
          <w:p w14:paraId="0AD858D3"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hideMark/>
          </w:tcPr>
          <w:p w14:paraId="28D449AE"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ZA t-Statistic</w:t>
            </w:r>
          </w:p>
        </w:tc>
        <w:tc>
          <w:tcPr>
            <w:tcW w:w="0" w:type="auto"/>
            <w:tcBorders>
              <w:top w:val="single" w:sz="4" w:space="0" w:color="auto"/>
            </w:tcBorders>
            <w:hideMark/>
          </w:tcPr>
          <w:p w14:paraId="731B666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tcPr>
          <w:p w14:paraId="7D35A270"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5% Crit</w:t>
            </w:r>
          </w:p>
        </w:tc>
        <w:tc>
          <w:tcPr>
            <w:tcW w:w="0" w:type="auto"/>
            <w:tcBorders>
              <w:top w:val="single" w:sz="4" w:space="0" w:color="auto"/>
            </w:tcBorders>
            <w:hideMark/>
          </w:tcPr>
          <w:p w14:paraId="0DA5951B"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Order of Integration</w:t>
            </w:r>
          </w:p>
        </w:tc>
      </w:tr>
      <w:tr w:rsidR="00A86A09" w:rsidRPr="00C16D1E" w14:paraId="170DD4B6" w14:textId="77777777" w:rsidTr="00A86A09">
        <w:trPr>
          <w:trHeight w:val="260"/>
          <w:jc w:val="center"/>
        </w:trPr>
        <w:tc>
          <w:tcPr>
            <w:tcW w:w="0" w:type="auto"/>
            <w:hideMark/>
          </w:tcPr>
          <w:p w14:paraId="0FA689E2"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w:t>
            </w:r>
          </w:p>
        </w:tc>
        <w:tc>
          <w:tcPr>
            <w:tcW w:w="0" w:type="auto"/>
            <w:hideMark/>
          </w:tcPr>
          <w:p w14:paraId="03044EA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-4.271</w:t>
            </w:r>
          </w:p>
        </w:tc>
        <w:tc>
          <w:tcPr>
            <w:tcW w:w="0" w:type="auto"/>
            <w:hideMark/>
          </w:tcPr>
          <w:p w14:paraId="57498B2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0.3193</w:t>
            </w:r>
          </w:p>
        </w:tc>
        <w:tc>
          <w:tcPr>
            <w:tcW w:w="0" w:type="auto"/>
          </w:tcPr>
          <w:p w14:paraId="3B6BF2A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7496E0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3402CE48" w14:textId="77777777" w:rsidTr="00A86A09">
        <w:trPr>
          <w:trHeight w:val="276"/>
          <w:jc w:val="center"/>
        </w:trPr>
        <w:tc>
          <w:tcPr>
            <w:tcW w:w="0" w:type="auto"/>
            <w:hideMark/>
          </w:tcPr>
          <w:p w14:paraId="08A6146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INQ</w:t>
            </w:r>
          </w:p>
        </w:tc>
        <w:tc>
          <w:tcPr>
            <w:tcW w:w="0" w:type="auto"/>
            <w:hideMark/>
          </w:tcPr>
          <w:p w14:paraId="66685A9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-6.219</w:t>
            </w:r>
          </w:p>
        </w:tc>
        <w:tc>
          <w:tcPr>
            <w:tcW w:w="0" w:type="auto"/>
            <w:hideMark/>
          </w:tcPr>
          <w:p w14:paraId="4C679FF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0.0031</w:t>
            </w:r>
          </w:p>
        </w:tc>
        <w:tc>
          <w:tcPr>
            <w:tcW w:w="0" w:type="auto"/>
          </w:tcPr>
          <w:p w14:paraId="3E712D3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16E03FF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5C439295" w14:textId="77777777" w:rsidTr="00A86A09">
        <w:trPr>
          <w:trHeight w:val="260"/>
          <w:jc w:val="center"/>
        </w:trPr>
        <w:tc>
          <w:tcPr>
            <w:tcW w:w="0" w:type="auto"/>
            <w:hideMark/>
          </w:tcPr>
          <w:p w14:paraId="6AB07B0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w:t>
            </w:r>
          </w:p>
        </w:tc>
        <w:tc>
          <w:tcPr>
            <w:tcW w:w="0" w:type="auto"/>
            <w:hideMark/>
          </w:tcPr>
          <w:p w14:paraId="0F6D3B8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-4.867</w:t>
            </w:r>
          </w:p>
        </w:tc>
        <w:tc>
          <w:tcPr>
            <w:tcW w:w="0" w:type="auto"/>
            <w:hideMark/>
          </w:tcPr>
          <w:p w14:paraId="6C90638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0.0055</w:t>
            </w:r>
          </w:p>
        </w:tc>
        <w:tc>
          <w:tcPr>
            <w:tcW w:w="0" w:type="auto"/>
          </w:tcPr>
          <w:p w14:paraId="7A48386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FA9483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0F0A7EA7" w14:textId="77777777" w:rsidTr="00A86A09">
        <w:trPr>
          <w:trHeight w:val="260"/>
          <w:jc w:val="center"/>
        </w:trPr>
        <w:tc>
          <w:tcPr>
            <w:tcW w:w="0" w:type="auto"/>
            <w:hideMark/>
          </w:tcPr>
          <w:p w14:paraId="275B57F7"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hideMark/>
          </w:tcPr>
          <w:p w14:paraId="764A5F8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-7.577</w:t>
            </w:r>
          </w:p>
        </w:tc>
        <w:tc>
          <w:tcPr>
            <w:tcW w:w="0" w:type="auto"/>
            <w:hideMark/>
          </w:tcPr>
          <w:p w14:paraId="1E4035E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0.0047</w:t>
            </w:r>
          </w:p>
        </w:tc>
        <w:tc>
          <w:tcPr>
            <w:tcW w:w="0" w:type="auto"/>
          </w:tcPr>
          <w:p w14:paraId="2060DA0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3E9902B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25FFFC04" w14:textId="77777777" w:rsidTr="00A86A09">
        <w:trPr>
          <w:trHeight w:val="276"/>
          <w:jc w:val="center"/>
        </w:trPr>
        <w:tc>
          <w:tcPr>
            <w:tcW w:w="0" w:type="auto"/>
            <w:hideMark/>
          </w:tcPr>
          <w:p w14:paraId="7C001680"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w:t>
            </w:r>
          </w:p>
        </w:tc>
        <w:tc>
          <w:tcPr>
            <w:tcW w:w="0" w:type="auto"/>
            <w:hideMark/>
          </w:tcPr>
          <w:p w14:paraId="2A6C340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-2.464</w:t>
            </w:r>
          </w:p>
        </w:tc>
        <w:tc>
          <w:tcPr>
            <w:tcW w:w="0" w:type="auto"/>
            <w:hideMark/>
          </w:tcPr>
          <w:p w14:paraId="14157A7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0.0297</w:t>
            </w:r>
          </w:p>
        </w:tc>
        <w:tc>
          <w:tcPr>
            <w:tcW w:w="0" w:type="auto"/>
          </w:tcPr>
          <w:p w14:paraId="1707F35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270FD8E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r w:rsidR="00A86A09" w:rsidRPr="00C16D1E" w14:paraId="4DD45BBE" w14:textId="77777777" w:rsidTr="00A86A09">
        <w:trPr>
          <w:trHeight w:val="260"/>
          <w:jc w:val="center"/>
        </w:trPr>
        <w:tc>
          <w:tcPr>
            <w:tcW w:w="0" w:type="auto"/>
            <w:hideMark/>
          </w:tcPr>
          <w:p w14:paraId="6873FBD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w:t>
            </w:r>
          </w:p>
        </w:tc>
        <w:tc>
          <w:tcPr>
            <w:tcW w:w="0" w:type="auto"/>
            <w:hideMark/>
          </w:tcPr>
          <w:p w14:paraId="449177D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-4.215</w:t>
            </w:r>
          </w:p>
        </w:tc>
        <w:tc>
          <w:tcPr>
            <w:tcW w:w="0" w:type="auto"/>
            <w:hideMark/>
          </w:tcPr>
          <w:p w14:paraId="1BB056C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0.0270</w:t>
            </w:r>
          </w:p>
        </w:tc>
        <w:tc>
          <w:tcPr>
            <w:tcW w:w="0" w:type="auto"/>
          </w:tcPr>
          <w:p w14:paraId="56FE66B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-5.08</w:t>
            </w:r>
          </w:p>
        </w:tc>
        <w:tc>
          <w:tcPr>
            <w:tcW w:w="0" w:type="auto"/>
            <w:hideMark/>
          </w:tcPr>
          <w:p w14:paraId="78B834F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I(0)</w:t>
            </w:r>
          </w:p>
        </w:tc>
      </w:tr>
      <w:tr w:rsidR="00A86A09" w:rsidRPr="00C16D1E" w14:paraId="28927D99" w14:textId="77777777" w:rsidTr="00A86A09">
        <w:trPr>
          <w:trHeight w:val="276"/>
          <w:jc w:val="center"/>
        </w:trPr>
        <w:tc>
          <w:tcPr>
            <w:tcW w:w="0" w:type="auto"/>
            <w:hideMark/>
          </w:tcPr>
          <w:p w14:paraId="66D05F76"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w:t>
            </w:r>
          </w:p>
        </w:tc>
        <w:tc>
          <w:tcPr>
            <w:tcW w:w="0" w:type="auto"/>
            <w:hideMark/>
          </w:tcPr>
          <w:p w14:paraId="62EB311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-3.164</w:t>
            </w:r>
          </w:p>
        </w:tc>
        <w:tc>
          <w:tcPr>
            <w:tcW w:w="0" w:type="auto"/>
            <w:hideMark/>
          </w:tcPr>
          <w:p w14:paraId="73C74F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0.0407</w:t>
            </w:r>
          </w:p>
        </w:tc>
        <w:tc>
          <w:tcPr>
            <w:tcW w:w="0" w:type="auto"/>
          </w:tcPr>
          <w:p w14:paraId="4050C66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-4.93</w:t>
            </w:r>
          </w:p>
        </w:tc>
        <w:tc>
          <w:tcPr>
            <w:tcW w:w="0" w:type="auto"/>
            <w:hideMark/>
          </w:tcPr>
          <w:p w14:paraId="75D9335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I(1)</w:t>
            </w:r>
          </w:p>
        </w:tc>
      </w:tr>
    </w:tbl>
    <w:p w14:paraId="77891AE7" w14:textId="77777777" w:rsidR="00D52E46" w:rsidRPr="00C16D1E" w:rsidRDefault="00A86A09" w:rsidP="00524050">
      <w:pPr>
        <w:jc w:val="both"/>
        <w:rPr>
          <w:rFonts w:ascii="Times New Roman" w:hAnsi="Times New Roman" w:cs="Times New Roman"/>
          <w:sz w:val="20"/>
          <w:szCs w:val="20"/>
        </w:rPr>
      </w:pPr>
      <w:r w:rsidRPr="00C16D1E">
        <w:rPr>
          <w:rStyle w:val="Strong"/>
          <w:rFonts w:ascii="Times New Roman" w:hAnsi="Times New Roman" w:cs="Times New Roman"/>
          <w:sz w:val="20"/>
          <w:szCs w:val="20"/>
        </w:rPr>
        <w:t xml:space="preserve">  Note:</w:t>
      </w:r>
      <w:r w:rsidRPr="00C16D1E">
        <w:rPr>
          <w:rFonts w:ascii="Times New Roman" w:hAnsi="Times New Roman" w:cs="Times New Roman"/>
          <w:sz w:val="20"/>
          <w:szCs w:val="20"/>
        </w:rPr>
        <w:t xml:space="preserve"> ZA = Zivot–Andrews test statistic; Critical value at 5% = –4.80. </w:t>
      </w:r>
      <w:proofErr w:type="gramStart"/>
      <w:r w:rsidRPr="00C16D1E">
        <w:rPr>
          <w:rFonts w:ascii="Times New Roman" w:hAnsi="Times New Roman" w:cs="Times New Roman"/>
          <w:sz w:val="20"/>
          <w:szCs w:val="20"/>
        </w:rPr>
        <w:t>I(</w:t>
      </w:r>
      <w:proofErr w:type="gramEnd"/>
      <w:r w:rsidRPr="00C16D1E">
        <w:rPr>
          <w:rFonts w:ascii="Times New Roman" w:hAnsi="Times New Roman" w:cs="Times New Roman"/>
          <w:sz w:val="20"/>
          <w:szCs w:val="20"/>
        </w:rPr>
        <w:t xml:space="preserve">0) denotes stationarity at levels, I(1) denotes stationarity after first differencing. </w:t>
      </w:r>
    </w:p>
    <w:p w14:paraId="487F4502" w14:textId="031F701B"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b/>
          <w:sz w:val="20"/>
          <w:szCs w:val="20"/>
        </w:rPr>
        <w:t>Source</w:t>
      </w:r>
      <w:r w:rsidRPr="00C16D1E">
        <w:rPr>
          <w:rFonts w:ascii="Times New Roman" w:hAnsi="Times New Roman" w:cs="Times New Roman"/>
          <w:sz w:val="20"/>
          <w:szCs w:val="20"/>
        </w:rPr>
        <w:t>: Author’s computation, 2026</w:t>
      </w:r>
      <w:r w:rsidR="00D52E46" w:rsidRPr="00C16D1E">
        <w:rPr>
          <w:rFonts w:ascii="Times New Roman" w:hAnsi="Times New Roman" w:cs="Times New Roman"/>
          <w:sz w:val="20"/>
          <w:szCs w:val="20"/>
        </w:rPr>
        <w:t>.</w:t>
      </w:r>
    </w:p>
    <w:p w14:paraId="3EB94F5E" w14:textId="7336C3ED" w:rsidR="00A86A09" w:rsidRPr="00C16D1E" w:rsidRDefault="00A86A09" w:rsidP="00524050">
      <w:pPr>
        <w:pStyle w:val="NormalWeb"/>
        <w:spacing w:before="0" w:beforeAutospacing="0"/>
        <w:jc w:val="both"/>
        <w:rPr>
          <w:sz w:val="20"/>
          <w:szCs w:val="20"/>
        </w:rPr>
      </w:pPr>
      <w:r w:rsidRPr="00C16D1E">
        <w:rPr>
          <w:sz w:val="20"/>
          <w:szCs w:val="20"/>
        </w:rPr>
        <w:t>The Zivot–Andrews unit root test was employed to account for possible endogenous structural breaks in the series, recognising that ignoring such breaks may bias conventional unit root results. The test allows for a one-time shift in both the intercept and trend, providing a more robust assessment of stationarity in the presence of structural change. The results presented in Table 4.3c reveal mixed integration properties across the variables.</w:t>
      </w:r>
    </w:p>
    <w:p w14:paraId="71422CDC" w14:textId="18FD69A3" w:rsidR="00A86A09" w:rsidRPr="00C16D1E" w:rsidRDefault="00A86A09" w:rsidP="00524050">
      <w:pPr>
        <w:pStyle w:val="NormalWeb"/>
        <w:spacing w:before="0" w:beforeAutospacing="0"/>
        <w:jc w:val="both"/>
        <w:rPr>
          <w:sz w:val="20"/>
          <w:szCs w:val="20"/>
        </w:rPr>
      </w:pPr>
      <w:r w:rsidRPr="00C16D1E">
        <w:rPr>
          <w:sz w:val="20"/>
          <w:szCs w:val="20"/>
        </w:rPr>
        <w:t xml:space="preserve">At the five percent significance level, the null hypothesis of a unit root cannot be rejected for GDP per capita (GDPPC, ZA = –4.271), Trade openness (LTRO, ZA = –2.464), and Foreign Direct Investment (FDI, ZA = –3.164), as their test statistics are less negative than the 5% critical value of –5.08 (or –4.93 in the case of FDI). This indicates that these variables are non-stationary at levels and must be differenced once to achieve stationarity, classifying them as integrated of order one, </w:t>
      </w:r>
      <w:proofErr w:type="gramStart"/>
      <w:r w:rsidRPr="00C16D1E">
        <w:rPr>
          <w:sz w:val="20"/>
          <w:szCs w:val="20"/>
        </w:rPr>
        <w:t>I(</w:t>
      </w:r>
      <w:proofErr w:type="gramEnd"/>
      <w:r w:rsidRPr="00C16D1E">
        <w:rPr>
          <w:sz w:val="20"/>
          <w:szCs w:val="20"/>
        </w:rPr>
        <w:t>1). Conversely, Institutional Quality (INQ, ZA = –6.219,), Natural Resource Endowment (NRE, ZA = –4.867), Gross Fixed Capital Formation (GFCF, ZA = –7.577)</w:t>
      </w:r>
      <w:r w:rsidR="00191DFE" w:rsidRPr="00C16D1E">
        <w:rPr>
          <w:sz w:val="20"/>
          <w:szCs w:val="20"/>
        </w:rPr>
        <w:t xml:space="preserve"> and</w:t>
      </w:r>
      <w:r w:rsidRPr="00C16D1E">
        <w:rPr>
          <w:sz w:val="20"/>
          <w:szCs w:val="20"/>
        </w:rPr>
        <w:t xml:space="preserve"> School Enrolment (SSE, ZA = –4.215), reject the null hypothesis of a unit root, indicating stationarity at levels and classifying these variables as integrated of order zero, I(0).</w:t>
      </w:r>
      <w:r w:rsidR="006C211B" w:rsidRPr="00C16D1E">
        <w:rPr>
          <w:sz w:val="20"/>
          <w:szCs w:val="20"/>
        </w:rPr>
        <w:t xml:space="preserve"> T</w:t>
      </w:r>
      <w:r w:rsidRPr="00C16D1E">
        <w:rPr>
          <w:sz w:val="20"/>
          <w:szCs w:val="20"/>
        </w:rPr>
        <w:t xml:space="preserve">he presence of both </w:t>
      </w:r>
      <w:proofErr w:type="gramStart"/>
      <w:r w:rsidRPr="00C16D1E">
        <w:rPr>
          <w:sz w:val="20"/>
          <w:szCs w:val="20"/>
        </w:rPr>
        <w:t>I(</w:t>
      </w:r>
      <w:proofErr w:type="gramEnd"/>
      <w:r w:rsidRPr="00C16D1E">
        <w:rPr>
          <w:sz w:val="20"/>
          <w:szCs w:val="20"/>
        </w:rPr>
        <w:t>0) and I(1) variables confirms mixed integration across the dataset</w:t>
      </w:r>
      <w:r w:rsidR="006C211B" w:rsidRPr="00C16D1E">
        <w:rPr>
          <w:sz w:val="20"/>
          <w:szCs w:val="20"/>
        </w:rPr>
        <w:t xml:space="preserve"> and </w:t>
      </w:r>
      <w:r w:rsidRPr="00C16D1E">
        <w:rPr>
          <w:sz w:val="20"/>
          <w:szCs w:val="20"/>
        </w:rPr>
        <w:t>support the application of the ARDL bounds testing approach for subsequent empirical analysis</w:t>
      </w:r>
      <w:r w:rsidR="006C211B" w:rsidRPr="00C16D1E">
        <w:rPr>
          <w:sz w:val="20"/>
          <w:szCs w:val="20"/>
        </w:rPr>
        <w:t>.</w:t>
      </w:r>
    </w:p>
    <w:p w14:paraId="5B366CFE" w14:textId="693F9763" w:rsidR="00A86A09" w:rsidRPr="00C16D1E" w:rsidRDefault="00D477C4" w:rsidP="00524050">
      <w:pPr>
        <w:pStyle w:val="NormalWeb"/>
        <w:spacing w:before="0" w:beforeAutospacing="0" w:after="0" w:afterAutospacing="0"/>
        <w:jc w:val="both"/>
        <w:rPr>
          <w:b/>
          <w:bCs/>
          <w:sz w:val="20"/>
          <w:szCs w:val="20"/>
        </w:rPr>
      </w:pPr>
      <w:r w:rsidRPr="00C16D1E">
        <w:rPr>
          <w:b/>
          <w:bCs/>
          <w:sz w:val="20"/>
          <w:szCs w:val="20"/>
        </w:rPr>
        <w:t>Examining the effect</w:t>
      </w:r>
      <w:r w:rsidR="00BA4FCB" w:rsidRPr="00C16D1E">
        <w:rPr>
          <w:b/>
          <w:bCs/>
          <w:sz w:val="20"/>
          <w:szCs w:val="20"/>
        </w:rPr>
        <w:t xml:space="preserve"> </w:t>
      </w:r>
      <w:r w:rsidR="00BA4FCB" w:rsidRPr="00C16D1E">
        <w:rPr>
          <w:rFonts w:eastAsia="TimesNewRoman"/>
          <w:b/>
          <w:bCs/>
          <w:color w:val="000000"/>
          <w:sz w:val="20"/>
          <w:szCs w:val="20"/>
        </w:rPr>
        <w:t>of Natural Resource Endowment o</w:t>
      </w:r>
      <w:r w:rsidR="00A86A09" w:rsidRPr="00C16D1E">
        <w:rPr>
          <w:rFonts w:eastAsia="TimesNewRoman"/>
          <w:b/>
          <w:bCs/>
          <w:color w:val="000000"/>
          <w:sz w:val="20"/>
          <w:szCs w:val="20"/>
        </w:rPr>
        <w:t>n Institutional Quality in Nigeria</w:t>
      </w:r>
    </w:p>
    <w:p w14:paraId="52003ACB" w14:textId="6B0C8216" w:rsidR="00A86A09" w:rsidRPr="00C16D1E" w:rsidRDefault="00A86A09" w:rsidP="00524050">
      <w:pPr>
        <w:jc w:val="both"/>
        <w:rPr>
          <w:sz w:val="20"/>
          <w:szCs w:val="20"/>
        </w:rPr>
      </w:pPr>
      <w:r w:rsidRPr="00C16D1E">
        <w:rPr>
          <w:rFonts w:ascii="Times New Roman" w:eastAsia="Calibri" w:hAnsi="Times New Roman" w:cs="Times New Roman"/>
          <w:sz w:val="20"/>
          <w:szCs w:val="20"/>
        </w:rPr>
        <w:lastRenderedPageBreak/>
        <w:t xml:space="preserve">This objective examines the impact of natural resource endowment on institutional quality in Nigeria, with particular emphasis on the extent to which variations in resource availability influence the strength, effectiveness, and performance of institutions within Nigeria. </w:t>
      </w:r>
    </w:p>
    <w:p w14:paraId="17301DA0" w14:textId="77777777" w:rsidR="00930105" w:rsidRPr="00C16D1E" w:rsidRDefault="00930105" w:rsidP="00524050">
      <w:pPr>
        <w:pStyle w:val="NormalWeb"/>
        <w:spacing w:before="0" w:beforeAutospacing="0" w:after="0" w:afterAutospacing="0"/>
        <w:jc w:val="both"/>
        <w:rPr>
          <w:b/>
          <w:bCs/>
          <w:sz w:val="20"/>
          <w:szCs w:val="20"/>
        </w:rPr>
      </w:pPr>
    </w:p>
    <w:p w14:paraId="6DDC5483" w14:textId="638CDEE9" w:rsidR="00A86A09" w:rsidRPr="00C16D1E" w:rsidRDefault="004A2FFB" w:rsidP="00524050">
      <w:pPr>
        <w:pStyle w:val="NormalWeb"/>
        <w:spacing w:before="0" w:beforeAutospacing="0" w:after="0" w:afterAutospacing="0"/>
        <w:jc w:val="both"/>
        <w:rPr>
          <w:b/>
          <w:bCs/>
          <w:sz w:val="20"/>
          <w:szCs w:val="20"/>
        </w:rPr>
      </w:pPr>
      <w:r w:rsidRPr="00C16D1E">
        <w:rPr>
          <w:b/>
          <w:bCs/>
          <w:sz w:val="20"/>
          <w:szCs w:val="20"/>
        </w:rPr>
        <w:t>4.6</w:t>
      </w:r>
      <w:r w:rsidR="00A86A09" w:rsidRPr="00C16D1E">
        <w:rPr>
          <w:b/>
          <w:bCs/>
          <w:sz w:val="20"/>
          <w:szCs w:val="20"/>
        </w:rPr>
        <w:t>: Cointegration Analysis</w:t>
      </w:r>
    </w:p>
    <w:p w14:paraId="38A30C78" w14:textId="04CA81CA"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Fonts w:eastAsia="TimesNewRoman"/>
          <w:color w:val="000000"/>
          <w:sz w:val="20"/>
          <w:szCs w:val="20"/>
        </w:rPr>
        <w:t xml:space="preserve">Having established a mixture of </w:t>
      </w:r>
      <w:proofErr w:type="gramStart"/>
      <w:r w:rsidRPr="00C16D1E">
        <w:rPr>
          <w:rFonts w:eastAsia="TimesNewRoman"/>
          <w:color w:val="000000"/>
          <w:sz w:val="20"/>
          <w:szCs w:val="20"/>
        </w:rPr>
        <w:t>I(</w:t>
      </w:r>
      <w:proofErr w:type="gramEnd"/>
      <w:r w:rsidRPr="00C16D1E">
        <w:rPr>
          <w:rFonts w:eastAsia="TimesNewRoman"/>
          <w:color w:val="000000"/>
          <w:sz w:val="20"/>
          <w:szCs w:val="20"/>
        </w:rPr>
        <w:t>0) and I(1) series (Table 4.3), the existence of a stable long-run relationship among the variables is examined using the autoregressive distributed lag (ARDL) bounds testing procedure proposed by Pesaran, Shin, and Smith (2001). This approach is particularly advantageous in small samples.</w:t>
      </w:r>
    </w:p>
    <w:p w14:paraId="67E1D8EE" w14:textId="1EF11CFC" w:rsidR="00351E7F" w:rsidRPr="00C16D1E" w:rsidRDefault="00351E7F" w:rsidP="00524050">
      <w:pPr>
        <w:pStyle w:val="NormalWeb"/>
        <w:spacing w:before="0" w:beforeAutospacing="0" w:after="0" w:afterAutospacing="0"/>
        <w:jc w:val="both"/>
        <w:rPr>
          <w:rFonts w:eastAsia="TimesNewRoman"/>
          <w:color w:val="000000"/>
          <w:sz w:val="20"/>
          <w:szCs w:val="20"/>
        </w:rPr>
      </w:pPr>
    </w:p>
    <w:p w14:paraId="62221A34" w14:textId="77777777" w:rsidR="00A86A09" w:rsidRPr="00C16D1E" w:rsidRDefault="00A86A09" w:rsidP="00524050">
      <w:pPr>
        <w:spacing w:before="100" w:beforeAutospacing="1"/>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 xml:space="preserve">Table 4.4: ARDL Bound Test Results. INQ Model </w:t>
      </w: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63"/>
        <w:gridCol w:w="2159"/>
        <w:gridCol w:w="1812"/>
        <w:gridCol w:w="1814"/>
        <w:gridCol w:w="1812"/>
      </w:tblGrid>
      <w:tr w:rsidR="00A86A09" w:rsidRPr="00C16D1E" w14:paraId="20E13C14" w14:textId="77777777" w:rsidTr="00A86A09">
        <w:trPr>
          <w:trHeight w:val="258"/>
        </w:trPr>
        <w:tc>
          <w:tcPr>
            <w:tcW w:w="1763" w:type="dxa"/>
            <w:tcBorders>
              <w:top w:val="single" w:sz="4" w:space="0" w:color="auto"/>
            </w:tcBorders>
          </w:tcPr>
          <w:p w14:paraId="51542916" w14:textId="77777777" w:rsidR="00A86A09" w:rsidRPr="00C16D1E" w:rsidRDefault="00A86A09" w:rsidP="00524050">
            <w:pPr>
              <w:rPr>
                <w:rFonts w:ascii="Times New Roman" w:hAnsi="Times New Roman" w:cs="Times New Roman"/>
                <w:color w:val="000000"/>
                <w:sz w:val="20"/>
                <w:szCs w:val="20"/>
              </w:rPr>
            </w:pPr>
          </w:p>
        </w:tc>
        <w:tc>
          <w:tcPr>
            <w:tcW w:w="2159" w:type="dxa"/>
            <w:tcBorders>
              <w:top w:val="single" w:sz="4" w:space="0" w:color="auto"/>
            </w:tcBorders>
          </w:tcPr>
          <w:p w14:paraId="24B915E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Sample Size</w:t>
            </w:r>
          </w:p>
        </w:tc>
        <w:tc>
          <w:tcPr>
            <w:tcW w:w="1812" w:type="dxa"/>
            <w:tcBorders>
              <w:top w:val="single" w:sz="4" w:space="0" w:color="auto"/>
            </w:tcBorders>
          </w:tcPr>
          <w:p w14:paraId="6B8ACBE8"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10%</w:t>
            </w:r>
          </w:p>
        </w:tc>
        <w:tc>
          <w:tcPr>
            <w:tcW w:w="1814" w:type="dxa"/>
            <w:tcBorders>
              <w:top w:val="single" w:sz="4" w:space="0" w:color="auto"/>
            </w:tcBorders>
          </w:tcPr>
          <w:p w14:paraId="46BD86E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5%</w:t>
            </w:r>
          </w:p>
        </w:tc>
        <w:tc>
          <w:tcPr>
            <w:tcW w:w="1812" w:type="dxa"/>
            <w:tcBorders>
              <w:top w:val="single" w:sz="4" w:space="0" w:color="auto"/>
            </w:tcBorders>
          </w:tcPr>
          <w:p w14:paraId="6FEE37D8"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1%</w:t>
            </w:r>
          </w:p>
        </w:tc>
      </w:tr>
      <w:tr w:rsidR="00A86A09" w:rsidRPr="00C16D1E" w14:paraId="14BC291C" w14:textId="77777777" w:rsidTr="00A86A09">
        <w:trPr>
          <w:trHeight w:val="258"/>
        </w:trPr>
        <w:tc>
          <w:tcPr>
            <w:tcW w:w="1763" w:type="dxa"/>
          </w:tcPr>
          <w:p w14:paraId="7BCA803D"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2159" w:type="dxa"/>
          </w:tcPr>
          <w:p w14:paraId="22A68E1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5438" w:type="dxa"/>
            <w:gridSpan w:val="3"/>
          </w:tcPr>
          <w:p w14:paraId="6AA69C0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F-Statistic=7.067533</w:t>
            </w:r>
          </w:p>
        </w:tc>
      </w:tr>
      <w:tr w:rsidR="00A86A09" w:rsidRPr="00C16D1E" w14:paraId="0D345ACF" w14:textId="77777777" w:rsidTr="00A86A09">
        <w:trPr>
          <w:trHeight w:val="258"/>
        </w:trPr>
        <w:tc>
          <w:tcPr>
            <w:tcW w:w="1763" w:type="dxa"/>
          </w:tcPr>
          <w:p w14:paraId="1181E0F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3EA0AD7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30</w:t>
            </w:r>
          </w:p>
        </w:tc>
        <w:tc>
          <w:tcPr>
            <w:tcW w:w="1812" w:type="dxa"/>
          </w:tcPr>
          <w:p w14:paraId="352A7AA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2.457</w:t>
            </w:r>
          </w:p>
        </w:tc>
        <w:tc>
          <w:tcPr>
            <w:tcW w:w="1814" w:type="dxa"/>
          </w:tcPr>
          <w:p w14:paraId="39AF3D4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2.970</w:t>
            </w:r>
          </w:p>
        </w:tc>
        <w:tc>
          <w:tcPr>
            <w:tcW w:w="1812" w:type="dxa"/>
          </w:tcPr>
          <w:p w14:paraId="12CE3E2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4.270</w:t>
            </w:r>
          </w:p>
        </w:tc>
      </w:tr>
      <w:tr w:rsidR="00A86A09" w:rsidRPr="00C16D1E" w14:paraId="31F437E4" w14:textId="77777777" w:rsidTr="00A86A09">
        <w:trPr>
          <w:trHeight w:val="258"/>
        </w:trPr>
        <w:tc>
          <w:tcPr>
            <w:tcW w:w="1763" w:type="dxa"/>
          </w:tcPr>
          <w:p w14:paraId="2C8C607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Pr>
          <w:p w14:paraId="205E521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30</w:t>
            </w:r>
          </w:p>
        </w:tc>
        <w:tc>
          <w:tcPr>
            <w:tcW w:w="1812" w:type="dxa"/>
          </w:tcPr>
          <w:p w14:paraId="5D80C69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3.797</w:t>
            </w:r>
          </w:p>
        </w:tc>
        <w:tc>
          <w:tcPr>
            <w:tcW w:w="1814" w:type="dxa"/>
          </w:tcPr>
          <w:p w14:paraId="304EDD67"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4.499</w:t>
            </w:r>
          </w:p>
        </w:tc>
        <w:tc>
          <w:tcPr>
            <w:tcW w:w="1812" w:type="dxa"/>
          </w:tcPr>
          <w:p w14:paraId="5C9096C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6.211</w:t>
            </w:r>
          </w:p>
        </w:tc>
      </w:tr>
      <w:tr w:rsidR="00A86A09" w:rsidRPr="00C16D1E" w14:paraId="75617419" w14:textId="77777777" w:rsidTr="00A86A09">
        <w:trPr>
          <w:trHeight w:val="258"/>
        </w:trPr>
        <w:tc>
          <w:tcPr>
            <w:tcW w:w="1763" w:type="dxa"/>
          </w:tcPr>
          <w:p w14:paraId="0110EE2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018C730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0426BEBA"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2.120</w:t>
            </w:r>
          </w:p>
        </w:tc>
        <w:tc>
          <w:tcPr>
            <w:tcW w:w="1814" w:type="dxa"/>
          </w:tcPr>
          <w:p w14:paraId="5D6F8DF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2.450</w:t>
            </w:r>
          </w:p>
        </w:tc>
        <w:tc>
          <w:tcPr>
            <w:tcW w:w="1812" w:type="dxa"/>
          </w:tcPr>
          <w:p w14:paraId="1BA71F1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3.150</w:t>
            </w:r>
          </w:p>
        </w:tc>
      </w:tr>
      <w:tr w:rsidR="00A86A09" w:rsidRPr="00C16D1E" w14:paraId="26D5935E" w14:textId="77777777" w:rsidTr="00A86A09">
        <w:trPr>
          <w:trHeight w:val="258"/>
        </w:trPr>
        <w:tc>
          <w:tcPr>
            <w:tcW w:w="1763" w:type="dxa"/>
          </w:tcPr>
          <w:p w14:paraId="36AFD7BF"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Pr>
          <w:p w14:paraId="12F48D30"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4AD912E6"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3.230</w:t>
            </w:r>
          </w:p>
        </w:tc>
        <w:tc>
          <w:tcPr>
            <w:tcW w:w="1814" w:type="dxa"/>
          </w:tcPr>
          <w:p w14:paraId="04B6DEB2"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3.610</w:t>
            </w:r>
          </w:p>
        </w:tc>
        <w:tc>
          <w:tcPr>
            <w:tcW w:w="1812" w:type="dxa"/>
          </w:tcPr>
          <w:p w14:paraId="7689FDA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 4.430</w:t>
            </w:r>
          </w:p>
        </w:tc>
      </w:tr>
      <w:tr w:rsidR="00A86A09" w:rsidRPr="00C16D1E" w14:paraId="5646DC1B" w14:textId="77777777" w:rsidTr="00A86A09">
        <w:trPr>
          <w:trHeight w:val="258"/>
        </w:trPr>
        <w:tc>
          <w:tcPr>
            <w:tcW w:w="1763" w:type="dxa"/>
          </w:tcPr>
          <w:p w14:paraId="6A83359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2159" w:type="dxa"/>
          </w:tcPr>
          <w:p w14:paraId="46AAF343"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p>
        </w:tc>
        <w:tc>
          <w:tcPr>
            <w:tcW w:w="5438" w:type="dxa"/>
            <w:gridSpan w:val="3"/>
          </w:tcPr>
          <w:p w14:paraId="27432749"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t-Statistic=-4.863889</w:t>
            </w:r>
          </w:p>
        </w:tc>
      </w:tr>
      <w:tr w:rsidR="00A86A09" w:rsidRPr="00C16D1E" w14:paraId="0296CA2F" w14:textId="77777777" w:rsidTr="00A86A09">
        <w:trPr>
          <w:trHeight w:val="258"/>
        </w:trPr>
        <w:tc>
          <w:tcPr>
            <w:tcW w:w="1763" w:type="dxa"/>
          </w:tcPr>
          <w:p w14:paraId="7776E7AC"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I(0)</w:t>
            </w:r>
          </w:p>
        </w:tc>
        <w:tc>
          <w:tcPr>
            <w:tcW w:w="2159" w:type="dxa"/>
          </w:tcPr>
          <w:p w14:paraId="27A2B8F5"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Pr>
          <w:p w14:paraId="289E5211"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-2.570</w:t>
            </w:r>
          </w:p>
        </w:tc>
        <w:tc>
          <w:tcPr>
            <w:tcW w:w="1814" w:type="dxa"/>
          </w:tcPr>
          <w:p w14:paraId="5CBF1F74"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-2.860</w:t>
            </w:r>
          </w:p>
        </w:tc>
        <w:tc>
          <w:tcPr>
            <w:tcW w:w="1812" w:type="dxa"/>
          </w:tcPr>
          <w:p w14:paraId="2B2697B5"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-3.430</w:t>
            </w:r>
          </w:p>
        </w:tc>
      </w:tr>
      <w:tr w:rsidR="00A86A09" w:rsidRPr="00C16D1E" w14:paraId="1E13DDF7" w14:textId="77777777" w:rsidTr="00A86A09">
        <w:trPr>
          <w:trHeight w:val="258"/>
        </w:trPr>
        <w:tc>
          <w:tcPr>
            <w:tcW w:w="1763" w:type="dxa"/>
            <w:tcBorders>
              <w:bottom w:val="single" w:sz="4" w:space="0" w:color="auto"/>
            </w:tcBorders>
          </w:tcPr>
          <w:p w14:paraId="6DD70EDD"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I(1)</w:t>
            </w:r>
          </w:p>
        </w:tc>
        <w:tc>
          <w:tcPr>
            <w:tcW w:w="2159" w:type="dxa"/>
            <w:tcBorders>
              <w:bottom w:val="single" w:sz="4" w:space="0" w:color="auto"/>
            </w:tcBorders>
          </w:tcPr>
          <w:p w14:paraId="6E62316A"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Asymptotic</w:t>
            </w:r>
          </w:p>
        </w:tc>
        <w:tc>
          <w:tcPr>
            <w:tcW w:w="1812" w:type="dxa"/>
            <w:tcBorders>
              <w:bottom w:val="single" w:sz="4" w:space="0" w:color="auto"/>
            </w:tcBorders>
          </w:tcPr>
          <w:p w14:paraId="480EAD76"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-4.040</w:t>
            </w:r>
          </w:p>
        </w:tc>
        <w:tc>
          <w:tcPr>
            <w:tcW w:w="1814" w:type="dxa"/>
            <w:tcBorders>
              <w:bottom w:val="single" w:sz="4" w:space="0" w:color="auto"/>
            </w:tcBorders>
          </w:tcPr>
          <w:p w14:paraId="76216EBE"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-4.380</w:t>
            </w:r>
          </w:p>
        </w:tc>
        <w:tc>
          <w:tcPr>
            <w:tcW w:w="1812" w:type="dxa"/>
            <w:tcBorders>
              <w:bottom w:val="single" w:sz="4" w:space="0" w:color="auto"/>
            </w:tcBorders>
          </w:tcPr>
          <w:p w14:paraId="7BA257EB" w14:textId="77777777" w:rsidR="00A86A09" w:rsidRPr="00C16D1E" w:rsidRDefault="00A86A09" w:rsidP="00524050">
            <w:pPr>
              <w:autoSpaceDE w:val="0"/>
              <w:autoSpaceDN w:val="0"/>
              <w:adjustRightInd w:val="0"/>
              <w:jc w:val="center"/>
              <w:rPr>
                <w:rFonts w:ascii="Times New Roman" w:hAnsi="Times New Roman" w:cs="Times New Roman"/>
                <w:color w:val="000000"/>
                <w:sz w:val="20"/>
                <w:szCs w:val="20"/>
              </w:rPr>
            </w:pPr>
            <w:r w:rsidRPr="00C16D1E">
              <w:rPr>
                <w:rFonts w:ascii="Times New Roman" w:hAnsi="Times New Roman" w:cs="Times New Roman"/>
                <w:color w:val="000000"/>
                <w:sz w:val="20"/>
                <w:szCs w:val="20"/>
              </w:rPr>
              <w:t>-4.990</w:t>
            </w:r>
          </w:p>
        </w:tc>
      </w:tr>
    </w:tbl>
    <w:p w14:paraId="0A5A288C" w14:textId="5E2845B7" w:rsidR="00A86A09" w:rsidRPr="00C16D1E" w:rsidRDefault="00A86A09" w:rsidP="00524050">
      <w:pPr>
        <w:jc w:val="both"/>
        <w:outlineLvl w:val="3"/>
        <w:rPr>
          <w:rFonts w:ascii="Times New Roman" w:eastAsia="Times New Roman" w:hAnsi="Times New Roman" w:cs="Times New Roman"/>
          <w:sz w:val="20"/>
          <w:szCs w:val="20"/>
          <w:lang w:eastAsia="en-GB"/>
        </w:rPr>
      </w:pPr>
      <w:proofErr w:type="gramStart"/>
      <w:r w:rsidRPr="00C16D1E">
        <w:rPr>
          <w:rFonts w:ascii="Times New Roman" w:eastAsia="Times New Roman" w:hAnsi="Times New Roman" w:cs="Times New Roman"/>
          <w:sz w:val="20"/>
          <w:szCs w:val="20"/>
          <w:lang w:eastAsia="en-GB"/>
        </w:rPr>
        <w:t>I(</w:t>
      </w:r>
      <w:proofErr w:type="gramEnd"/>
      <w:r w:rsidRPr="00C16D1E">
        <w:rPr>
          <w:rFonts w:ascii="Times New Roman" w:eastAsia="Times New Roman" w:hAnsi="Times New Roman" w:cs="Times New Roman"/>
          <w:sz w:val="20"/>
          <w:szCs w:val="20"/>
          <w:lang w:eastAsia="en-GB"/>
        </w:rPr>
        <w:t>0) and I(1) represent lower and upper critical bounds for the ARDL bounds test, corresponding to stationary and non-stationary series. F-statistic and t-statistic are calculated to test the null hypothesis of no long-run relationship. Trend type for all models: Unrestricted constant (Case 3). Sample size corresponds to the number of observations used in the ARDL estimation.</w:t>
      </w:r>
    </w:p>
    <w:p w14:paraId="702BAD46" w14:textId="10EFAB4B" w:rsidR="00685EF7" w:rsidRPr="00C16D1E" w:rsidRDefault="00A86A09" w:rsidP="00EF60B3">
      <w:pPr>
        <w:spacing w:after="100" w:afterAutospacing="1"/>
        <w:jc w:val="left"/>
        <w:outlineLvl w:val="3"/>
        <w:rPr>
          <w:rFonts w:eastAsia="TimesNewRoman"/>
          <w:color w:val="000000"/>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7EEE4DBD" w14:textId="2739C2B4"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Fonts w:eastAsia="TimesNewRoman"/>
          <w:color w:val="000000"/>
          <w:sz w:val="20"/>
          <w:szCs w:val="20"/>
        </w:rPr>
        <w:t>The ARDL bounds test results for the institutional quality equation (k = 6 regressors, T = 26) are reported in Table 4.</w:t>
      </w:r>
      <w:r w:rsidR="00AD562F" w:rsidRPr="00C16D1E">
        <w:rPr>
          <w:rFonts w:eastAsia="TimesNewRoman"/>
          <w:color w:val="000000"/>
          <w:sz w:val="20"/>
          <w:szCs w:val="20"/>
        </w:rPr>
        <w:t>4</w:t>
      </w:r>
      <w:r w:rsidRPr="00C16D1E">
        <w:rPr>
          <w:rFonts w:eastAsia="TimesNewRoman"/>
          <w:color w:val="000000"/>
          <w:sz w:val="20"/>
          <w:szCs w:val="20"/>
        </w:rPr>
        <w:t xml:space="preserve">. The F-statistic of </w:t>
      </w:r>
      <w:r w:rsidRPr="00C16D1E">
        <w:rPr>
          <w:color w:val="000000"/>
          <w:sz w:val="20"/>
          <w:szCs w:val="20"/>
        </w:rPr>
        <w:t xml:space="preserve">7.067 </w:t>
      </w:r>
      <w:r w:rsidRPr="00C16D1E">
        <w:rPr>
          <w:rFonts w:eastAsia="TimesNewRoman"/>
          <w:color w:val="000000"/>
          <w:sz w:val="20"/>
          <w:szCs w:val="20"/>
        </w:rPr>
        <w:t xml:space="preserve">and t-statistic of </w:t>
      </w:r>
      <w:r w:rsidRPr="00C16D1E">
        <w:rPr>
          <w:color w:val="000000"/>
          <w:sz w:val="20"/>
          <w:szCs w:val="20"/>
        </w:rPr>
        <w:t xml:space="preserve">-4.863 </w:t>
      </w:r>
      <w:r w:rsidRPr="00C16D1E">
        <w:rPr>
          <w:rFonts w:eastAsia="TimesNewRoman"/>
          <w:color w:val="000000"/>
          <w:sz w:val="20"/>
          <w:szCs w:val="20"/>
        </w:rPr>
        <w:t xml:space="preserve">decisively reject the null hypothesis of no long-run relationship at the 1 % significance level. The F-statistic substantially exceeds the upper I(1) critical bound (Narayan, 2005; Pesaran </w:t>
      </w:r>
      <w:r w:rsidRPr="00C16D1E">
        <w:rPr>
          <w:rFonts w:eastAsia="TimesNewRoman"/>
          <w:i/>
          <w:color w:val="000000"/>
          <w:sz w:val="20"/>
          <w:szCs w:val="20"/>
        </w:rPr>
        <w:t>et al</w:t>
      </w:r>
      <w:r w:rsidRPr="00C16D1E">
        <w:rPr>
          <w:rFonts w:eastAsia="TimesNewRoman"/>
          <w:color w:val="000000"/>
          <w:sz w:val="20"/>
          <w:szCs w:val="20"/>
        </w:rPr>
        <w:t>., 2001, Case III: unrestricted intercept, no trend), while the t-statistic is more negative than the corresponding lower bound, providing robust evidence of a stable cointegrating relationship among institutional quality, natural resource endowment, and the control variables. This confirms the existence of a long-run equilibrium, permitting valid estimation and inference on the normalised long-run coefficients in the subsequent section.</w:t>
      </w:r>
    </w:p>
    <w:p w14:paraId="6987FE82" w14:textId="77777777" w:rsidR="00442A51" w:rsidRPr="00C16D1E" w:rsidRDefault="00442A51" w:rsidP="00524050">
      <w:pPr>
        <w:pStyle w:val="NormalWeb"/>
        <w:spacing w:before="0" w:beforeAutospacing="0" w:after="0" w:afterAutospacing="0"/>
        <w:jc w:val="both"/>
        <w:rPr>
          <w:rFonts w:eastAsia="TimesNewRoman"/>
          <w:b/>
          <w:bCs/>
          <w:color w:val="000000"/>
          <w:sz w:val="20"/>
          <w:szCs w:val="20"/>
        </w:rPr>
      </w:pPr>
    </w:p>
    <w:p w14:paraId="17294007" w14:textId="0CD8858C" w:rsidR="00A86A09" w:rsidRPr="00C16D1E" w:rsidRDefault="00A86A09" w:rsidP="00524050">
      <w:pPr>
        <w:pStyle w:val="NormalWeb"/>
        <w:spacing w:before="0" w:beforeAutospacing="0" w:after="0" w:afterAutospacing="0"/>
        <w:jc w:val="both"/>
        <w:rPr>
          <w:rFonts w:eastAsia="TimesNewRoman"/>
          <w:b/>
          <w:bCs/>
          <w:color w:val="000000"/>
          <w:sz w:val="20"/>
          <w:szCs w:val="20"/>
        </w:rPr>
      </w:pPr>
      <w:r w:rsidRPr="00C16D1E">
        <w:rPr>
          <w:rFonts w:eastAsia="TimesNewRoman"/>
          <w:b/>
          <w:bCs/>
          <w:color w:val="000000"/>
          <w:sz w:val="20"/>
          <w:szCs w:val="20"/>
        </w:rPr>
        <w:t>4.</w:t>
      </w:r>
      <w:r w:rsidR="00901770" w:rsidRPr="00C16D1E">
        <w:rPr>
          <w:rFonts w:eastAsia="TimesNewRoman"/>
          <w:b/>
          <w:bCs/>
          <w:color w:val="000000"/>
          <w:sz w:val="20"/>
          <w:szCs w:val="20"/>
        </w:rPr>
        <w:t>7</w:t>
      </w:r>
      <w:r w:rsidRPr="00C16D1E">
        <w:rPr>
          <w:rFonts w:eastAsia="TimesNewRoman"/>
          <w:b/>
          <w:bCs/>
          <w:color w:val="000000"/>
          <w:sz w:val="20"/>
          <w:szCs w:val="20"/>
        </w:rPr>
        <w:t xml:space="preserve">: Lag Length Criteria </w:t>
      </w:r>
    </w:p>
    <w:p w14:paraId="248A037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4.5: VAR Lag Order Selection Criteria</w:t>
      </w:r>
    </w:p>
    <w:tbl>
      <w:tblPr>
        <w:tblStyle w:val="TableGrid1"/>
        <w:tblW w:w="9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1219"/>
        <w:gridCol w:w="1482"/>
        <w:gridCol w:w="1482"/>
        <w:gridCol w:w="1482"/>
        <w:gridCol w:w="1482"/>
        <w:gridCol w:w="1482"/>
      </w:tblGrid>
      <w:tr w:rsidR="00A86A09" w:rsidRPr="00C16D1E" w14:paraId="56474A6B" w14:textId="77777777" w:rsidTr="00A86A09">
        <w:trPr>
          <w:trHeight w:val="318"/>
          <w:jc w:val="center"/>
        </w:trPr>
        <w:tc>
          <w:tcPr>
            <w:tcW w:w="673" w:type="dxa"/>
            <w:tcBorders>
              <w:top w:val="single" w:sz="4" w:space="0" w:color="auto"/>
            </w:tcBorders>
            <w:hideMark/>
          </w:tcPr>
          <w:p w14:paraId="5DB3CB8A"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Lag</w:t>
            </w:r>
          </w:p>
        </w:tc>
        <w:tc>
          <w:tcPr>
            <w:tcW w:w="1219" w:type="dxa"/>
            <w:tcBorders>
              <w:top w:val="single" w:sz="4" w:space="0" w:color="auto"/>
            </w:tcBorders>
            <w:hideMark/>
          </w:tcPr>
          <w:p w14:paraId="559448C5"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LogL</w:t>
            </w:r>
          </w:p>
        </w:tc>
        <w:tc>
          <w:tcPr>
            <w:tcW w:w="0" w:type="auto"/>
            <w:tcBorders>
              <w:top w:val="single" w:sz="4" w:space="0" w:color="auto"/>
            </w:tcBorders>
            <w:hideMark/>
          </w:tcPr>
          <w:p w14:paraId="34B88D07"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LR</w:t>
            </w:r>
          </w:p>
        </w:tc>
        <w:tc>
          <w:tcPr>
            <w:tcW w:w="0" w:type="auto"/>
            <w:tcBorders>
              <w:top w:val="single" w:sz="4" w:space="0" w:color="auto"/>
            </w:tcBorders>
            <w:hideMark/>
          </w:tcPr>
          <w:p w14:paraId="270708C1"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FPE</w:t>
            </w:r>
          </w:p>
        </w:tc>
        <w:tc>
          <w:tcPr>
            <w:tcW w:w="0" w:type="auto"/>
            <w:tcBorders>
              <w:top w:val="single" w:sz="4" w:space="0" w:color="auto"/>
            </w:tcBorders>
            <w:hideMark/>
          </w:tcPr>
          <w:p w14:paraId="53E7AB54"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AIC</w:t>
            </w:r>
          </w:p>
        </w:tc>
        <w:tc>
          <w:tcPr>
            <w:tcW w:w="0" w:type="auto"/>
            <w:tcBorders>
              <w:top w:val="single" w:sz="4" w:space="0" w:color="auto"/>
            </w:tcBorders>
            <w:hideMark/>
          </w:tcPr>
          <w:p w14:paraId="79A49FD6"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SC</w:t>
            </w:r>
          </w:p>
        </w:tc>
        <w:tc>
          <w:tcPr>
            <w:tcW w:w="0" w:type="auto"/>
            <w:tcBorders>
              <w:top w:val="single" w:sz="4" w:space="0" w:color="auto"/>
            </w:tcBorders>
            <w:hideMark/>
          </w:tcPr>
          <w:p w14:paraId="3B94CB48" w14:textId="77777777" w:rsidR="00A86A09" w:rsidRPr="00C16D1E" w:rsidRDefault="00A86A09" w:rsidP="00524050">
            <w:pPr>
              <w:jc w:val="center"/>
              <w:rPr>
                <w:rFonts w:ascii="Times New Roman" w:hAnsi="Times New Roman" w:cs="Times New Roman"/>
                <w:b/>
                <w:bCs/>
                <w:sz w:val="20"/>
                <w:szCs w:val="20"/>
                <w:lang w:eastAsia="en-GB"/>
              </w:rPr>
            </w:pPr>
            <w:r w:rsidRPr="00C16D1E">
              <w:rPr>
                <w:rFonts w:ascii="Times New Roman" w:hAnsi="Times New Roman" w:cs="Times New Roman"/>
                <w:b/>
                <w:bCs/>
                <w:sz w:val="20"/>
                <w:szCs w:val="20"/>
                <w:lang w:eastAsia="en-GB"/>
              </w:rPr>
              <w:t>HQ</w:t>
            </w:r>
          </w:p>
        </w:tc>
      </w:tr>
      <w:tr w:rsidR="00A86A09" w:rsidRPr="00C16D1E" w14:paraId="011AA0FB" w14:textId="77777777" w:rsidTr="00A86A09">
        <w:trPr>
          <w:trHeight w:val="187"/>
          <w:jc w:val="center"/>
        </w:trPr>
        <w:tc>
          <w:tcPr>
            <w:tcW w:w="673" w:type="dxa"/>
            <w:hideMark/>
          </w:tcPr>
          <w:p w14:paraId="07FECCB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0</w:t>
            </w:r>
          </w:p>
        </w:tc>
        <w:tc>
          <w:tcPr>
            <w:tcW w:w="1219" w:type="dxa"/>
            <w:hideMark/>
          </w:tcPr>
          <w:p w14:paraId="5500DDF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-490.6368</w:t>
            </w:r>
          </w:p>
        </w:tc>
        <w:tc>
          <w:tcPr>
            <w:tcW w:w="0" w:type="auto"/>
            <w:hideMark/>
          </w:tcPr>
          <w:p w14:paraId="1D4FA01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NA </w:t>
            </w:r>
          </w:p>
        </w:tc>
        <w:tc>
          <w:tcPr>
            <w:tcW w:w="0" w:type="auto"/>
            <w:hideMark/>
          </w:tcPr>
          <w:p w14:paraId="12BCC8D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24084598</w:t>
            </w:r>
          </w:p>
        </w:tc>
        <w:tc>
          <w:tcPr>
            <w:tcW w:w="0" w:type="auto"/>
            <w:hideMark/>
          </w:tcPr>
          <w:p w14:paraId="6F7225C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36.86199</w:t>
            </w:r>
          </w:p>
        </w:tc>
        <w:tc>
          <w:tcPr>
            <w:tcW w:w="0" w:type="auto"/>
            <w:hideMark/>
          </w:tcPr>
          <w:p w14:paraId="091FB07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37.19794</w:t>
            </w:r>
          </w:p>
        </w:tc>
        <w:tc>
          <w:tcPr>
            <w:tcW w:w="0" w:type="auto"/>
            <w:hideMark/>
          </w:tcPr>
          <w:p w14:paraId="1FC26EA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36.96188</w:t>
            </w:r>
          </w:p>
        </w:tc>
      </w:tr>
      <w:tr w:rsidR="00A86A09" w:rsidRPr="00C16D1E" w14:paraId="59306CF1" w14:textId="77777777" w:rsidTr="00A86A09">
        <w:trPr>
          <w:trHeight w:val="309"/>
          <w:jc w:val="center"/>
        </w:trPr>
        <w:tc>
          <w:tcPr>
            <w:tcW w:w="673" w:type="dxa"/>
            <w:hideMark/>
          </w:tcPr>
          <w:p w14:paraId="759E8124"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1</w:t>
            </w:r>
          </w:p>
        </w:tc>
        <w:tc>
          <w:tcPr>
            <w:tcW w:w="1219" w:type="dxa"/>
            <w:hideMark/>
          </w:tcPr>
          <w:p w14:paraId="5CCD389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-391.5379</w:t>
            </w:r>
          </w:p>
        </w:tc>
        <w:tc>
          <w:tcPr>
            <w:tcW w:w="0" w:type="auto"/>
            <w:hideMark/>
          </w:tcPr>
          <w:p w14:paraId="4801D20D"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139.4726</w:t>
            </w:r>
          </w:p>
        </w:tc>
        <w:tc>
          <w:tcPr>
            <w:tcW w:w="0" w:type="auto"/>
            <w:hideMark/>
          </w:tcPr>
          <w:p w14:paraId="08E40F9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669327.4</w:t>
            </w:r>
          </w:p>
        </w:tc>
        <w:tc>
          <w:tcPr>
            <w:tcW w:w="0" w:type="auto"/>
            <w:hideMark/>
          </w:tcPr>
          <w:p w14:paraId="30371003"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33.15095</w:t>
            </w:r>
          </w:p>
        </w:tc>
        <w:tc>
          <w:tcPr>
            <w:tcW w:w="0" w:type="auto"/>
            <w:hideMark/>
          </w:tcPr>
          <w:p w14:paraId="4B6E1C1B"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35.83861</w:t>
            </w:r>
          </w:p>
        </w:tc>
        <w:tc>
          <w:tcPr>
            <w:tcW w:w="0" w:type="auto"/>
            <w:hideMark/>
          </w:tcPr>
          <w:p w14:paraId="5A39098E"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33.95014</w:t>
            </w:r>
          </w:p>
        </w:tc>
      </w:tr>
      <w:tr w:rsidR="00A86A09" w:rsidRPr="00C16D1E" w14:paraId="725E3F62" w14:textId="77777777" w:rsidTr="00A86A09">
        <w:trPr>
          <w:trHeight w:val="318"/>
          <w:jc w:val="center"/>
        </w:trPr>
        <w:tc>
          <w:tcPr>
            <w:tcW w:w="673" w:type="dxa"/>
            <w:tcBorders>
              <w:bottom w:val="single" w:sz="4" w:space="0" w:color="auto"/>
            </w:tcBorders>
            <w:hideMark/>
          </w:tcPr>
          <w:p w14:paraId="31D04A0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2</w:t>
            </w:r>
          </w:p>
        </w:tc>
        <w:tc>
          <w:tcPr>
            <w:tcW w:w="1219" w:type="dxa"/>
            <w:tcBorders>
              <w:bottom w:val="single" w:sz="4" w:space="0" w:color="auto"/>
            </w:tcBorders>
            <w:hideMark/>
          </w:tcPr>
          <w:p w14:paraId="1EB46DF2"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-264.9985</w:t>
            </w:r>
          </w:p>
        </w:tc>
        <w:tc>
          <w:tcPr>
            <w:tcW w:w="0" w:type="auto"/>
            <w:tcBorders>
              <w:bottom w:val="single" w:sz="4" w:space="0" w:color="auto"/>
            </w:tcBorders>
            <w:hideMark/>
          </w:tcPr>
          <w:p w14:paraId="0AEAA560"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112.4794*</w:t>
            </w:r>
          </w:p>
        </w:tc>
        <w:tc>
          <w:tcPr>
            <w:tcW w:w="0" w:type="auto"/>
            <w:tcBorders>
              <w:bottom w:val="single" w:sz="4" w:space="0" w:color="auto"/>
            </w:tcBorders>
            <w:hideMark/>
          </w:tcPr>
          <w:p w14:paraId="66D6F9C9"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5083.330*</w:t>
            </w:r>
          </w:p>
        </w:tc>
        <w:tc>
          <w:tcPr>
            <w:tcW w:w="0" w:type="auto"/>
            <w:tcBorders>
              <w:bottom w:val="single" w:sz="4" w:space="0" w:color="auto"/>
            </w:tcBorders>
            <w:hideMark/>
          </w:tcPr>
          <w:p w14:paraId="603990C6"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27.40730*</w:t>
            </w:r>
          </w:p>
        </w:tc>
        <w:tc>
          <w:tcPr>
            <w:tcW w:w="0" w:type="auto"/>
            <w:tcBorders>
              <w:bottom w:val="single" w:sz="4" w:space="0" w:color="auto"/>
            </w:tcBorders>
            <w:hideMark/>
          </w:tcPr>
          <w:p w14:paraId="1B73E655"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32.44666*</w:t>
            </w:r>
          </w:p>
        </w:tc>
        <w:tc>
          <w:tcPr>
            <w:tcW w:w="0" w:type="auto"/>
            <w:tcBorders>
              <w:bottom w:val="single" w:sz="4" w:space="0" w:color="auto"/>
            </w:tcBorders>
            <w:hideMark/>
          </w:tcPr>
          <w:p w14:paraId="4857FBA8" w14:textId="77777777" w:rsidR="00A86A09" w:rsidRPr="00C16D1E" w:rsidRDefault="00A86A09" w:rsidP="00524050">
            <w:pPr>
              <w:jc w:val="center"/>
              <w:rPr>
                <w:rFonts w:ascii="Times New Roman" w:hAnsi="Times New Roman" w:cs="Times New Roman"/>
                <w:sz w:val="20"/>
                <w:szCs w:val="20"/>
                <w:lang w:eastAsia="en-GB"/>
              </w:rPr>
            </w:pPr>
            <w:r w:rsidRPr="00C16D1E">
              <w:rPr>
                <w:rFonts w:ascii="Times New Roman" w:hAnsi="Times New Roman" w:cs="Times New Roman"/>
                <w:color w:val="000000"/>
                <w:sz w:val="20"/>
                <w:szCs w:val="20"/>
              </w:rPr>
              <w:t>  28.90577*</w:t>
            </w:r>
          </w:p>
        </w:tc>
      </w:tr>
    </w:tbl>
    <w:p w14:paraId="24B28D43" w14:textId="77777777" w:rsidR="00A86A09" w:rsidRPr="00C16D1E" w:rsidRDefault="00A86A09" w:rsidP="00524050">
      <w:pPr>
        <w:pStyle w:val="NormalWeb"/>
        <w:spacing w:before="0" w:beforeAutospacing="0" w:after="0" w:afterAutospacing="0"/>
        <w:jc w:val="both"/>
        <w:rPr>
          <w:rFonts w:eastAsia="TimesNewRoman"/>
          <w:color w:val="000000"/>
          <w:sz w:val="20"/>
          <w:szCs w:val="20"/>
        </w:rPr>
      </w:pPr>
      <w:r w:rsidRPr="00C16D1E">
        <w:rPr>
          <w:rStyle w:val="Strong"/>
          <w:rFonts w:eastAsiaTheme="majorEastAsia"/>
          <w:sz w:val="20"/>
          <w:szCs w:val="20"/>
        </w:rPr>
        <w:t>Note:</w:t>
      </w:r>
      <w:r w:rsidRPr="00C16D1E">
        <w:rPr>
          <w:sz w:val="20"/>
          <w:szCs w:val="20"/>
        </w:rPr>
        <w:t xml:space="preserve"> LR = sequential modified LR test statistic; FPE = Final Prediction Error; AIC = Akaike Information Criterion; SC = Schwarz Criterion; HQ = Hannan-Quinn Criterion. * indicates the lag order selected by the respective criterion.</w:t>
      </w:r>
    </w:p>
    <w:p w14:paraId="718B8E35" w14:textId="53289A28" w:rsidR="00685EF7" w:rsidRPr="00C16D1E" w:rsidRDefault="00A86A09" w:rsidP="00EF60B3">
      <w:pPr>
        <w:spacing w:after="100" w:afterAutospacing="1"/>
        <w:jc w:val="left"/>
        <w:outlineLvl w:val="3"/>
        <w:rPr>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5A49DA56" w14:textId="11D6E352" w:rsidR="00A45D0E" w:rsidRPr="00C16D1E" w:rsidRDefault="00A86A09" w:rsidP="00524050">
      <w:pPr>
        <w:pStyle w:val="NormalWeb"/>
        <w:spacing w:before="0" w:beforeAutospacing="0" w:after="0" w:afterAutospacing="0"/>
        <w:jc w:val="both"/>
        <w:rPr>
          <w:b/>
          <w:bCs/>
          <w:sz w:val="20"/>
          <w:szCs w:val="20"/>
        </w:rPr>
      </w:pPr>
      <w:r w:rsidRPr="00C16D1E">
        <w:rPr>
          <w:sz w:val="20"/>
          <w:szCs w:val="20"/>
        </w:rPr>
        <w:t>Table 4.</w:t>
      </w:r>
      <w:r w:rsidR="00AD562F" w:rsidRPr="00C16D1E">
        <w:rPr>
          <w:sz w:val="20"/>
          <w:szCs w:val="20"/>
        </w:rPr>
        <w:t>5</w:t>
      </w:r>
      <w:r w:rsidRPr="00C16D1E">
        <w:rPr>
          <w:sz w:val="20"/>
          <w:szCs w:val="20"/>
        </w:rPr>
        <w:t xml:space="preserve"> reports the VAR lag order selection criteria for the specification. The </w:t>
      </w:r>
      <w:r w:rsidR="00D477C4" w:rsidRPr="00C16D1E">
        <w:rPr>
          <w:sz w:val="20"/>
          <w:szCs w:val="20"/>
        </w:rPr>
        <w:t>result</w:t>
      </w:r>
      <w:r w:rsidRPr="00C16D1E">
        <w:rPr>
          <w:sz w:val="20"/>
          <w:szCs w:val="20"/>
        </w:rPr>
        <w:t xml:space="preserve"> indicates that the majority of information criteria consistently identify an optimal lag length of 2 periods. This convergence supports the selection of a maximum lag of 2, balancing model fit with parsimony to avoid overfitting in the model. The chosen lag structure</w:t>
      </w:r>
      <w:r w:rsidR="00326C5A" w:rsidRPr="00C16D1E">
        <w:rPr>
          <w:sz w:val="20"/>
          <w:szCs w:val="20"/>
        </w:rPr>
        <w:t>,</w:t>
      </w:r>
      <w:r w:rsidRPr="00C16D1E">
        <w:rPr>
          <w:sz w:val="20"/>
          <w:szCs w:val="20"/>
        </w:rPr>
        <w:t xml:space="preserve"> therefore</w:t>
      </w:r>
      <w:r w:rsidR="00326C5A" w:rsidRPr="00C16D1E">
        <w:rPr>
          <w:sz w:val="20"/>
          <w:szCs w:val="20"/>
        </w:rPr>
        <w:t>,</w:t>
      </w:r>
      <w:r w:rsidRPr="00C16D1E">
        <w:rPr>
          <w:sz w:val="20"/>
          <w:szCs w:val="20"/>
        </w:rPr>
        <w:t xml:space="preserve"> provides a robust foundation for the subsequent ARDL analysis.</w:t>
      </w:r>
    </w:p>
    <w:p w14:paraId="7A41F57B" w14:textId="77777777" w:rsidR="00EF60B3" w:rsidRDefault="00EF60B3" w:rsidP="00524050">
      <w:pPr>
        <w:pStyle w:val="NormalWeb"/>
        <w:spacing w:before="0" w:beforeAutospacing="0" w:after="0" w:afterAutospacing="0"/>
        <w:jc w:val="both"/>
        <w:rPr>
          <w:b/>
          <w:bCs/>
          <w:sz w:val="20"/>
          <w:szCs w:val="20"/>
        </w:rPr>
      </w:pPr>
    </w:p>
    <w:p w14:paraId="325C4483" w14:textId="3A5224B6" w:rsidR="00A86A09" w:rsidRPr="00C16D1E" w:rsidRDefault="00A86A09" w:rsidP="00524050">
      <w:pPr>
        <w:pStyle w:val="NormalWeb"/>
        <w:spacing w:before="0" w:beforeAutospacing="0" w:after="0" w:afterAutospacing="0"/>
        <w:jc w:val="both"/>
        <w:rPr>
          <w:b/>
          <w:bCs/>
          <w:sz w:val="20"/>
          <w:szCs w:val="20"/>
        </w:rPr>
      </w:pPr>
      <w:r w:rsidRPr="00C16D1E">
        <w:rPr>
          <w:b/>
          <w:bCs/>
          <w:sz w:val="20"/>
          <w:szCs w:val="20"/>
        </w:rPr>
        <w:t>4.</w:t>
      </w:r>
      <w:r w:rsidR="00EF60B3">
        <w:rPr>
          <w:b/>
          <w:bCs/>
          <w:sz w:val="20"/>
          <w:szCs w:val="20"/>
        </w:rPr>
        <w:t>8</w:t>
      </w:r>
      <w:r w:rsidRPr="00C16D1E">
        <w:rPr>
          <w:b/>
          <w:bCs/>
          <w:sz w:val="20"/>
          <w:szCs w:val="20"/>
        </w:rPr>
        <w:t xml:space="preserve"> Short run and Long Run Autoregressive Distributed Lag (ARDL) Estimation </w:t>
      </w:r>
    </w:p>
    <w:p w14:paraId="18BD19C7" w14:textId="5789AEB5" w:rsidR="00A86A09" w:rsidRPr="00C16D1E" w:rsidRDefault="00A86A09" w:rsidP="00524050">
      <w:pPr>
        <w:pStyle w:val="NormalWeb"/>
        <w:spacing w:before="0" w:beforeAutospacing="0" w:after="0" w:afterAutospacing="0"/>
        <w:jc w:val="both"/>
        <w:rPr>
          <w:sz w:val="20"/>
          <w:szCs w:val="20"/>
          <w:lang w:eastAsia="en-GB"/>
        </w:rPr>
      </w:pPr>
      <w:r w:rsidRPr="00C16D1E">
        <w:rPr>
          <w:sz w:val="20"/>
          <w:szCs w:val="20"/>
          <w:lang w:eastAsia="en-GB"/>
        </w:rPr>
        <w:t>The autoregressive distributed lag (ARDL) framework of Pesaran, Shin, and Smith (2001) is employed to estimate both short-run dynamics and long-run equilibrium relationships. This approach is particularly suitable given the mixture of I(0) and I(1) variables (Table 4.3) as it remains valid irrespective of integration order and performs reliably in limited observations without requiring pre-testing or differencing.</w:t>
      </w:r>
    </w:p>
    <w:p w14:paraId="3BF40356" w14:textId="77777777" w:rsidR="00EF60B3" w:rsidRDefault="00EF60B3" w:rsidP="00524050">
      <w:pPr>
        <w:jc w:val="center"/>
        <w:rPr>
          <w:rFonts w:ascii="Times New Roman" w:eastAsia="Times New Roman" w:hAnsi="Times New Roman" w:cs="Times New Roman"/>
          <w:b/>
          <w:bCs/>
          <w:sz w:val="20"/>
          <w:szCs w:val="20"/>
          <w:lang w:eastAsia="en-GB"/>
        </w:rPr>
      </w:pPr>
    </w:p>
    <w:p w14:paraId="2992A602" w14:textId="6B29C193"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lastRenderedPageBreak/>
        <w:t>Table 4.6: Summary of ARDL Estimates – Dependent Variable: INQ</w:t>
      </w:r>
    </w:p>
    <w:tbl>
      <w:tblPr>
        <w:tblStyle w:val="TableGrid24"/>
        <w:tblW w:w="8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1982"/>
        <w:gridCol w:w="1565"/>
        <w:gridCol w:w="1470"/>
        <w:gridCol w:w="976"/>
      </w:tblGrid>
      <w:tr w:rsidR="00A86A09" w:rsidRPr="00C16D1E" w14:paraId="5EB21CDB" w14:textId="77777777" w:rsidTr="00A86A09">
        <w:trPr>
          <w:trHeight w:val="270"/>
          <w:jc w:val="center"/>
        </w:trPr>
        <w:tc>
          <w:tcPr>
            <w:tcW w:w="0" w:type="auto"/>
            <w:tcBorders>
              <w:top w:val="single" w:sz="4" w:space="0" w:color="auto"/>
            </w:tcBorders>
            <w:hideMark/>
          </w:tcPr>
          <w:p w14:paraId="79F775D6"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Variable</w:t>
            </w:r>
          </w:p>
        </w:tc>
        <w:tc>
          <w:tcPr>
            <w:tcW w:w="0" w:type="auto"/>
            <w:tcBorders>
              <w:top w:val="single" w:sz="4" w:space="0" w:color="auto"/>
            </w:tcBorders>
            <w:vAlign w:val="center"/>
            <w:hideMark/>
          </w:tcPr>
          <w:p w14:paraId="25708E27"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Coefficient</w:t>
            </w:r>
          </w:p>
        </w:tc>
        <w:tc>
          <w:tcPr>
            <w:tcW w:w="0" w:type="auto"/>
            <w:tcBorders>
              <w:top w:val="single" w:sz="4" w:space="0" w:color="auto"/>
            </w:tcBorders>
            <w:vAlign w:val="center"/>
            <w:hideMark/>
          </w:tcPr>
          <w:p w14:paraId="6A0A27EF"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Std. Error</w:t>
            </w:r>
          </w:p>
        </w:tc>
        <w:tc>
          <w:tcPr>
            <w:tcW w:w="0" w:type="auto"/>
            <w:tcBorders>
              <w:top w:val="single" w:sz="4" w:space="0" w:color="auto"/>
            </w:tcBorders>
            <w:vAlign w:val="center"/>
            <w:hideMark/>
          </w:tcPr>
          <w:p w14:paraId="22AAFDC1"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t-Statistic</w:t>
            </w:r>
          </w:p>
        </w:tc>
        <w:tc>
          <w:tcPr>
            <w:tcW w:w="0" w:type="auto"/>
            <w:tcBorders>
              <w:top w:val="single" w:sz="4" w:space="0" w:color="auto"/>
            </w:tcBorders>
            <w:vAlign w:val="center"/>
            <w:hideMark/>
          </w:tcPr>
          <w:p w14:paraId="14D5873E" w14:textId="77777777" w:rsidR="00A86A09" w:rsidRPr="00C16D1E" w:rsidRDefault="00A86A09" w:rsidP="00524050">
            <w:pPr>
              <w:jc w:val="center"/>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r>
      <w:tr w:rsidR="00A86A09" w:rsidRPr="00C16D1E" w14:paraId="7E263AE5" w14:textId="77777777" w:rsidTr="00A86A09">
        <w:trPr>
          <w:trHeight w:val="270"/>
          <w:jc w:val="center"/>
        </w:trPr>
        <w:tc>
          <w:tcPr>
            <w:tcW w:w="0" w:type="auto"/>
            <w:gridSpan w:val="5"/>
            <w:hideMark/>
          </w:tcPr>
          <w:p w14:paraId="7209D46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Long-Run Coefficients</w:t>
            </w:r>
          </w:p>
        </w:tc>
      </w:tr>
      <w:tr w:rsidR="00A86A09" w:rsidRPr="00C16D1E" w14:paraId="2431AB08" w14:textId="77777777" w:rsidTr="00A86A09">
        <w:trPr>
          <w:trHeight w:val="270"/>
          <w:jc w:val="center"/>
        </w:trPr>
        <w:tc>
          <w:tcPr>
            <w:tcW w:w="0" w:type="auto"/>
            <w:hideMark/>
          </w:tcPr>
          <w:p w14:paraId="1BAE6E7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NRE(-1)</w:t>
            </w:r>
          </w:p>
        </w:tc>
        <w:tc>
          <w:tcPr>
            <w:tcW w:w="0" w:type="auto"/>
            <w:vAlign w:val="center"/>
            <w:hideMark/>
          </w:tcPr>
          <w:p w14:paraId="0DD1584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0.280*</w:t>
            </w:r>
          </w:p>
        </w:tc>
        <w:tc>
          <w:tcPr>
            <w:tcW w:w="0" w:type="auto"/>
            <w:vAlign w:val="center"/>
            <w:hideMark/>
          </w:tcPr>
          <w:p w14:paraId="33353FD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0.146</w:t>
            </w:r>
          </w:p>
        </w:tc>
        <w:tc>
          <w:tcPr>
            <w:tcW w:w="0" w:type="auto"/>
            <w:vAlign w:val="center"/>
            <w:hideMark/>
          </w:tcPr>
          <w:p w14:paraId="1CDFDC7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1.924</w:t>
            </w:r>
          </w:p>
        </w:tc>
        <w:tc>
          <w:tcPr>
            <w:tcW w:w="0" w:type="auto"/>
            <w:vAlign w:val="center"/>
            <w:hideMark/>
          </w:tcPr>
          <w:p w14:paraId="5319E9F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0.068</w:t>
            </w:r>
          </w:p>
        </w:tc>
      </w:tr>
      <w:tr w:rsidR="00A86A09" w:rsidRPr="00C16D1E" w14:paraId="3C5EBBE9" w14:textId="77777777" w:rsidTr="00A86A09">
        <w:trPr>
          <w:trHeight w:val="270"/>
          <w:jc w:val="center"/>
        </w:trPr>
        <w:tc>
          <w:tcPr>
            <w:tcW w:w="0" w:type="auto"/>
            <w:hideMark/>
          </w:tcPr>
          <w:p w14:paraId="207B26E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GDPPC(-1)</w:t>
            </w:r>
          </w:p>
        </w:tc>
        <w:tc>
          <w:tcPr>
            <w:tcW w:w="0" w:type="auto"/>
            <w:vAlign w:val="center"/>
            <w:hideMark/>
          </w:tcPr>
          <w:p w14:paraId="2F8F387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–0.307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47605F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0.059</w:t>
            </w:r>
          </w:p>
        </w:tc>
        <w:tc>
          <w:tcPr>
            <w:tcW w:w="0" w:type="auto"/>
            <w:vAlign w:val="center"/>
            <w:hideMark/>
          </w:tcPr>
          <w:p w14:paraId="5ECEF12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–5.194</w:t>
            </w:r>
          </w:p>
        </w:tc>
        <w:tc>
          <w:tcPr>
            <w:tcW w:w="0" w:type="auto"/>
            <w:vAlign w:val="center"/>
            <w:hideMark/>
          </w:tcPr>
          <w:p w14:paraId="44062FA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6FE730FC" w14:textId="77777777" w:rsidTr="00A86A09">
        <w:trPr>
          <w:trHeight w:val="270"/>
          <w:jc w:val="center"/>
        </w:trPr>
        <w:tc>
          <w:tcPr>
            <w:tcW w:w="0" w:type="auto"/>
            <w:hideMark/>
          </w:tcPr>
          <w:p w14:paraId="195BB3D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LTRO(-1)</w:t>
            </w:r>
          </w:p>
        </w:tc>
        <w:tc>
          <w:tcPr>
            <w:tcW w:w="0" w:type="auto"/>
            <w:vAlign w:val="center"/>
            <w:hideMark/>
          </w:tcPr>
          <w:p w14:paraId="6E0FCD1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–1.997</w:t>
            </w:r>
          </w:p>
        </w:tc>
        <w:tc>
          <w:tcPr>
            <w:tcW w:w="0" w:type="auto"/>
            <w:vAlign w:val="center"/>
            <w:hideMark/>
          </w:tcPr>
          <w:p w14:paraId="6F3B16A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1.312</w:t>
            </w:r>
          </w:p>
        </w:tc>
        <w:tc>
          <w:tcPr>
            <w:tcW w:w="0" w:type="auto"/>
            <w:vAlign w:val="center"/>
            <w:hideMark/>
          </w:tcPr>
          <w:p w14:paraId="48E22E2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–1.522</w:t>
            </w:r>
          </w:p>
        </w:tc>
        <w:tc>
          <w:tcPr>
            <w:tcW w:w="0" w:type="auto"/>
            <w:vAlign w:val="center"/>
            <w:hideMark/>
          </w:tcPr>
          <w:p w14:paraId="2812AF9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0.143</w:t>
            </w:r>
          </w:p>
        </w:tc>
      </w:tr>
      <w:tr w:rsidR="00A86A09" w:rsidRPr="00C16D1E" w14:paraId="43CC5EBF" w14:textId="77777777" w:rsidTr="00A86A09">
        <w:trPr>
          <w:trHeight w:val="270"/>
          <w:jc w:val="center"/>
        </w:trPr>
        <w:tc>
          <w:tcPr>
            <w:tcW w:w="0" w:type="auto"/>
            <w:hideMark/>
          </w:tcPr>
          <w:p w14:paraId="134F1A6D"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FDI(-1)</w:t>
            </w:r>
          </w:p>
        </w:tc>
        <w:tc>
          <w:tcPr>
            <w:tcW w:w="0" w:type="auto"/>
            <w:vAlign w:val="center"/>
            <w:hideMark/>
          </w:tcPr>
          <w:p w14:paraId="5CB58A3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1.323</w:t>
            </w:r>
          </w:p>
        </w:tc>
        <w:tc>
          <w:tcPr>
            <w:tcW w:w="0" w:type="auto"/>
            <w:vAlign w:val="center"/>
            <w:hideMark/>
          </w:tcPr>
          <w:p w14:paraId="3B83FF7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1.676</w:t>
            </w:r>
          </w:p>
        </w:tc>
        <w:tc>
          <w:tcPr>
            <w:tcW w:w="0" w:type="auto"/>
            <w:vAlign w:val="center"/>
            <w:hideMark/>
          </w:tcPr>
          <w:p w14:paraId="51EBC3B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0.789</w:t>
            </w:r>
          </w:p>
        </w:tc>
        <w:tc>
          <w:tcPr>
            <w:tcW w:w="0" w:type="auto"/>
            <w:vAlign w:val="center"/>
            <w:hideMark/>
          </w:tcPr>
          <w:p w14:paraId="5CBFC3E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0.439</w:t>
            </w:r>
          </w:p>
        </w:tc>
      </w:tr>
      <w:tr w:rsidR="00A86A09" w:rsidRPr="00C16D1E" w14:paraId="3DB209DF" w14:textId="77777777" w:rsidTr="00A86A09">
        <w:trPr>
          <w:trHeight w:val="270"/>
          <w:jc w:val="center"/>
        </w:trPr>
        <w:tc>
          <w:tcPr>
            <w:tcW w:w="0" w:type="auto"/>
            <w:hideMark/>
          </w:tcPr>
          <w:p w14:paraId="125BA4B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w:t>
            </w:r>
          </w:p>
        </w:tc>
        <w:tc>
          <w:tcPr>
            <w:tcW w:w="0" w:type="auto"/>
            <w:vAlign w:val="center"/>
            <w:hideMark/>
          </w:tcPr>
          <w:p w14:paraId="60CA1C4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0.0028</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4AC956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0.0009</w:t>
            </w:r>
          </w:p>
        </w:tc>
        <w:tc>
          <w:tcPr>
            <w:tcW w:w="0" w:type="auto"/>
            <w:vAlign w:val="center"/>
            <w:hideMark/>
          </w:tcPr>
          <w:p w14:paraId="2BED868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2.834</w:t>
            </w:r>
          </w:p>
        </w:tc>
        <w:tc>
          <w:tcPr>
            <w:tcW w:w="0" w:type="auto"/>
            <w:vAlign w:val="center"/>
            <w:hideMark/>
          </w:tcPr>
          <w:p w14:paraId="524F0CF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0.010</w:t>
            </w:r>
          </w:p>
        </w:tc>
      </w:tr>
      <w:tr w:rsidR="00A86A09" w:rsidRPr="00C16D1E" w14:paraId="78ABAEFC" w14:textId="77777777" w:rsidTr="00A86A09">
        <w:trPr>
          <w:trHeight w:val="285"/>
          <w:jc w:val="center"/>
        </w:trPr>
        <w:tc>
          <w:tcPr>
            <w:tcW w:w="0" w:type="auto"/>
            <w:hideMark/>
          </w:tcPr>
          <w:p w14:paraId="7231802F"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SSE(-1)</w:t>
            </w:r>
          </w:p>
        </w:tc>
        <w:tc>
          <w:tcPr>
            <w:tcW w:w="0" w:type="auto"/>
            <w:vAlign w:val="center"/>
            <w:hideMark/>
          </w:tcPr>
          <w:p w14:paraId="700F728C"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22.777</w:t>
            </w:r>
          </w:p>
        </w:tc>
        <w:tc>
          <w:tcPr>
            <w:tcW w:w="0" w:type="auto"/>
            <w:vAlign w:val="center"/>
            <w:hideMark/>
          </w:tcPr>
          <w:p w14:paraId="1BAA5F3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13.187</w:t>
            </w:r>
          </w:p>
        </w:tc>
        <w:tc>
          <w:tcPr>
            <w:tcW w:w="0" w:type="auto"/>
            <w:vAlign w:val="center"/>
            <w:hideMark/>
          </w:tcPr>
          <w:p w14:paraId="7213B2A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1.727</w:t>
            </w:r>
          </w:p>
        </w:tc>
        <w:tc>
          <w:tcPr>
            <w:tcW w:w="0" w:type="auto"/>
            <w:vAlign w:val="center"/>
            <w:hideMark/>
          </w:tcPr>
          <w:p w14:paraId="78B952D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0.099</w:t>
            </w:r>
          </w:p>
        </w:tc>
      </w:tr>
      <w:tr w:rsidR="00A86A09" w:rsidRPr="00C16D1E" w14:paraId="54AE996E" w14:textId="77777777" w:rsidTr="00A86A09">
        <w:trPr>
          <w:trHeight w:val="270"/>
          <w:jc w:val="center"/>
        </w:trPr>
        <w:tc>
          <w:tcPr>
            <w:tcW w:w="0" w:type="auto"/>
            <w:gridSpan w:val="5"/>
            <w:hideMark/>
          </w:tcPr>
          <w:p w14:paraId="6D64F24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Short-Run Dynamics</w:t>
            </w:r>
          </w:p>
        </w:tc>
      </w:tr>
      <w:tr w:rsidR="00A86A09" w:rsidRPr="00C16D1E" w14:paraId="0DA677EA" w14:textId="77777777" w:rsidTr="00A86A09">
        <w:trPr>
          <w:trHeight w:val="270"/>
          <w:jc w:val="center"/>
        </w:trPr>
        <w:tc>
          <w:tcPr>
            <w:tcW w:w="0" w:type="auto"/>
            <w:hideMark/>
          </w:tcPr>
          <w:p w14:paraId="4940E78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ECM(-1)</w:t>
            </w:r>
          </w:p>
        </w:tc>
        <w:tc>
          <w:tcPr>
            <w:tcW w:w="0" w:type="auto"/>
            <w:vAlign w:val="center"/>
            <w:hideMark/>
          </w:tcPr>
          <w:p w14:paraId="59FE11D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–0.695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2FF0DA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0.077</w:t>
            </w:r>
          </w:p>
        </w:tc>
        <w:tc>
          <w:tcPr>
            <w:tcW w:w="0" w:type="auto"/>
            <w:vAlign w:val="center"/>
            <w:hideMark/>
          </w:tcPr>
          <w:p w14:paraId="0DBB30B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–9.080</w:t>
            </w:r>
          </w:p>
        </w:tc>
        <w:tc>
          <w:tcPr>
            <w:tcW w:w="0" w:type="auto"/>
            <w:vAlign w:val="center"/>
            <w:hideMark/>
          </w:tcPr>
          <w:p w14:paraId="614776D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49845317" w14:textId="77777777" w:rsidTr="00A86A09">
        <w:trPr>
          <w:trHeight w:val="270"/>
          <w:jc w:val="center"/>
        </w:trPr>
        <w:tc>
          <w:tcPr>
            <w:tcW w:w="0" w:type="auto"/>
            <w:hideMark/>
          </w:tcPr>
          <w:p w14:paraId="4652F7C4"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D(NRE)</w:t>
            </w:r>
          </w:p>
        </w:tc>
        <w:tc>
          <w:tcPr>
            <w:tcW w:w="0" w:type="auto"/>
            <w:vAlign w:val="center"/>
            <w:hideMark/>
          </w:tcPr>
          <w:p w14:paraId="77F7F70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0.059</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7ECD167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0.018</w:t>
            </w:r>
          </w:p>
        </w:tc>
        <w:tc>
          <w:tcPr>
            <w:tcW w:w="0" w:type="auto"/>
            <w:vAlign w:val="center"/>
            <w:hideMark/>
          </w:tcPr>
          <w:p w14:paraId="1CE4D44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3.364</w:t>
            </w:r>
          </w:p>
        </w:tc>
        <w:tc>
          <w:tcPr>
            <w:tcW w:w="0" w:type="auto"/>
            <w:vAlign w:val="center"/>
            <w:hideMark/>
          </w:tcPr>
          <w:p w14:paraId="11B0DFB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0.004</w:t>
            </w:r>
          </w:p>
        </w:tc>
      </w:tr>
      <w:tr w:rsidR="00A86A09" w:rsidRPr="00C16D1E" w14:paraId="4D54351D" w14:textId="77777777" w:rsidTr="00A86A09">
        <w:trPr>
          <w:trHeight w:val="270"/>
          <w:jc w:val="center"/>
        </w:trPr>
        <w:tc>
          <w:tcPr>
            <w:tcW w:w="0" w:type="auto"/>
            <w:hideMark/>
          </w:tcPr>
          <w:p w14:paraId="747475BD"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D(NRE(-1))</w:t>
            </w:r>
          </w:p>
        </w:tc>
        <w:tc>
          <w:tcPr>
            <w:tcW w:w="0" w:type="auto"/>
            <w:vAlign w:val="center"/>
            <w:hideMark/>
          </w:tcPr>
          <w:p w14:paraId="32D5D27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–0.144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FF6F96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0.015</w:t>
            </w:r>
          </w:p>
        </w:tc>
        <w:tc>
          <w:tcPr>
            <w:tcW w:w="0" w:type="auto"/>
            <w:vAlign w:val="center"/>
            <w:hideMark/>
          </w:tcPr>
          <w:p w14:paraId="50CB327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–9.365</w:t>
            </w:r>
          </w:p>
        </w:tc>
        <w:tc>
          <w:tcPr>
            <w:tcW w:w="0" w:type="auto"/>
            <w:vAlign w:val="center"/>
            <w:hideMark/>
          </w:tcPr>
          <w:p w14:paraId="1E5C1311"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0BDA5C71" w14:textId="77777777" w:rsidTr="00A86A09">
        <w:trPr>
          <w:trHeight w:val="270"/>
          <w:jc w:val="center"/>
        </w:trPr>
        <w:tc>
          <w:tcPr>
            <w:tcW w:w="0" w:type="auto"/>
            <w:hideMark/>
          </w:tcPr>
          <w:p w14:paraId="32866D62"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D(GDPPC)</w:t>
            </w:r>
          </w:p>
        </w:tc>
        <w:tc>
          <w:tcPr>
            <w:tcW w:w="0" w:type="auto"/>
            <w:vAlign w:val="center"/>
            <w:hideMark/>
          </w:tcPr>
          <w:p w14:paraId="6A1F05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–0.134</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331EBF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0.015</w:t>
            </w:r>
          </w:p>
        </w:tc>
        <w:tc>
          <w:tcPr>
            <w:tcW w:w="0" w:type="auto"/>
            <w:vAlign w:val="center"/>
            <w:hideMark/>
          </w:tcPr>
          <w:p w14:paraId="6D376C4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–8.713</w:t>
            </w:r>
          </w:p>
        </w:tc>
        <w:tc>
          <w:tcPr>
            <w:tcW w:w="0" w:type="auto"/>
            <w:vAlign w:val="center"/>
            <w:hideMark/>
          </w:tcPr>
          <w:p w14:paraId="0240D28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6FAC8448" w14:textId="77777777" w:rsidTr="00A86A09">
        <w:trPr>
          <w:trHeight w:val="270"/>
          <w:jc w:val="center"/>
        </w:trPr>
        <w:tc>
          <w:tcPr>
            <w:tcW w:w="0" w:type="auto"/>
            <w:hideMark/>
          </w:tcPr>
          <w:p w14:paraId="5319202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D(GDPPC(-1))</w:t>
            </w:r>
          </w:p>
        </w:tc>
        <w:tc>
          <w:tcPr>
            <w:tcW w:w="0" w:type="auto"/>
            <w:vAlign w:val="center"/>
            <w:hideMark/>
          </w:tcPr>
          <w:p w14:paraId="05F2BB5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–0.027</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4C08F076"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0.014</w:t>
            </w:r>
          </w:p>
        </w:tc>
        <w:tc>
          <w:tcPr>
            <w:tcW w:w="0" w:type="auto"/>
            <w:vAlign w:val="center"/>
            <w:hideMark/>
          </w:tcPr>
          <w:p w14:paraId="0DFDB72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–1.949</w:t>
            </w:r>
          </w:p>
        </w:tc>
        <w:tc>
          <w:tcPr>
            <w:tcW w:w="0" w:type="auto"/>
            <w:vAlign w:val="center"/>
            <w:hideMark/>
          </w:tcPr>
          <w:p w14:paraId="59676C2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0.070</w:t>
            </w:r>
          </w:p>
        </w:tc>
      </w:tr>
      <w:tr w:rsidR="00A86A09" w:rsidRPr="00C16D1E" w14:paraId="53F077A7" w14:textId="77777777" w:rsidTr="00A86A09">
        <w:trPr>
          <w:trHeight w:val="270"/>
          <w:jc w:val="center"/>
        </w:trPr>
        <w:tc>
          <w:tcPr>
            <w:tcW w:w="0" w:type="auto"/>
            <w:hideMark/>
          </w:tcPr>
          <w:p w14:paraId="485BAAE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D(LTRO)</w:t>
            </w:r>
          </w:p>
        </w:tc>
        <w:tc>
          <w:tcPr>
            <w:tcW w:w="0" w:type="auto"/>
            <w:vAlign w:val="center"/>
            <w:hideMark/>
          </w:tcPr>
          <w:p w14:paraId="7FB742C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1.575</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348A436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0.602</w:t>
            </w:r>
          </w:p>
        </w:tc>
        <w:tc>
          <w:tcPr>
            <w:tcW w:w="0" w:type="auto"/>
            <w:vAlign w:val="center"/>
            <w:hideMark/>
          </w:tcPr>
          <w:p w14:paraId="3748C8B8"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2.615</w:t>
            </w:r>
          </w:p>
        </w:tc>
        <w:tc>
          <w:tcPr>
            <w:tcW w:w="0" w:type="auto"/>
            <w:vAlign w:val="center"/>
            <w:hideMark/>
          </w:tcPr>
          <w:p w14:paraId="7E490FC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0.020</w:t>
            </w:r>
          </w:p>
        </w:tc>
      </w:tr>
      <w:tr w:rsidR="00A86A09" w:rsidRPr="00C16D1E" w14:paraId="5B3C3BAA" w14:textId="77777777" w:rsidTr="00A86A09">
        <w:trPr>
          <w:trHeight w:val="270"/>
          <w:jc w:val="center"/>
        </w:trPr>
        <w:tc>
          <w:tcPr>
            <w:tcW w:w="0" w:type="auto"/>
            <w:hideMark/>
          </w:tcPr>
          <w:p w14:paraId="4B2B1A7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D(LTRO(-1))</w:t>
            </w:r>
          </w:p>
        </w:tc>
        <w:tc>
          <w:tcPr>
            <w:tcW w:w="0" w:type="auto"/>
            <w:vAlign w:val="center"/>
            <w:hideMark/>
          </w:tcPr>
          <w:p w14:paraId="4FA2DDB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1.979**</w:t>
            </w:r>
          </w:p>
        </w:tc>
        <w:tc>
          <w:tcPr>
            <w:tcW w:w="0" w:type="auto"/>
            <w:vAlign w:val="center"/>
            <w:hideMark/>
          </w:tcPr>
          <w:p w14:paraId="3620557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0.690</w:t>
            </w:r>
          </w:p>
        </w:tc>
        <w:tc>
          <w:tcPr>
            <w:tcW w:w="0" w:type="auto"/>
            <w:vAlign w:val="center"/>
            <w:hideMark/>
          </w:tcPr>
          <w:p w14:paraId="117BF24E"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2.869</w:t>
            </w:r>
          </w:p>
        </w:tc>
        <w:tc>
          <w:tcPr>
            <w:tcW w:w="0" w:type="auto"/>
            <w:vAlign w:val="center"/>
            <w:hideMark/>
          </w:tcPr>
          <w:p w14:paraId="5B0B4AA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0.012</w:t>
            </w:r>
          </w:p>
        </w:tc>
      </w:tr>
      <w:tr w:rsidR="00A86A09" w:rsidRPr="00C16D1E" w14:paraId="364E60B3" w14:textId="77777777" w:rsidTr="00A86A09">
        <w:trPr>
          <w:trHeight w:val="270"/>
          <w:jc w:val="center"/>
        </w:trPr>
        <w:tc>
          <w:tcPr>
            <w:tcW w:w="0" w:type="auto"/>
            <w:hideMark/>
          </w:tcPr>
          <w:p w14:paraId="30C9D5C8"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D(FDI)</w:t>
            </w:r>
          </w:p>
        </w:tc>
        <w:tc>
          <w:tcPr>
            <w:tcW w:w="0" w:type="auto"/>
            <w:vAlign w:val="center"/>
            <w:hideMark/>
          </w:tcPr>
          <w:p w14:paraId="4A1B182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–0.248</w:t>
            </w:r>
          </w:p>
        </w:tc>
        <w:tc>
          <w:tcPr>
            <w:tcW w:w="0" w:type="auto"/>
            <w:vAlign w:val="center"/>
            <w:hideMark/>
          </w:tcPr>
          <w:p w14:paraId="0C7A300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0.185</w:t>
            </w:r>
          </w:p>
        </w:tc>
        <w:tc>
          <w:tcPr>
            <w:tcW w:w="0" w:type="auto"/>
            <w:vAlign w:val="center"/>
            <w:hideMark/>
          </w:tcPr>
          <w:p w14:paraId="4690C47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–1.344</w:t>
            </w:r>
          </w:p>
        </w:tc>
        <w:tc>
          <w:tcPr>
            <w:tcW w:w="0" w:type="auto"/>
            <w:vAlign w:val="center"/>
            <w:hideMark/>
          </w:tcPr>
          <w:p w14:paraId="3ACF1B12"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0.199</w:t>
            </w:r>
          </w:p>
        </w:tc>
      </w:tr>
      <w:tr w:rsidR="00A86A09" w:rsidRPr="00C16D1E" w14:paraId="7A257992" w14:textId="77777777" w:rsidTr="00A86A09">
        <w:trPr>
          <w:trHeight w:val="270"/>
          <w:jc w:val="center"/>
        </w:trPr>
        <w:tc>
          <w:tcPr>
            <w:tcW w:w="0" w:type="auto"/>
            <w:hideMark/>
          </w:tcPr>
          <w:p w14:paraId="77E080BA"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D(FDI(-1))</w:t>
            </w:r>
          </w:p>
        </w:tc>
        <w:tc>
          <w:tcPr>
            <w:tcW w:w="0" w:type="auto"/>
            <w:vAlign w:val="center"/>
            <w:hideMark/>
          </w:tcPr>
          <w:p w14:paraId="7AB7474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–0.539</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64360AE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0.188</w:t>
            </w:r>
          </w:p>
        </w:tc>
        <w:tc>
          <w:tcPr>
            <w:tcW w:w="0" w:type="auto"/>
            <w:vAlign w:val="center"/>
            <w:hideMark/>
          </w:tcPr>
          <w:p w14:paraId="084CAB2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–2.867</w:t>
            </w:r>
          </w:p>
        </w:tc>
        <w:tc>
          <w:tcPr>
            <w:tcW w:w="0" w:type="auto"/>
            <w:vAlign w:val="center"/>
            <w:hideMark/>
          </w:tcPr>
          <w:p w14:paraId="004F380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0.012</w:t>
            </w:r>
          </w:p>
        </w:tc>
      </w:tr>
      <w:tr w:rsidR="00A86A09" w:rsidRPr="00C16D1E" w14:paraId="04471478" w14:textId="77777777" w:rsidTr="00A86A09">
        <w:trPr>
          <w:trHeight w:val="270"/>
          <w:jc w:val="center"/>
        </w:trPr>
        <w:tc>
          <w:tcPr>
            <w:tcW w:w="0" w:type="auto"/>
            <w:hideMark/>
          </w:tcPr>
          <w:p w14:paraId="0AB5E11C"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D(SSE)</w:t>
            </w:r>
          </w:p>
        </w:tc>
        <w:tc>
          <w:tcPr>
            <w:tcW w:w="0" w:type="auto"/>
            <w:vAlign w:val="center"/>
            <w:hideMark/>
          </w:tcPr>
          <w:p w14:paraId="7E89B5D3"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11.026</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04116AE0"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2.879</w:t>
            </w:r>
          </w:p>
        </w:tc>
        <w:tc>
          <w:tcPr>
            <w:tcW w:w="0" w:type="auto"/>
            <w:vAlign w:val="center"/>
            <w:hideMark/>
          </w:tcPr>
          <w:p w14:paraId="2B3DB35F"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3.830</w:t>
            </w:r>
          </w:p>
        </w:tc>
        <w:tc>
          <w:tcPr>
            <w:tcW w:w="0" w:type="auto"/>
            <w:vAlign w:val="center"/>
            <w:hideMark/>
          </w:tcPr>
          <w:p w14:paraId="79170C7D"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0.002</w:t>
            </w:r>
          </w:p>
        </w:tc>
      </w:tr>
      <w:tr w:rsidR="00A86A09" w:rsidRPr="00C16D1E" w14:paraId="5183A2FF" w14:textId="77777777" w:rsidTr="00A86A09">
        <w:trPr>
          <w:trHeight w:val="270"/>
          <w:jc w:val="center"/>
        </w:trPr>
        <w:tc>
          <w:tcPr>
            <w:tcW w:w="0" w:type="auto"/>
            <w:hideMark/>
          </w:tcPr>
          <w:p w14:paraId="35E8F937"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D(SSE(-1))</w:t>
            </w:r>
          </w:p>
        </w:tc>
        <w:tc>
          <w:tcPr>
            <w:tcW w:w="0" w:type="auto"/>
            <w:vAlign w:val="center"/>
            <w:hideMark/>
          </w:tcPr>
          <w:p w14:paraId="45AD809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14.883</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2C2B9B0B"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3.428</w:t>
            </w:r>
          </w:p>
        </w:tc>
        <w:tc>
          <w:tcPr>
            <w:tcW w:w="0" w:type="auto"/>
            <w:vAlign w:val="center"/>
            <w:hideMark/>
          </w:tcPr>
          <w:p w14:paraId="1FE7BB95"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4.341</w:t>
            </w:r>
          </w:p>
        </w:tc>
        <w:tc>
          <w:tcPr>
            <w:tcW w:w="0" w:type="auto"/>
            <w:vAlign w:val="center"/>
            <w:hideMark/>
          </w:tcPr>
          <w:p w14:paraId="1813FAA7"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0.001</w:t>
            </w:r>
          </w:p>
        </w:tc>
      </w:tr>
      <w:tr w:rsidR="00A86A09" w:rsidRPr="00C16D1E" w14:paraId="727BB6F7" w14:textId="77777777" w:rsidTr="00A86A09">
        <w:trPr>
          <w:trHeight w:val="270"/>
          <w:jc w:val="center"/>
        </w:trPr>
        <w:tc>
          <w:tcPr>
            <w:tcW w:w="0" w:type="auto"/>
            <w:hideMark/>
          </w:tcPr>
          <w:p w14:paraId="4210F1A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Constant</w:t>
            </w:r>
          </w:p>
        </w:tc>
        <w:tc>
          <w:tcPr>
            <w:tcW w:w="0" w:type="auto"/>
            <w:vAlign w:val="center"/>
            <w:hideMark/>
          </w:tcPr>
          <w:p w14:paraId="1F140F9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–19.910</w:t>
            </w:r>
            <w:r w:rsidRPr="00C16D1E">
              <w:rPr>
                <w:rFonts w:ascii="Times New Roman" w:eastAsia="Times New Roman" w:hAnsi="Times New Roman" w:cs="Times New Roman"/>
                <w:sz w:val="20"/>
                <w:szCs w:val="20"/>
                <w:vertAlign w:val="superscript"/>
                <w:lang w:eastAsia="en-GB"/>
              </w:rPr>
              <w:t>***</w:t>
            </w:r>
          </w:p>
        </w:tc>
        <w:tc>
          <w:tcPr>
            <w:tcW w:w="0" w:type="auto"/>
            <w:vAlign w:val="center"/>
            <w:hideMark/>
          </w:tcPr>
          <w:p w14:paraId="5FA66E2A"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2.170</w:t>
            </w:r>
          </w:p>
        </w:tc>
        <w:tc>
          <w:tcPr>
            <w:tcW w:w="0" w:type="auto"/>
            <w:vAlign w:val="center"/>
            <w:hideMark/>
          </w:tcPr>
          <w:p w14:paraId="0EDD3374"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–9.177</w:t>
            </w:r>
          </w:p>
        </w:tc>
        <w:tc>
          <w:tcPr>
            <w:tcW w:w="0" w:type="auto"/>
            <w:vAlign w:val="center"/>
            <w:hideMark/>
          </w:tcPr>
          <w:p w14:paraId="570B95B9" w14:textId="77777777" w:rsidR="00A86A09" w:rsidRPr="00C16D1E" w:rsidRDefault="00A86A09" w:rsidP="00524050">
            <w:pPr>
              <w:jc w:val="cente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r>
      <w:tr w:rsidR="00A86A09" w:rsidRPr="00C16D1E" w14:paraId="3D377AF6" w14:textId="77777777" w:rsidTr="00A86A09">
        <w:trPr>
          <w:trHeight w:val="270"/>
          <w:jc w:val="center"/>
        </w:trPr>
        <w:tc>
          <w:tcPr>
            <w:tcW w:w="0" w:type="auto"/>
            <w:hideMark/>
          </w:tcPr>
          <w:p w14:paraId="0F271CFE"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R-squared</w:t>
            </w:r>
          </w:p>
        </w:tc>
        <w:tc>
          <w:tcPr>
            <w:tcW w:w="0" w:type="auto"/>
            <w:hideMark/>
          </w:tcPr>
          <w:p w14:paraId="6A8FE81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0.917</w:t>
            </w:r>
          </w:p>
        </w:tc>
        <w:tc>
          <w:tcPr>
            <w:tcW w:w="0" w:type="auto"/>
            <w:hideMark/>
          </w:tcPr>
          <w:p w14:paraId="2DC8379D"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750A59C6"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2922F5AB"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23F3EA45" w14:textId="77777777" w:rsidTr="00A86A09">
        <w:trPr>
          <w:trHeight w:val="285"/>
          <w:jc w:val="center"/>
        </w:trPr>
        <w:tc>
          <w:tcPr>
            <w:tcW w:w="0" w:type="auto"/>
            <w:hideMark/>
          </w:tcPr>
          <w:p w14:paraId="1475010B"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Adjusted R-squared</w:t>
            </w:r>
          </w:p>
        </w:tc>
        <w:tc>
          <w:tcPr>
            <w:tcW w:w="0" w:type="auto"/>
            <w:hideMark/>
          </w:tcPr>
          <w:p w14:paraId="67B5B60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0.855</w:t>
            </w:r>
          </w:p>
        </w:tc>
        <w:tc>
          <w:tcPr>
            <w:tcW w:w="0" w:type="auto"/>
            <w:hideMark/>
          </w:tcPr>
          <w:p w14:paraId="4114D268"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56D8AB88"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513972BF"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4E03E76E" w14:textId="77777777" w:rsidTr="00A86A09">
        <w:trPr>
          <w:trHeight w:val="270"/>
          <w:jc w:val="center"/>
        </w:trPr>
        <w:tc>
          <w:tcPr>
            <w:tcW w:w="0" w:type="auto"/>
            <w:hideMark/>
          </w:tcPr>
          <w:p w14:paraId="5F6F2D95"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 (Prob.)</w:t>
            </w:r>
          </w:p>
        </w:tc>
        <w:tc>
          <w:tcPr>
            <w:tcW w:w="0" w:type="auto"/>
            <w:hideMark/>
          </w:tcPr>
          <w:p w14:paraId="4734A923"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14.975 (0.000)</w:t>
            </w:r>
          </w:p>
        </w:tc>
        <w:tc>
          <w:tcPr>
            <w:tcW w:w="0" w:type="auto"/>
            <w:hideMark/>
          </w:tcPr>
          <w:p w14:paraId="4A496EC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7E2C3BB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hideMark/>
          </w:tcPr>
          <w:p w14:paraId="01FC7AE9" w14:textId="77777777" w:rsidR="00A86A09" w:rsidRPr="00C16D1E" w:rsidRDefault="00A86A09" w:rsidP="00524050">
            <w:pPr>
              <w:rPr>
                <w:rFonts w:ascii="Times New Roman" w:eastAsia="Times New Roman" w:hAnsi="Times New Roman" w:cs="Times New Roman"/>
                <w:sz w:val="20"/>
                <w:szCs w:val="20"/>
                <w:lang w:eastAsia="en-GB"/>
              </w:rPr>
            </w:pPr>
          </w:p>
        </w:tc>
      </w:tr>
      <w:tr w:rsidR="00A86A09" w:rsidRPr="00C16D1E" w14:paraId="1EE4DFA4" w14:textId="77777777" w:rsidTr="00A86A09">
        <w:trPr>
          <w:trHeight w:val="255"/>
          <w:jc w:val="center"/>
        </w:trPr>
        <w:tc>
          <w:tcPr>
            <w:tcW w:w="0" w:type="auto"/>
            <w:tcBorders>
              <w:bottom w:val="single" w:sz="4" w:space="0" w:color="auto"/>
            </w:tcBorders>
            <w:hideMark/>
          </w:tcPr>
          <w:p w14:paraId="06D235F1"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Durbin–Watson</w:t>
            </w:r>
          </w:p>
        </w:tc>
        <w:tc>
          <w:tcPr>
            <w:tcW w:w="0" w:type="auto"/>
            <w:tcBorders>
              <w:bottom w:val="single" w:sz="4" w:space="0" w:color="auto"/>
            </w:tcBorders>
            <w:hideMark/>
          </w:tcPr>
          <w:p w14:paraId="496C13E6" w14:textId="77777777" w:rsidR="00A86A09" w:rsidRPr="00C16D1E" w:rsidRDefault="00A86A09" w:rsidP="00524050">
            <w:pPr>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1.869</w:t>
            </w:r>
          </w:p>
        </w:tc>
        <w:tc>
          <w:tcPr>
            <w:tcW w:w="0" w:type="auto"/>
            <w:tcBorders>
              <w:bottom w:val="single" w:sz="4" w:space="0" w:color="auto"/>
            </w:tcBorders>
            <w:hideMark/>
          </w:tcPr>
          <w:p w14:paraId="524444FB"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tcBorders>
              <w:bottom w:val="single" w:sz="4" w:space="0" w:color="auto"/>
            </w:tcBorders>
            <w:hideMark/>
          </w:tcPr>
          <w:p w14:paraId="201736A4" w14:textId="77777777" w:rsidR="00A86A09" w:rsidRPr="00C16D1E" w:rsidRDefault="00A86A09" w:rsidP="00524050">
            <w:pPr>
              <w:rPr>
                <w:rFonts w:ascii="Times New Roman" w:eastAsia="Times New Roman" w:hAnsi="Times New Roman" w:cs="Times New Roman"/>
                <w:sz w:val="20"/>
                <w:szCs w:val="20"/>
                <w:lang w:eastAsia="en-GB"/>
              </w:rPr>
            </w:pPr>
          </w:p>
        </w:tc>
        <w:tc>
          <w:tcPr>
            <w:tcW w:w="0" w:type="auto"/>
            <w:tcBorders>
              <w:bottom w:val="single" w:sz="4" w:space="0" w:color="auto"/>
            </w:tcBorders>
            <w:hideMark/>
          </w:tcPr>
          <w:p w14:paraId="3597E2CF" w14:textId="77777777" w:rsidR="00A86A09" w:rsidRPr="00C16D1E" w:rsidRDefault="00A86A09" w:rsidP="00524050">
            <w:pPr>
              <w:rPr>
                <w:rFonts w:ascii="Times New Roman" w:eastAsia="Times New Roman" w:hAnsi="Times New Roman" w:cs="Times New Roman"/>
                <w:sz w:val="20"/>
                <w:szCs w:val="20"/>
                <w:lang w:eastAsia="en-GB"/>
              </w:rPr>
            </w:pPr>
          </w:p>
        </w:tc>
      </w:tr>
    </w:tbl>
    <w:p w14:paraId="4D645225" w14:textId="49312B80" w:rsidR="00A86A09" w:rsidRPr="00C16D1E" w:rsidRDefault="00A86A09" w:rsidP="00524050">
      <w:pPr>
        <w:pStyle w:val="NormalWeb"/>
        <w:spacing w:before="0" w:beforeAutospacing="0"/>
        <w:jc w:val="both"/>
        <w:rPr>
          <w:sz w:val="20"/>
          <w:szCs w:val="20"/>
        </w:rPr>
      </w:pPr>
      <w:r w:rsidRPr="00C16D1E">
        <w:rPr>
          <w:sz w:val="20"/>
          <w:szCs w:val="20"/>
        </w:rPr>
        <w:t xml:space="preserve">     </w:t>
      </w:r>
      <w:r w:rsidRPr="00C16D1E">
        <w:rPr>
          <w:b/>
          <w:sz w:val="20"/>
          <w:szCs w:val="20"/>
        </w:rPr>
        <w:t>Source:</w:t>
      </w:r>
      <w:r w:rsidRPr="00C16D1E">
        <w:rPr>
          <w:sz w:val="20"/>
          <w:szCs w:val="20"/>
        </w:rPr>
        <w:t xml:space="preserve"> Author</w:t>
      </w:r>
      <w:r w:rsidR="00D52E46" w:rsidRPr="00C16D1E">
        <w:rPr>
          <w:sz w:val="20"/>
          <w:szCs w:val="20"/>
        </w:rPr>
        <w:t>’</w:t>
      </w:r>
      <w:r w:rsidRPr="00C16D1E">
        <w:rPr>
          <w:sz w:val="20"/>
          <w:szCs w:val="20"/>
        </w:rPr>
        <w:t>s Computation, 2026</w:t>
      </w:r>
      <w:r w:rsidR="00D52E46" w:rsidRPr="00C16D1E">
        <w:rPr>
          <w:sz w:val="20"/>
          <w:szCs w:val="20"/>
        </w:rPr>
        <w:t>.</w:t>
      </w:r>
    </w:p>
    <w:p w14:paraId="182A3BFF" w14:textId="77777777" w:rsidR="00BA4FCB" w:rsidRPr="00C16D1E" w:rsidRDefault="00BA4FCB" w:rsidP="00524050">
      <w:pPr>
        <w:pStyle w:val="NormalWeb"/>
        <w:spacing w:before="0" w:beforeAutospacing="0" w:after="0" w:afterAutospacing="0"/>
        <w:jc w:val="both"/>
        <w:rPr>
          <w:sz w:val="20"/>
          <w:szCs w:val="20"/>
        </w:rPr>
      </w:pPr>
    </w:p>
    <w:p w14:paraId="0B3B5409" w14:textId="054DE3D6" w:rsidR="00CF6123" w:rsidRPr="00C16D1E" w:rsidRDefault="00A86A09" w:rsidP="00524050">
      <w:pPr>
        <w:pStyle w:val="NormalWeb"/>
        <w:spacing w:before="0" w:beforeAutospacing="0" w:after="0" w:afterAutospacing="0"/>
        <w:jc w:val="both"/>
        <w:rPr>
          <w:sz w:val="20"/>
          <w:szCs w:val="20"/>
        </w:rPr>
      </w:pPr>
      <w:r w:rsidRPr="00C16D1E">
        <w:rPr>
          <w:sz w:val="20"/>
          <w:szCs w:val="20"/>
        </w:rPr>
        <w:t>The ARDL results reported in Table 4.6 indicate a strong</w:t>
      </w:r>
      <w:r w:rsidR="009D126A" w:rsidRPr="00C16D1E">
        <w:rPr>
          <w:sz w:val="20"/>
          <w:szCs w:val="20"/>
        </w:rPr>
        <w:t>, statistically robust model that explains variation</w:t>
      </w:r>
      <w:r w:rsidRPr="00C16D1E">
        <w:rPr>
          <w:sz w:val="20"/>
          <w:szCs w:val="20"/>
        </w:rPr>
        <w:t xml:space="preserve"> in institutional quality. The adjusted R squared of 0.855 shows that about 86 percent of the </w:t>
      </w:r>
      <w:r w:rsidR="00D477C4" w:rsidRPr="00C16D1E">
        <w:rPr>
          <w:sz w:val="20"/>
          <w:szCs w:val="20"/>
        </w:rPr>
        <w:t>variation</w:t>
      </w:r>
      <w:r w:rsidRPr="00C16D1E">
        <w:rPr>
          <w:sz w:val="20"/>
          <w:szCs w:val="20"/>
        </w:rPr>
        <w:t xml:space="preserve"> in institutional quality </w:t>
      </w:r>
      <w:r w:rsidR="00D477C4" w:rsidRPr="00C16D1E">
        <w:rPr>
          <w:sz w:val="20"/>
          <w:szCs w:val="20"/>
        </w:rPr>
        <w:t>is</w:t>
      </w:r>
      <w:r w:rsidRPr="00C16D1E">
        <w:rPr>
          <w:sz w:val="20"/>
          <w:szCs w:val="20"/>
        </w:rPr>
        <w:t xml:space="preserve"> explained by the explanatory variables in the model. The joint significance of the regressors is confirmed by the F statistic of 14.975 with a probability value of 0.000, indicating that the model is well specified and highly relevant for explaining institutional quality dynamics. The Durbin Watson statistic of 1.869 is close to the benchmark value of two, suggesting the absence of serious first order serial correlation and supporting the reliability of the estimated coefficients.</w:t>
      </w:r>
    </w:p>
    <w:p w14:paraId="3065B40F" w14:textId="40383072" w:rsidR="00A86A09" w:rsidRPr="00C16D1E" w:rsidRDefault="00A86A09" w:rsidP="00524050">
      <w:pPr>
        <w:pStyle w:val="NormalWeb"/>
        <w:spacing w:before="0" w:beforeAutospacing="0" w:after="0" w:afterAutospacing="0"/>
        <w:jc w:val="both"/>
        <w:rPr>
          <w:sz w:val="20"/>
          <w:szCs w:val="20"/>
        </w:rPr>
      </w:pPr>
      <w:r w:rsidRPr="00C16D1E">
        <w:rPr>
          <w:sz w:val="20"/>
          <w:szCs w:val="20"/>
        </w:rPr>
        <w:t xml:space="preserve">In the long run, natural resource endowment </w:t>
      </w:r>
      <w:r w:rsidR="009D126A" w:rsidRPr="00C16D1E">
        <w:rPr>
          <w:sz w:val="20"/>
          <w:szCs w:val="20"/>
        </w:rPr>
        <w:t>has a positive,</w:t>
      </w:r>
      <w:r w:rsidRPr="00C16D1E">
        <w:rPr>
          <w:sz w:val="20"/>
          <w:szCs w:val="20"/>
        </w:rPr>
        <w:t xml:space="preserve"> weakly significant effect on institutional quality (β = 0.280, p = 0.068). This suggests that increases in resource </w:t>
      </w:r>
      <w:r w:rsidR="009D126A" w:rsidRPr="00C16D1E">
        <w:rPr>
          <w:sz w:val="20"/>
          <w:szCs w:val="20"/>
        </w:rPr>
        <w:t>endowments are associated with improvements in institutional quality over time, possibly through higher fiscal capacity and public-sector</w:t>
      </w:r>
      <w:r w:rsidRPr="00C16D1E">
        <w:rPr>
          <w:sz w:val="20"/>
          <w:szCs w:val="20"/>
        </w:rPr>
        <w:t xml:space="preserve"> financing. Real GDP per capita shows a negative and highly significant long run effect on institutional quality (β = −0.307, p = 0.000), implying that income growth in the absence of strong governance reforms may weaken institutional performance, consistent with growth driven by r</w:t>
      </w:r>
      <w:r w:rsidR="009D126A" w:rsidRPr="00C16D1E">
        <w:rPr>
          <w:sz w:val="20"/>
          <w:szCs w:val="20"/>
        </w:rPr>
        <w:t>esource rents rather than broad-</w:t>
      </w:r>
      <w:r w:rsidRPr="00C16D1E">
        <w:rPr>
          <w:sz w:val="20"/>
          <w:szCs w:val="20"/>
        </w:rPr>
        <w:t xml:space="preserve">based development. Gross fixed capital formation has a positive and statistically significant impact (β = 0.0028, p = 0.010), indicating that sustained investment supports institutional strengthening </w:t>
      </w:r>
      <w:r w:rsidR="009D126A" w:rsidRPr="00C16D1E">
        <w:rPr>
          <w:sz w:val="20"/>
          <w:szCs w:val="20"/>
        </w:rPr>
        <w:t>by improving the</w:t>
      </w:r>
      <w:r w:rsidRPr="00C16D1E">
        <w:rPr>
          <w:sz w:val="20"/>
          <w:szCs w:val="20"/>
        </w:rPr>
        <w:t xml:space="preserve"> economic structure and administrative capacity. School enrolment also displays a positive long run coefficient (β = 22.777, p = 0.099), suggesting that human capital accumulation contributes to better institutional outcomes, although the effect is marginal at conventional levels. Trade openness and foreign direct investment are not statistically significant in the long run, indicating that their institutional effects may operate mainly through short run adjustment channels rather than persistent structural influence.</w:t>
      </w:r>
    </w:p>
    <w:p w14:paraId="7719DC2E" w14:textId="77777777" w:rsidR="00A45D0E" w:rsidRPr="00C16D1E" w:rsidRDefault="00A45D0E" w:rsidP="00524050">
      <w:pPr>
        <w:pStyle w:val="NormalWeb"/>
        <w:spacing w:before="0" w:beforeAutospacing="0" w:after="0" w:afterAutospacing="0"/>
        <w:jc w:val="both"/>
        <w:rPr>
          <w:sz w:val="20"/>
          <w:szCs w:val="20"/>
        </w:rPr>
      </w:pPr>
    </w:p>
    <w:p w14:paraId="48B973C6" w14:textId="1C5660E7" w:rsidR="00A86A09" w:rsidRPr="00C16D1E" w:rsidRDefault="00A86A09" w:rsidP="00524050">
      <w:pPr>
        <w:pStyle w:val="NormalWeb"/>
        <w:spacing w:before="0" w:beforeAutospacing="0" w:after="0" w:afterAutospacing="0"/>
        <w:jc w:val="both"/>
        <w:rPr>
          <w:sz w:val="20"/>
          <w:szCs w:val="20"/>
        </w:rPr>
      </w:pPr>
      <w:r w:rsidRPr="00C16D1E">
        <w:rPr>
          <w:sz w:val="20"/>
          <w:szCs w:val="20"/>
        </w:rPr>
        <w:t>The short run dynamics reveal important adjustment processes. The error correction term is negative and highly significant (ECM = −0.695, p = 0.000), indicating a rapid speed of adjustment toward long run equilibrium. Approximately 70 percent of any short run deviation from equilibrium in institutional quality is corrected within one period, reflecting strong convergence dynamics.</w:t>
      </w:r>
    </w:p>
    <w:p w14:paraId="38D03B49" w14:textId="77777777" w:rsidR="00F117E9" w:rsidRPr="00C16D1E" w:rsidRDefault="00F117E9" w:rsidP="00524050">
      <w:pPr>
        <w:pStyle w:val="NormalWeb"/>
        <w:spacing w:before="0" w:beforeAutospacing="0" w:after="0" w:afterAutospacing="0"/>
        <w:jc w:val="both"/>
        <w:rPr>
          <w:sz w:val="20"/>
          <w:szCs w:val="20"/>
        </w:rPr>
      </w:pPr>
    </w:p>
    <w:p w14:paraId="0D9B41FC" w14:textId="77777777" w:rsidR="00A86A09" w:rsidRPr="00C16D1E" w:rsidRDefault="00A86A09" w:rsidP="00524050">
      <w:pPr>
        <w:pStyle w:val="NormalWeb"/>
        <w:spacing w:before="0" w:beforeAutospacing="0" w:after="0" w:afterAutospacing="0"/>
        <w:jc w:val="both"/>
        <w:rPr>
          <w:sz w:val="20"/>
          <w:szCs w:val="20"/>
        </w:rPr>
      </w:pPr>
      <w:r w:rsidRPr="00C16D1E">
        <w:rPr>
          <w:sz w:val="20"/>
          <w:szCs w:val="20"/>
        </w:rPr>
        <w:lastRenderedPageBreak/>
        <w:t>Changes in natural resource endowment have mixed short run effects. The contemporaneous change in NRE positively and significantly affects institutional quality (</w:t>
      </w:r>
      <w:proofErr w:type="gramStart"/>
      <w:r w:rsidRPr="00C16D1E">
        <w:rPr>
          <w:sz w:val="20"/>
          <w:szCs w:val="20"/>
        </w:rPr>
        <w:t>D(</w:t>
      </w:r>
      <w:proofErr w:type="gramEnd"/>
      <w:r w:rsidRPr="00C16D1E">
        <w:rPr>
          <w:sz w:val="20"/>
          <w:szCs w:val="20"/>
        </w:rPr>
        <w:t>NRE) = 0.059, p = 0.004), while the lagged change has a strong negative effect (D(NRE(−1)) = −0.144, p = 0.000). This pattern suggests that resource inflows initially support institutional functioning but generate delayed pressures that weaken governance, consistent with short run rent management challenges. Changes in GDP per capita exert negative and significant effects both contemporaneously (</w:t>
      </w:r>
      <w:proofErr w:type="gramStart"/>
      <w:r w:rsidRPr="00C16D1E">
        <w:rPr>
          <w:sz w:val="20"/>
          <w:szCs w:val="20"/>
        </w:rPr>
        <w:t>D(</w:t>
      </w:r>
      <w:proofErr w:type="gramEnd"/>
      <w:r w:rsidRPr="00C16D1E">
        <w:rPr>
          <w:sz w:val="20"/>
          <w:szCs w:val="20"/>
        </w:rPr>
        <w:t>GDPPC) = −0.134, p = 0.000) and with a lag (D(GDPPC(−1)) = −0.027, p = 0.070), reinforcing the view that growth episodes may strain institutions in the short run.</w:t>
      </w:r>
    </w:p>
    <w:p w14:paraId="183F05DD" w14:textId="59F81A9F" w:rsidR="00A86A09" w:rsidRPr="00C16D1E" w:rsidRDefault="00A86A09" w:rsidP="00524050">
      <w:pPr>
        <w:pStyle w:val="NormalWeb"/>
        <w:spacing w:before="0" w:beforeAutospacing="0" w:after="0" w:afterAutospacing="0"/>
        <w:jc w:val="both"/>
        <w:rPr>
          <w:sz w:val="20"/>
          <w:szCs w:val="20"/>
        </w:rPr>
      </w:pPr>
      <w:r w:rsidRPr="00C16D1E">
        <w:rPr>
          <w:sz w:val="20"/>
          <w:szCs w:val="20"/>
        </w:rPr>
        <w:t>Trade openness has positive and significant short run effects in both the current period (</w:t>
      </w:r>
      <w:proofErr w:type="gramStart"/>
      <w:r w:rsidRPr="00C16D1E">
        <w:rPr>
          <w:sz w:val="20"/>
          <w:szCs w:val="20"/>
        </w:rPr>
        <w:t>D(</w:t>
      </w:r>
      <w:proofErr w:type="gramEnd"/>
      <w:r w:rsidRPr="00C16D1E">
        <w:rPr>
          <w:sz w:val="20"/>
          <w:szCs w:val="20"/>
        </w:rPr>
        <w:t>LTRO) = 1.575, p = 0.020) and the lagged period (D(LTRO(−1)) = 1.979, p = 0.012), indicating that increased openness enhances institutional performance through exposure to external competition and policy discipline. Foreign direct investment shows a negative but insignificant contemporaneous effect, while its lagged effect is negative and significant (</w:t>
      </w:r>
      <w:proofErr w:type="gramStart"/>
      <w:r w:rsidRPr="00C16D1E">
        <w:rPr>
          <w:sz w:val="20"/>
          <w:szCs w:val="20"/>
        </w:rPr>
        <w:t>D(</w:t>
      </w:r>
      <w:proofErr w:type="gramEnd"/>
      <w:r w:rsidRPr="00C16D1E">
        <w:rPr>
          <w:sz w:val="20"/>
          <w:szCs w:val="20"/>
        </w:rPr>
        <w:t>FDI(−1)) = −0.539, p = 0.012), suggesting delayed governance pressures associated with regulatory capacity and investment management. School enrolment strongly improves institutional quality in the short run, with both contemporaneous (</w:t>
      </w:r>
      <w:proofErr w:type="gramStart"/>
      <w:r w:rsidRPr="00C16D1E">
        <w:rPr>
          <w:sz w:val="20"/>
          <w:szCs w:val="20"/>
        </w:rPr>
        <w:t>D(</w:t>
      </w:r>
      <w:proofErr w:type="gramEnd"/>
      <w:r w:rsidRPr="00C16D1E">
        <w:rPr>
          <w:sz w:val="20"/>
          <w:szCs w:val="20"/>
        </w:rPr>
        <w:t xml:space="preserve">SSE) = 11.026, p = 0.002) and lagged </w:t>
      </w:r>
      <w:r w:rsidR="00F03A24" w:rsidRPr="00C16D1E">
        <w:rPr>
          <w:sz w:val="20"/>
          <w:szCs w:val="20"/>
        </w:rPr>
        <w:t>(D(SSE(−1)) = 14.883, p = 0.001) effects</w:t>
      </w:r>
      <w:r w:rsidRPr="00C16D1E">
        <w:rPr>
          <w:sz w:val="20"/>
          <w:szCs w:val="20"/>
        </w:rPr>
        <w:t>, highlighting the immediate and reinforcing role of education in strengthening governance structures.</w:t>
      </w:r>
    </w:p>
    <w:p w14:paraId="0BFD9D9F" w14:textId="77777777" w:rsidR="00A45D0E" w:rsidRPr="00C16D1E" w:rsidRDefault="00A45D0E" w:rsidP="00524050">
      <w:pPr>
        <w:pStyle w:val="NormalWeb"/>
        <w:spacing w:before="0" w:beforeAutospacing="0" w:after="0" w:afterAutospacing="0"/>
        <w:jc w:val="both"/>
        <w:rPr>
          <w:sz w:val="20"/>
          <w:szCs w:val="20"/>
        </w:rPr>
      </w:pPr>
    </w:p>
    <w:p w14:paraId="15A18641" w14:textId="183C025F" w:rsidR="00A86A09" w:rsidRPr="00C16D1E" w:rsidRDefault="00A86A09" w:rsidP="00524050">
      <w:pPr>
        <w:pStyle w:val="NormalWeb"/>
        <w:spacing w:before="0" w:beforeAutospacing="0" w:after="0" w:afterAutospacing="0"/>
        <w:jc w:val="both"/>
        <w:rPr>
          <w:b/>
          <w:bCs/>
          <w:sz w:val="20"/>
          <w:szCs w:val="20"/>
        </w:rPr>
      </w:pPr>
      <w:r w:rsidRPr="00C16D1E">
        <w:rPr>
          <w:b/>
          <w:bCs/>
          <w:sz w:val="20"/>
          <w:szCs w:val="20"/>
        </w:rPr>
        <w:t>4.</w:t>
      </w:r>
      <w:r w:rsidR="00EF60B3">
        <w:rPr>
          <w:b/>
          <w:bCs/>
          <w:sz w:val="20"/>
          <w:szCs w:val="20"/>
        </w:rPr>
        <w:t>9</w:t>
      </w:r>
      <w:r w:rsidRPr="00C16D1E">
        <w:rPr>
          <w:b/>
          <w:bCs/>
          <w:sz w:val="20"/>
          <w:szCs w:val="20"/>
        </w:rPr>
        <w:t xml:space="preserve"> Granger Causality Test</w:t>
      </w:r>
    </w:p>
    <w:p w14:paraId="168B4CD3" w14:textId="10B4AA04" w:rsidR="00165D7C" w:rsidRPr="00C16D1E" w:rsidRDefault="00A86A09" w:rsidP="00524050">
      <w:pPr>
        <w:pStyle w:val="NormalWeb"/>
        <w:spacing w:before="0" w:beforeAutospacing="0" w:after="0" w:afterAutospacing="0"/>
        <w:jc w:val="both"/>
        <w:rPr>
          <w:rFonts w:eastAsia="Calibri"/>
          <w:sz w:val="20"/>
          <w:szCs w:val="20"/>
        </w:rPr>
      </w:pPr>
      <w:r w:rsidRPr="00C16D1E">
        <w:rPr>
          <w:rFonts w:eastAsia="Calibri"/>
          <w:sz w:val="20"/>
          <w:szCs w:val="20"/>
        </w:rPr>
        <w:t xml:space="preserve">This subsection investigates the direction of </w:t>
      </w:r>
      <w:r w:rsidR="00F03A24" w:rsidRPr="00C16D1E">
        <w:rPr>
          <w:rFonts w:eastAsia="Calibri"/>
          <w:sz w:val="20"/>
          <w:szCs w:val="20"/>
        </w:rPr>
        <w:t>short-run predictive relationships between</w:t>
      </w:r>
      <w:r w:rsidRPr="00C16D1E">
        <w:rPr>
          <w:rFonts w:eastAsia="Calibri"/>
          <w:sz w:val="20"/>
          <w:szCs w:val="20"/>
        </w:rPr>
        <w:t xml:space="preserve"> institutional quality and selected macroeconomic variables using the pairwise Granger causality test. The analysis identifies whether causality is </w:t>
      </w:r>
      <w:r w:rsidR="00F03A24" w:rsidRPr="00C16D1E">
        <w:rPr>
          <w:rFonts w:eastAsia="Calibri"/>
          <w:sz w:val="20"/>
          <w:szCs w:val="20"/>
        </w:rPr>
        <w:t>unidirectional, bidirectional</w:t>
      </w:r>
      <w:r w:rsidRPr="00C16D1E">
        <w:rPr>
          <w:rFonts w:eastAsia="Calibri"/>
          <w:sz w:val="20"/>
          <w:szCs w:val="20"/>
        </w:rPr>
        <w:t>, or absent across the variables considered.</w:t>
      </w:r>
    </w:p>
    <w:p w14:paraId="7BE310DA" w14:textId="2DBA911E"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w:t>
      </w:r>
      <w:r w:rsidR="00901770" w:rsidRPr="00C16D1E">
        <w:rPr>
          <w:rFonts w:ascii="Times New Roman" w:eastAsia="Times New Roman" w:hAnsi="Times New Roman" w:cs="Times New Roman"/>
          <w:b/>
          <w:bCs/>
          <w:sz w:val="20"/>
          <w:szCs w:val="20"/>
          <w:lang w:eastAsia="en-GB"/>
        </w:rPr>
        <w:t>7</w:t>
      </w:r>
      <w:r w:rsidRPr="00C16D1E">
        <w:rPr>
          <w:rFonts w:ascii="Times New Roman" w:eastAsia="Times New Roman" w:hAnsi="Times New Roman" w:cs="Times New Roman"/>
          <w:b/>
          <w:bCs/>
          <w:sz w:val="20"/>
          <w:szCs w:val="20"/>
          <w:lang w:eastAsia="en-GB"/>
        </w:rPr>
        <w:t>: Summary of Pairwise Granger Causality Tests Result</w:t>
      </w:r>
    </w:p>
    <w:tbl>
      <w:tblPr>
        <w:tblStyle w:val="TableGrid1"/>
        <w:tblW w:w="92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370"/>
        <w:gridCol w:w="975"/>
        <w:gridCol w:w="2834"/>
      </w:tblGrid>
      <w:tr w:rsidR="00A86A09" w:rsidRPr="00C16D1E" w14:paraId="46D8B4B2" w14:textId="77777777" w:rsidTr="00A86A09">
        <w:trPr>
          <w:trHeight w:val="290"/>
          <w:jc w:val="center"/>
        </w:trPr>
        <w:tc>
          <w:tcPr>
            <w:tcW w:w="0" w:type="auto"/>
            <w:tcBorders>
              <w:top w:val="single" w:sz="4" w:space="0" w:color="auto"/>
            </w:tcBorders>
            <w:hideMark/>
          </w:tcPr>
          <w:p w14:paraId="510A8164"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Null Hypothesis</w:t>
            </w:r>
          </w:p>
        </w:tc>
        <w:tc>
          <w:tcPr>
            <w:tcW w:w="0" w:type="auto"/>
            <w:tcBorders>
              <w:top w:val="single" w:sz="4" w:space="0" w:color="auto"/>
            </w:tcBorders>
            <w:vAlign w:val="center"/>
            <w:hideMark/>
          </w:tcPr>
          <w:p w14:paraId="1B12BF75"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F Statistic</w:t>
            </w:r>
          </w:p>
        </w:tc>
        <w:tc>
          <w:tcPr>
            <w:tcW w:w="0" w:type="auto"/>
            <w:tcBorders>
              <w:top w:val="single" w:sz="4" w:space="0" w:color="auto"/>
            </w:tcBorders>
            <w:vAlign w:val="center"/>
            <w:hideMark/>
          </w:tcPr>
          <w:p w14:paraId="3947B516"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Prob.</w:t>
            </w:r>
          </w:p>
        </w:tc>
        <w:tc>
          <w:tcPr>
            <w:tcW w:w="0" w:type="auto"/>
            <w:tcBorders>
              <w:top w:val="single" w:sz="4" w:space="0" w:color="auto"/>
            </w:tcBorders>
            <w:vAlign w:val="center"/>
            <w:hideMark/>
          </w:tcPr>
          <w:p w14:paraId="0EFACEB5" w14:textId="77777777" w:rsidR="00A86A09" w:rsidRPr="00C16D1E" w:rsidRDefault="00A86A09" w:rsidP="00524050">
            <w:pPr>
              <w:jc w:val="both"/>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Modes of Causality</w:t>
            </w:r>
          </w:p>
        </w:tc>
      </w:tr>
      <w:tr w:rsidR="00A86A09" w:rsidRPr="00C16D1E" w14:paraId="59E2699B" w14:textId="77777777" w:rsidTr="00A86A09">
        <w:trPr>
          <w:trHeight w:val="598"/>
          <w:jc w:val="center"/>
        </w:trPr>
        <w:tc>
          <w:tcPr>
            <w:tcW w:w="0" w:type="auto"/>
            <w:vAlign w:val="center"/>
            <w:hideMark/>
          </w:tcPr>
          <w:p w14:paraId="0298DA53" w14:textId="77777777" w:rsidR="00A86A09" w:rsidRPr="00C16D1E" w:rsidRDefault="00A86A09" w:rsidP="00524050">
            <w:pPr>
              <w:jc w:val="both"/>
              <w:rPr>
                <w:rFonts w:ascii="Times New Roman" w:eastAsia="Times New Roman" w:hAnsi="Times New Roman" w:cs="Times New Roman"/>
                <w:sz w:val="20"/>
                <w:szCs w:val="20"/>
                <w:lang w:eastAsia="en-GB"/>
              </w:rPr>
            </w:pPr>
            <w:bookmarkStart w:id="7" w:name="_Hlk218864474"/>
            <w:r w:rsidRPr="00C16D1E">
              <w:rPr>
                <w:rFonts w:ascii="Times New Roman" w:eastAsia="Times New Roman" w:hAnsi="Times New Roman" w:cs="Times New Roman"/>
                <w:sz w:val="20"/>
                <w:szCs w:val="20"/>
                <w:lang w:eastAsia="en-GB"/>
              </w:rPr>
              <w:t>NRE does not Granger Cause INQ</w:t>
            </w:r>
            <w:r w:rsidRPr="00C16D1E">
              <w:rPr>
                <w:rFonts w:ascii="Times New Roman" w:eastAsia="Times New Roman" w:hAnsi="Times New Roman" w:cs="Times New Roman"/>
                <w:sz w:val="20"/>
                <w:szCs w:val="20"/>
                <w:lang w:eastAsia="en-GB"/>
              </w:rPr>
              <w:br/>
              <w:t>INQ does not Granger Cause NRE</w:t>
            </w:r>
          </w:p>
        </w:tc>
        <w:tc>
          <w:tcPr>
            <w:tcW w:w="0" w:type="auto"/>
            <w:vAlign w:val="center"/>
            <w:hideMark/>
          </w:tcPr>
          <w:p w14:paraId="3CFC447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2.30497</w:t>
            </w:r>
            <w:r w:rsidRPr="00C16D1E">
              <w:rPr>
                <w:rFonts w:ascii="Times New Roman" w:eastAsia="Times New Roman" w:hAnsi="Times New Roman" w:cs="Times New Roman"/>
                <w:sz w:val="20"/>
                <w:szCs w:val="20"/>
                <w:lang w:eastAsia="en-GB"/>
              </w:rPr>
              <w:br/>
              <w:t>2.57360</w:t>
            </w:r>
          </w:p>
        </w:tc>
        <w:tc>
          <w:tcPr>
            <w:tcW w:w="0" w:type="auto"/>
            <w:vAlign w:val="center"/>
            <w:hideMark/>
          </w:tcPr>
          <w:p w14:paraId="34DB90C7"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0.1234</w:t>
            </w:r>
            <w:r w:rsidRPr="00C16D1E">
              <w:rPr>
                <w:rFonts w:ascii="Times New Roman" w:eastAsia="Times New Roman" w:hAnsi="Times New Roman" w:cs="Times New Roman"/>
                <w:sz w:val="20"/>
                <w:szCs w:val="20"/>
                <w:lang w:eastAsia="en-GB"/>
              </w:rPr>
              <w:br/>
              <w:t>0.0990</w:t>
            </w:r>
          </w:p>
        </w:tc>
        <w:tc>
          <w:tcPr>
            <w:tcW w:w="0" w:type="auto"/>
            <w:vAlign w:val="center"/>
            <w:hideMark/>
          </w:tcPr>
          <w:p w14:paraId="664E035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3BE5665" w14:textId="77777777" w:rsidTr="00A86A09">
        <w:trPr>
          <w:trHeight w:val="598"/>
          <w:jc w:val="center"/>
        </w:trPr>
        <w:tc>
          <w:tcPr>
            <w:tcW w:w="0" w:type="auto"/>
            <w:vAlign w:val="center"/>
            <w:hideMark/>
          </w:tcPr>
          <w:p w14:paraId="5DFA531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GDPPC does not Granger Cause INQ</w:t>
            </w:r>
            <w:r w:rsidRPr="00C16D1E">
              <w:rPr>
                <w:rFonts w:ascii="Times New Roman" w:eastAsia="Times New Roman" w:hAnsi="Times New Roman" w:cs="Times New Roman"/>
                <w:sz w:val="20"/>
                <w:szCs w:val="20"/>
                <w:lang w:eastAsia="en-GB"/>
              </w:rPr>
              <w:br/>
              <w:t>INQ does not Granger Cause GDPPC</w:t>
            </w:r>
          </w:p>
        </w:tc>
        <w:tc>
          <w:tcPr>
            <w:tcW w:w="0" w:type="auto"/>
            <w:vAlign w:val="center"/>
            <w:hideMark/>
          </w:tcPr>
          <w:p w14:paraId="6751CBB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1.08586</w:t>
            </w:r>
            <w:r w:rsidRPr="00C16D1E">
              <w:rPr>
                <w:rFonts w:ascii="Times New Roman" w:eastAsia="Times New Roman" w:hAnsi="Times New Roman" w:cs="Times New Roman"/>
                <w:sz w:val="20"/>
                <w:szCs w:val="20"/>
                <w:lang w:eastAsia="en-GB"/>
              </w:rPr>
              <w:br/>
              <w:t>2.10623</w:t>
            </w:r>
          </w:p>
        </w:tc>
        <w:tc>
          <w:tcPr>
            <w:tcW w:w="0" w:type="auto"/>
            <w:vAlign w:val="center"/>
            <w:hideMark/>
          </w:tcPr>
          <w:p w14:paraId="480197E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0.3550</w:t>
            </w:r>
            <w:r w:rsidRPr="00C16D1E">
              <w:rPr>
                <w:rFonts w:ascii="Times New Roman" w:eastAsia="Times New Roman" w:hAnsi="Times New Roman" w:cs="Times New Roman"/>
                <w:sz w:val="20"/>
                <w:szCs w:val="20"/>
                <w:lang w:eastAsia="en-GB"/>
              </w:rPr>
              <w:br/>
              <w:t>0.1456</w:t>
            </w:r>
          </w:p>
        </w:tc>
        <w:tc>
          <w:tcPr>
            <w:tcW w:w="0" w:type="auto"/>
            <w:vAlign w:val="center"/>
            <w:hideMark/>
          </w:tcPr>
          <w:p w14:paraId="002C6F8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8F4996A" w14:textId="77777777" w:rsidTr="00A86A09">
        <w:trPr>
          <w:trHeight w:val="581"/>
          <w:jc w:val="center"/>
        </w:trPr>
        <w:tc>
          <w:tcPr>
            <w:tcW w:w="0" w:type="auto"/>
            <w:vAlign w:val="center"/>
            <w:hideMark/>
          </w:tcPr>
          <w:p w14:paraId="780532D0"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LTRO does not Granger Cause INQ</w:t>
            </w:r>
            <w:r w:rsidRPr="00C16D1E">
              <w:rPr>
                <w:rFonts w:ascii="Times New Roman" w:eastAsia="Times New Roman" w:hAnsi="Times New Roman" w:cs="Times New Roman"/>
                <w:sz w:val="20"/>
                <w:szCs w:val="20"/>
                <w:lang w:eastAsia="en-GB"/>
              </w:rPr>
              <w:br/>
              <w:t>INQ does not Granger Cause LTRO</w:t>
            </w:r>
          </w:p>
        </w:tc>
        <w:tc>
          <w:tcPr>
            <w:tcW w:w="0" w:type="auto"/>
            <w:vAlign w:val="center"/>
            <w:hideMark/>
          </w:tcPr>
          <w:p w14:paraId="7A7B40C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4.64958</w:t>
            </w:r>
            <w:r w:rsidRPr="00C16D1E">
              <w:rPr>
                <w:rFonts w:ascii="Times New Roman" w:eastAsia="Times New Roman" w:hAnsi="Times New Roman" w:cs="Times New Roman"/>
                <w:sz w:val="20"/>
                <w:szCs w:val="20"/>
                <w:lang w:eastAsia="en-GB"/>
              </w:rPr>
              <w:br/>
              <w:t>0.99263</w:t>
            </w:r>
          </w:p>
        </w:tc>
        <w:tc>
          <w:tcPr>
            <w:tcW w:w="0" w:type="auto"/>
            <w:vAlign w:val="center"/>
            <w:hideMark/>
          </w:tcPr>
          <w:p w14:paraId="6571362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0.0207</w:t>
            </w:r>
            <w:r w:rsidRPr="00C16D1E">
              <w:rPr>
                <w:rFonts w:ascii="Times New Roman" w:eastAsia="Times New Roman" w:hAnsi="Times New Roman" w:cs="Times New Roman"/>
                <w:sz w:val="20"/>
                <w:szCs w:val="20"/>
                <w:lang w:eastAsia="en-GB"/>
              </w:rPr>
              <w:br/>
              <w:t>0.3866</w:t>
            </w:r>
          </w:p>
        </w:tc>
        <w:tc>
          <w:tcPr>
            <w:tcW w:w="0" w:type="auto"/>
            <w:vAlign w:val="center"/>
            <w:hideMark/>
          </w:tcPr>
          <w:p w14:paraId="4337A65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Uni directional Causality</w:t>
            </w:r>
          </w:p>
        </w:tc>
      </w:tr>
      <w:tr w:rsidR="00A86A09" w:rsidRPr="00C16D1E" w14:paraId="33A62A60" w14:textId="77777777" w:rsidTr="00A86A09">
        <w:trPr>
          <w:trHeight w:val="598"/>
          <w:jc w:val="center"/>
        </w:trPr>
        <w:tc>
          <w:tcPr>
            <w:tcW w:w="0" w:type="auto"/>
            <w:vAlign w:val="center"/>
            <w:hideMark/>
          </w:tcPr>
          <w:p w14:paraId="6AAE5A7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FDI does not Granger Cause INQ</w:t>
            </w:r>
            <w:r w:rsidRPr="00C16D1E">
              <w:rPr>
                <w:rFonts w:ascii="Times New Roman" w:eastAsia="Times New Roman" w:hAnsi="Times New Roman" w:cs="Times New Roman"/>
                <w:sz w:val="20"/>
                <w:szCs w:val="20"/>
                <w:lang w:eastAsia="en-GB"/>
              </w:rPr>
              <w:br/>
              <w:t>INQ does not Granger Cause FDI</w:t>
            </w:r>
          </w:p>
        </w:tc>
        <w:tc>
          <w:tcPr>
            <w:tcW w:w="0" w:type="auto"/>
            <w:vAlign w:val="center"/>
            <w:hideMark/>
          </w:tcPr>
          <w:p w14:paraId="3DD2453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0.20567</w:t>
            </w:r>
            <w:r w:rsidRPr="00C16D1E">
              <w:rPr>
                <w:rFonts w:ascii="Times New Roman" w:eastAsia="Times New Roman" w:hAnsi="Times New Roman" w:cs="Times New Roman"/>
                <w:sz w:val="20"/>
                <w:szCs w:val="20"/>
                <w:lang w:eastAsia="en-GB"/>
              </w:rPr>
              <w:br/>
              <w:t>0.27641</w:t>
            </w:r>
          </w:p>
        </w:tc>
        <w:tc>
          <w:tcPr>
            <w:tcW w:w="0" w:type="auto"/>
            <w:vAlign w:val="center"/>
            <w:hideMark/>
          </w:tcPr>
          <w:p w14:paraId="46B6976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0.8156</w:t>
            </w:r>
            <w:r w:rsidRPr="00C16D1E">
              <w:rPr>
                <w:rFonts w:ascii="Times New Roman" w:eastAsia="Times New Roman" w:hAnsi="Times New Roman" w:cs="Times New Roman"/>
                <w:sz w:val="20"/>
                <w:szCs w:val="20"/>
                <w:lang w:eastAsia="en-GB"/>
              </w:rPr>
              <w:br/>
              <w:t>0.7611</w:t>
            </w:r>
          </w:p>
        </w:tc>
        <w:tc>
          <w:tcPr>
            <w:tcW w:w="0" w:type="auto"/>
            <w:vAlign w:val="center"/>
            <w:hideMark/>
          </w:tcPr>
          <w:p w14:paraId="65DB931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2EDB5722" w14:textId="77777777" w:rsidTr="00A86A09">
        <w:trPr>
          <w:trHeight w:val="598"/>
          <w:jc w:val="center"/>
        </w:trPr>
        <w:tc>
          <w:tcPr>
            <w:tcW w:w="0" w:type="auto"/>
            <w:vAlign w:val="center"/>
            <w:hideMark/>
          </w:tcPr>
          <w:p w14:paraId="08B482F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GFCF does not Granger Cause INQ</w:t>
            </w:r>
            <w:r w:rsidRPr="00C16D1E">
              <w:rPr>
                <w:rFonts w:ascii="Times New Roman" w:eastAsia="Times New Roman" w:hAnsi="Times New Roman" w:cs="Times New Roman"/>
                <w:sz w:val="20"/>
                <w:szCs w:val="20"/>
                <w:lang w:eastAsia="en-GB"/>
              </w:rPr>
              <w:br/>
              <w:t>INQ does not Granger Cause GFCF</w:t>
            </w:r>
          </w:p>
        </w:tc>
        <w:tc>
          <w:tcPr>
            <w:tcW w:w="0" w:type="auto"/>
            <w:vAlign w:val="center"/>
            <w:hideMark/>
          </w:tcPr>
          <w:p w14:paraId="1011DCC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1.72399</w:t>
            </w:r>
            <w:r w:rsidRPr="00C16D1E">
              <w:rPr>
                <w:rFonts w:ascii="Times New Roman" w:eastAsia="Times New Roman" w:hAnsi="Times New Roman" w:cs="Times New Roman"/>
                <w:sz w:val="20"/>
                <w:szCs w:val="20"/>
                <w:lang w:eastAsia="en-GB"/>
              </w:rPr>
              <w:br/>
              <w:t>1.16132</w:t>
            </w:r>
          </w:p>
        </w:tc>
        <w:tc>
          <w:tcPr>
            <w:tcW w:w="0" w:type="auto"/>
            <w:vAlign w:val="center"/>
            <w:hideMark/>
          </w:tcPr>
          <w:p w14:paraId="184FB95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0.2016</w:t>
            </w:r>
            <w:r w:rsidRPr="00C16D1E">
              <w:rPr>
                <w:rFonts w:ascii="Times New Roman" w:eastAsia="Times New Roman" w:hAnsi="Times New Roman" w:cs="Times New Roman"/>
                <w:sz w:val="20"/>
                <w:szCs w:val="20"/>
                <w:lang w:eastAsia="en-GB"/>
              </w:rPr>
              <w:br/>
              <w:t>0.3315</w:t>
            </w:r>
          </w:p>
        </w:tc>
        <w:tc>
          <w:tcPr>
            <w:tcW w:w="0" w:type="auto"/>
            <w:vAlign w:val="center"/>
            <w:hideMark/>
          </w:tcPr>
          <w:p w14:paraId="458588BB"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 Causality</w:t>
            </w:r>
          </w:p>
        </w:tc>
      </w:tr>
      <w:tr w:rsidR="00A86A09" w:rsidRPr="00C16D1E" w14:paraId="4F8A6321" w14:textId="77777777" w:rsidTr="00A86A09">
        <w:trPr>
          <w:trHeight w:val="598"/>
          <w:jc w:val="center"/>
        </w:trPr>
        <w:tc>
          <w:tcPr>
            <w:tcW w:w="0" w:type="auto"/>
            <w:tcBorders>
              <w:bottom w:val="single" w:sz="4" w:space="0" w:color="auto"/>
            </w:tcBorders>
            <w:vAlign w:val="center"/>
            <w:hideMark/>
          </w:tcPr>
          <w:p w14:paraId="2FAA8E17"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SSE does not Granger Cause INQ</w:t>
            </w:r>
            <w:r w:rsidRPr="00C16D1E">
              <w:rPr>
                <w:rFonts w:ascii="Times New Roman" w:eastAsia="Times New Roman" w:hAnsi="Times New Roman" w:cs="Times New Roman"/>
                <w:sz w:val="20"/>
                <w:szCs w:val="20"/>
                <w:lang w:eastAsia="en-GB"/>
              </w:rPr>
              <w:br/>
              <w:t>INQ does not Granger Cause SSE</w:t>
            </w:r>
          </w:p>
        </w:tc>
        <w:tc>
          <w:tcPr>
            <w:tcW w:w="0" w:type="auto"/>
            <w:tcBorders>
              <w:bottom w:val="single" w:sz="4" w:space="0" w:color="auto"/>
            </w:tcBorders>
            <w:vAlign w:val="center"/>
            <w:hideMark/>
          </w:tcPr>
          <w:p w14:paraId="3D19E0E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4.59857</w:t>
            </w:r>
            <w:r w:rsidRPr="00C16D1E">
              <w:rPr>
                <w:rFonts w:ascii="Times New Roman" w:eastAsia="Times New Roman" w:hAnsi="Times New Roman" w:cs="Times New Roman"/>
                <w:sz w:val="20"/>
                <w:szCs w:val="20"/>
                <w:lang w:eastAsia="en-GB"/>
              </w:rPr>
              <w:br/>
              <w:t>0.07047</w:t>
            </w:r>
          </w:p>
        </w:tc>
        <w:tc>
          <w:tcPr>
            <w:tcW w:w="0" w:type="auto"/>
            <w:tcBorders>
              <w:bottom w:val="single" w:sz="4" w:space="0" w:color="auto"/>
            </w:tcBorders>
            <w:vAlign w:val="center"/>
            <w:hideMark/>
          </w:tcPr>
          <w:p w14:paraId="24D68C0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0.0214</w:t>
            </w:r>
            <w:r w:rsidRPr="00C16D1E">
              <w:rPr>
                <w:rFonts w:ascii="Times New Roman" w:eastAsia="Times New Roman" w:hAnsi="Times New Roman" w:cs="Times New Roman"/>
                <w:sz w:val="20"/>
                <w:szCs w:val="20"/>
                <w:lang w:eastAsia="en-GB"/>
              </w:rPr>
              <w:br/>
              <w:t>0.9322</w:t>
            </w:r>
          </w:p>
        </w:tc>
        <w:tc>
          <w:tcPr>
            <w:tcW w:w="0" w:type="auto"/>
            <w:tcBorders>
              <w:bottom w:val="single" w:sz="4" w:space="0" w:color="auto"/>
            </w:tcBorders>
            <w:vAlign w:val="center"/>
            <w:hideMark/>
          </w:tcPr>
          <w:p w14:paraId="55C707F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Uni directional Causality</w:t>
            </w:r>
          </w:p>
        </w:tc>
      </w:tr>
    </w:tbl>
    <w:bookmarkEnd w:id="7"/>
    <w:p w14:paraId="0B09CA40" w14:textId="42207F8C" w:rsidR="00A86A09" w:rsidRPr="00C16D1E" w:rsidRDefault="00A86A09" w:rsidP="00524050">
      <w:pPr>
        <w:spacing w:after="100" w:afterAutospacing="1"/>
        <w:jc w:val="both"/>
        <w:outlineLvl w:val="3"/>
        <w:rPr>
          <w:rFonts w:ascii="Times New Roman" w:eastAsia="Times New Roman" w:hAnsi="Times New Roman" w:cs="Times New Roman"/>
          <w:b/>
          <w:bCs/>
          <w:sz w:val="20"/>
          <w:szCs w:val="20"/>
          <w:lang w:eastAsia="en-GB"/>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Authors Computation, 2026.</w:t>
      </w:r>
    </w:p>
    <w:p w14:paraId="55E5449B" w14:textId="77777777" w:rsidR="004D6926" w:rsidRPr="00C16D1E" w:rsidRDefault="004D6926" w:rsidP="00524050">
      <w:pPr>
        <w:pStyle w:val="NormalWeb"/>
        <w:spacing w:before="0" w:beforeAutospacing="0" w:after="0" w:afterAutospacing="0"/>
        <w:jc w:val="both"/>
        <w:rPr>
          <w:sz w:val="20"/>
          <w:szCs w:val="20"/>
        </w:rPr>
      </w:pPr>
    </w:p>
    <w:p w14:paraId="11A0A3E3" w14:textId="60FD5997" w:rsidR="00A86A09" w:rsidRPr="00C16D1E" w:rsidRDefault="00A86A09" w:rsidP="00524050">
      <w:pPr>
        <w:pStyle w:val="NormalWeb"/>
        <w:spacing w:before="0" w:beforeAutospacing="0" w:after="0" w:afterAutospacing="0"/>
        <w:jc w:val="both"/>
        <w:rPr>
          <w:sz w:val="20"/>
          <w:szCs w:val="20"/>
        </w:rPr>
      </w:pPr>
      <w:r w:rsidRPr="00C16D1E">
        <w:rPr>
          <w:sz w:val="20"/>
          <w:szCs w:val="20"/>
        </w:rPr>
        <w:t>Table 4.</w:t>
      </w:r>
      <w:r w:rsidR="000B7DC0" w:rsidRPr="00C16D1E">
        <w:rPr>
          <w:sz w:val="20"/>
          <w:szCs w:val="20"/>
        </w:rPr>
        <w:t>7</w:t>
      </w:r>
      <w:r w:rsidRPr="00C16D1E">
        <w:rPr>
          <w:sz w:val="20"/>
          <w:szCs w:val="20"/>
        </w:rPr>
        <w:t xml:space="preserve"> reports pairwise Granger causality tests within the vector error-correction framework, with lag length selected consistently with the ARDL specifications. The results reveal limited short-run predictive relationships among the variables, with unidirectional causality detected in only two instances.</w:t>
      </w:r>
    </w:p>
    <w:p w14:paraId="5ABBFC80" w14:textId="6200D429" w:rsidR="00A86A09" w:rsidRPr="00C16D1E" w:rsidRDefault="00A86A09" w:rsidP="00524050">
      <w:pPr>
        <w:pStyle w:val="NormalWeb"/>
        <w:spacing w:before="0" w:beforeAutospacing="0" w:after="0" w:afterAutospacing="0"/>
        <w:jc w:val="both"/>
        <w:rPr>
          <w:sz w:val="20"/>
          <w:szCs w:val="20"/>
        </w:rPr>
      </w:pPr>
      <w:r w:rsidRPr="00C16D1E">
        <w:rPr>
          <w:sz w:val="20"/>
          <w:szCs w:val="20"/>
        </w:rPr>
        <w:t>Trade openness Granger-causes institutional quality at the 5 % level (F = 4.650, p = 0.021), but not vice versa, suggesting that greater global integration precedes improvements in governance structures, potentially through competitive pressures or knowledge spillovers. Secondary school enrolment similarly Granger-causes INQ at the 5</w:t>
      </w:r>
      <w:r w:rsidR="00F03A24" w:rsidRPr="00C16D1E">
        <w:rPr>
          <w:sz w:val="20"/>
          <w:szCs w:val="20"/>
        </w:rPr>
        <w:t xml:space="preserve">% level (F = 4.599, p = 0.021), consistent with human capital accumulation fostering demand for and the </w:t>
      </w:r>
      <w:r w:rsidRPr="00C16D1E">
        <w:rPr>
          <w:sz w:val="20"/>
          <w:szCs w:val="20"/>
        </w:rPr>
        <w:t>supply of better institutions, though no reverse causation is evid</w:t>
      </w:r>
      <w:r w:rsidR="00D477C4" w:rsidRPr="00C16D1E">
        <w:rPr>
          <w:sz w:val="20"/>
          <w:szCs w:val="20"/>
        </w:rPr>
        <w:t>ent. Natural resource endowment,</w:t>
      </w:r>
      <w:r w:rsidRPr="00C16D1E">
        <w:rPr>
          <w:sz w:val="20"/>
          <w:szCs w:val="20"/>
        </w:rPr>
        <w:t xml:space="preserve"> GDP per capita (GDPPC), foreign direct investment, an</w:t>
      </w:r>
      <w:r w:rsidR="00D477C4" w:rsidRPr="00C16D1E">
        <w:rPr>
          <w:sz w:val="20"/>
          <w:szCs w:val="20"/>
        </w:rPr>
        <w:t xml:space="preserve">d gross fixed capital formation </w:t>
      </w:r>
      <w:r w:rsidRPr="00C16D1E">
        <w:rPr>
          <w:sz w:val="20"/>
          <w:szCs w:val="20"/>
        </w:rPr>
        <w:t>exhibit no significant Granger causality with institutional quality in either direction at conventional levels (p &gt; 0.10). These null findings indicate an absence of short-run predictive power from resource dependence or economic performance to governance quality over the sample period.</w:t>
      </w:r>
    </w:p>
    <w:p w14:paraId="7554348F" w14:textId="4DBA81F1" w:rsidR="000B7DC0" w:rsidRPr="00C16D1E" w:rsidRDefault="00A86A09" w:rsidP="00524050">
      <w:pPr>
        <w:pStyle w:val="NormalWeb"/>
        <w:spacing w:before="0" w:beforeAutospacing="0" w:after="0" w:afterAutospacing="0"/>
        <w:jc w:val="both"/>
        <w:rPr>
          <w:b/>
          <w:sz w:val="20"/>
          <w:szCs w:val="20"/>
        </w:rPr>
      </w:pPr>
      <w:r w:rsidRPr="00C16D1E">
        <w:rPr>
          <w:sz w:val="20"/>
          <w:szCs w:val="20"/>
        </w:rPr>
        <w:t>Overall, the tests provide evidence of unidirectional short-run causation from trade openness and human capital to institutional quality, supporting theoretical channels whereby external integration and educational advancement precede governance improvements. The lack of reverse or bidirectional causality aligns with the view that institutional change in resource-dependent economies is often slow and driven by structural rather than immediate economic feedbacks. These patterns complement the long-run ARDL estimates and underscore the exogenous role of certain drivers in institutional development.</w:t>
      </w:r>
      <w:r w:rsidRPr="00C16D1E">
        <w:rPr>
          <w:b/>
          <w:sz w:val="20"/>
          <w:szCs w:val="20"/>
        </w:rPr>
        <w:t xml:space="preserve"> </w:t>
      </w:r>
    </w:p>
    <w:p w14:paraId="7E411F7B" w14:textId="77777777" w:rsidR="000B7DC0" w:rsidRPr="00C16D1E" w:rsidRDefault="000B7DC0" w:rsidP="00524050">
      <w:pPr>
        <w:pStyle w:val="NormalWeb"/>
        <w:spacing w:before="0" w:beforeAutospacing="0" w:after="0" w:afterAutospacing="0"/>
        <w:jc w:val="both"/>
        <w:rPr>
          <w:b/>
          <w:sz w:val="20"/>
          <w:szCs w:val="20"/>
        </w:rPr>
      </w:pPr>
    </w:p>
    <w:p w14:paraId="4562F34E" w14:textId="795B3693" w:rsidR="00A86A09" w:rsidRPr="00C16D1E" w:rsidRDefault="00A86A09" w:rsidP="00524050">
      <w:pPr>
        <w:pStyle w:val="NormalWeb"/>
        <w:spacing w:before="0" w:beforeAutospacing="0" w:after="0" w:afterAutospacing="0"/>
        <w:jc w:val="both"/>
        <w:rPr>
          <w:b/>
          <w:sz w:val="20"/>
          <w:szCs w:val="20"/>
        </w:rPr>
      </w:pPr>
      <w:r w:rsidRPr="00C16D1E">
        <w:rPr>
          <w:b/>
          <w:sz w:val="20"/>
          <w:szCs w:val="20"/>
        </w:rPr>
        <w:t>4.</w:t>
      </w:r>
      <w:r w:rsidR="00EF60B3">
        <w:rPr>
          <w:b/>
          <w:sz w:val="20"/>
          <w:szCs w:val="20"/>
        </w:rPr>
        <w:t>10</w:t>
      </w:r>
      <w:r w:rsidRPr="00C16D1E">
        <w:rPr>
          <w:b/>
          <w:sz w:val="20"/>
          <w:szCs w:val="20"/>
        </w:rPr>
        <w:t xml:space="preserve"> Post Estimation Test</w:t>
      </w:r>
    </w:p>
    <w:p w14:paraId="7A420426" w14:textId="7407E107" w:rsidR="004D6926" w:rsidRPr="00C16D1E" w:rsidRDefault="00A86A09" w:rsidP="00524050">
      <w:pPr>
        <w:jc w:val="both"/>
        <w:rPr>
          <w:rFonts w:ascii="Times New Roman" w:eastAsia="Calibri" w:hAnsi="Times New Roman" w:cs="Times New Roman"/>
          <w:sz w:val="20"/>
          <w:szCs w:val="20"/>
        </w:rPr>
      </w:pPr>
      <w:r w:rsidRPr="00C16D1E">
        <w:rPr>
          <w:rFonts w:ascii="Times New Roman" w:eastAsia="Calibri" w:hAnsi="Times New Roman" w:cs="Times New Roman"/>
          <w:sz w:val="20"/>
          <w:szCs w:val="20"/>
        </w:rPr>
        <w:t>Following the estimation of the ARDL models and Granger causality tests, post-estimation diagnostics were carried out to verify the robustness of the results. These procedures are intended to examine the distribution of residuals, check for heteroskedasticity</w:t>
      </w:r>
      <w:r w:rsidR="00F03A24" w:rsidRPr="00C16D1E">
        <w:rPr>
          <w:rFonts w:ascii="Times New Roman" w:eastAsia="Calibri" w:hAnsi="Times New Roman" w:cs="Times New Roman"/>
          <w:sz w:val="20"/>
          <w:szCs w:val="20"/>
        </w:rPr>
        <w:t xml:space="preserve"> and autocorrelation, assess model specification and coefficients, and evaluate</w:t>
      </w:r>
      <w:r w:rsidRPr="00C16D1E">
        <w:rPr>
          <w:rFonts w:ascii="Times New Roman" w:eastAsia="Calibri" w:hAnsi="Times New Roman" w:cs="Times New Roman"/>
          <w:sz w:val="20"/>
          <w:szCs w:val="20"/>
        </w:rPr>
        <w:t xml:space="preserve"> the stability of the estimated coefficients over the sample period. </w:t>
      </w:r>
    </w:p>
    <w:p w14:paraId="51607602" w14:textId="26137C6A" w:rsidR="004D6926" w:rsidRPr="00C16D1E" w:rsidRDefault="004D6926" w:rsidP="00524050">
      <w:pPr>
        <w:jc w:val="both"/>
        <w:rPr>
          <w:rFonts w:ascii="Times New Roman" w:eastAsia="Calibri" w:hAnsi="Times New Roman" w:cs="Times New Roman"/>
          <w:sz w:val="20"/>
          <w:szCs w:val="20"/>
        </w:rPr>
      </w:pPr>
    </w:p>
    <w:p w14:paraId="5498A67A" w14:textId="77777777" w:rsidR="004D6926" w:rsidRPr="00C16D1E" w:rsidRDefault="004D6926" w:rsidP="00524050">
      <w:pPr>
        <w:jc w:val="both"/>
        <w:rPr>
          <w:rFonts w:ascii="Times New Roman" w:eastAsia="Calibri" w:hAnsi="Times New Roman" w:cs="Times New Roman"/>
          <w:sz w:val="20"/>
          <w:szCs w:val="20"/>
        </w:rPr>
      </w:pPr>
    </w:p>
    <w:p w14:paraId="6F435DFB" w14:textId="4A48DF08"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Table 4.</w:t>
      </w:r>
      <w:r w:rsidR="000B7DC0" w:rsidRPr="00C16D1E">
        <w:rPr>
          <w:rFonts w:ascii="Times New Roman" w:eastAsia="Times New Roman" w:hAnsi="Times New Roman" w:cs="Times New Roman"/>
          <w:b/>
          <w:bCs/>
          <w:sz w:val="20"/>
          <w:szCs w:val="20"/>
          <w:lang w:eastAsia="en-GB"/>
        </w:rPr>
        <w:t>8</w:t>
      </w:r>
      <w:r w:rsidRPr="00C16D1E">
        <w:rPr>
          <w:rFonts w:ascii="Times New Roman" w:eastAsia="Times New Roman" w:hAnsi="Times New Roman" w:cs="Times New Roman"/>
          <w:b/>
          <w:bCs/>
          <w:sz w:val="20"/>
          <w:szCs w:val="20"/>
          <w:lang w:eastAsia="en-GB"/>
        </w:rPr>
        <w:t>: Post-Estimation Diagnostic Tests</w:t>
      </w:r>
    </w:p>
    <w:tbl>
      <w:tblPr>
        <w:tblStyle w:val="TableGrid22"/>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429"/>
        <w:gridCol w:w="1224"/>
        <w:gridCol w:w="885"/>
        <w:gridCol w:w="1345"/>
        <w:gridCol w:w="1462"/>
      </w:tblGrid>
      <w:tr w:rsidR="00A86A09" w:rsidRPr="00C16D1E" w14:paraId="56C3940A" w14:textId="77777777" w:rsidTr="00A86A09">
        <w:trPr>
          <w:trHeight w:val="128"/>
        </w:trPr>
        <w:tc>
          <w:tcPr>
            <w:tcW w:w="2663" w:type="dxa"/>
            <w:tcBorders>
              <w:top w:val="single" w:sz="4" w:space="0" w:color="auto"/>
            </w:tcBorders>
            <w:hideMark/>
          </w:tcPr>
          <w:p w14:paraId="067947F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Test</w:t>
            </w:r>
          </w:p>
        </w:tc>
        <w:tc>
          <w:tcPr>
            <w:tcW w:w="2429" w:type="dxa"/>
            <w:tcBorders>
              <w:top w:val="single" w:sz="4" w:space="0" w:color="auto"/>
            </w:tcBorders>
            <w:hideMark/>
          </w:tcPr>
          <w:p w14:paraId="75CAB89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Statistic</w:t>
            </w:r>
          </w:p>
        </w:tc>
        <w:tc>
          <w:tcPr>
            <w:tcW w:w="0" w:type="auto"/>
            <w:tcBorders>
              <w:top w:val="single" w:sz="4" w:space="0" w:color="auto"/>
            </w:tcBorders>
            <w:hideMark/>
          </w:tcPr>
          <w:p w14:paraId="7D18DF0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Value</w:t>
            </w:r>
          </w:p>
        </w:tc>
        <w:tc>
          <w:tcPr>
            <w:tcW w:w="885" w:type="dxa"/>
            <w:tcBorders>
              <w:top w:val="single" w:sz="4" w:space="0" w:color="auto"/>
            </w:tcBorders>
            <w:hideMark/>
          </w:tcPr>
          <w:p w14:paraId="3E31361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df</w:t>
            </w:r>
          </w:p>
        </w:tc>
        <w:tc>
          <w:tcPr>
            <w:tcW w:w="1345" w:type="dxa"/>
            <w:tcBorders>
              <w:top w:val="single" w:sz="4" w:space="0" w:color="auto"/>
            </w:tcBorders>
            <w:hideMark/>
          </w:tcPr>
          <w:p w14:paraId="00F5A1E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Probability</w:t>
            </w:r>
          </w:p>
        </w:tc>
        <w:tc>
          <w:tcPr>
            <w:tcW w:w="1462" w:type="dxa"/>
            <w:tcBorders>
              <w:top w:val="single" w:sz="4" w:space="0" w:color="auto"/>
            </w:tcBorders>
          </w:tcPr>
          <w:p w14:paraId="6A5194B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Remarks</w:t>
            </w:r>
          </w:p>
        </w:tc>
      </w:tr>
      <w:tr w:rsidR="00A86A09" w:rsidRPr="00C16D1E" w14:paraId="5320FC87" w14:textId="77777777" w:rsidTr="00A86A09">
        <w:trPr>
          <w:trHeight w:val="128"/>
        </w:trPr>
        <w:tc>
          <w:tcPr>
            <w:tcW w:w="2663" w:type="dxa"/>
            <w:vMerge w:val="restart"/>
            <w:hideMark/>
          </w:tcPr>
          <w:p w14:paraId="28131B3A"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Wald Test</w:t>
            </w:r>
          </w:p>
        </w:tc>
        <w:tc>
          <w:tcPr>
            <w:tcW w:w="2429" w:type="dxa"/>
            <w:hideMark/>
          </w:tcPr>
          <w:p w14:paraId="0008408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579F9D2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10.324</w:t>
            </w:r>
          </w:p>
        </w:tc>
        <w:tc>
          <w:tcPr>
            <w:tcW w:w="885" w:type="dxa"/>
            <w:hideMark/>
          </w:tcPr>
          <w:p w14:paraId="215CF0E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(2, 9)</w:t>
            </w:r>
          </w:p>
        </w:tc>
        <w:tc>
          <w:tcPr>
            <w:tcW w:w="1345" w:type="dxa"/>
            <w:hideMark/>
          </w:tcPr>
          <w:p w14:paraId="0591DE0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0.005</w:t>
            </w:r>
          </w:p>
        </w:tc>
        <w:tc>
          <w:tcPr>
            <w:tcW w:w="1462" w:type="dxa"/>
            <w:vMerge w:val="restart"/>
          </w:tcPr>
          <w:p w14:paraId="48006B4B"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Rejected</w:t>
            </w:r>
          </w:p>
        </w:tc>
      </w:tr>
      <w:tr w:rsidR="00A86A09" w:rsidRPr="00C16D1E" w14:paraId="1FD93E9A" w14:textId="77777777" w:rsidTr="00A86A09">
        <w:trPr>
          <w:trHeight w:val="68"/>
        </w:trPr>
        <w:tc>
          <w:tcPr>
            <w:tcW w:w="2663" w:type="dxa"/>
            <w:vMerge/>
            <w:hideMark/>
          </w:tcPr>
          <w:p w14:paraId="3384B08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047594C0"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Chi-square</w:t>
            </w:r>
          </w:p>
        </w:tc>
        <w:tc>
          <w:tcPr>
            <w:tcW w:w="0" w:type="auto"/>
            <w:hideMark/>
          </w:tcPr>
          <w:p w14:paraId="2DD82B7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20.648</w:t>
            </w:r>
          </w:p>
        </w:tc>
        <w:tc>
          <w:tcPr>
            <w:tcW w:w="885" w:type="dxa"/>
            <w:hideMark/>
          </w:tcPr>
          <w:p w14:paraId="59086A6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w:t>
            </w:r>
          </w:p>
        </w:tc>
        <w:tc>
          <w:tcPr>
            <w:tcW w:w="1345" w:type="dxa"/>
            <w:hideMark/>
          </w:tcPr>
          <w:p w14:paraId="32E6695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0.000</w:t>
            </w:r>
          </w:p>
        </w:tc>
        <w:tc>
          <w:tcPr>
            <w:tcW w:w="1462" w:type="dxa"/>
            <w:vMerge/>
          </w:tcPr>
          <w:p w14:paraId="4C637DAD"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60F9E27C" w14:textId="77777777" w:rsidTr="00A86A09">
        <w:trPr>
          <w:trHeight w:val="128"/>
        </w:trPr>
        <w:tc>
          <w:tcPr>
            <w:tcW w:w="2663" w:type="dxa"/>
            <w:vMerge w:val="restart"/>
            <w:hideMark/>
          </w:tcPr>
          <w:p w14:paraId="6C434AD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Breusch–Godfrey Serial Correlation LM Test</w:t>
            </w:r>
          </w:p>
        </w:tc>
        <w:tc>
          <w:tcPr>
            <w:tcW w:w="2429" w:type="dxa"/>
            <w:hideMark/>
          </w:tcPr>
          <w:p w14:paraId="6C9C3E4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410F026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0.095</w:t>
            </w:r>
          </w:p>
        </w:tc>
        <w:tc>
          <w:tcPr>
            <w:tcW w:w="885" w:type="dxa"/>
            <w:hideMark/>
          </w:tcPr>
          <w:p w14:paraId="77DB77E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(2, 7)</w:t>
            </w:r>
          </w:p>
        </w:tc>
        <w:tc>
          <w:tcPr>
            <w:tcW w:w="1345" w:type="dxa"/>
            <w:hideMark/>
          </w:tcPr>
          <w:p w14:paraId="39933D3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0.911</w:t>
            </w:r>
          </w:p>
        </w:tc>
        <w:tc>
          <w:tcPr>
            <w:tcW w:w="1462" w:type="dxa"/>
            <w:vMerge w:val="restart"/>
          </w:tcPr>
          <w:p w14:paraId="609F793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59D242F3" w14:textId="77777777" w:rsidTr="00A86A09">
        <w:trPr>
          <w:trHeight w:val="337"/>
        </w:trPr>
        <w:tc>
          <w:tcPr>
            <w:tcW w:w="2663" w:type="dxa"/>
            <w:vMerge/>
            <w:hideMark/>
          </w:tcPr>
          <w:p w14:paraId="6D728F07"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5EE5F38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Obs*R-squared</w:t>
            </w:r>
          </w:p>
        </w:tc>
        <w:tc>
          <w:tcPr>
            <w:tcW w:w="0" w:type="auto"/>
            <w:hideMark/>
          </w:tcPr>
          <w:p w14:paraId="36BC8924"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0.712</w:t>
            </w:r>
          </w:p>
        </w:tc>
        <w:tc>
          <w:tcPr>
            <w:tcW w:w="885" w:type="dxa"/>
            <w:hideMark/>
          </w:tcPr>
          <w:p w14:paraId="79E5F0A8"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054E614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0.701</w:t>
            </w:r>
          </w:p>
        </w:tc>
        <w:tc>
          <w:tcPr>
            <w:tcW w:w="1462" w:type="dxa"/>
            <w:vMerge/>
          </w:tcPr>
          <w:p w14:paraId="2AF6D190"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4D4D312E" w14:textId="77777777" w:rsidTr="00A86A09">
        <w:trPr>
          <w:trHeight w:val="259"/>
        </w:trPr>
        <w:tc>
          <w:tcPr>
            <w:tcW w:w="2663" w:type="dxa"/>
            <w:vMerge w:val="restart"/>
            <w:hideMark/>
          </w:tcPr>
          <w:p w14:paraId="725F429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Breusch–Pagan–Godfrey Heteroskedasticity Test</w:t>
            </w:r>
          </w:p>
        </w:tc>
        <w:tc>
          <w:tcPr>
            <w:tcW w:w="2429" w:type="dxa"/>
            <w:hideMark/>
          </w:tcPr>
          <w:p w14:paraId="4B8B4EC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F-statistic</w:t>
            </w:r>
          </w:p>
        </w:tc>
        <w:tc>
          <w:tcPr>
            <w:tcW w:w="0" w:type="auto"/>
            <w:hideMark/>
          </w:tcPr>
          <w:p w14:paraId="3A5B4A0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1.146</w:t>
            </w:r>
          </w:p>
        </w:tc>
        <w:tc>
          <w:tcPr>
            <w:tcW w:w="885" w:type="dxa"/>
            <w:hideMark/>
          </w:tcPr>
          <w:p w14:paraId="5B336E18"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(17, 9)</w:t>
            </w:r>
          </w:p>
        </w:tc>
        <w:tc>
          <w:tcPr>
            <w:tcW w:w="1345" w:type="dxa"/>
            <w:hideMark/>
          </w:tcPr>
          <w:p w14:paraId="5F13651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0.433</w:t>
            </w:r>
          </w:p>
        </w:tc>
        <w:tc>
          <w:tcPr>
            <w:tcW w:w="1462" w:type="dxa"/>
            <w:vMerge w:val="restart"/>
          </w:tcPr>
          <w:p w14:paraId="061ACD9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714B58D7" w14:textId="77777777" w:rsidTr="00A86A09">
        <w:trPr>
          <w:trHeight w:val="68"/>
        </w:trPr>
        <w:tc>
          <w:tcPr>
            <w:tcW w:w="2663" w:type="dxa"/>
            <w:vMerge/>
            <w:hideMark/>
          </w:tcPr>
          <w:p w14:paraId="25649511"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1EB7817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Obs*R-squared</w:t>
            </w:r>
          </w:p>
        </w:tc>
        <w:tc>
          <w:tcPr>
            <w:tcW w:w="0" w:type="auto"/>
            <w:hideMark/>
          </w:tcPr>
          <w:p w14:paraId="00EEBFB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18.470</w:t>
            </w:r>
          </w:p>
        </w:tc>
        <w:tc>
          <w:tcPr>
            <w:tcW w:w="885" w:type="dxa"/>
            <w:hideMark/>
          </w:tcPr>
          <w:p w14:paraId="623CE71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557ACFAC"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0.360</w:t>
            </w:r>
          </w:p>
        </w:tc>
        <w:tc>
          <w:tcPr>
            <w:tcW w:w="1462" w:type="dxa"/>
            <w:vMerge/>
          </w:tcPr>
          <w:p w14:paraId="637DEF1F"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762A578B" w14:textId="77777777" w:rsidTr="00A86A09">
        <w:trPr>
          <w:trHeight w:val="68"/>
        </w:trPr>
        <w:tc>
          <w:tcPr>
            <w:tcW w:w="2663" w:type="dxa"/>
            <w:vMerge/>
            <w:hideMark/>
          </w:tcPr>
          <w:p w14:paraId="729C357A"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hideMark/>
          </w:tcPr>
          <w:p w14:paraId="6DBC6F7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Scaled explained SS</w:t>
            </w:r>
          </w:p>
        </w:tc>
        <w:tc>
          <w:tcPr>
            <w:tcW w:w="0" w:type="auto"/>
            <w:hideMark/>
          </w:tcPr>
          <w:p w14:paraId="710C586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1.487</w:t>
            </w:r>
          </w:p>
        </w:tc>
        <w:tc>
          <w:tcPr>
            <w:tcW w:w="885" w:type="dxa"/>
            <w:hideMark/>
          </w:tcPr>
          <w:p w14:paraId="01A96315"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1345" w:type="dxa"/>
            <w:hideMark/>
          </w:tcPr>
          <w:p w14:paraId="5A4ADE7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1.000</w:t>
            </w:r>
          </w:p>
        </w:tc>
        <w:tc>
          <w:tcPr>
            <w:tcW w:w="1462" w:type="dxa"/>
            <w:vMerge/>
          </w:tcPr>
          <w:p w14:paraId="054654A8"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30835B2C" w14:textId="77777777" w:rsidTr="00A86A09">
        <w:trPr>
          <w:trHeight w:val="68"/>
        </w:trPr>
        <w:tc>
          <w:tcPr>
            <w:tcW w:w="2663" w:type="dxa"/>
            <w:vMerge w:val="restart"/>
            <w:vAlign w:val="center"/>
          </w:tcPr>
          <w:p w14:paraId="516D574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Ramsey RESET Test</w:t>
            </w:r>
          </w:p>
        </w:tc>
        <w:tc>
          <w:tcPr>
            <w:tcW w:w="2429" w:type="dxa"/>
          </w:tcPr>
          <w:p w14:paraId="6AB9E1EF"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t-statistic</w:t>
            </w:r>
          </w:p>
        </w:tc>
        <w:tc>
          <w:tcPr>
            <w:tcW w:w="0" w:type="auto"/>
          </w:tcPr>
          <w:p w14:paraId="781D6EEE"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0.338604</w:t>
            </w:r>
          </w:p>
        </w:tc>
        <w:tc>
          <w:tcPr>
            <w:tcW w:w="885" w:type="dxa"/>
          </w:tcPr>
          <w:p w14:paraId="1C3589E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4</w:t>
            </w:r>
          </w:p>
        </w:tc>
        <w:tc>
          <w:tcPr>
            <w:tcW w:w="1345" w:type="dxa"/>
          </w:tcPr>
          <w:p w14:paraId="4CF792D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0.7519</w:t>
            </w:r>
          </w:p>
        </w:tc>
        <w:tc>
          <w:tcPr>
            <w:tcW w:w="1462" w:type="dxa"/>
            <w:vMerge w:val="restart"/>
            <w:vAlign w:val="center"/>
          </w:tcPr>
          <w:p w14:paraId="50C85575"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Not rejected</w:t>
            </w:r>
          </w:p>
        </w:tc>
      </w:tr>
      <w:tr w:rsidR="00A86A09" w:rsidRPr="00C16D1E" w14:paraId="57F5A92C" w14:textId="77777777" w:rsidTr="00A86A09">
        <w:trPr>
          <w:trHeight w:val="68"/>
        </w:trPr>
        <w:tc>
          <w:tcPr>
            <w:tcW w:w="2663" w:type="dxa"/>
            <w:vMerge/>
          </w:tcPr>
          <w:p w14:paraId="3A4D6F84"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tcPr>
          <w:p w14:paraId="47BBEE3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F-statistic</w:t>
            </w:r>
          </w:p>
        </w:tc>
        <w:tc>
          <w:tcPr>
            <w:tcW w:w="0" w:type="auto"/>
          </w:tcPr>
          <w:p w14:paraId="0FADECCD"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0.114653</w:t>
            </w:r>
          </w:p>
        </w:tc>
        <w:tc>
          <w:tcPr>
            <w:tcW w:w="885" w:type="dxa"/>
          </w:tcPr>
          <w:p w14:paraId="1E6238E2"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(1, 4)</w:t>
            </w:r>
          </w:p>
        </w:tc>
        <w:tc>
          <w:tcPr>
            <w:tcW w:w="1345" w:type="dxa"/>
          </w:tcPr>
          <w:p w14:paraId="392D09B9"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0.7519</w:t>
            </w:r>
          </w:p>
        </w:tc>
        <w:tc>
          <w:tcPr>
            <w:tcW w:w="1462" w:type="dxa"/>
            <w:vMerge/>
          </w:tcPr>
          <w:p w14:paraId="0FDACCF6" w14:textId="77777777" w:rsidR="00A86A09" w:rsidRPr="00C16D1E" w:rsidRDefault="00A86A09" w:rsidP="00524050">
            <w:pPr>
              <w:jc w:val="both"/>
              <w:rPr>
                <w:rFonts w:ascii="Times New Roman" w:eastAsia="Times New Roman" w:hAnsi="Times New Roman" w:cs="Times New Roman"/>
                <w:sz w:val="20"/>
                <w:szCs w:val="20"/>
                <w:lang w:eastAsia="en-GB"/>
              </w:rPr>
            </w:pPr>
          </w:p>
        </w:tc>
      </w:tr>
      <w:tr w:rsidR="00A86A09" w:rsidRPr="00C16D1E" w14:paraId="63FABDAC" w14:textId="77777777" w:rsidTr="00A86A09">
        <w:trPr>
          <w:trHeight w:val="68"/>
        </w:trPr>
        <w:tc>
          <w:tcPr>
            <w:tcW w:w="2663" w:type="dxa"/>
            <w:vMerge/>
            <w:tcBorders>
              <w:bottom w:val="single" w:sz="4" w:space="0" w:color="auto"/>
            </w:tcBorders>
          </w:tcPr>
          <w:p w14:paraId="0667D27B" w14:textId="77777777" w:rsidR="00A86A09" w:rsidRPr="00C16D1E" w:rsidRDefault="00A86A09" w:rsidP="00524050">
            <w:pPr>
              <w:jc w:val="both"/>
              <w:rPr>
                <w:rFonts w:ascii="Times New Roman" w:eastAsia="Times New Roman" w:hAnsi="Times New Roman" w:cs="Times New Roman"/>
                <w:sz w:val="20"/>
                <w:szCs w:val="20"/>
                <w:lang w:eastAsia="en-GB"/>
              </w:rPr>
            </w:pPr>
          </w:p>
        </w:tc>
        <w:tc>
          <w:tcPr>
            <w:tcW w:w="2429" w:type="dxa"/>
            <w:tcBorders>
              <w:bottom w:val="single" w:sz="4" w:space="0" w:color="auto"/>
            </w:tcBorders>
          </w:tcPr>
          <w:p w14:paraId="580275D3"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Likelihood ratio</w:t>
            </w:r>
          </w:p>
        </w:tc>
        <w:tc>
          <w:tcPr>
            <w:tcW w:w="0" w:type="auto"/>
            <w:tcBorders>
              <w:bottom w:val="single" w:sz="4" w:space="0" w:color="auto"/>
            </w:tcBorders>
          </w:tcPr>
          <w:p w14:paraId="716F01E1"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0.763023</w:t>
            </w:r>
          </w:p>
        </w:tc>
        <w:tc>
          <w:tcPr>
            <w:tcW w:w="885" w:type="dxa"/>
            <w:tcBorders>
              <w:bottom w:val="single" w:sz="4" w:space="0" w:color="auto"/>
            </w:tcBorders>
          </w:tcPr>
          <w:p w14:paraId="4AA819F6"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1</w:t>
            </w:r>
          </w:p>
        </w:tc>
        <w:tc>
          <w:tcPr>
            <w:tcW w:w="1345" w:type="dxa"/>
            <w:tcBorders>
              <w:bottom w:val="single" w:sz="4" w:space="0" w:color="auto"/>
            </w:tcBorders>
          </w:tcPr>
          <w:p w14:paraId="2DF8CAB6" w14:textId="77777777" w:rsidR="00A86A09" w:rsidRPr="00C16D1E" w:rsidRDefault="00A86A09" w:rsidP="00524050">
            <w:pPr>
              <w:jc w:val="both"/>
              <w:rPr>
                <w:rFonts w:ascii="Times New Roman" w:eastAsia="Times New Roman" w:hAnsi="Times New Roman" w:cs="Times New Roman"/>
                <w:sz w:val="20"/>
                <w:szCs w:val="20"/>
                <w:lang w:eastAsia="en-GB"/>
              </w:rPr>
            </w:pPr>
            <w:r w:rsidRPr="00C16D1E">
              <w:rPr>
                <w:rFonts w:ascii="Times New Roman" w:hAnsi="Times New Roman" w:cs="Times New Roman"/>
                <w:sz w:val="20"/>
                <w:szCs w:val="20"/>
              </w:rPr>
              <w:t>0.3824</w:t>
            </w:r>
          </w:p>
        </w:tc>
        <w:tc>
          <w:tcPr>
            <w:tcW w:w="1462" w:type="dxa"/>
            <w:vMerge/>
            <w:tcBorders>
              <w:bottom w:val="single" w:sz="4" w:space="0" w:color="auto"/>
            </w:tcBorders>
          </w:tcPr>
          <w:p w14:paraId="3C856183" w14:textId="77777777" w:rsidR="00A86A09" w:rsidRPr="00C16D1E" w:rsidRDefault="00A86A09" w:rsidP="00524050">
            <w:pPr>
              <w:jc w:val="both"/>
              <w:rPr>
                <w:rFonts w:ascii="Times New Roman" w:eastAsia="Times New Roman" w:hAnsi="Times New Roman" w:cs="Times New Roman"/>
                <w:sz w:val="20"/>
                <w:szCs w:val="20"/>
                <w:lang w:eastAsia="en-GB"/>
              </w:rPr>
            </w:pPr>
          </w:p>
        </w:tc>
      </w:tr>
    </w:tbl>
    <w:p w14:paraId="5EBA6F20" w14:textId="77777777" w:rsidR="00580923" w:rsidRPr="00C16D1E" w:rsidRDefault="00A86A09" w:rsidP="00524050">
      <w:pPr>
        <w:spacing w:after="100" w:afterAutospacing="1"/>
        <w:jc w:val="both"/>
        <w:outlineLvl w:val="3"/>
        <w:rPr>
          <w:rFonts w:ascii="Times New Roman" w:eastAsia="Times New Roman" w:hAnsi="Times New Roman" w:cs="Times New Roman"/>
          <w:sz w:val="20"/>
          <w:szCs w:val="20"/>
          <w:lang w:eastAsia="en-GB"/>
        </w:rPr>
      </w:pPr>
      <w:r w:rsidRPr="00C16D1E">
        <w:rPr>
          <w:rFonts w:ascii="Times New Roman" w:eastAsia="Times New Roman" w:hAnsi="Times New Roman" w:cs="Times New Roman"/>
          <w:b/>
          <w:bCs/>
          <w:sz w:val="20"/>
          <w:szCs w:val="20"/>
          <w:lang w:eastAsia="en-GB"/>
        </w:rPr>
        <w:t>Notes</w:t>
      </w:r>
      <w:r w:rsidRPr="00C16D1E">
        <w:rPr>
          <w:rFonts w:ascii="Times New Roman" w:eastAsia="Times New Roman" w:hAnsi="Times New Roman" w:cs="Times New Roman"/>
          <w:sz w:val="20"/>
          <w:szCs w:val="20"/>
          <w:lang w:eastAsia="en-GB"/>
        </w:rPr>
        <w:t>: The Wald test rejects the joint null (</w:t>
      </w:r>
      <w:proofErr w:type="gramStart"/>
      <w:r w:rsidRPr="00C16D1E">
        <w:rPr>
          <w:rFonts w:ascii="Times New Roman" w:eastAsia="Times New Roman" w:hAnsi="Times New Roman" w:cs="Times New Roman"/>
          <w:sz w:val="20"/>
          <w:szCs w:val="20"/>
          <w:lang w:eastAsia="en-GB"/>
        </w:rPr>
        <w:t>C(</w:t>
      </w:r>
      <w:proofErr w:type="gramEnd"/>
      <w:r w:rsidRPr="00C16D1E">
        <w:rPr>
          <w:rFonts w:ascii="Times New Roman" w:eastAsia="Times New Roman" w:hAnsi="Times New Roman" w:cs="Times New Roman"/>
          <w:sz w:val="20"/>
          <w:szCs w:val="20"/>
          <w:lang w:eastAsia="en-GB"/>
        </w:rPr>
        <w:t>1)=0 and C(3)=2*C(4)) at the 1 % level. The Breusch–Godfrey LM test fails to reject no serial correlation up to two lags, and the Breusch–Pagan–Godfrey test fails to reject homoskedasticity.</w:t>
      </w:r>
    </w:p>
    <w:p w14:paraId="601BCF45" w14:textId="05EFE1EA" w:rsidR="001C1148" w:rsidRPr="00C16D1E" w:rsidRDefault="00A86A09" w:rsidP="00524050">
      <w:pPr>
        <w:spacing w:after="100" w:afterAutospacing="1"/>
        <w:jc w:val="both"/>
        <w:outlineLvl w:val="3"/>
        <w:rPr>
          <w:rFonts w:ascii="Times New Roman" w:eastAsia="Calibri" w:hAnsi="Times New Roman" w:cs="Times New Roman"/>
          <w:bCs/>
          <w:sz w:val="20"/>
          <w:szCs w:val="20"/>
        </w:rPr>
      </w:pPr>
      <w:r w:rsidRPr="00C16D1E">
        <w:rPr>
          <w:rFonts w:ascii="Times New Roman" w:eastAsia="Times New Roman" w:hAnsi="Times New Roman" w:cs="Times New Roman"/>
          <w:b/>
          <w:bCs/>
          <w:sz w:val="20"/>
          <w:szCs w:val="20"/>
          <w:lang w:eastAsia="en-GB"/>
        </w:rPr>
        <w:t xml:space="preserve">Source: </w:t>
      </w:r>
      <w:r w:rsidRPr="00C16D1E">
        <w:rPr>
          <w:rFonts w:ascii="Times New Roman" w:eastAsia="Times New Roman" w:hAnsi="Times New Roman" w:cs="Times New Roman"/>
          <w:bCs/>
          <w:sz w:val="20"/>
          <w:szCs w:val="20"/>
          <w:lang w:eastAsia="en-GB"/>
        </w:rPr>
        <w:t>Author</w:t>
      </w:r>
      <w:r w:rsidR="00D52E46" w:rsidRPr="00C16D1E">
        <w:rPr>
          <w:rFonts w:ascii="Times New Roman" w:eastAsia="Times New Roman" w:hAnsi="Times New Roman" w:cs="Times New Roman"/>
          <w:bCs/>
          <w:sz w:val="20"/>
          <w:szCs w:val="20"/>
          <w:lang w:eastAsia="en-GB"/>
        </w:rPr>
        <w:t>’</w:t>
      </w:r>
      <w:r w:rsidRPr="00C16D1E">
        <w:rPr>
          <w:rFonts w:ascii="Times New Roman" w:eastAsia="Times New Roman" w:hAnsi="Times New Roman" w:cs="Times New Roman"/>
          <w:bCs/>
          <w:sz w:val="20"/>
          <w:szCs w:val="20"/>
          <w:lang w:eastAsia="en-GB"/>
        </w:rPr>
        <w:t>s Computation, 2026.</w:t>
      </w:r>
    </w:p>
    <w:p w14:paraId="3BB0B3F1" w14:textId="7EFF7993"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w:t>
      </w:r>
      <w:r w:rsidR="00F03A24" w:rsidRPr="00C16D1E">
        <w:rPr>
          <w:rFonts w:ascii="Times New Roman" w:eastAsia="Calibri" w:hAnsi="Times New Roman" w:cs="Times New Roman"/>
          <w:bCs/>
          <w:sz w:val="20"/>
          <w:szCs w:val="20"/>
        </w:rPr>
        <w:t>post-estimation diagnostic test results</w:t>
      </w:r>
      <w:r w:rsidRPr="00C16D1E">
        <w:rPr>
          <w:rFonts w:ascii="Times New Roman" w:eastAsia="Calibri" w:hAnsi="Times New Roman" w:cs="Times New Roman"/>
          <w:bCs/>
          <w:sz w:val="20"/>
          <w:szCs w:val="20"/>
        </w:rPr>
        <w:t xml:space="preserve"> in Table 4.</w:t>
      </w:r>
      <w:r w:rsidR="000B7DC0" w:rsidRPr="00C16D1E">
        <w:rPr>
          <w:rFonts w:ascii="Times New Roman" w:eastAsia="Calibri" w:hAnsi="Times New Roman" w:cs="Times New Roman"/>
          <w:bCs/>
          <w:sz w:val="20"/>
          <w:szCs w:val="20"/>
        </w:rPr>
        <w:t>8</w:t>
      </w:r>
      <w:r w:rsidRPr="00C16D1E">
        <w:rPr>
          <w:rFonts w:ascii="Times New Roman" w:eastAsia="Calibri" w:hAnsi="Times New Roman" w:cs="Times New Roman"/>
          <w:bCs/>
          <w:sz w:val="20"/>
          <w:szCs w:val="20"/>
        </w:rPr>
        <w:t xml:space="preserve"> confirm the adequacy of the estimated model. The Wald test rejects the joint null hypothesis at the one percent level [F statistic = 10.324, p = 0.005; Chi square = 20.648, p = 0.000], indicating that the imposed linear restrictions are invalid and that the associated coefficients are jointly significant.</w:t>
      </w:r>
    </w:p>
    <w:p w14:paraId="04F40656" w14:textId="6A14B35E"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Breusch Godfrey serial correlation LM test fails to reject the null hypothesis of no serial correlation up to two lags [F statistic = 0.095, p = 0.911; Obs </w:t>
      </w:r>
      <w:r w:rsidR="004E2564" w:rsidRPr="00C16D1E">
        <w:rPr>
          <w:rFonts w:ascii="Times New Roman" w:eastAsia="Calibri" w:hAnsi="Times New Roman" w:cs="Times New Roman"/>
          <w:bCs/>
          <w:sz w:val="20"/>
          <w:szCs w:val="20"/>
        </w:rPr>
        <w:t>R-squared</w:t>
      </w:r>
      <w:r w:rsidRPr="00C16D1E">
        <w:rPr>
          <w:rFonts w:ascii="Times New Roman" w:eastAsia="Calibri" w:hAnsi="Times New Roman" w:cs="Times New Roman"/>
          <w:bCs/>
          <w:sz w:val="20"/>
          <w:szCs w:val="20"/>
        </w:rPr>
        <w:t xml:space="preserve"> = 0.712, p = 0.701], suggesting that the residuals are free from autocorrelation. Similarly, the Breusch Pagan Godfrey heteroskedasticity test fails to reject the null of constant variance [F statistic = 1.146, p = 0.433; Obs </w:t>
      </w:r>
      <w:r w:rsidR="004E2564" w:rsidRPr="00C16D1E">
        <w:rPr>
          <w:rFonts w:ascii="Times New Roman" w:eastAsia="Calibri" w:hAnsi="Times New Roman" w:cs="Times New Roman"/>
          <w:bCs/>
          <w:sz w:val="20"/>
          <w:szCs w:val="20"/>
        </w:rPr>
        <w:t>R-squared</w:t>
      </w:r>
      <w:r w:rsidRPr="00C16D1E">
        <w:rPr>
          <w:rFonts w:ascii="Times New Roman" w:eastAsia="Calibri" w:hAnsi="Times New Roman" w:cs="Times New Roman"/>
          <w:bCs/>
          <w:sz w:val="20"/>
          <w:szCs w:val="20"/>
        </w:rPr>
        <w:t xml:space="preserve"> = 18.470, p = 0.360], confirming homoskedastic residuals and supporting the reliability of the model estimates.</w:t>
      </w:r>
    </w:p>
    <w:p w14:paraId="20A3C64B" w14:textId="30132771"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 xml:space="preserve">The Ramsey RESET test further supports the correctness of the functional form, as the null hypothesis of correct model specification is not rejected based on the reported </w:t>
      </w:r>
      <w:r w:rsidR="004E2564" w:rsidRPr="00C16D1E">
        <w:rPr>
          <w:rFonts w:ascii="Times New Roman" w:eastAsia="Calibri" w:hAnsi="Times New Roman" w:cs="Times New Roman"/>
          <w:bCs/>
          <w:sz w:val="20"/>
          <w:szCs w:val="20"/>
        </w:rPr>
        <w:t>t-statistic</w:t>
      </w:r>
      <w:r w:rsidRPr="00C16D1E">
        <w:rPr>
          <w:rFonts w:ascii="Times New Roman" w:eastAsia="Calibri" w:hAnsi="Times New Roman" w:cs="Times New Roman"/>
          <w:bCs/>
          <w:sz w:val="20"/>
          <w:szCs w:val="20"/>
        </w:rPr>
        <w:t xml:space="preserve"> and </w:t>
      </w:r>
      <w:r w:rsidR="004E2564" w:rsidRPr="00C16D1E">
        <w:rPr>
          <w:rFonts w:ascii="Times New Roman" w:eastAsia="Calibri" w:hAnsi="Times New Roman" w:cs="Times New Roman"/>
          <w:bCs/>
          <w:sz w:val="20"/>
          <w:szCs w:val="20"/>
        </w:rPr>
        <w:t>F-statistic</w:t>
      </w:r>
      <w:r w:rsidRPr="00C16D1E">
        <w:rPr>
          <w:rFonts w:ascii="Times New Roman" w:eastAsia="Calibri" w:hAnsi="Times New Roman" w:cs="Times New Roman"/>
          <w:bCs/>
          <w:sz w:val="20"/>
          <w:szCs w:val="20"/>
        </w:rPr>
        <w:t xml:space="preserve"> probabilities. Overall, these diagnostic results confirm the stability, reliability, and adequacy of the estimated model for inference and policy interpretation.</w:t>
      </w:r>
    </w:p>
    <w:p w14:paraId="349947B7" w14:textId="219C7426" w:rsidR="004E2564" w:rsidRPr="00C16D1E" w:rsidRDefault="004E2564" w:rsidP="00524050">
      <w:pPr>
        <w:jc w:val="both"/>
        <w:rPr>
          <w:rFonts w:ascii="Times New Roman" w:eastAsia="Calibri" w:hAnsi="Times New Roman" w:cs="Times New Roman"/>
          <w:b/>
          <w:sz w:val="20"/>
          <w:szCs w:val="20"/>
        </w:rPr>
      </w:pPr>
    </w:p>
    <w:p w14:paraId="0A20981F" w14:textId="446F5B36" w:rsidR="00BC141A" w:rsidRPr="00C16D1E" w:rsidRDefault="00BC141A" w:rsidP="00524050">
      <w:pPr>
        <w:jc w:val="both"/>
        <w:rPr>
          <w:rFonts w:ascii="Times New Roman" w:eastAsia="Calibri" w:hAnsi="Times New Roman" w:cs="Times New Roman"/>
          <w:b/>
          <w:sz w:val="20"/>
          <w:szCs w:val="20"/>
        </w:rPr>
      </w:pPr>
    </w:p>
    <w:p w14:paraId="7F0B0147" w14:textId="3D58E9B0" w:rsidR="00BC141A" w:rsidRPr="00C16D1E" w:rsidRDefault="00BC141A" w:rsidP="00524050">
      <w:pPr>
        <w:jc w:val="both"/>
        <w:rPr>
          <w:rFonts w:ascii="Times New Roman" w:eastAsia="Calibri" w:hAnsi="Times New Roman" w:cs="Times New Roman"/>
          <w:b/>
          <w:sz w:val="20"/>
          <w:szCs w:val="20"/>
        </w:rPr>
      </w:pPr>
    </w:p>
    <w:p w14:paraId="1709DE54" w14:textId="77777777" w:rsidR="00BC141A" w:rsidRPr="00C16D1E" w:rsidRDefault="00BC141A" w:rsidP="00524050">
      <w:pPr>
        <w:jc w:val="both"/>
        <w:rPr>
          <w:rFonts w:ascii="Times New Roman" w:eastAsia="Calibri" w:hAnsi="Times New Roman" w:cs="Times New Roman"/>
          <w:b/>
          <w:sz w:val="20"/>
          <w:szCs w:val="20"/>
        </w:rPr>
      </w:pPr>
    </w:p>
    <w:p w14:paraId="47B4890C" w14:textId="200F841D" w:rsidR="00A86A09" w:rsidRPr="00C16D1E" w:rsidRDefault="00A86A09" w:rsidP="00524050">
      <w:pPr>
        <w:jc w:val="center"/>
        <w:rPr>
          <w:rFonts w:ascii="Times New Roman" w:eastAsia="Calibri" w:hAnsi="Times New Roman" w:cs="Times New Roman"/>
          <w:bCs/>
          <w:sz w:val="20"/>
          <w:szCs w:val="20"/>
        </w:rPr>
      </w:pPr>
    </w:p>
    <w:p w14:paraId="275E8FEE" w14:textId="77777777" w:rsidR="00FF49B7" w:rsidRPr="00C16D1E" w:rsidRDefault="00FF49B7" w:rsidP="00524050">
      <w:pPr>
        <w:jc w:val="both"/>
        <w:rPr>
          <w:rFonts w:ascii="Times New Roman" w:eastAsia="Calibri" w:hAnsi="Times New Roman" w:cs="Times New Roman"/>
          <w:bCs/>
          <w:sz w:val="20"/>
          <w:szCs w:val="20"/>
        </w:rPr>
      </w:pPr>
    </w:p>
    <w:p w14:paraId="03D98A3B" w14:textId="77777777" w:rsidR="00FF49B7" w:rsidRPr="00C16D1E" w:rsidRDefault="00FF49B7" w:rsidP="00524050">
      <w:pPr>
        <w:jc w:val="both"/>
        <w:rPr>
          <w:rFonts w:ascii="Times New Roman" w:eastAsia="Calibri" w:hAnsi="Times New Roman" w:cs="Times New Roman"/>
          <w:bCs/>
          <w:sz w:val="20"/>
          <w:szCs w:val="20"/>
        </w:rPr>
      </w:pPr>
    </w:p>
    <w:p w14:paraId="37DBAD1E" w14:textId="77777777" w:rsidR="00DF6654" w:rsidRPr="00C16D1E" w:rsidRDefault="00DF6654" w:rsidP="00524050">
      <w:pPr>
        <w:jc w:val="both"/>
        <w:rPr>
          <w:sz w:val="20"/>
          <w:szCs w:val="20"/>
        </w:rPr>
      </w:pPr>
    </w:p>
    <w:p w14:paraId="7764DE3A" w14:textId="1C576E42" w:rsidR="00DF6654" w:rsidRPr="00C16D1E" w:rsidRDefault="00DF6654" w:rsidP="00524050">
      <w:pPr>
        <w:jc w:val="both"/>
        <w:rPr>
          <w:sz w:val="20"/>
          <w:szCs w:val="20"/>
        </w:rPr>
      </w:pPr>
    </w:p>
    <w:p w14:paraId="612D8FD9" w14:textId="7A60B43B" w:rsidR="00DF6654" w:rsidRPr="00C16D1E" w:rsidRDefault="00DF6654" w:rsidP="00524050">
      <w:pPr>
        <w:jc w:val="both"/>
        <w:rPr>
          <w:sz w:val="20"/>
          <w:szCs w:val="20"/>
        </w:rPr>
      </w:pPr>
    </w:p>
    <w:p w14:paraId="6AEF31BE" w14:textId="764F6E7B" w:rsidR="00DF6654" w:rsidRPr="00C16D1E" w:rsidRDefault="00DF6654" w:rsidP="00524050">
      <w:pPr>
        <w:jc w:val="both"/>
        <w:rPr>
          <w:sz w:val="20"/>
          <w:szCs w:val="20"/>
        </w:rPr>
      </w:pPr>
    </w:p>
    <w:p w14:paraId="604E4FD4" w14:textId="70150D09" w:rsidR="00DF6654" w:rsidRPr="00C16D1E" w:rsidRDefault="00DF6654" w:rsidP="00524050">
      <w:pPr>
        <w:jc w:val="both"/>
        <w:rPr>
          <w:sz w:val="20"/>
          <w:szCs w:val="20"/>
        </w:rPr>
      </w:pPr>
    </w:p>
    <w:p w14:paraId="72A217CA" w14:textId="0BF008E0" w:rsidR="00DF6654" w:rsidRPr="00C16D1E" w:rsidRDefault="00DF6654" w:rsidP="00524050">
      <w:pPr>
        <w:jc w:val="both"/>
        <w:rPr>
          <w:sz w:val="20"/>
          <w:szCs w:val="20"/>
        </w:rPr>
      </w:pPr>
    </w:p>
    <w:p w14:paraId="12911E78" w14:textId="4B7BEBA0" w:rsidR="00DF6654" w:rsidRPr="00C16D1E" w:rsidRDefault="00DF6654" w:rsidP="00524050">
      <w:pPr>
        <w:jc w:val="both"/>
        <w:rPr>
          <w:sz w:val="20"/>
          <w:szCs w:val="20"/>
        </w:rPr>
      </w:pPr>
    </w:p>
    <w:p w14:paraId="6C0B240D" w14:textId="5D796630" w:rsidR="00DF6654" w:rsidRPr="00C16D1E" w:rsidRDefault="00DF6654" w:rsidP="00524050">
      <w:pPr>
        <w:jc w:val="both"/>
        <w:rPr>
          <w:sz w:val="20"/>
          <w:szCs w:val="20"/>
        </w:rPr>
      </w:pPr>
    </w:p>
    <w:p w14:paraId="15523753" w14:textId="6F84ED8F" w:rsidR="00DF6654" w:rsidRPr="00C16D1E" w:rsidRDefault="00DF6654" w:rsidP="00524050">
      <w:pPr>
        <w:jc w:val="both"/>
        <w:rPr>
          <w:sz w:val="20"/>
          <w:szCs w:val="20"/>
        </w:rPr>
      </w:pPr>
    </w:p>
    <w:p w14:paraId="599A7192" w14:textId="51BFF05F" w:rsidR="00DF6654" w:rsidRPr="00C16D1E" w:rsidRDefault="00DF6654" w:rsidP="00524050">
      <w:pPr>
        <w:jc w:val="both"/>
        <w:rPr>
          <w:sz w:val="20"/>
          <w:szCs w:val="20"/>
        </w:rPr>
      </w:pPr>
    </w:p>
    <w:p w14:paraId="4B7560CD" w14:textId="7AE56842" w:rsidR="00DF6654" w:rsidRPr="00C16D1E" w:rsidRDefault="00DF6654" w:rsidP="00524050">
      <w:pPr>
        <w:jc w:val="both"/>
        <w:rPr>
          <w:sz w:val="20"/>
          <w:szCs w:val="20"/>
        </w:rPr>
      </w:pPr>
    </w:p>
    <w:p w14:paraId="4DDD9F11" w14:textId="759615FE" w:rsidR="00DF6654" w:rsidRPr="00C16D1E" w:rsidRDefault="00DF6654" w:rsidP="00524050">
      <w:pPr>
        <w:jc w:val="both"/>
        <w:rPr>
          <w:sz w:val="20"/>
          <w:szCs w:val="20"/>
        </w:rPr>
      </w:pPr>
    </w:p>
    <w:p w14:paraId="19D69B4D" w14:textId="724F13B4" w:rsidR="00DF6654" w:rsidRPr="00C16D1E" w:rsidRDefault="00DF6654" w:rsidP="00524050">
      <w:pPr>
        <w:jc w:val="both"/>
        <w:rPr>
          <w:sz w:val="20"/>
          <w:szCs w:val="20"/>
        </w:rPr>
      </w:pPr>
    </w:p>
    <w:p w14:paraId="5EB3C218" w14:textId="16E23F4E" w:rsidR="00DF6654" w:rsidRPr="00C16D1E" w:rsidRDefault="00DF6654" w:rsidP="00524050">
      <w:pPr>
        <w:jc w:val="both"/>
        <w:rPr>
          <w:sz w:val="20"/>
          <w:szCs w:val="20"/>
        </w:rPr>
      </w:pPr>
    </w:p>
    <w:p w14:paraId="00A36383" w14:textId="3450394B" w:rsidR="00DF6654" w:rsidRPr="00C16D1E" w:rsidRDefault="00DF6654" w:rsidP="00524050">
      <w:pPr>
        <w:jc w:val="both"/>
        <w:rPr>
          <w:sz w:val="20"/>
          <w:szCs w:val="20"/>
        </w:rPr>
      </w:pPr>
    </w:p>
    <w:p w14:paraId="04B2B0F7" w14:textId="1D03DC24" w:rsidR="00DF6654" w:rsidRPr="00C16D1E" w:rsidRDefault="00DF6654" w:rsidP="00524050">
      <w:pPr>
        <w:jc w:val="both"/>
        <w:rPr>
          <w:sz w:val="20"/>
          <w:szCs w:val="20"/>
        </w:rPr>
      </w:pPr>
    </w:p>
    <w:p w14:paraId="382124C6" w14:textId="3A343C4D" w:rsidR="00DF6654" w:rsidRPr="00C16D1E" w:rsidRDefault="00DF6654" w:rsidP="00524050">
      <w:pPr>
        <w:jc w:val="both"/>
        <w:rPr>
          <w:sz w:val="20"/>
          <w:szCs w:val="20"/>
        </w:rPr>
      </w:pPr>
    </w:p>
    <w:p w14:paraId="00FA2361" w14:textId="2F776D84" w:rsidR="00DF6654" w:rsidRPr="00C16D1E" w:rsidRDefault="00DF6654" w:rsidP="00524050">
      <w:pPr>
        <w:jc w:val="both"/>
        <w:rPr>
          <w:sz w:val="20"/>
          <w:szCs w:val="20"/>
        </w:rPr>
      </w:pPr>
    </w:p>
    <w:p w14:paraId="13B11C99" w14:textId="2C743A53" w:rsidR="00DF6654" w:rsidRPr="00C16D1E" w:rsidRDefault="00DF6654" w:rsidP="00524050">
      <w:pPr>
        <w:jc w:val="both"/>
        <w:rPr>
          <w:sz w:val="20"/>
          <w:szCs w:val="20"/>
        </w:rPr>
      </w:pPr>
    </w:p>
    <w:p w14:paraId="01EE5613" w14:textId="77777777" w:rsidR="00DF6654" w:rsidRPr="00C16D1E" w:rsidRDefault="00DF6654" w:rsidP="00524050">
      <w:pPr>
        <w:jc w:val="both"/>
        <w:rPr>
          <w:sz w:val="20"/>
          <w:szCs w:val="20"/>
        </w:rPr>
      </w:pPr>
    </w:p>
    <w:p w14:paraId="7601D1F6" w14:textId="77777777" w:rsidR="00DF6654" w:rsidRPr="00C16D1E" w:rsidRDefault="00DF6654" w:rsidP="00524050">
      <w:pPr>
        <w:jc w:val="both"/>
        <w:rPr>
          <w:sz w:val="20"/>
          <w:szCs w:val="20"/>
        </w:rPr>
      </w:pPr>
    </w:p>
    <w:p w14:paraId="63544792" w14:textId="6A6D1FAB" w:rsidR="00DF6654" w:rsidRPr="00C16D1E" w:rsidRDefault="00FF49B7" w:rsidP="00524050">
      <w:pPr>
        <w:jc w:val="both"/>
        <w:rPr>
          <w:sz w:val="20"/>
          <w:szCs w:val="20"/>
        </w:rPr>
      </w:pPr>
      <w:r w:rsidRPr="00C16D1E">
        <w:rPr>
          <w:sz w:val="20"/>
          <w:szCs w:val="20"/>
        </w:rPr>
        <w:object w:dxaOrig="9511" w:dyaOrig="3871" w14:anchorId="38FAD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281pt" o:ole="">
            <v:imagedata r:id="rId10" o:title=""/>
          </v:shape>
          <o:OLEObject Type="Embed" ProgID="EViews.Workfile.2" ShapeID="_x0000_i1025" DrawAspect="Content" ObjectID="_1839423612" r:id="rId11"/>
        </w:object>
      </w:r>
    </w:p>
    <w:p w14:paraId="0ED8BB9F" w14:textId="407BAACD" w:rsidR="00FF49B7" w:rsidRPr="00C16D1E" w:rsidRDefault="00FF49B7" w:rsidP="00524050">
      <w:pPr>
        <w:jc w:val="both"/>
        <w:rPr>
          <w:rFonts w:ascii="Times New Roman" w:eastAsia="Calibri" w:hAnsi="Times New Roman" w:cs="Times New Roman"/>
          <w:bCs/>
          <w:sz w:val="20"/>
          <w:szCs w:val="20"/>
        </w:rPr>
      </w:pPr>
    </w:p>
    <w:p w14:paraId="4702FDD0" w14:textId="77777777" w:rsidR="00EA5F9A" w:rsidRPr="00C16D1E" w:rsidRDefault="00EA5F9A" w:rsidP="00524050">
      <w:pPr>
        <w:jc w:val="both"/>
        <w:rPr>
          <w:rFonts w:ascii="Times New Roman" w:eastAsia="Calibri" w:hAnsi="Times New Roman" w:cs="Times New Roman"/>
          <w:bCs/>
          <w:sz w:val="20"/>
          <w:szCs w:val="20"/>
        </w:rPr>
      </w:pPr>
    </w:p>
    <w:p w14:paraId="08492487" w14:textId="77777777" w:rsidR="00862306" w:rsidRPr="00C16D1E" w:rsidRDefault="00FF49B7" w:rsidP="00524050">
      <w:pPr>
        <w:jc w:val="both"/>
        <w:rPr>
          <w:rFonts w:ascii="Times New Roman" w:eastAsia="Calibri" w:hAnsi="Times New Roman" w:cs="Times New Roman"/>
          <w:b/>
          <w:sz w:val="20"/>
          <w:szCs w:val="20"/>
        </w:rPr>
      </w:pPr>
      <w:r w:rsidRPr="00C16D1E">
        <w:rPr>
          <w:rFonts w:ascii="Times New Roman" w:eastAsia="Calibri" w:hAnsi="Times New Roman" w:cs="Times New Roman"/>
          <w:b/>
          <w:bCs/>
          <w:sz w:val="20"/>
          <w:szCs w:val="20"/>
        </w:rPr>
        <w:t>Figure 4.</w:t>
      </w:r>
      <w:r w:rsidR="000B7DC0" w:rsidRPr="00C16D1E">
        <w:rPr>
          <w:rFonts w:ascii="Times New Roman" w:eastAsia="Calibri" w:hAnsi="Times New Roman" w:cs="Times New Roman"/>
          <w:b/>
          <w:bCs/>
          <w:sz w:val="20"/>
          <w:szCs w:val="20"/>
        </w:rPr>
        <w:t>2</w:t>
      </w:r>
      <w:r w:rsidR="00862306" w:rsidRPr="00C16D1E">
        <w:rPr>
          <w:rFonts w:ascii="Times New Roman" w:eastAsia="Calibri" w:hAnsi="Times New Roman" w:cs="Times New Roman"/>
          <w:b/>
          <w:bCs/>
          <w:sz w:val="20"/>
          <w:szCs w:val="20"/>
        </w:rPr>
        <w:t>:</w:t>
      </w:r>
      <w:r w:rsidR="00862306" w:rsidRPr="00C16D1E">
        <w:rPr>
          <w:rFonts w:ascii="Times New Roman" w:eastAsia="Calibri" w:hAnsi="Times New Roman" w:cs="Times New Roman"/>
          <w:bCs/>
          <w:sz w:val="20"/>
          <w:szCs w:val="20"/>
        </w:rPr>
        <w:t xml:space="preserve"> </w:t>
      </w:r>
      <w:r w:rsidR="00862306" w:rsidRPr="00C16D1E">
        <w:rPr>
          <w:rFonts w:ascii="Times New Roman" w:eastAsia="Calibri" w:hAnsi="Times New Roman" w:cs="Times New Roman"/>
          <w:b/>
          <w:sz w:val="20"/>
          <w:szCs w:val="20"/>
        </w:rPr>
        <w:t>Histogram of Normality Test</w:t>
      </w:r>
    </w:p>
    <w:p w14:paraId="685F9BAA" w14:textId="22A0CF2C"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Figure 4.</w:t>
      </w:r>
      <w:r w:rsidR="00EA5F9A" w:rsidRPr="00C16D1E">
        <w:rPr>
          <w:rFonts w:ascii="Times New Roman" w:eastAsia="Calibri" w:hAnsi="Times New Roman" w:cs="Times New Roman"/>
          <w:bCs/>
          <w:sz w:val="20"/>
          <w:szCs w:val="20"/>
        </w:rPr>
        <w:t>2</w:t>
      </w:r>
      <w:r w:rsidRPr="00C16D1E">
        <w:rPr>
          <w:rFonts w:ascii="Times New Roman" w:eastAsia="Calibri" w:hAnsi="Times New Roman" w:cs="Times New Roman"/>
          <w:bCs/>
          <w:sz w:val="20"/>
          <w:szCs w:val="20"/>
        </w:rPr>
        <w:t xml:space="preserve"> presents the histogram and normality statistics for the residuals from the ARDL estimation. The residuals are approximately symmetrically distributed around a mean of near zero (1.66e-16), with a standard deviation of 0.076. The distribution is mildly negatively skewed (–0.286) and platykurtic (kurtosis 1.946 &lt; 3), indicating thinner tails than a normal distribution. The Jarque–Bera statistic of 1.621 (p = 0.445) fails to reject the null hypothesis of normality at conventional significance levels.</w:t>
      </w:r>
    </w:p>
    <w:p w14:paraId="36E3B062" w14:textId="6C20F749" w:rsidR="00A86A09" w:rsidRPr="00C16D1E" w:rsidRDefault="00A86A09" w:rsidP="00524050">
      <w:pPr>
        <w:jc w:val="both"/>
        <w:rPr>
          <w:rFonts w:ascii="Times New Roman" w:eastAsia="Calibri" w:hAnsi="Times New Roman" w:cs="Times New Roman"/>
          <w:bCs/>
          <w:sz w:val="20"/>
          <w:szCs w:val="20"/>
        </w:rPr>
      </w:pPr>
      <w:r w:rsidRPr="00C16D1E">
        <w:rPr>
          <w:rFonts w:ascii="Times New Roman" w:eastAsia="Calibri" w:hAnsi="Times New Roman" w:cs="Times New Roman"/>
          <w:bCs/>
          <w:sz w:val="20"/>
          <w:szCs w:val="20"/>
        </w:rPr>
        <w:t>These results confirm that the residuals are normally distributed, satisfying a key assumption of the classical linear regression model and supporting valid statistical inference on the coefficient estimates.</w:t>
      </w:r>
    </w:p>
    <w:p w14:paraId="47BBA594" w14:textId="3773D34A" w:rsidR="00FF49B7" w:rsidRPr="00C16D1E" w:rsidRDefault="00FF49B7" w:rsidP="00524050">
      <w:pPr>
        <w:jc w:val="both"/>
        <w:rPr>
          <w:rFonts w:ascii="Times New Roman" w:eastAsia="Calibri" w:hAnsi="Times New Roman" w:cs="Times New Roman"/>
          <w:bCs/>
          <w:sz w:val="20"/>
          <w:szCs w:val="20"/>
        </w:rPr>
      </w:pPr>
    </w:p>
    <w:bookmarkEnd w:id="3"/>
    <w:p w14:paraId="4DB7D944" w14:textId="67CDFFAA" w:rsidR="00E142FF" w:rsidRPr="00C16D1E" w:rsidRDefault="00E142FF" w:rsidP="00524050">
      <w:pPr>
        <w:jc w:val="center"/>
        <w:rPr>
          <w:rFonts w:ascii="Times New Roman" w:eastAsia="Calibri" w:hAnsi="Times New Roman" w:cs="Times New Roman"/>
          <w:b/>
          <w:kern w:val="2"/>
          <w:sz w:val="20"/>
          <w:szCs w:val="20"/>
          <w14:ligatures w14:val="standardContextual"/>
        </w:rPr>
      </w:pPr>
      <w:r w:rsidRPr="00C16D1E">
        <w:rPr>
          <w:rFonts w:ascii="Times New Roman" w:eastAsia="Calibri" w:hAnsi="Times New Roman" w:cs="Times New Roman"/>
          <w:b/>
          <w:kern w:val="2"/>
          <w:sz w:val="20"/>
          <w:szCs w:val="20"/>
          <w14:ligatures w14:val="standardContextual"/>
        </w:rPr>
        <w:t>DISCUSSION OF FINDINGS</w:t>
      </w:r>
    </w:p>
    <w:bookmarkEnd w:id="4"/>
    <w:p w14:paraId="05F77DF1" w14:textId="386B1373" w:rsidR="00E142FF" w:rsidRPr="00C16D1E" w:rsidRDefault="00E142FF" w:rsidP="00524050">
      <w:pPr>
        <w:jc w:val="both"/>
        <w:rPr>
          <w:rFonts w:ascii="Times New Roman" w:eastAsia="Calibri" w:hAnsi="Times New Roman" w:cs="Times New Roman"/>
          <w:b/>
          <w:bCs/>
          <w:kern w:val="2"/>
          <w:sz w:val="20"/>
          <w:szCs w:val="20"/>
          <w14:ligatures w14:val="standardContextual"/>
        </w:rPr>
      </w:pPr>
      <w:r w:rsidRPr="00C16D1E">
        <w:rPr>
          <w:rFonts w:ascii="Times New Roman" w:eastAsia="Calibri" w:hAnsi="Times New Roman" w:cs="Times New Roman"/>
          <w:b/>
          <w:bCs/>
          <w:kern w:val="2"/>
          <w:sz w:val="20"/>
          <w:szCs w:val="20"/>
          <w14:ligatures w14:val="standardContextual"/>
        </w:rPr>
        <w:t>5.</w:t>
      </w:r>
      <w:bookmarkStart w:id="8" w:name="_Hlk208453111"/>
      <w:r w:rsidR="0098431A" w:rsidRPr="00C16D1E">
        <w:rPr>
          <w:rFonts w:ascii="Times New Roman" w:eastAsia="Calibri" w:hAnsi="Times New Roman" w:cs="Times New Roman"/>
          <w:b/>
          <w:bCs/>
          <w:kern w:val="2"/>
          <w:sz w:val="20"/>
          <w:szCs w:val="20"/>
          <w14:ligatures w14:val="standardContextual"/>
        </w:rPr>
        <w:tab/>
      </w:r>
      <w:r w:rsidRPr="00C16D1E">
        <w:rPr>
          <w:rFonts w:ascii="Times New Roman" w:eastAsia="Calibri" w:hAnsi="Times New Roman" w:cs="Times New Roman"/>
          <w:b/>
          <w:bCs/>
          <w:kern w:val="2"/>
          <w:sz w:val="20"/>
          <w:szCs w:val="20"/>
          <w14:ligatures w14:val="standardContextual"/>
        </w:rPr>
        <w:t>Discussion of findings</w:t>
      </w:r>
      <w:bookmarkEnd w:id="8"/>
    </w:p>
    <w:p w14:paraId="7E248A3E" w14:textId="77777777" w:rsidR="00D45E68" w:rsidRPr="00C16D1E" w:rsidRDefault="00D45E68" w:rsidP="00524050">
      <w:pPr>
        <w:jc w:val="both"/>
        <w:rPr>
          <w:rFonts w:ascii="Times New Roman" w:eastAsia="Calibri" w:hAnsi="Times New Roman" w:cs="Times New Roman"/>
          <w:kern w:val="2"/>
          <w:sz w:val="20"/>
          <w:szCs w:val="20"/>
          <w:lang w:val="en-GB"/>
          <w14:ligatures w14:val="standardContextual"/>
        </w:rPr>
      </w:pPr>
      <w:r w:rsidRPr="00C16D1E">
        <w:rPr>
          <w:rFonts w:ascii="Times New Roman" w:eastAsia="Calibri" w:hAnsi="Times New Roman" w:cs="Times New Roman"/>
          <w:kern w:val="2"/>
          <w:sz w:val="20"/>
          <w:szCs w:val="20"/>
          <w:lang w:val="en-GB"/>
          <w14:ligatures w14:val="standardContextual"/>
        </w:rPr>
        <w:t>The institutional quality model shows strong explanatory power with an adjusted R-squared of 0.855. A significant F statistic of 14.975 (p = 0.000) indicates that the regressors are jointly significant, while the Durbin–Watson statistic of 1.869 suggests well-behaved residuals. In the long run, natural resource endowment has a weakly positive significant effect on institutional quality, whereas real GDP per capita shows a negative and significant relationship. Additionally, gross fixed capital formation and secondary school enrolment positively impact institutional strength. The error correction term is negative and significant, hinting at a quick adjustment towards long-run equilibrium. The analysis also provides evidence that weakly supports the hypothesis regarding the effect of natural resource endowment on institutional quality in Nigeria, showing a mixed short-run dynamic and no causality in the short run.</w:t>
      </w:r>
    </w:p>
    <w:p w14:paraId="0A37ABFB" w14:textId="77777777" w:rsidR="00C751DF" w:rsidRPr="00C16D1E" w:rsidRDefault="00C751DF" w:rsidP="00524050">
      <w:pPr>
        <w:jc w:val="both"/>
        <w:rPr>
          <w:rFonts w:ascii="Times New Roman" w:eastAsia="Calibri" w:hAnsi="Times New Roman" w:cs="Times New Roman"/>
          <w:kern w:val="2"/>
          <w:sz w:val="20"/>
          <w:szCs w:val="20"/>
          <w14:ligatures w14:val="standardContextual"/>
        </w:rPr>
      </w:pPr>
    </w:p>
    <w:p w14:paraId="321C4E09" w14:textId="0DD57CE1" w:rsidR="00E142FF" w:rsidRPr="00C16D1E" w:rsidRDefault="00B47D83"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lang w:val="en-GB"/>
          <w14:ligatures w14:val="standardContextual"/>
        </w:rPr>
        <w:t xml:space="preserve">In the long run, natural resource extraction (NRE) has a weakly positive and significant effect on institutional quality in Nigeria at the 10% level. This suggests that higher resource rents can lead to modest improvements in governance through enhanced fiscal capacity and investments in anti-corruption and administrative reforms. Although the p-value fails to meet the conventional 5% threshold, the economic significance justifies the finding </w:t>
      </w:r>
      <w:r w:rsidRPr="00C16D1E">
        <w:rPr>
          <w:rFonts w:ascii="Times New Roman" w:eastAsia="Calibri" w:hAnsi="Times New Roman" w:cs="Times New Roman"/>
          <w:kern w:val="2"/>
          <w:sz w:val="20"/>
          <w:szCs w:val="20"/>
          <w:lang w:val="en-GB"/>
          <w14:ligatures w14:val="standardContextual"/>
        </w:rPr>
        <w:lastRenderedPageBreak/>
        <w:t>as "weakly significant." This aligns with studies indicating that resource revenues can be effectively utilized when governance frameworks are robust. Recent reforms in Nigeria, like the anti-corruption drives and compliance with the Extractive Industries Transparency Initiative, partially alleviate the resource curse and contribute to the observed positive effect.</w:t>
      </w:r>
      <w:r w:rsidR="00357E75" w:rsidRPr="00C16D1E">
        <w:rPr>
          <w:rFonts w:ascii="Times New Roman" w:eastAsia="Calibri" w:hAnsi="Times New Roman" w:cs="Times New Roman"/>
          <w:kern w:val="2"/>
          <w:sz w:val="20"/>
          <w:szCs w:val="20"/>
          <w:lang w:val="en-GB"/>
          <w14:ligatures w14:val="standardContextual"/>
        </w:rPr>
        <w:t xml:space="preserve"> </w:t>
      </w:r>
      <w:r w:rsidR="00E142FF" w:rsidRPr="00C16D1E">
        <w:rPr>
          <w:rFonts w:ascii="Times New Roman" w:eastAsia="Calibri" w:hAnsi="Times New Roman" w:cs="Times New Roman"/>
          <w:kern w:val="2"/>
          <w:sz w:val="20"/>
          <w:szCs w:val="20"/>
          <w14:ligatures w14:val="standardContextual"/>
        </w:rPr>
        <w:t xml:space="preserve">This finding aligns with </w:t>
      </w:r>
      <w:r w:rsidR="000D5926" w:rsidRPr="00C16D1E">
        <w:rPr>
          <w:rFonts w:ascii="Times New Roman" w:eastAsia="Calibri" w:hAnsi="Times New Roman" w:cs="Times New Roman"/>
          <w:kern w:val="2"/>
          <w:sz w:val="20"/>
          <w:szCs w:val="20"/>
          <w14:ligatures w14:val="standardContextual"/>
        </w:rPr>
        <w:t>such</w:t>
      </w:r>
      <w:r w:rsidR="00E142FF" w:rsidRPr="00C16D1E">
        <w:rPr>
          <w:rFonts w:ascii="Times New Roman" w:eastAsia="Calibri" w:hAnsi="Times New Roman" w:cs="Times New Roman"/>
          <w:kern w:val="2"/>
          <w:sz w:val="20"/>
          <w:szCs w:val="20"/>
          <w14:ligatures w14:val="standardContextual"/>
        </w:rPr>
        <w:t xml:space="preserve"> studies </w:t>
      </w:r>
      <w:r w:rsidR="00357E75" w:rsidRPr="00C16D1E">
        <w:rPr>
          <w:rFonts w:ascii="Times New Roman" w:eastAsia="Calibri" w:hAnsi="Times New Roman" w:cs="Times New Roman"/>
          <w:kern w:val="2"/>
          <w:sz w:val="20"/>
          <w:szCs w:val="20"/>
          <w14:ligatures w14:val="standardContextual"/>
        </w:rPr>
        <w:t>of</w:t>
      </w:r>
      <w:r w:rsidR="00E142FF" w:rsidRPr="00C16D1E">
        <w:rPr>
          <w:rFonts w:ascii="Times New Roman" w:eastAsia="Calibri" w:hAnsi="Times New Roman" w:cs="Times New Roman"/>
          <w:kern w:val="2"/>
          <w:sz w:val="20"/>
          <w:szCs w:val="20"/>
          <w14:ligatures w14:val="standardContextual"/>
        </w:rPr>
        <w:t xml:space="preserve"> Kurtz and Brooks (2016)</w:t>
      </w:r>
      <w:r w:rsidR="00357E75" w:rsidRPr="00C16D1E">
        <w:rPr>
          <w:rFonts w:ascii="Times New Roman" w:eastAsia="Calibri" w:hAnsi="Times New Roman" w:cs="Times New Roman"/>
          <w:kern w:val="2"/>
          <w:sz w:val="20"/>
          <w:szCs w:val="20"/>
          <w14:ligatures w14:val="standardContextual"/>
        </w:rPr>
        <w:t>, which</w:t>
      </w:r>
      <w:r w:rsidR="00E142FF" w:rsidRPr="00C16D1E">
        <w:rPr>
          <w:rFonts w:ascii="Times New Roman" w:eastAsia="Calibri" w:hAnsi="Times New Roman" w:cs="Times New Roman"/>
          <w:kern w:val="2"/>
          <w:sz w:val="20"/>
          <w:szCs w:val="20"/>
          <w14:ligatures w14:val="standardContextual"/>
        </w:rPr>
        <w:t xml:space="preserve"> show that in some middle-income resource-exporting countries, rents are productively used when institutional capacity is sufficient. Similarly, conditional resource curse theory emphasi</w:t>
      </w:r>
      <w:r w:rsidR="00B13DB6" w:rsidRPr="00C16D1E">
        <w:rPr>
          <w:rFonts w:ascii="Times New Roman" w:eastAsia="Calibri" w:hAnsi="Times New Roman" w:cs="Times New Roman"/>
          <w:kern w:val="2"/>
          <w:sz w:val="20"/>
          <w:szCs w:val="20"/>
          <w14:ligatures w14:val="standardContextual"/>
        </w:rPr>
        <w:t>s</w:t>
      </w:r>
      <w:r w:rsidR="00E142FF" w:rsidRPr="00C16D1E">
        <w:rPr>
          <w:rFonts w:ascii="Times New Roman" w:eastAsia="Calibri" w:hAnsi="Times New Roman" w:cs="Times New Roman"/>
          <w:kern w:val="2"/>
          <w:sz w:val="20"/>
          <w:szCs w:val="20"/>
          <w14:ligatures w14:val="standardContextual"/>
        </w:rPr>
        <w:t xml:space="preserve">es that the impact of natural resources on institutions is contingent on policy choices and existing governance structures (Mehlum </w:t>
      </w:r>
      <w:r w:rsidR="00E142FF" w:rsidRPr="00C16D1E">
        <w:rPr>
          <w:rFonts w:ascii="Times New Roman" w:eastAsia="Calibri" w:hAnsi="Times New Roman" w:cs="Times New Roman"/>
          <w:i/>
          <w:kern w:val="2"/>
          <w:sz w:val="20"/>
          <w:szCs w:val="20"/>
          <w14:ligatures w14:val="standardContextual"/>
        </w:rPr>
        <w:t>et al</w:t>
      </w:r>
      <w:r w:rsidR="00E142FF" w:rsidRPr="00C16D1E">
        <w:rPr>
          <w:rFonts w:ascii="Times New Roman" w:eastAsia="Calibri" w:hAnsi="Times New Roman" w:cs="Times New Roman"/>
          <w:kern w:val="2"/>
          <w:sz w:val="20"/>
          <w:szCs w:val="20"/>
          <w14:ligatures w14:val="standardContextual"/>
        </w:rPr>
        <w:t xml:space="preserve">., 2006; Boschini </w:t>
      </w:r>
      <w:r w:rsidR="00E142FF" w:rsidRPr="00C16D1E">
        <w:rPr>
          <w:rFonts w:ascii="Times New Roman" w:eastAsia="Calibri" w:hAnsi="Times New Roman" w:cs="Times New Roman"/>
          <w:i/>
          <w:kern w:val="2"/>
          <w:sz w:val="20"/>
          <w:szCs w:val="20"/>
          <w14:ligatures w14:val="standardContextual"/>
        </w:rPr>
        <w:t>et al</w:t>
      </w:r>
      <w:r w:rsidR="00E142FF" w:rsidRPr="00C16D1E">
        <w:rPr>
          <w:rFonts w:ascii="Times New Roman" w:eastAsia="Calibri" w:hAnsi="Times New Roman" w:cs="Times New Roman"/>
          <w:kern w:val="2"/>
          <w:sz w:val="20"/>
          <w:szCs w:val="20"/>
          <w14:ligatures w14:val="standardContextual"/>
        </w:rPr>
        <w:t>., 2013). In Nigeria, intermittent reforms—such as anti-corruption drives under the Buhari and Tinubu administrations, the Extractive Industries Transparency Initiative (EITI) compliance since 2003, and the Petroleum Industry Act of 2021—provide institutional channels that partially mitigate the resource curse and may explain the weakly positive association observed.</w:t>
      </w:r>
    </w:p>
    <w:p w14:paraId="2B662795" w14:textId="77777777" w:rsidR="00530D4C" w:rsidRPr="00C16D1E" w:rsidRDefault="00530D4C" w:rsidP="00524050">
      <w:pPr>
        <w:jc w:val="both"/>
        <w:rPr>
          <w:rFonts w:ascii="Times New Roman" w:eastAsia="Calibri" w:hAnsi="Times New Roman" w:cs="Times New Roman"/>
          <w:kern w:val="2"/>
          <w:sz w:val="20"/>
          <w:szCs w:val="20"/>
          <w14:ligatures w14:val="standardContextual"/>
        </w:rPr>
      </w:pPr>
    </w:p>
    <w:p w14:paraId="54B59564" w14:textId="77777777" w:rsidR="00EB72EB" w:rsidRPr="00C16D1E" w:rsidRDefault="00EB72EB" w:rsidP="00524050">
      <w:pPr>
        <w:jc w:val="both"/>
        <w:rPr>
          <w:rFonts w:ascii="Times New Roman" w:eastAsia="Calibri" w:hAnsi="Times New Roman" w:cs="Times New Roman"/>
          <w:kern w:val="2"/>
          <w:sz w:val="20"/>
          <w:szCs w:val="20"/>
          <w:lang w:val="en-GB"/>
          <w14:ligatures w14:val="standardContextual"/>
        </w:rPr>
      </w:pPr>
      <w:r w:rsidRPr="00C16D1E">
        <w:rPr>
          <w:rFonts w:ascii="Times New Roman" w:eastAsia="Calibri" w:hAnsi="Times New Roman" w:cs="Times New Roman"/>
          <w:kern w:val="2"/>
          <w:sz w:val="20"/>
          <w:szCs w:val="20"/>
          <w:lang w:val="en-GB"/>
          <w14:ligatures w14:val="standardContextual"/>
        </w:rPr>
        <w:t>Complementary factors influence the long-run effect on institutional quality, with gross fixed capital formation and secondary school enrolment positively impacting governance. Education fosters civic engagement and accountability. In contrast, GDP per capita negatively correlates with institutional quality, indicating elite capture from non-inclusive growth. Short-run dynamics show that immediate fiscal inflows can temporarily enhance governance, but lagged effects can undermine institutions due to volatility. Granger causality indicates no short-run predictive relationship between resource flows and institutional changes, supporting findings of institutional inertia in resource-dependent economies, particularly in Nigeria, where current governance reforms aim to mitigate these effects.</w:t>
      </w:r>
    </w:p>
    <w:p w14:paraId="11E6C086" w14:textId="3906CB64" w:rsidR="00E142FF" w:rsidRPr="00C16D1E" w:rsidRDefault="00E142FF"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14:ligatures w14:val="standardContextual"/>
        </w:rPr>
        <w:t xml:space="preserve"> (World Bank, 2024; Natural Resource Governance Institute, 2023).</w:t>
      </w:r>
    </w:p>
    <w:p w14:paraId="4AF3DAE9" w14:textId="77777777" w:rsidR="00530D4C" w:rsidRPr="00C16D1E" w:rsidRDefault="00530D4C" w:rsidP="00524050">
      <w:pPr>
        <w:jc w:val="both"/>
        <w:rPr>
          <w:rFonts w:ascii="Times New Roman" w:eastAsia="Calibri" w:hAnsi="Times New Roman" w:cs="Times New Roman"/>
          <w:kern w:val="2"/>
          <w:sz w:val="20"/>
          <w:szCs w:val="20"/>
          <w14:ligatures w14:val="standardContextual"/>
        </w:rPr>
      </w:pPr>
    </w:p>
    <w:p w14:paraId="5C748FF2" w14:textId="327173CD" w:rsidR="00E142FF" w:rsidRPr="00C16D1E" w:rsidRDefault="00E142FF" w:rsidP="00524050">
      <w:pPr>
        <w:jc w:val="both"/>
        <w:rPr>
          <w:rFonts w:ascii="Times New Roman" w:eastAsia="Calibri" w:hAnsi="Times New Roman" w:cs="Times New Roman"/>
          <w:kern w:val="2"/>
          <w:sz w:val="20"/>
          <w:szCs w:val="20"/>
          <w14:ligatures w14:val="standardContextual"/>
        </w:rPr>
      </w:pPr>
      <w:r w:rsidRPr="00C16D1E">
        <w:rPr>
          <w:rFonts w:ascii="Times New Roman" w:eastAsia="Calibri" w:hAnsi="Times New Roman" w:cs="Times New Roman"/>
          <w:kern w:val="2"/>
          <w:sz w:val="20"/>
          <w:szCs w:val="20"/>
          <w14:ligatures w14:val="standardContextual"/>
        </w:rPr>
        <w:t>Despite contradicting the classical resource curse literature—which predicts that resource dependence systematically undermines institutions through rent-seeking, corruption, and reduced accountability (Ross, 2015; Bhattacharyya &amp; Hodler, 2014)—th</w:t>
      </w:r>
      <w:r w:rsidR="00A301F2" w:rsidRPr="00C16D1E">
        <w:rPr>
          <w:rFonts w:ascii="Times New Roman" w:eastAsia="Calibri" w:hAnsi="Times New Roman" w:cs="Times New Roman"/>
          <w:kern w:val="2"/>
          <w:sz w:val="20"/>
          <w:szCs w:val="20"/>
          <w14:ligatures w14:val="standardContextual"/>
        </w:rPr>
        <w:t>ese findings</w:t>
      </w:r>
      <w:r w:rsidRPr="00C16D1E">
        <w:rPr>
          <w:rFonts w:ascii="Times New Roman" w:eastAsia="Calibri" w:hAnsi="Times New Roman" w:cs="Times New Roman"/>
          <w:kern w:val="2"/>
          <w:sz w:val="20"/>
          <w:szCs w:val="20"/>
          <w14:ligatures w14:val="standardContextual"/>
        </w:rPr>
        <w:t xml:space="preserve"> highlight that resource abundance does not uniformly erode institutional quality. Historical evidence from Nigeria shows periods where oil rents facilitated improvements in fiscal management, transparency, and administrative capacity, supporting the conditional resource curse perspective (Boschini </w:t>
      </w:r>
      <w:r w:rsidRPr="00C16D1E">
        <w:rPr>
          <w:rFonts w:ascii="Times New Roman" w:eastAsia="Calibri" w:hAnsi="Times New Roman" w:cs="Times New Roman"/>
          <w:i/>
          <w:kern w:val="2"/>
          <w:sz w:val="20"/>
          <w:szCs w:val="20"/>
          <w14:ligatures w14:val="standardContextual"/>
        </w:rPr>
        <w:t>et al</w:t>
      </w:r>
      <w:r w:rsidRPr="00C16D1E">
        <w:rPr>
          <w:rFonts w:ascii="Times New Roman" w:eastAsia="Calibri" w:hAnsi="Times New Roman" w:cs="Times New Roman"/>
          <w:kern w:val="2"/>
          <w:sz w:val="20"/>
          <w:szCs w:val="20"/>
          <w14:ligatures w14:val="standardContextual"/>
        </w:rPr>
        <w:t>., 2013; van der Ploeg, 2021</w:t>
      </w:r>
      <w:r w:rsidR="005F7AFB" w:rsidRPr="00C16D1E">
        <w:rPr>
          <w:rFonts w:ascii="Times New Roman" w:eastAsia="Calibri" w:hAnsi="Times New Roman" w:cs="Times New Roman"/>
          <w:kern w:val="2"/>
          <w:sz w:val="20"/>
          <w:szCs w:val="20"/>
          <w14:ligatures w14:val="standardContextual"/>
        </w:rPr>
        <w:t>b</w:t>
      </w:r>
      <w:r w:rsidRPr="00C16D1E">
        <w:rPr>
          <w:rFonts w:ascii="Times New Roman" w:eastAsia="Calibri" w:hAnsi="Times New Roman" w:cs="Times New Roman"/>
          <w:kern w:val="2"/>
          <w:sz w:val="20"/>
          <w:szCs w:val="20"/>
          <w14:ligatures w14:val="standardContextual"/>
        </w:rPr>
        <w:t>). Short-run negative effects reflect volatility-induced governance stress rather than permanent institutional decline, while long-run gains illustrate that appropriate fiscal and policy measures can leverage resource rents to improve governance outcomes.</w:t>
      </w:r>
    </w:p>
    <w:p w14:paraId="3D014504" w14:textId="77777777" w:rsidR="00BA4FCB" w:rsidRPr="00C16D1E" w:rsidRDefault="00BA4FCB" w:rsidP="00524050">
      <w:pPr>
        <w:jc w:val="center"/>
        <w:rPr>
          <w:rFonts w:ascii="Times New Roman" w:eastAsia="Times New Roman" w:hAnsi="Times New Roman" w:cs="Times New Roman"/>
          <w:b/>
          <w:bCs/>
          <w:sz w:val="20"/>
          <w:szCs w:val="20"/>
          <w:lang w:val="en-GB" w:eastAsia="en-GB"/>
        </w:rPr>
      </w:pPr>
    </w:p>
    <w:p w14:paraId="054BB082" w14:textId="421F11F9" w:rsidR="00E142FF" w:rsidRPr="00C16D1E" w:rsidRDefault="00E142FF" w:rsidP="00524050">
      <w:pPr>
        <w:jc w:val="center"/>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SUMMARY, CONCLUSION AND RECOMMENDATION</w:t>
      </w:r>
    </w:p>
    <w:p w14:paraId="0BDE8226" w14:textId="77777777" w:rsidR="007D1649" w:rsidRPr="00C16D1E" w:rsidRDefault="007D1649" w:rsidP="00524050">
      <w:pPr>
        <w:jc w:val="both"/>
        <w:rPr>
          <w:rFonts w:ascii="Times New Roman" w:eastAsia="Times New Roman" w:hAnsi="Times New Roman" w:cs="Times New Roman"/>
          <w:b/>
          <w:bCs/>
          <w:sz w:val="20"/>
          <w:szCs w:val="20"/>
          <w:lang w:val="en-GB" w:eastAsia="en-GB"/>
        </w:rPr>
      </w:pPr>
    </w:p>
    <w:p w14:paraId="277F3558" w14:textId="2C532A61" w:rsidR="00E142FF" w:rsidRPr="00C16D1E" w:rsidRDefault="009162C4" w:rsidP="009162C4">
      <w:pPr>
        <w:jc w:val="both"/>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6.</w:t>
      </w:r>
      <w:r w:rsidR="00E142FF" w:rsidRPr="00C16D1E">
        <w:rPr>
          <w:rFonts w:ascii="Times New Roman" w:eastAsia="Times New Roman" w:hAnsi="Times New Roman" w:cs="Times New Roman"/>
          <w:b/>
          <w:bCs/>
          <w:sz w:val="20"/>
          <w:szCs w:val="20"/>
          <w:lang w:val="en-GB" w:eastAsia="en-GB"/>
        </w:rPr>
        <w:t xml:space="preserve"> Policy Implications</w:t>
      </w:r>
    </w:p>
    <w:p w14:paraId="562E2EB5" w14:textId="3C2885F2" w:rsidR="00876D72" w:rsidRPr="00C16D1E" w:rsidRDefault="00E142FF" w:rsidP="00524050">
      <w:pPr>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lang w:val="en-GB" w:eastAsia="en-GB"/>
        </w:rPr>
        <w:t>The empirical findings of this study provide clear guidance for policymakers on harnessing Nigeria’s natural resource wealth.</w:t>
      </w:r>
    </w:p>
    <w:p w14:paraId="44C2C95E" w14:textId="2C47DF8D" w:rsidR="00E142FF" w:rsidRPr="00C16D1E" w:rsidRDefault="00876D72" w:rsidP="00524050">
      <w:pPr>
        <w:spacing w:before="100" w:beforeAutospacing="1" w:after="100" w:afterAutospacing="1"/>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w:t>
      </w:r>
      <w:r w:rsidR="00E142FF" w:rsidRPr="00C16D1E">
        <w:rPr>
          <w:rFonts w:ascii="Times New Roman" w:eastAsia="Times New Roman" w:hAnsi="Times New Roman" w:cs="Times New Roman"/>
          <w:sz w:val="20"/>
          <w:szCs w:val="20"/>
        </w:rPr>
        <w:t xml:space="preserve">he weakly positive long-run effect of natural resource </w:t>
      </w:r>
      <w:r w:rsidR="002C6583" w:rsidRPr="00C16D1E">
        <w:rPr>
          <w:rFonts w:ascii="Times New Roman" w:eastAsia="Times New Roman" w:hAnsi="Times New Roman" w:cs="Times New Roman"/>
          <w:sz w:val="20"/>
          <w:szCs w:val="20"/>
        </w:rPr>
        <w:t>endowments on institutional quality suggests that policymakers should prioritise mechanisms to channel resource revenues toward</w:t>
      </w:r>
      <w:r w:rsidR="00E142FF" w:rsidRPr="00C16D1E">
        <w:rPr>
          <w:rFonts w:ascii="Times New Roman" w:eastAsia="Times New Roman" w:hAnsi="Times New Roman" w:cs="Times New Roman"/>
          <w:sz w:val="20"/>
          <w:szCs w:val="20"/>
        </w:rPr>
        <w:t xml:space="preserve"> strengthening governance structures. Institutional reforms, including enhanced fiscal transparency, anti-corruption initiatives, and robust public financial management, are critical to ensuring that resource wealth contributes to durable improvements in administrative and regulatory systems. The short-run negative effect of lagged resource changes underscores the need for policies that buffer institutions </w:t>
      </w:r>
      <w:r w:rsidR="002C6583" w:rsidRPr="00C16D1E">
        <w:rPr>
          <w:rFonts w:ascii="Times New Roman" w:eastAsia="Times New Roman" w:hAnsi="Times New Roman" w:cs="Times New Roman"/>
          <w:sz w:val="20"/>
          <w:szCs w:val="20"/>
        </w:rPr>
        <w:t>against revenue volatility, such as fiscal stabilisation funds, clear budgeting rules, and improved monitoring of extractive-sector</w:t>
      </w:r>
      <w:r w:rsidR="00E142FF" w:rsidRPr="00C16D1E">
        <w:rPr>
          <w:rFonts w:ascii="Times New Roman" w:eastAsia="Times New Roman" w:hAnsi="Times New Roman" w:cs="Times New Roman"/>
          <w:sz w:val="20"/>
          <w:szCs w:val="20"/>
        </w:rPr>
        <w:t xml:space="preserve"> revenues. By mitigating the disruptive effects of short-term resource shocks, Nigeria can transform resource rents into long-term institutional gains.</w:t>
      </w:r>
    </w:p>
    <w:p w14:paraId="278C766E" w14:textId="329F8E38"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Conclusion</w:t>
      </w:r>
    </w:p>
    <w:p w14:paraId="23BD4C75" w14:textId="77777777" w:rsidR="00C0303A"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The study established that natural resource endowment significantly shapes economic performance and institutional quality in Nigeria. The findings demonstrate that while resource wealth contributes positively to long-run income growth and institutional development, these benefits are highly contingent upon the presence of strong governance frameworks and human capital accumulation. Short-run volatility in resource revenues can temporarily weaken institutions and output, underscorin</w:t>
      </w:r>
      <w:r w:rsidR="002553ED" w:rsidRPr="00C16D1E">
        <w:rPr>
          <w:rFonts w:ascii="Times New Roman" w:eastAsia="Times New Roman" w:hAnsi="Times New Roman" w:cs="Times New Roman"/>
          <w:sz w:val="20"/>
          <w:szCs w:val="20"/>
          <w:lang w:val="en-GB" w:eastAsia="en-GB"/>
        </w:rPr>
        <w:t>g the critical need for stabilis</w:t>
      </w:r>
      <w:r w:rsidRPr="00C16D1E">
        <w:rPr>
          <w:rFonts w:ascii="Times New Roman" w:eastAsia="Times New Roman" w:hAnsi="Times New Roman" w:cs="Times New Roman"/>
          <w:sz w:val="20"/>
          <w:szCs w:val="20"/>
          <w:lang w:val="en-GB" w:eastAsia="en-GB"/>
        </w:rPr>
        <w:t xml:space="preserve">ation mechanisms such as sovereign wealth funds, counter-cyclical fiscal policies, and transparent fiscal management. The positive interaction between resource endowment and institutional quality highlights that effective governance amplifies the growth-enhancing effects of resource wealth, while investments in education and infrastructure further strengthen this relationship. </w:t>
      </w:r>
    </w:p>
    <w:p w14:paraId="52A83380" w14:textId="71D216B0"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Overall, the study provides robust evidence that sustainable and inclusive economic development in resource-dependent economies like Nigeria requires a coordinated approach</w:t>
      </w:r>
      <w:r w:rsidR="002C6583" w:rsidRPr="00C16D1E">
        <w:rPr>
          <w:rFonts w:ascii="Times New Roman" w:eastAsia="Times New Roman" w:hAnsi="Times New Roman" w:cs="Times New Roman"/>
          <w:sz w:val="20"/>
          <w:szCs w:val="20"/>
          <w:lang w:val="en-GB" w:eastAsia="en-GB"/>
        </w:rPr>
        <w:t xml:space="preserve"> in which</w:t>
      </w:r>
      <w:r w:rsidRPr="00C16D1E">
        <w:rPr>
          <w:rFonts w:ascii="Times New Roman" w:eastAsia="Times New Roman" w:hAnsi="Times New Roman" w:cs="Times New Roman"/>
          <w:sz w:val="20"/>
          <w:szCs w:val="20"/>
          <w:lang w:val="en-GB" w:eastAsia="en-GB"/>
        </w:rPr>
        <w:t xml:space="preserve"> natural resources, institutional quality, and human capital jointly underpin long-term growth.</w:t>
      </w:r>
    </w:p>
    <w:p w14:paraId="17088B5C" w14:textId="77777777" w:rsidR="007D1649" w:rsidRPr="00C16D1E" w:rsidRDefault="007D1649" w:rsidP="00524050">
      <w:pPr>
        <w:jc w:val="both"/>
        <w:rPr>
          <w:rFonts w:ascii="Times New Roman" w:eastAsia="Times New Roman" w:hAnsi="Times New Roman" w:cs="Times New Roman"/>
          <w:b/>
          <w:bCs/>
          <w:sz w:val="20"/>
          <w:szCs w:val="20"/>
          <w:lang w:val="en-GB" w:eastAsia="en-GB"/>
        </w:rPr>
      </w:pPr>
    </w:p>
    <w:p w14:paraId="19CC91AA" w14:textId="17DACBA2"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lastRenderedPageBreak/>
        <w:t xml:space="preserve"> Recommendations</w:t>
      </w:r>
    </w:p>
    <w:p w14:paraId="2670B0A2" w14:textId="77777777" w:rsidR="00722346" w:rsidRPr="00C16D1E" w:rsidRDefault="00722346"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Findings challenge classical resource curse theory, indicating that policymakers should channel resource revenues into improving governance and institutions. Recommended strategies include boosting transparency, anti-corruption efforts, regulatory capacity, and accountability, alongside infrastructure and human capital investments. This approach aims to leverage Nigeria's resource wealth for sustainable development while mitigating vulnerabilities. Short-run negative impacts of resource endowment on economic performance underscore the need for integrated policies that enhance institutions, diversify the economy, and strategically manage resources for long-term growth.</w:t>
      </w:r>
    </w:p>
    <w:p w14:paraId="534F97BD" w14:textId="77777777" w:rsidR="005C45FF" w:rsidRPr="00C16D1E" w:rsidRDefault="005C45FF" w:rsidP="00524050">
      <w:pPr>
        <w:jc w:val="both"/>
        <w:rPr>
          <w:rFonts w:ascii="Times New Roman" w:eastAsia="Times New Roman" w:hAnsi="Times New Roman" w:cs="Times New Roman"/>
          <w:sz w:val="20"/>
          <w:szCs w:val="20"/>
          <w:lang w:val="en-GB" w:eastAsia="en-GB"/>
        </w:rPr>
      </w:pPr>
    </w:p>
    <w:p w14:paraId="09DB6A2B" w14:textId="0CFCA94A"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Contribution to Knowledge</w:t>
      </w:r>
    </w:p>
    <w:p w14:paraId="4184A6A6" w14:textId="3A694C52"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This study demonstrates that resources can weakly support institutional quality over time and highlights the moderating role of institutions in translating resource wealth into growth. The interaction analysis shows that coordinated policy, governance, and human capital development are essential </w:t>
      </w:r>
      <w:r w:rsidR="002C6583" w:rsidRPr="00C16D1E">
        <w:rPr>
          <w:rFonts w:ascii="Times New Roman" w:eastAsia="Times New Roman" w:hAnsi="Times New Roman" w:cs="Times New Roman"/>
          <w:sz w:val="20"/>
          <w:szCs w:val="20"/>
          <w:lang w:val="en-GB" w:eastAsia="en-GB"/>
        </w:rPr>
        <w:t>for harnessing the benefits of resources and mitigating</w:t>
      </w:r>
      <w:r w:rsidRPr="00C16D1E">
        <w:rPr>
          <w:rFonts w:ascii="Times New Roman" w:eastAsia="Times New Roman" w:hAnsi="Times New Roman" w:cs="Times New Roman"/>
          <w:sz w:val="20"/>
          <w:szCs w:val="20"/>
          <w:lang w:val="en-GB" w:eastAsia="en-GB"/>
        </w:rPr>
        <w:t xml:space="preserve"> short-run disruptions. By integrating ARDL, ECM, and Granger causality techniques, the study refines the conditional resource curse hypothesis, </w:t>
      </w:r>
      <w:r w:rsidR="005B45BA" w:rsidRPr="00C16D1E">
        <w:rPr>
          <w:rFonts w:ascii="Times New Roman" w:eastAsia="Times New Roman" w:hAnsi="Times New Roman" w:cs="Times New Roman"/>
          <w:sz w:val="20"/>
          <w:szCs w:val="20"/>
          <w:lang w:val="en-GB" w:eastAsia="en-GB"/>
        </w:rPr>
        <w:t>emphasising</w:t>
      </w:r>
      <w:r w:rsidRPr="00C16D1E">
        <w:rPr>
          <w:rFonts w:ascii="Times New Roman" w:eastAsia="Times New Roman" w:hAnsi="Times New Roman" w:cs="Times New Roman"/>
          <w:sz w:val="20"/>
          <w:szCs w:val="20"/>
          <w:lang w:val="en-GB" w:eastAsia="en-GB"/>
        </w:rPr>
        <w:t xml:space="preserve"> that resource wealth can drive long-term, inclusive, and stable development when effectively managed.</w:t>
      </w:r>
    </w:p>
    <w:p w14:paraId="2D6E7944" w14:textId="77777777" w:rsidR="007D1649" w:rsidRPr="00C16D1E" w:rsidRDefault="007D1649" w:rsidP="00524050">
      <w:pPr>
        <w:jc w:val="both"/>
        <w:rPr>
          <w:rFonts w:ascii="Times New Roman" w:eastAsia="Times New Roman" w:hAnsi="Times New Roman" w:cs="Times New Roman"/>
          <w:sz w:val="20"/>
          <w:szCs w:val="20"/>
          <w:lang w:val="en-GB" w:eastAsia="en-GB"/>
        </w:rPr>
      </w:pPr>
    </w:p>
    <w:p w14:paraId="18F9FC88" w14:textId="34BAF5FE" w:rsidR="00E142FF" w:rsidRPr="00C16D1E" w:rsidRDefault="00E142FF" w:rsidP="00524050">
      <w:pPr>
        <w:jc w:val="both"/>
        <w:rPr>
          <w:rFonts w:ascii="Times New Roman" w:eastAsia="Times New Roman" w:hAnsi="Times New Roman" w:cs="Times New Roman"/>
          <w:b/>
          <w:bCs/>
          <w:sz w:val="20"/>
          <w:szCs w:val="20"/>
          <w:lang w:val="en-GB" w:eastAsia="en-GB"/>
        </w:rPr>
      </w:pPr>
      <w:r w:rsidRPr="00C16D1E">
        <w:rPr>
          <w:rFonts w:ascii="Times New Roman" w:eastAsia="Times New Roman" w:hAnsi="Times New Roman" w:cs="Times New Roman"/>
          <w:b/>
          <w:bCs/>
          <w:sz w:val="20"/>
          <w:szCs w:val="20"/>
          <w:lang w:val="en-GB" w:eastAsia="en-GB"/>
        </w:rPr>
        <w:t xml:space="preserve"> Suggestions for Further Studies</w:t>
      </w:r>
    </w:p>
    <w:p w14:paraId="4959B929" w14:textId="1C0D6D2E" w:rsidR="00E142FF" w:rsidRPr="00C16D1E" w:rsidRDefault="00E142FF" w:rsidP="00524050">
      <w:pPr>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Future research could examine state-level heterogeneity in institutional quality and its effect on resource-driven growth. Additionally, studies could investigate </w:t>
      </w:r>
      <w:r w:rsidR="002C6583" w:rsidRPr="00C16D1E">
        <w:rPr>
          <w:rFonts w:ascii="Times New Roman" w:eastAsia="Times New Roman" w:hAnsi="Times New Roman" w:cs="Times New Roman"/>
          <w:sz w:val="20"/>
          <w:szCs w:val="20"/>
          <w:lang w:val="en-GB" w:eastAsia="en-GB"/>
        </w:rPr>
        <w:t>how global commodity price shocks interact with domestic governance structures, providing more insight into</w:t>
      </w:r>
      <w:r w:rsidRPr="00C16D1E">
        <w:rPr>
          <w:rFonts w:ascii="Times New Roman" w:eastAsia="Times New Roman" w:hAnsi="Times New Roman" w:cs="Times New Roman"/>
          <w:sz w:val="20"/>
          <w:szCs w:val="20"/>
          <w:lang w:val="en-GB" w:eastAsia="en-GB"/>
        </w:rPr>
        <w:t xml:space="preserve"> resource management policies. </w:t>
      </w:r>
    </w:p>
    <w:p w14:paraId="500B4A9D" w14:textId="77777777" w:rsidR="005C45FF" w:rsidRPr="00C16D1E" w:rsidRDefault="005C45FF" w:rsidP="00524050">
      <w:pPr>
        <w:tabs>
          <w:tab w:val="left" w:pos="4028"/>
          <w:tab w:val="center" w:pos="4680"/>
        </w:tabs>
        <w:spacing w:after="200"/>
        <w:jc w:val="center"/>
        <w:rPr>
          <w:rFonts w:ascii="Times New Roman" w:hAnsi="Times New Roman" w:cs="Times New Roman"/>
          <w:b/>
          <w:sz w:val="20"/>
          <w:szCs w:val="20"/>
        </w:rPr>
      </w:pPr>
    </w:p>
    <w:p w14:paraId="114394B0" w14:textId="4EF96101" w:rsidR="004F79A4" w:rsidRPr="00C16D1E" w:rsidRDefault="004F79A4" w:rsidP="00524050">
      <w:pPr>
        <w:tabs>
          <w:tab w:val="left" w:pos="4028"/>
          <w:tab w:val="center" w:pos="4680"/>
        </w:tabs>
        <w:spacing w:after="200"/>
        <w:jc w:val="center"/>
        <w:rPr>
          <w:rFonts w:ascii="Times New Roman" w:eastAsia="Times New Roman" w:hAnsi="Times New Roman" w:cs="Times New Roman"/>
          <w:sz w:val="20"/>
          <w:szCs w:val="20"/>
          <w:lang w:eastAsia="en-GB"/>
        </w:rPr>
      </w:pPr>
      <w:r w:rsidRPr="00C16D1E">
        <w:rPr>
          <w:rFonts w:ascii="Times New Roman" w:hAnsi="Times New Roman" w:cs="Times New Roman"/>
          <w:b/>
          <w:sz w:val="20"/>
          <w:szCs w:val="20"/>
        </w:rPr>
        <w:t>References:</w:t>
      </w:r>
    </w:p>
    <w:p w14:paraId="24CCBFAA" w14:textId="3D51D55B"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Abdulrazak, S. A., Umo, E. J., &amp; Coker, A. (2016). Economic Valuation of Mangrove       Ecosystem Services in Nigeria. </w:t>
      </w:r>
      <w:r w:rsidRPr="00C16D1E">
        <w:rPr>
          <w:rFonts w:ascii="Times New Roman" w:hAnsi="Times New Roman" w:cs="Times New Roman"/>
          <w:i/>
          <w:sz w:val="20"/>
          <w:szCs w:val="20"/>
        </w:rPr>
        <w:t>International Journal of Conservation Science</w:t>
      </w:r>
      <w:r w:rsidRPr="00C16D1E">
        <w:rPr>
          <w:rFonts w:ascii="Times New Roman" w:hAnsi="Times New Roman" w:cs="Times New Roman"/>
          <w:sz w:val="20"/>
          <w:szCs w:val="20"/>
        </w:rPr>
        <w:t>, 7(2), 323</w:t>
      </w:r>
      <w:r w:rsidR="002C6583" w:rsidRPr="00C16D1E">
        <w:rPr>
          <w:rFonts w:ascii="Times New Roman" w:hAnsi="Times New Roman" w:cs="Times New Roman"/>
          <w:sz w:val="20"/>
          <w:szCs w:val="20"/>
        </w:rPr>
        <w:t>–</w:t>
      </w:r>
      <w:r w:rsidRPr="00C16D1E">
        <w:rPr>
          <w:rFonts w:ascii="Times New Roman" w:hAnsi="Times New Roman" w:cs="Times New Roman"/>
          <w:sz w:val="20"/>
          <w:szCs w:val="20"/>
        </w:rPr>
        <w:t>334.</w:t>
      </w:r>
    </w:p>
    <w:p w14:paraId="5DE193FA"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Abere, S., &amp; Akinbobola, T. (2020). External Shocks, Institutional Quality, and Macroeconomic </w:t>
      </w:r>
      <w:r w:rsidRPr="00C16D1E">
        <w:rPr>
          <w:rFonts w:ascii="Times New Roman" w:hAnsi="Times New Roman" w:cs="Times New Roman"/>
          <w:sz w:val="20"/>
          <w:szCs w:val="20"/>
        </w:rPr>
        <w:tab/>
        <w:t>Performance in Nigeria.</w:t>
      </w:r>
    </w:p>
    <w:p w14:paraId="31F6D90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Abubakar, S. (2020). Institutional Quality and Economic Growth: Evidence from Nigeria. </w:t>
      </w:r>
      <w:r w:rsidRPr="00C16D1E">
        <w:rPr>
          <w:rFonts w:ascii="Times New Roman" w:hAnsi="Times New Roman" w:cs="Times New Roman"/>
          <w:sz w:val="20"/>
          <w:szCs w:val="20"/>
        </w:rPr>
        <w:tab/>
      </w:r>
      <w:r w:rsidRPr="00C16D1E">
        <w:rPr>
          <w:rFonts w:ascii="Times New Roman" w:hAnsi="Times New Roman" w:cs="Times New Roman"/>
          <w:i/>
          <w:sz w:val="20"/>
          <w:szCs w:val="20"/>
        </w:rPr>
        <w:t>African Journal of Economic Review</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Volume VIII</w:t>
      </w:r>
      <w:r w:rsidRPr="00C16D1E">
        <w:rPr>
          <w:rFonts w:ascii="Times New Roman" w:hAnsi="Times New Roman" w:cs="Times New Roman"/>
          <w:sz w:val="20"/>
          <w:szCs w:val="20"/>
        </w:rPr>
        <w:t xml:space="preserve">, Issue I. </w:t>
      </w:r>
    </w:p>
    <w:p w14:paraId="65EFC684" w14:textId="4B0D45B6"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shd w:val="clear" w:color="auto" w:fill="FFFFFF"/>
        </w:rPr>
        <w:t xml:space="preserve">Acemoglu, D., Johnson, S., &amp; Robinson, J. A. (2001). The Colonial Origins of Comparative </w:t>
      </w:r>
      <w:r w:rsidRPr="00C16D1E">
        <w:rPr>
          <w:rFonts w:ascii="Times New Roman" w:hAnsi="Times New Roman" w:cs="Times New Roman"/>
          <w:sz w:val="20"/>
          <w:szCs w:val="20"/>
          <w:shd w:val="clear" w:color="auto" w:fill="FFFFFF"/>
        </w:rPr>
        <w:tab/>
        <w:t xml:space="preserve">Development: An Empirical Investigation. The American Economic Review, 91(5), </w:t>
      </w:r>
      <w:r w:rsidRPr="00C16D1E">
        <w:rPr>
          <w:rFonts w:ascii="Times New Roman" w:hAnsi="Times New Roman" w:cs="Times New Roman"/>
          <w:sz w:val="20"/>
          <w:szCs w:val="20"/>
          <w:shd w:val="clear" w:color="auto" w:fill="FFFFFF"/>
        </w:rPr>
        <w:tab/>
        <w:t>1369</w:t>
      </w:r>
      <w:r w:rsidR="009414B4" w:rsidRPr="00C16D1E">
        <w:rPr>
          <w:rFonts w:ascii="Times New Roman" w:hAnsi="Times New Roman" w:cs="Times New Roman"/>
          <w:sz w:val="20"/>
          <w:szCs w:val="20"/>
          <w:shd w:val="clear" w:color="auto" w:fill="FFFFFF"/>
        </w:rPr>
        <w:t>–</w:t>
      </w:r>
      <w:r w:rsidRPr="00C16D1E">
        <w:rPr>
          <w:rFonts w:ascii="Times New Roman" w:hAnsi="Times New Roman" w:cs="Times New Roman"/>
          <w:sz w:val="20"/>
          <w:szCs w:val="20"/>
          <w:shd w:val="clear" w:color="auto" w:fill="FFFFFF"/>
        </w:rPr>
        <w:t>1401.</w:t>
      </w:r>
    </w:p>
    <w:p w14:paraId="3A9F96E9"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Acemoglu, D. (2003). Root causes: A historical approach to assessing the role of institutions in economic development. Finance and Development, 40 (2), 27–43.</w:t>
      </w:r>
    </w:p>
    <w:p w14:paraId="176D4423"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Acemoglu, D., Johnson, S., &amp; Robinson, J. A. (2004). Institutions as a Fundamental Cause of </w:t>
      </w:r>
      <w:r w:rsidRPr="00C16D1E">
        <w:rPr>
          <w:rFonts w:ascii="Times New Roman" w:eastAsia="Times New Roman" w:hAnsi="Times New Roman" w:cs="Times New Roman"/>
          <w:sz w:val="20"/>
          <w:szCs w:val="20"/>
        </w:rPr>
        <w:tab/>
        <w:t xml:space="preserve">Long-Run Growth. Handbook of Economic Growth, 1, 385-472. </w:t>
      </w:r>
      <w:r w:rsidRPr="00C16D1E">
        <w:rPr>
          <w:rFonts w:ascii="Times New Roman" w:eastAsia="Times New Roman" w:hAnsi="Times New Roman" w:cs="Times New Roman"/>
          <w:sz w:val="20"/>
          <w:szCs w:val="20"/>
        </w:rPr>
        <w:tab/>
      </w:r>
      <w:hyperlink r:id="rId12" w:history="1">
        <w:r w:rsidRPr="00C16D1E">
          <w:rPr>
            <w:rFonts w:ascii="Times New Roman" w:eastAsia="Times New Roman" w:hAnsi="Times New Roman" w:cs="Times New Roman"/>
            <w:sz w:val="20"/>
            <w:szCs w:val="20"/>
          </w:rPr>
          <w:t>https://doi.org/10.1016/S1574-0684(05)01006-3</w:t>
        </w:r>
      </w:hyperlink>
      <w:r w:rsidRPr="00C16D1E">
        <w:rPr>
          <w:rFonts w:ascii="Times New Roman" w:eastAsia="Times New Roman" w:hAnsi="Times New Roman" w:cs="Times New Roman"/>
          <w:sz w:val="20"/>
          <w:szCs w:val="20"/>
        </w:rPr>
        <w:t>.</w:t>
      </w:r>
    </w:p>
    <w:p w14:paraId="55DB9DDF"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Acemoglu, D., Johnson, S., &amp; Robinson, J. A. (2005). Institutions as a fundamental cause of long-run growth. In P. Aghion &amp; S. N. Durlauf (Eds.), </w:t>
      </w:r>
      <w:r w:rsidRPr="00C16D1E">
        <w:rPr>
          <w:rFonts w:ascii="Times New Roman" w:eastAsia="Times New Roman" w:hAnsi="Times New Roman" w:cs="Times New Roman"/>
          <w:i/>
          <w:iCs/>
          <w:sz w:val="20"/>
          <w:szCs w:val="20"/>
          <w:lang w:eastAsia="en-GB"/>
        </w:rPr>
        <w:t>Handbook of economic growth</w:t>
      </w:r>
      <w:r w:rsidRPr="00C16D1E">
        <w:rPr>
          <w:rFonts w:ascii="Times New Roman" w:eastAsia="Times New Roman" w:hAnsi="Times New Roman" w:cs="Times New Roman"/>
          <w:sz w:val="20"/>
          <w:szCs w:val="20"/>
          <w:lang w:eastAsia="en-GB"/>
        </w:rPr>
        <w:t xml:space="preserve"> (Vol. 1A, pp. 385–472). Elsevier. </w:t>
      </w:r>
    </w:p>
    <w:p w14:paraId="654465D3"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Acemoglu, D., Simon, J., Robinson, J. A., &amp; Pierre, Y. (2008). “Income and Democracy.” </w:t>
      </w:r>
      <w:r w:rsidRPr="00C16D1E">
        <w:rPr>
          <w:rFonts w:ascii="Times New Roman" w:hAnsi="Times New Roman" w:cs="Times New Roman"/>
          <w:sz w:val="20"/>
          <w:szCs w:val="20"/>
        </w:rPr>
        <w:tab/>
      </w:r>
      <w:r w:rsidRPr="00C16D1E">
        <w:rPr>
          <w:rFonts w:ascii="Times New Roman" w:hAnsi="Times New Roman" w:cs="Times New Roman"/>
          <w:i/>
          <w:sz w:val="20"/>
          <w:szCs w:val="20"/>
        </w:rPr>
        <w:t>American Economic Review</w:t>
      </w:r>
      <w:r w:rsidRPr="00C16D1E">
        <w:rPr>
          <w:rFonts w:ascii="Times New Roman" w:hAnsi="Times New Roman" w:cs="Times New Roman"/>
          <w:sz w:val="20"/>
          <w:szCs w:val="20"/>
        </w:rPr>
        <w:t>, 98(3): 808–42.</w:t>
      </w:r>
    </w:p>
    <w:p w14:paraId="0C034C7D"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Acemoglu, D. (2012). Introduction to Modern Economic Growth. Princeton University Press.</w:t>
      </w:r>
    </w:p>
    <w:p w14:paraId="7599FC0C"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Acemoglu, D., &amp; Robinson, J. A. (2012). Why Nations Fail: The origins of power, </w:t>
      </w:r>
      <w:r w:rsidRPr="00C16D1E">
        <w:rPr>
          <w:rFonts w:ascii="Times New Roman" w:hAnsi="Times New Roman" w:cs="Times New Roman"/>
          <w:sz w:val="20"/>
          <w:szCs w:val="20"/>
        </w:rPr>
        <w:tab/>
        <w:t>prosperity and poverty. New York: Crown Publishers.</w:t>
      </w:r>
    </w:p>
    <w:p w14:paraId="0AC3C1E4" w14:textId="635FD255"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Adegboye, A. A. &amp; Fagbemi, F. (2017). Africa's financial development: exploring the role </w:t>
      </w:r>
      <w:proofErr w:type="gramStart"/>
      <w:r w:rsidRPr="00C16D1E">
        <w:rPr>
          <w:rFonts w:ascii="Times New Roman" w:hAnsi="Times New Roman" w:cs="Times New Roman"/>
          <w:sz w:val="20"/>
          <w:szCs w:val="20"/>
        </w:rPr>
        <w:t>of  natural</w:t>
      </w:r>
      <w:proofErr w:type="gramEnd"/>
      <w:r w:rsidRPr="00C16D1E">
        <w:rPr>
          <w:rFonts w:ascii="Times New Roman" w:hAnsi="Times New Roman" w:cs="Times New Roman"/>
          <w:sz w:val="20"/>
          <w:szCs w:val="20"/>
        </w:rPr>
        <w:t xml:space="preserve"> resources endowment and institutions.</w:t>
      </w:r>
    </w:p>
    <w:p w14:paraId="6728FDAE" w14:textId="77777777" w:rsidR="004F79A4" w:rsidRPr="00C16D1E" w:rsidRDefault="004F79A4" w:rsidP="00524050">
      <w:pPr>
        <w:spacing w:after="240"/>
        <w:ind w:left="720" w:hanging="720"/>
        <w:jc w:val="both"/>
        <w:rPr>
          <w:rFonts w:ascii="Times New Roman" w:eastAsia="Times New Roman" w:hAnsi="Times New Roman" w:cs="Times New Roman"/>
          <w:i/>
          <w:iCs/>
          <w:sz w:val="20"/>
          <w:szCs w:val="20"/>
        </w:rPr>
      </w:pPr>
      <w:r w:rsidRPr="00C16D1E">
        <w:rPr>
          <w:rFonts w:ascii="Times New Roman" w:eastAsia="Times New Roman" w:hAnsi="Times New Roman" w:cs="Times New Roman"/>
          <w:sz w:val="20"/>
          <w:szCs w:val="20"/>
        </w:rPr>
        <w:t>Adeleke, A. (2022). </w:t>
      </w:r>
      <w:r w:rsidRPr="00C16D1E">
        <w:rPr>
          <w:rFonts w:ascii="Times New Roman" w:eastAsia="Times New Roman" w:hAnsi="Times New Roman" w:cs="Times New Roman"/>
          <w:iCs/>
          <w:sz w:val="20"/>
          <w:szCs w:val="20"/>
        </w:rPr>
        <w:t>Economic Development in Nigeria: The Way Forward</w:t>
      </w:r>
      <w:r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i/>
          <w:iCs/>
          <w:sz w:val="20"/>
          <w:szCs w:val="20"/>
        </w:rPr>
        <w:t>Journal of Nigerian Economics.</w:t>
      </w:r>
    </w:p>
    <w:p w14:paraId="69326357" w14:textId="23E026A9" w:rsidR="00977F6D" w:rsidRPr="00C16D1E" w:rsidRDefault="00977F6D" w:rsidP="00524050">
      <w:pPr>
        <w:spacing w:after="160"/>
        <w:jc w:val="left"/>
        <w:rPr>
          <w:rFonts w:asciiTheme="minorHAnsi" w:hAnsiTheme="minorHAnsi" w:cstheme="minorBidi"/>
          <w:kern w:val="2"/>
          <w:sz w:val="20"/>
          <w:szCs w:val="20"/>
          <w:lang w:val="en-GB"/>
          <w14:ligatures w14:val="standardContextual"/>
        </w:rPr>
      </w:pPr>
      <w:r w:rsidRPr="00C16D1E">
        <w:rPr>
          <w:rFonts w:ascii="Times New Roman" w:hAnsi="Times New Roman" w:cs="Times New Roman"/>
          <w:kern w:val="2"/>
          <w:sz w:val="20"/>
          <w:szCs w:val="20"/>
          <w:lang w:val="en-GB"/>
          <w14:ligatures w14:val="standardContextual"/>
        </w:rPr>
        <w:t xml:space="preserve">Adenuga, I. A. (2023). An Empirical Analysis of Institutional Quality and Foreign Direct </w:t>
      </w:r>
      <w:r w:rsidRPr="00C16D1E">
        <w:rPr>
          <w:rFonts w:ascii="Times New Roman" w:hAnsi="Times New Roman" w:cs="Times New Roman"/>
          <w:kern w:val="2"/>
          <w:sz w:val="20"/>
          <w:szCs w:val="20"/>
          <w:lang w:val="en-GB"/>
          <w14:ligatures w14:val="standardContextual"/>
        </w:rPr>
        <w:tab/>
        <w:t xml:space="preserve">Investment Inflows in Nigeria. Oradea Journal of Business and Economics, 8 (1), pp. </w:t>
      </w:r>
      <w:r w:rsidRPr="00C16D1E">
        <w:rPr>
          <w:rFonts w:ascii="Times New Roman" w:hAnsi="Times New Roman" w:cs="Times New Roman"/>
          <w:kern w:val="2"/>
          <w:sz w:val="20"/>
          <w:szCs w:val="20"/>
          <w:lang w:val="en-GB"/>
          <w14:ligatures w14:val="standardContextual"/>
        </w:rPr>
        <w:tab/>
        <w:t xml:space="preserve">8–18, </w:t>
      </w:r>
      <w:hyperlink r:id="rId13" w:history="1">
        <w:r w:rsidRPr="00C16D1E">
          <w:rPr>
            <w:rFonts w:ascii="Times New Roman" w:hAnsi="Times New Roman" w:cs="Times New Roman"/>
            <w:color w:val="467886" w:themeColor="hyperlink"/>
            <w:kern w:val="2"/>
            <w:sz w:val="20"/>
            <w:szCs w:val="20"/>
            <w:u w:val="single"/>
            <w:lang w:val="en-GB"/>
            <w14:ligatures w14:val="standardContextual"/>
          </w:rPr>
          <w:t>http://doi.org/10.47535/1991ojbe160</w:t>
        </w:r>
      </w:hyperlink>
      <w:r w:rsidRPr="00C16D1E">
        <w:rPr>
          <w:rFonts w:asciiTheme="minorHAnsi" w:hAnsiTheme="minorHAnsi" w:cstheme="minorBidi"/>
          <w:kern w:val="2"/>
          <w:sz w:val="20"/>
          <w:szCs w:val="20"/>
          <w:lang w:val="en-GB"/>
          <w14:ligatures w14:val="standardContextual"/>
        </w:rPr>
        <w:t>.</w:t>
      </w:r>
    </w:p>
    <w:p w14:paraId="474F6041"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lastRenderedPageBreak/>
        <w:t xml:space="preserve">Adu, G. (2011). Natural Resource Abundance and Economic Growth: The case of Ghana. </w:t>
      </w:r>
      <w:r w:rsidRPr="00C16D1E">
        <w:rPr>
          <w:rFonts w:ascii="Times New Roman" w:hAnsi="Times New Roman" w:cs="Times New Roman"/>
          <w:sz w:val="20"/>
          <w:szCs w:val="20"/>
        </w:rPr>
        <w:tab/>
        <w:t xml:space="preserve">Environmental and Resource Economics Unit, Department of Economics, Swedish </w:t>
      </w:r>
      <w:r w:rsidRPr="00C16D1E">
        <w:rPr>
          <w:rFonts w:ascii="Times New Roman" w:hAnsi="Times New Roman" w:cs="Times New Roman"/>
          <w:sz w:val="20"/>
          <w:szCs w:val="20"/>
        </w:rPr>
        <w:tab/>
        <w:t>University of Agricultural Sciences, Uppsala, Sweden.</w:t>
      </w:r>
    </w:p>
    <w:p w14:paraId="4B2C693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ADB (2020). African Economic Outlook: Developing Africa’s Workforce for the Future. ISBN 978-9938-882-95-7 (electronic).</w:t>
      </w:r>
    </w:p>
    <w:p w14:paraId="3B3863BA"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Aghion, P., Bacchetta, P., Rancière, R. &amp; Rogoff, K., (2019). </w:t>
      </w:r>
      <w:r w:rsidRPr="00C16D1E">
        <w:rPr>
          <w:rFonts w:ascii="Times New Roman" w:eastAsia="Times New Roman" w:hAnsi="Times New Roman" w:cs="Times New Roman"/>
          <w:i/>
          <w:iCs/>
          <w:sz w:val="20"/>
          <w:szCs w:val="20"/>
          <w:lang w:val="en-GB" w:eastAsia="en-GB"/>
        </w:rPr>
        <w:t>Exchange rate volatility and productivity growth: The role of financial development</w:t>
      </w:r>
      <w:r w:rsidRPr="00C16D1E">
        <w:rPr>
          <w:rFonts w:ascii="Times New Roman" w:eastAsia="Times New Roman" w:hAnsi="Times New Roman" w:cs="Times New Roman"/>
          <w:sz w:val="20"/>
          <w:szCs w:val="20"/>
          <w:lang w:val="en-GB" w:eastAsia="en-GB"/>
        </w:rPr>
        <w:t>. Journal of Monetary Economics, 107, pp.1–18.</w:t>
      </w:r>
    </w:p>
    <w:p w14:paraId="7D56AA5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Ahmed, H.A. (2022). </w:t>
      </w:r>
      <w:r w:rsidRPr="00C16D1E">
        <w:rPr>
          <w:rFonts w:ascii="Times New Roman" w:hAnsi="Times New Roman" w:cs="Times New Roman"/>
          <w:sz w:val="20"/>
          <w:szCs w:val="20"/>
        </w:rPr>
        <w:t xml:space="preserve">Overview of Nigeria's Solid Mineral Potentials, Challenges and Prospects. FUTY: </w:t>
      </w:r>
      <w:r w:rsidRPr="00C16D1E">
        <w:rPr>
          <w:rFonts w:ascii="Times New Roman" w:hAnsi="Times New Roman" w:cs="Times New Roman"/>
          <w:i/>
          <w:sz w:val="20"/>
          <w:szCs w:val="20"/>
        </w:rPr>
        <w:t>Journal of the Environment</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Vol. 16</w:t>
      </w:r>
      <w:r w:rsidRPr="00C16D1E">
        <w:rPr>
          <w:rFonts w:ascii="Times New Roman" w:hAnsi="Times New Roman" w:cs="Times New Roman"/>
          <w:sz w:val="20"/>
          <w:szCs w:val="20"/>
        </w:rPr>
        <w:t xml:space="preserve"> No1.</w:t>
      </w:r>
    </w:p>
    <w:p w14:paraId="00D1BF4D"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Aghion, P., Bacchetta, P., Rancière, R. &amp; Rogoff, K. (2019). </w:t>
      </w:r>
      <w:r w:rsidRPr="00C16D1E">
        <w:rPr>
          <w:rFonts w:ascii="Times New Roman" w:eastAsia="Times New Roman" w:hAnsi="Times New Roman" w:cs="Times New Roman"/>
          <w:iCs/>
          <w:sz w:val="20"/>
          <w:szCs w:val="20"/>
          <w:lang w:eastAsia="en-GB"/>
        </w:rPr>
        <w:t>Exchange rate volatility and productivity growth: The role of financial development</w:t>
      </w:r>
      <w:r w:rsidRPr="00C16D1E">
        <w:rPr>
          <w:rFonts w:ascii="Times New Roman" w:eastAsia="Times New Roman" w:hAnsi="Times New Roman" w:cs="Times New Roman"/>
          <w:sz w:val="20"/>
          <w:szCs w:val="20"/>
          <w:lang w:eastAsia="en-GB"/>
        </w:rPr>
        <w:t xml:space="preserve">. </w:t>
      </w:r>
      <w:r w:rsidRPr="00C16D1E">
        <w:rPr>
          <w:rFonts w:ascii="Times New Roman" w:eastAsia="Times New Roman" w:hAnsi="Times New Roman" w:cs="Times New Roman"/>
          <w:i/>
          <w:sz w:val="20"/>
          <w:szCs w:val="20"/>
          <w:lang w:eastAsia="en-GB"/>
        </w:rPr>
        <w:t>Journal of Monetary Economics</w:t>
      </w:r>
      <w:r w:rsidRPr="00C16D1E">
        <w:rPr>
          <w:rFonts w:ascii="Times New Roman" w:eastAsia="Times New Roman" w:hAnsi="Times New Roman" w:cs="Times New Roman"/>
          <w:sz w:val="20"/>
          <w:szCs w:val="20"/>
          <w:lang w:eastAsia="en-GB"/>
        </w:rPr>
        <w:t>, 107, pp.1–18.</w:t>
      </w:r>
    </w:p>
    <w:p w14:paraId="4A54A84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Akomolafe, K., J. (2024). Natural Resources Endowment, Institutional Quality and External Debt in Selected African Countries.</w:t>
      </w:r>
    </w:p>
    <w:p w14:paraId="26BAF6C3" w14:textId="77777777" w:rsidR="009162C4"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Aljaz, C. (2013). </w:t>
      </w:r>
      <w:r w:rsidRPr="00C16D1E">
        <w:rPr>
          <w:rFonts w:ascii="Times New Roman" w:hAnsi="Times New Roman" w:cs="Times New Roman"/>
          <w:iCs/>
          <w:sz w:val="20"/>
          <w:szCs w:val="20"/>
        </w:rPr>
        <w:t>Institutional Quality Dataset</w:t>
      </w:r>
      <w:r w:rsidRPr="00C16D1E">
        <w:rPr>
          <w:rFonts w:ascii="Times New Roman" w:hAnsi="Times New Roman" w:cs="Times New Roman"/>
          <w:i/>
          <w:sz w:val="20"/>
          <w:szCs w:val="20"/>
        </w:rPr>
        <w:t>,</w:t>
      </w:r>
      <w:r w:rsidRPr="00C16D1E">
        <w:rPr>
          <w:rFonts w:ascii="Times New Roman" w:hAnsi="Times New Roman" w:cs="Times New Roman"/>
          <w:sz w:val="20"/>
          <w:szCs w:val="20"/>
        </w:rPr>
        <w:t xml:space="preserve"> University of Ljubljana, Faculty of Social Sciences and Faculty of Economics.</w:t>
      </w:r>
    </w:p>
    <w:p w14:paraId="3ACE48BE" w14:textId="7D4A4EB8"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Angelica, B. C. (2018). Global Demographic Pressures and Management of Natural Resources: Foresights about the Future of Mankind. The Bucharest University of Economic Studies: Review of International Comparative Management Volume 19, Issue 1.</w:t>
      </w:r>
    </w:p>
    <w:p w14:paraId="16C96BE1"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Anna, K. R. (2017). Natural Resources, Institutions and Economic Growth: The Case of Nigeria. </w:t>
      </w:r>
      <w:r w:rsidRPr="00C16D1E">
        <w:rPr>
          <w:rFonts w:ascii="Times New Roman" w:hAnsi="Times New Roman" w:cs="Times New Roman"/>
          <w:sz w:val="20"/>
          <w:szCs w:val="20"/>
        </w:rPr>
        <w:tab/>
      </w:r>
      <w:r w:rsidRPr="00C16D1E">
        <w:rPr>
          <w:rFonts w:ascii="Times New Roman" w:hAnsi="Times New Roman" w:cs="Times New Roman"/>
          <w:i/>
          <w:iCs/>
          <w:sz w:val="20"/>
          <w:szCs w:val="20"/>
        </w:rPr>
        <w:t>Empirical Analysis and Policy Options. Vols. 1 and 2</w:t>
      </w:r>
      <w:r w:rsidRPr="00C16D1E">
        <w:rPr>
          <w:rFonts w:ascii="Times New Roman" w:hAnsi="Times New Roman" w:cs="Times New Roman"/>
          <w:sz w:val="20"/>
          <w:szCs w:val="20"/>
        </w:rPr>
        <w:t xml:space="preserve">. 8153. </w:t>
      </w:r>
      <w:hyperlink r:id="rId14" w:history="1">
        <w:r w:rsidRPr="00C16D1E">
          <w:rPr>
            <w:rFonts w:ascii="Times New Roman" w:hAnsi="Times New Roman" w:cs="Times New Roman"/>
            <w:color w:val="0000FF"/>
            <w:sz w:val="20"/>
            <w:szCs w:val="20"/>
            <w:u w:val="single"/>
          </w:rPr>
          <w:t>http://econ.worldbank.org</w:t>
        </w:r>
      </w:hyperlink>
      <w:r w:rsidRPr="00C16D1E">
        <w:rPr>
          <w:rFonts w:ascii="Times New Roman" w:hAnsi="Times New Roman" w:cs="Times New Roman"/>
          <w:sz w:val="20"/>
          <w:szCs w:val="20"/>
        </w:rPr>
        <w:t>.</w:t>
      </w:r>
    </w:p>
    <w:p w14:paraId="61EE78EF" w14:textId="143119E6"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August</w:t>
      </w:r>
      <w:r w:rsidR="002635EC" w:rsidRPr="00C16D1E">
        <w:rPr>
          <w:rFonts w:ascii="Times New Roman" w:eastAsia="Times New Roman" w:hAnsi="Times New Roman" w:cs="Times New Roman"/>
          <w:sz w:val="20"/>
          <w:szCs w:val="20"/>
        </w:rPr>
        <w:t>in</w:t>
      </w:r>
      <w:r w:rsidRPr="00C16D1E">
        <w:rPr>
          <w:rFonts w:ascii="Times New Roman" w:eastAsia="Times New Roman" w:hAnsi="Times New Roman" w:cs="Times New Roman"/>
          <w:sz w:val="20"/>
          <w:szCs w:val="20"/>
        </w:rPr>
        <w:t>, F., &amp; Dede, G. (2019). Natural Resources, Institutions and Economic Development in Africa.</w:t>
      </w:r>
    </w:p>
    <w:p w14:paraId="14A25BFE"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lang w:val="en-GB"/>
        </w:rPr>
        <w:t>Autry, A. R., &amp; Oshan, B. A. (2017). Institutional Quality and Economic Diversification in Resource-Dependent Countries. </w:t>
      </w:r>
      <w:r w:rsidRPr="00C16D1E">
        <w:rPr>
          <w:rFonts w:ascii="Times New Roman" w:eastAsia="Times New Roman" w:hAnsi="Times New Roman" w:cs="Times New Roman"/>
          <w:i/>
          <w:iCs/>
          <w:sz w:val="20"/>
          <w:szCs w:val="20"/>
          <w:lang w:val="en-GB"/>
        </w:rPr>
        <w:t>Journal of Development Economics</w:t>
      </w:r>
      <w:r w:rsidRPr="00C16D1E">
        <w:rPr>
          <w:rFonts w:ascii="Times New Roman" w:eastAsia="Times New Roman" w:hAnsi="Times New Roman" w:cs="Times New Roman"/>
          <w:sz w:val="20"/>
          <w:szCs w:val="20"/>
          <w:lang w:val="en-GB"/>
        </w:rPr>
        <w:t>.</w:t>
      </w:r>
    </w:p>
    <w:p w14:paraId="311E9A82" w14:textId="77777777" w:rsidR="004F79A4" w:rsidRPr="00C16D1E" w:rsidRDefault="004F79A4" w:rsidP="00524050">
      <w:pPr>
        <w:autoSpaceDE w:val="0"/>
        <w:autoSpaceDN w:val="0"/>
        <w:adjustRightInd w:val="0"/>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Bakare, I. A. O. (2000). Theory and Practice of Microeconomics. Vol. 1. Miroma International Publishers. Lagos.</w:t>
      </w:r>
    </w:p>
    <w:p w14:paraId="7E141F33" w14:textId="09D139DB"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Barsch, D. (1996). Rock glaciers: Indicators for the present and former geology in high mountain environments. Berlin: Springer.</w:t>
      </w:r>
    </w:p>
    <w:p w14:paraId="64F6D6D7"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Bhattacharyya, S., &amp; Hodler, R. (2014). Do natural resource revenues hinder financial development? The role of political institutions. </w:t>
      </w:r>
      <w:r w:rsidRPr="00C16D1E">
        <w:rPr>
          <w:rFonts w:ascii="Times New Roman" w:eastAsia="Times New Roman" w:hAnsi="Times New Roman" w:cs="Times New Roman"/>
          <w:i/>
          <w:iCs/>
          <w:sz w:val="20"/>
          <w:szCs w:val="20"/>
          <w:lang w:val="en-GB" w:eastAsia="en-GB"/>
        </w:rPr>
        <w:t>World Development</w:t>
      </w:r>
      <w:r w:rsidRPr="00C16D1E">
        <w:rPr>
          <w:rFonts w:ascii="Times New Roman" w:eastAsia="Times New Roman" w:hAnsi="Times New Roman" w:cs="Times New Roman"/>
          <w:sz w:val="20"/>
          <w:szCs w:val="20"/>
          <w:lang w:val="en-GB" w:eastAsia="en-GB"/>
        </w:rPr>
        <w:t xml:space="preserve">, 57, 101–113. </w:t>
      </w:r>
      <w:hyperlink r:id="rId15" w:tgtFrame="_blank" w:history="1">
        <w:r w:rsidRPr="00C16D1E">
          <w:rPr>
            <w:rFonts w:ascii="Times New Roman" w:eastAsia="Times New Roman" w:hAnsi="Times New Roman" w:cs="Times New Roman"/>
            <w:color w:val="0000FF"/>
            <w:sz w:val="20"/>
            <w:szCs w:val="20"/>
            <w:u w:val="single"/>
            <w:lang w:val="en-GB" w:eastAsia="en-GB"/>
          </w:rPr>
          <w:t>https://doi.org/10.1016/j.worlddev.2013.12.003</w:t>
        </w:r>
      </w:hyperlink>
    </w:p>
    <w:p w14:paraId="2B064E8E"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eastAsia="en-GB"/>
        </w:rPr>
      </w:pPr>
      <w:r w:rsidRPr="00C16D1E">
        <w:rPr>
          <w:rFonts w:ascii="Times New Roman" w:eastAsia="Times New Roman" w:hAnsi="Times New Roman" w:cs="Times New Roman"/>
          <w:sz w:val="20"/>
          <w:szCs w:val="20"/>
          <w:lang w:val="en-GB" w:eastAsia="en-GB"/>
        </w:rPr>
        <w:t xml:space="preserve">Boschini, A. D., Pettersson, J. &amp; </w:t>
      </w:r>
      <w:proofErr w:type="spellStart"/>
      <w:r w:rsidRPr="00C16D1E">
        <w:rPr>
          <w:rFonts w:ascii="Times New Roman" w:eastAsia="Times New Roman" w:hAnsi="Times New Roman" w:cs="Times New Roman"/>
          <w:sz w:val="20"/>
          <w:szCs w:val="20"/>
          <w:lang w:val="en-GB" w:eastAsia="en-GB"/>
        </w:rPr>
        <w:t>Roine</w:t>
      </w:r>
      <w:proofErr w:type="spellEnd"/>
      <w:r w:rsidRPr="00C16D1E">
        <w:rPr>
          <w:rFonts w:ascii="Times New Roman" w:eastAsia="Times New Roman" w:hAnsi="Times New Roman" w:cs="Times New Roman"/>
          <w:sz w:val="20"/>
          <w:szCs w:val="20"/>
          <w:lang w:val="en-GB" w:eastAsia="en-GB"/>
        </w:rPr>
        <w:t xml:space="preserve">, J. (2013). The resource curse and its potential reversal. </w:t>
      </w:r>
      <w:r w:rsidRPr="00C16D1E">
        <w:rPr>
          <w:rFonts w:ascii="Times New Roman" w:eastAsia="Times New Roman" w:hAnsi="Times New Roman" w:cs="Times New Roman"/>
          <w:i/>
          <w:iCs/>
          <w:sz w:val="20"/>
          <w:szCs w:val="20"/>
          <w:lang w:val="en-GB" w:eastAsia="en-GB"/>
        </w:rPr>
        <w:t>World Development</w:t>
      </w:r>
      <w:r w:rsidRPr="00C16D1E">
        <w:rPr>
          <w:rFonts w:ascii="Times New Roman" w:eastAsia="Times New Roman" w:hAnsi="Times New Roman" w:cs="Times New Roman"/>
          <w:sz w:val="20"/>
          <w:szCs w:val="20"/>
          <w:lang w:val="en-GB" w:eastAsia="en-GB"/>
        </w:rPr>
        <w:t xml:space="preserve">, 43, 19–41. </w:t>
      </w:r>
      <w:hyperlink r:id="rId16" w:tgtFrame="_blank" w:history="1">
        <w:r w:rsidRPr="00C16D1E">
          <w:rPr>
            <w:rFonts w:ascii="Times New Roman" w:eastAsia="Times New Roman" w:hAnsi="Times New Roman" w:cs="Times New Roman"/>
            <w:color w:val="0000FF"/>
            <w:sz w:val="20"/>
            <w:szCs w:val="20"/>
            <w:u w:val="single"/>
            <w:lang w:val="en-GB" w:eastAsia="en-GB"/>
          </w:rPr>
          <w:t>https://doi.org/10.1016/j.worlddev.2012.10.007</w:t>
        </w:r>
      </w:hyperlink>
    </w:p>
    <w:p w14:paraId="6E333646" w14:textId="77777777" w:rsidR="004F79A4" w:rsidRPr="00C16D1E" w:rsidRDefault="004F79A4" w:rsidP="00524050">
      <w:pPr>
        <w:spacing w:after="200"/>
        <w:ind w:left="540" w:hanging="540"/>
        <w:jc w:val="both"/>
        <w:textAlignment w:val="baseline"/>
        <w:outlineLvl w:val="0"/>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Bureau of Economic and Business Affairs (2023). Investment Climate Statements: Nigeria; </w:t>
      </w:r>
      <w:hyperlink r:id="rId17" w:history="1">
        <w:r w:rsidRPr="00C16D1E">
          <w:rPr>
            <w:rFonts w:ascii="Times New Roman" w:hAnsi="Times New Roman"/>
            <w:color w:val="0000FF"/>
            <w:sz w:val="20"/>
            <w:szCs w:val="20"/>
            <w:u w:val="single"/>
          </w:rPr>
          <w:t>https://www.state.gov/reports/2023-investment-climate-statements/nigeria/</w:t>
        </w:r>
      </w:hyperlink>
      <w:r w:rsidRPr="00C16D1E">
        <w:rPr>
          <w:rFonts w:ascii="Times New Roman" w:eastAsia="Times New Roman" w:hAnsi="Times New Roman" w:cs="Times New Roman"/>
          <w:sz w:val="20"/>
          <w:szCs w:val="20"/>
        </w:rPr>
        <w:t>.</w:t>
      </w:r>
    </w:p>
    <w:p w14:paraId="17C22459" w14:textId="77777777" w:rsidR="004F79A4" w:rsidRPr="00C16D1E" w:rsidRDefault="004F79A4" w:rsidP="00524050">
      <w:pPr>
        <w:spacing w:after="200"/>
        <w:ind w:left="540" w:hanging="540"/>
        <w:jc w:val="both"/>
        <w:textAlignment w:val="baseline"/>
        <w:outlineLvl w:val="0"/>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Central Bank of Nigeria (2021). Statistical Bulletin, Central Bank of Nigeria (2021). Annual Report on Inflation Dynamics.</w:t>
      </w:r>
    </w:p>
    <w:p w14:paraId="1045684C"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Coase, R. (1998). The New Institutional Economics. The American Economic Review, 88(2), 7.</w:t>
      </w:r>
    </w:p>
    <w:p w14:paraId="51BEE0E2"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Coase, R.H. (1960). The Problem of Social Cost: Classic Papers in Natural Resource Economics. Palgrave Macmillan, London. </w:t>
      </w:r>
      <w:hyperlink r:id="rId18" w:history="1">
        <w:r w:rsidRPr="00C16D1E">
          <w:rPr>
            <w:rFonts w:ascii="Times New Roman" w:hAnsi="Times New Roman" w:cs="Times New Roman"/>
            <w:sz w:val="20"/>
            <w:szCs w:val="20"/>
          </w:rPr>
          <w:t>https://doi.org/10.1057/97802305232106</w:t>
        </w:r>
      </w:hyperlink>
    </w:p>
    <w:p w14:paraId="22C61D90"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Cobb, C. W., &amp; Douglas, P. H. (2020). A Theory of Production. Available at the National </w:t>
      </w:r>
      <w:r w:rsidRPr="00C16D1E">
        <w:rPr>
          <w:rFonts w:ascii="Times New Roman" w:eastAsia="Times New Roman" w:hAnsi="Times New Roman" w:cs="Times New Roman"/>
          <w:sz w:val="20"/>
          <w:szCs w:val="20"/>
        </w:rPr>
        <w:tab/>
        <w:t>Bureau of Economic Research (NBER).</w:t>
      </w:r>
    </w:p>
    <w:p w14:paraId="2568E086"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Collier, P., &amp; Hoeffler, A. (2004). Greed and Grievance in Civil War. Oxford Economic </w:t>
      </w:r>
      <w:r w:rsidRPr="00C16D1E">
        <w:rPr>
          <w:rFonts w:ascii="Times New Roman" w:hAnsi="Times New Roman" w:cs="Times New Roman"/>
          <w:sz w:val="20"/>
          <w:szCs w:val="20"/>
        </w:rPr>
        <w:tab/>
        <w:t>Papers.</w:t>
      </w:r>
    </w:p>
    <w:p w14:paraId="437A4BE5" w14:textId="07C1C12D"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lastRenderedPageBreak/>
        <w:t xml:space="preserve">Collier, P., &amp; Hoeffler, A. (2005). "Resource Rents, Governance, and Conflict." </w:t>
      </w:r>
      <w:r w:rsidRPr="00C16D1E">
        <w:rPr>
          <w:rFonts w:ascii="Times New Roman" w:hAnsi="Times New Roman" w:cs="Times New Roman"/>
          <w:i/>
          <w:sz w:val="20"/>
          <w:szCs w:val="20"/>
        </w:rPr>
        <w:t xml:space="preserve">Journal of </w:t>
      </w:r>
      <w:r w:rsidRPr="00C16D1E">
        <w:rPr>
          <w:rFonts w:ascii="Times New Roman" w:hAnsi="Times New Roman" w:cs="Times New Roman"/>
          <w:i/>
          <w:sz w:val="20"/>
          <w:szCs w:val="20"/>
        </w:rPr>
        <w:tab/>
        <w:t>Conflict Resolution</w:t>
      </w:r>
      <w:r w:rsidRPr="00C16D1E">
        <w:rPr>
          <w:rFonts w:ascii="Times New Roman" w:hAnsi="Times New Roman" w:cs="Times New Roman"/>
          <w:sz w:val="20"/>
          <w:szCs w:val="20"/>
        </w:rPr>
        <w:t xml:space="preserve">, </w:t>
      </w:r>
      <w:r w:rsidRPr="00C16D1E">
        <w:rPr>
          <w:rFonts w:ascii="Times New Roman" w:hAnsi="Times New Roman" w:cs="Times New Roman"/>
          <w:i/>
          <w:iCs/>
          <w:sz w:val="20"/>
          <w:szCs w:val="20"/>
        </w:rPr>
        <w:t>49(4)</w:t>
      </w:r>
      <w:r w:rsidRPr="00C16D1E">
        <w:rPr>
          <w:rFonts w:ascii="Times New Roman" w:hAnsi="Times New Roman" w:cs="Times New Roman"/>
          <w:sz w:val="20"/>
          <w:szCs w:val="20"/>
        </w:rPr>
        <w:t>, 623</w:t>
      </w:r>
      <w:r w:rsidR="009414B4" w:rsidRPr="00C16D1E">
        <w:rPr>
          <w:rFonts w:ascii="Times New Roman" w:hAnsi="Times New Roman" w:cs="Times New Roman"/>
          <w:sz w:val="20"/>
          <w:szCs w:val="20"/>
        </w:rPr>
        <w:t>–</w:t>
      </w:r>
      <w:r w:rsidRPr="00C16D1E">
        <w:rPr>
          <w:rFonts w:ascii="Times New Roman" w:hAnsi="Times New Roman" w:cs="Times New Roman"/>
          <w:sz w:val="20"/>
          <w:szCs w:val="20"/>
        </w:rPr>
        <w:t>654.</w:t>
      </w:r>
    </w:p>
    <w:p w14:paraId="45BE7A84"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Collier, P. (2007). The Bottom Billion: Why the Poorest Countries Are Failing and What Can Be Done About It. New York: Oxford University Press.</w:t>
      </w:r>
    </w:p>
    <w:p w14:paraId="376EEA2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Collier, P., &amp; Hoeffler, A. (2009). Testing the Neo-Con Agenda: Democracy in Resource-Rich </w:t>
      </w:r>
      <w:r w:rsidRPr="00C16D1E">
        <w:rPr>
          <w:rFonts w:ascii="Times New Roman" w:hAnsi="Times New Roman" w:cs="Times New Roman"/>
          <w:sz w:val="20"/>
          <w:szCs w:val="20"/>
        </w:rPr>
        <w:tab/>
        <w:t xml:space="preserve">Societies. </w:t>
      </w:r>
      <w:r w:rsidRPr="00C16D1E">
        <w:rPr>
          <w:rFonts w:ascii="Times New Roman" w:hAnsi="Times New Roman" w:cs="Times New Roman"/>
          <w:i/>
          <w:iCs/>
          <w:sz w:val="20"/>
          <w:szCs w:val="20"/>
        </w:rPr>
        <w:t>European Economic Review, 53,</w:t>
      </w:r>
      <w:r w:rsidRPr="00C16D1E">
        <w:rPr>
          <w:rFonts w:ascii="Times New Roman" w:hAnsi="Times New Roman" w:cs="Times New Roman"/>
          <w:sz w:val="20"/>
          <w:szCs w:val="20"/>
        </w:rPr>
        <w:t xml:space="preserve"> 293-308.</w:t>
      </w:r>
    </w:p>
    <w:p w14:paraId="3518B51A"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Collier, P. (2010). The plundered planet: How to reconcile prosperity with nature. Allen Lane, London.</w:t>
      </w:r>
    </w:p>
    <w:p w14:paraId="0FE87A5E"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Corden, W. M., &amp; Neary, J. P. (1982). Booming Sector and De-Industrialisation in a Small Open Economy.</w:t>
      </w:r>
    </w:p>
    <w:p w14:paraId="64AB2C6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Corden, W. M. (1984). Booming Sector and Dutch Disease Economics: Survey and Consolidation. Oxford Economic Papers, 36(3), 359-380.</w:t>
      </w:r>
    </w:p>
    <w:p w14:paraId="68E216A2" w14:textId="77777777" w:rsidR="004F79A4" w:rsidRPr="00C16D1E" w:rsidRDefault="004F79A4" w:rsidP="00524050">
      <w:pPr>
        <w:spacing w:before="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Ejemeyovwi, J. O., Adegboye, A., &amp; </w:t>
      </w:r>
      <w:proofErr w:type="spellStart"/>
      <w:r w:rsidRPr="00C16D1E">
        <w:rPr>
          <w:rFonts w:ascii="Times New Roman" w:eastAsia="Times New Roman" w:hAnsi="Times New Roman" w:cs="Times New Roman"/>
          <w:sz w:val="20"/>
          <w:szCs w:val="20"/>
          <w:lang w:eastAsia="en-GB"/>
        </w:rPr>
        <w:t>Umukoro</w:t>
      </w:r>
      <w:proofErr w:type="spellEnd"/>
      <w:r w:rsidRPr="00C16D1E">
        <w:rPr>
          <w:rFonts w:ascii="Times New Roman" w:eastAsia="Times New Roman" w:hAnsi="Times New Roman" w:cs="Times New Roman"/>
          <w:sz w:val="20"/>
          <w:szCs w:val="20"/>
          <w:lang w:eastAsia="en-GB"/>
        </w:rPr>
        <w:t xml:space="preserve">, O. (2024). Rethinking government institutions and governance quality indicators on economic growth in Sub-Saharan African countries. </w:t>
      </w:r>
      <w:r w:rsidRPr="00C16D1E">
        <w:rPr>
          <w:rFonts w:ascii="Times New Roman" w:eastAsia="Times New Roman" w:hAnsi="Times New Roman" w:cs="Times New Roman"/>
          <w:i/>
          <w:iCs/>
          <w:sz w:val="20"/>
          <w:szCs w:val="20"/>
          <w:lang w:eastAsia="en-GB"/>
        </w:rPr>
        <w:t>Journal of the Knowledge Economy</w:t>
      </w:r>
      <w:r w:rsidRPr="00C16D1E">
        <w:rPr>
          <w:rFonts w:ascii="Times New Roman" w:eastAsia="Times New Roman" w:hAnsi="Times New Roman" w:cs="Times New Roman"/>
          <w:sz w:val="20"/>
          <w:szCs w:val="20"/>
          <w:lang w:eastAsia="en-GB"/>
        </w:rPr>
        <w:t xml:space="preserve">. </w:t>
      </w:r>
      <w:hyperlink r:id="rId19" w:tgtFrame="_new" w:history="1">
        <w:r w:rsidRPr="00C16D1E">
          <w:rPr>
            <w:rFonts w:ascii="Times New Roman" w:eastAsia="Times New Roman" w:hAnsi="Times New Roman" w:cs="Times New Roman"/>
            <w:color w:val="0000FF"/>
            <w:sz w:val="20"/>
            <w:szCs w:val="20"/>
            <w:u w:val="single"/>
            <w:lang w:eastAsia="en-GB"/>
          </w:rPr>
          <w:t>https://link.springer.com/article/10.1007/s13132-024-02040-6</w:t>
        </w:r>
      </w:hyperlink>
    </w:p>
    <w:p w14:paraId="2944B10B" w14:textId="3456DFDA" w:rsidR="004F79A4" w:rsidRPr="00C16D1E" w:rsidRDefault="004F79A4" w:rsidP="004C7173">
      <w:pPr>
        <w:shd w:val="clear" w:color="auto" w:fill="FFFFFF"/>
        <w:spacing w:after="200"/>
        <w:ind w:left="540" w:hanging="540"/>
        <w:jc w:val="both"/>
        <w:rPr>
          <w:rFonts w:ascii="Times New Roman" w:eastAsia="Times New Roman" w:hAnsi="Times New Roman" w:cs="Times New Roman"/>
          <w:color w:val="0000FF"/>
          <w:sz w:val="20"/>
          <w:szCs w:val="20"/>
          <w:u w:val="single"/>
          <w:lang w:eastAsia="en-GB"/>
        </w:rPr>
      </w:pPr>
      <w:r w:rsidRPr="00C16D1E">
        <w:rPr>
          <w:rFonts w:ascii="Times New Roman" w:hAnsi="Times New Roman" w:cs="Times New Roman"/>
          <w:sz w:val="20"/>
          <w:szCs w:val="20"/>
        </w:rPr>
        <w:t> </w:t>
      </w:r>
      <w:r w:rsidRPr="00C16D1E">
        <w:rPr>
          <w:rFonts w:ascii="Times New Roman" w:eastAsia="Times New Roman" w:hAnsi="Times New Roman" w:cs="Times New Roman"/>
          <w:sz w:val="20"/>
          <w:szCs w:val="20"/>
          <w:lang w:eastAsia="en-GB"/>
        </w:rPr>
        <w:t xml:space="preserve">Emara, N., &amp; Chiu, I.-M. (2016). The impact of governance environment on economic growth: The case of Middle Eastern and North African countries. </w:t>
      </w:r>
      <w:r w:rsidRPr="00C16D1E">
        <w:rPr>
          <w:rFonts w:ascii="Times New Roman" w:eastAsia="Times New Roman" w:hAnsi="Times New Roman" w:cs="Times New Roman"/>
          <w:i/>
          <w:iCs/>
          <w:sz w:val="20"/>
          <w:szCs w:val="20"/>
          <w:lang w:eastAsia="en-GB"/>
        </w:rPr>
        <w:t>Journal of Economics Library</w:t>
      </w:r>
      <w:r w:rsidRPr="00C16D1E">
        <w:rPr>
          <w:rFonts w:ascii="Times New Roman" w:eastAsia="Times New Roman" w:hAnsi="Times New Roman" w:cs="Times New Roman"/>
          <w:sz w:val="20"/>
          <w:szCs w:val="20"/>
          <w:lang w:eastAsia="en-GB"/>
        </w:rPr>
        <w:t xml:space="preserve">, 3(1). </w:t>
      </w:r>
      <w:hyperlink r:id="rId20" w:tgtFrame="_new" w:history="1">
        <w:r w:rsidRPr="00C16D1E">
          <w:rPr>
            <w:rFonts w:ascii="Times New Roman" w:eastAsia="Times New Roman" w:hAnsi="Times New Roman" w:cs="Times New Roman"/>
            <w:color w:val="0000FF"/>
            <w:sz w:val="20"/>
            <w:szCs w:val="20"/>
            <w:u w:val="single"/>
            <w:lang w:eastAsia="en-GB"/>
          </w:rPr>
          <w:t>https://journals.econsciences.com/index.php/JEL/article/view/662</w:t>
        </w:r>
      </w:hyperlink>
    </w:p>
    <w:p w14:paraId="66CE0174"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Ferede, M. A. (2025). Impacts of Natural Resource Rents, Institutional Quality, and FDI on the Development of Human Capital: Evidence from Sub-Saharan African Countries. </w:t>
      </w:r>
    </w:p>
    <w:p w14:paraId="075390F2" w14:textId="2A2D1958"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 Grabowski, R., &amp; Self, S. (2021). Determinants of governance institutional quality in sub-Saharan Africa. Applied Economics 53(18). Pp. 2066-2079. https://doi.org/10.1080/00036846.2020.1855314.</w:t>
      </w:r>
    </w:p>
    <w:p w14:paraId="2BEC55B4"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Gylfason, T. (2001). Natural Resources, Education and Economic Development. </w:t>
      </w:r>
      <w:r w:rsidRPr="00C16D1E">
        <w:rPr>
          <w:rFonts w:ascii="Times New Roman" w:hAnsi="Times New Roman" w:cs="Times New Roman"/>
          <w:i/>
          <w:sz w:val="20"/>
          <w:szCs w:val="20"/>
        </w:rPr>
        <w:t>European Economic Review</w:t>
      </w:r>
      <w:r w:rsidRPr="00C16D1E">
        <w:rPr>
          <w:rFonts w:ascii="Times New Roman" w:hAnsi="Times New Roman" w:cs="Times New Roman"/>
          <w:sz w:val="20"/>
          <w:szCs w:val="20"/>
        </w:rPr>
        <w:t>, 45, pp. 847–859.</w:t>
      </w:r>
    </w:p>
    <w:p w14:paraId="24A0A04D" w14:textId="6B45E6AA"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Haussmann, R., &amp; Rodrik, D. (2003). Economic Development as Self-Discovery.</w:t>
      </w:r>
      <w:r w:rsidRPr="00C16D1E">
        <w:rPr>
          <w:rFonts w:ascii="Times New Roman" w:eastAsia="Times New Roman" w:hAnsi="Times New Roman" w:cs="Times New Roman"/>
          <w:i/>
          <w:sz w:val="20"/>
          <w:szCs w:val="20"/>
        </w:rPr>
        <w:t xml:space="preserve"> Journal of Development Economics,</w:t>
      </w:r>
      <w:r w:rsidRPr="00C16D1E">
        <w:rPr>
          <w:rFonts w:ascii="Times New Roman" w:eastAsia="Times New Roman" w:hAnsi="Times New Roman" w:cs="Times New Roman"/>
          <w:sz w:val="20"/>
          <w:szCs w:val="20"/>
        </w:rPr>
        <w:t xml:space="preserve"> 72(2), pp. 603</w:t>
      </w:r>
      <w:r w:rsidR="009414B4" w:rsidRPr="00C16D1E">
        <w:rPr>
          <w:rFonts w:ascii="Times New Roman" w:eastAsia="Times New Roman" w:hAnsi="Times New Roman" w:cs="Times New Roman"/>
          <w:sz w:val="20"/>
          <w:szCs w:val="20"/>
        </w:rPr>
        <w:t>–</w:t>
      </w:r>
      <w:r w:rsidRPr="00C16D1E">
        <w:rPr>
          <w:rFonts w:ascii="Times New Roman" w:eastAsia="Times New Roman" w:hAnsi="Times New Roman" w:cs="Times New Roman"/>
          <w:sz w:val="20"/>
          <w:szCs w:val="20"/>
        </w:rPr>
        <w:t xml:space="preserve">633. </w:t>
      </w:r>
    </w:p>
    <w:p w14:paraId="565C5426" w14:textId="180233DE" w:rsidR="009463F9" w:rsidRPr="00C16D1E" w:rsidRDefault="009463F9"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Idris, A., A. (2023). “The Impact of Governance Indicators on Nigerian Economic Performance”, Asian Journal of Social Sciences and Management Technology. ISSN:2313-7410, vol.5(3):146-155. </w:t>
      </w:r>
    </w:p>
    <w:p w14:paraId="0B569E97"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Igbakula, T., Ushahemba, V., &amp; SEM, A. (2021). The Impact of Institutional Quality on Economic Growth in Nigeria. Gusau International Journal of Management and Social Sciences, 4(3), 21. </w:t>
      </w:r>
    </w:p>
    <w:p w14:paraId="50ED0EAC" w14:textId="39B794FF" w:rsidR="004F79A4" w:rsidRPr="00C16D1E" w:rsidRDefault="004D1E5E" w:rsidP="00524050">
      <w:pPr>
        <w:shd w:val="clear" w:color="auto" w:fill="FFFFFF"/>
        <w:spacing w:after="200"/>
        <w:ind w:left="540" w:hanging="540"/>
        <w:jc w:val="both"/>
        <w:rPr>
          <w:rFonts w:ascii="Times New Roman" w:hAnsi="Times New Roman" w:cs="Times New Roman"/>
          <w:i/>
          <w:iCs/>
          <w:sz w:val="20"/>
          <w:szCs w:val="20"/>
          <w:shd w:val="clear" w:color="auto" w:fill="FFFFFF"/>
        </w:rPr>
      </w:pPr>
      <w:r w:rsidRPr="00C16D1E">
        <w:rPr>
          <w:rFonts w:ascii="Times New Roman" w:eastAsia="Times New Roman" w:hAnsi="Times New Roman" w:cs="Times New Roman"/>
          <w:sz w:val="20"/>
          <w:szCs w:val="20"/>
        </w:rPr>
        <w:t>IMF (2020</w:t>
      </w:r>
      <w:r w:rsidR="004F79A4" w:rsidRPr="00C16D1E">
        <w:rPr>
          <w:rFonts w:ascii="Times New Roman" w:eastAsia="Times New Roman" w:hAnsi="Times New Roman" w:cs="Times New Roman"/>
          <w:sz w:val="20"/>
          <w:szCs w:val="20"/>
        </w:rPr>
        <w:t>). Nigeria's Economic Outlook. International Monetary Fund.</w:t>
      </w:r>
    </w:p>
    <w:p w14:paraId="717FEAEF" w14:textId="3922C03B"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International Monetary Fund. (202</w:t>
      </w:r>
      <w:r w:rsidR="004D1E5E" w:rsidRPr="00C16D1E">
        <w:rPr>
          <w:rFonts w:ascii="Times New Roman" w:eastAsia="Times New Roman" w:hAnsi="Times New Roman" w:cs="Times New Roman"/>
          <w:sz w:val="20"/>
          <w:szCs w:val="20"/>
          <w:lang w:eastAsia="en-GB"/>
        </w:rPr>
        <w:t>2</w:t>
      </w:r>
      <w:r w:rsidRPr="00C16D1E">
        <w:rPr>
          <w:rFonts w:ascii="Times New Roman" w:eastAsia="Times New Roman" w:hAnsi="Times New Roman" w:cs="Times New Roman"/>
          <w:sz w:val="20"/>
          <w:szCs w:val="20"/>
          <w:lang w:eastAsia="en-GB"/>
        </w:rPr>
        <w:t xml:space="preserve">). </w:t>
      </w:r>
      <w:r w:rsidRPr="00C16D1E">
        <w:rPr>
          <w:rFonts w:ascii="Times New Roman" w:eastAsia="Times New Roman" w:hAnsi="Times New Roman" w:cs="Times New Roman"/>
          <w:i/>
          <w:iCs/>
          <w:sz w:val="20"/>
          <w:szCs w:val="20"/>
          <w:lang w:eastAsia="en-GB"/>
        </w:rPr>
        <w:t>Nigeria: Selected issues paper</w:t>
      </w:r>
      <w:r w:rsidRPr="00C16D1E">
        <w:rPr>
          <w:rFonts w:ascii="Times New Roman" w:eastAsia="Times New Roman" w:hAnsi="Times New Roman" w:cs="Times New Roman"/>
          <w:sz w:val="20"/>
          <w:szCs w:val="20"/>
          <w:lang w:eastAsia="en-GB"/>
        </w:rPr>
        <w:t>. IMF Country Report No. 23/87.</w:t>
      </w:r>
    </w:p>
    <w:p w14:paraId="673F32A5" w14:textId="77777777" w:rsidR="004F79A4" w:rsidRPr="00C16D1E" w:rsidRDefault="004F79A4" w:rsidP="00524050">
      <w:pPr>
        <w:spacing w:after="200"/>
        <w:ind w:left="540" w:hanging="540"/>
        <w:jc w:val="both"/>
        <w:rPr>
          <w:rFonts w:ascii="Times New Roman" w:hAnsi="Times New Roman" w:cs="Times New Roman"/>
          <w:sz w:val="20"/>
          <w:szCs w:val="20"/>
          <w:shd w:val="clear" w:color="auto" w:fill="FFFFFF"/>
        </w:rPr>
      </w:pPr>
      <w:r w:rsidRPr="00C16D1E">
        <w:rPr>
          <w:rFonts w:ascii="Times New Roman" w:eastAsia="Times New Roman" w:hAnsi="Times New Roman" w:cs="Times New Roman"/>
          <w:sz w:val="20"/>
          <w:szCs w:val="20"/>
          <w:lang w:val="en-GB"/>
        </w:rPr>
        <w:t xml:space="preserve">Iyanda, D. (2012). Corruption: definitions, theories and concepts. </w:t>
      </w:r>
      <w:r w:rsidRPr="00C16D1E">
        <w:rPr>
          <w:rFonts w:ascii="Times New Roman" w:eastAsia="Times New Roman" w:hAnsi="Times New Roman" w:cs="Times New Roman"/>
          <w:i/>
          <w:sz w:val="20"/>
          <w:szCs w:val="20"/>
          <w:lang w:val="en-GB"/>
        </w:rPr>
        <w:t>Arabian journal of business management review</w:t>
      </w:r>
      <w:r w:rsidRPr="00C16D1E">
        <w:rPr>
          <w:rFonts w:ascii="Times New Roman" w:eastAsia="Times New Roman" w:hAnsi="Times New Roman" w:cs="Times New Roman"/>
          <w:sz w:val="20"/>
          <w:szCs w:val="20"/>
          <w:lang w:val="en-GB"/>
        </w:rPr>
        <w:t xml:space="preserve">. </w:t>
      </w:r>
      <w:r w:rsidRPr="00C16D1E">
        <w:rPr>
          <w:rFonts w:ascii="Times New Roman" w:eastAsia="Times New Roman" w:hAnsi="Times New Roman" w:cs="Times New Roman"/>
          <w:i/>
          <w:sz w:val="20"/>
          <w:szCs w:val="20"/>
          <w:lang w:val="en-GB"/>
        </w:rPr>
        <w:t>2</w:t>
      </w:r>
      <w:r w:rsidRPr="00C16D1E">
        <w:rPr>
          <w:rFonts w:ascii="Times New Roman" w:eastAsia="Times New Roman" w:hAnsi="Times New Roman" w:cs="Times New Roman"/>
          <w:sz w:val="20"/>
          <w:szCs w:val="20"/>
          <w:lang w:val="en-GB"/>
        </w:rPr>
        <w:t xml:space="preserve"> (4), pp.37–44.</w:t>
      </w:r>
    </w:p>
    <w:p w14:paraId="0F6DEEA5"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Jonathan, E. O., </w:t>
      </w:r>
      <w:proofErr w:type="spellStart"/>
      <w:r w:rsidRPr="00C16D1E">
        <w:rPr>
          <w:rFonts w:ascii="Times New Roman" w:hAnsi="Times New Roman" w:cs="Times New Roman"/>
          <w:sz w:val="20"/>
          <w:szCs w:val="20"/>
        </w:rPr>
        <w:t>Fidelia</w:t>
      </w:r>
      <w:proofErr w:type="spellEnd"/>
      <w:r w:rsidRPr="00C16D1E">
        <w:rPr>
          <w:rFonts w:ascii="Times New Roman" w:hAnsi="Times New Roman" w:cs="Times New Roman"/>
          <w:sz w:val="20"/>
          <w:szCs w:val="20"/>
        </w:rPr>
        <w:t xml:space="preserve">, N. O., Anthony, O. I., &amp; </w:t>
      </w:r>
      <w:proofErr w:type="spellStart"/>
      <w:r w:rsidRPr="00C16D1E">
        <w:rPr>
          <w:rFonts w:ascii="Times New Roman" w:hAnsi="Times New Roman" w:cs="Times New Roman"/>
          <w:sz w:val="20"/>
          <w:szCs w:val="20"/>
        </w:rPr>
        <w:t>Onyinye</w:t>
      </w:r>
      <w:proofErr w:type="spellEnd"/>
      <w:r w:rsidRPr="00C16D1E">
        <w:rPr>
          <w:rFonts w:ascii="Times New Roman" w:hAnsi="Times New Roman" w:cs="Times New Roman"/>
          <w:sz w:val="20"/>
          <w:szCs w:val="20"/>
        </w:rPr>
        <w:t>, I. A. (2020).  Institutional Quality and Economic Performance in Nigeria: A New Evidence. International Journal of Economics and Statistics DOI: 10.46300/9103.2020.8.7 Volume 8, 2020.</w:t>
      </w:r>
    </w:p>
    <w:p w14:paraId="6002D95B"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Jonathan, M., Peter, K. &amp; Mutaju, I. M. (2022). Institutional quality and resource-based economic sustainability: the mediation effects of resource governance.</w:t>
      </w:r>
    </w:p>
    <w:p w14:paraId="68597470" w14:textId="3CE7716E" w:rsidR="004F79A4" w:rsidRPr="00C16D1E" w:rsidRDefault="0087213A"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rPr>
        <w:t>José, A., &amp; Carlos, G. (2020</w:t>
      </w:r>
      <w:r w:rsidR="004F79A4" w:rsidRPr="00C16D1E">
        <w:rPr>
          <w:rFonts w:ascii="Times New Roman" w:hAnsi="Times New Roman" w:cs="Times New Roman"/>
          <w:sz w:val="20"/>
          <w:szCs w:val="20"/>
        </w:rPr>
        <w:t>). The Determinants of Institutional Quality. More on the Debate.</w:t>
      </w:r>
    </w:p>
    <w:p w14:paraId="70978A9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Kaufmann, D., Kraay, A., &amp; </w:t>
      </w:r>
      <w:proofErr w:type="spellStart"/>
      <w:r w:rsidRPr="00C16D1E">
        <w:rPr>
          <w:rFonts w:ascii="Times New Roman" w:hAnsi="Times New Roman" w:cs="Times New Roman"/>
          <w:sz w:val="20"/>
          <w:szCs w:val="20"/>
        </w:rPr>
        <w:t>Mastruzzi</w:t>
      </w:r>
      <w:proofErr w:type="spellEnd"/>
      <w:r w:rsidRPr="00C16D1E">
        <w:rPr>
          <w:rFonts w:ascii="Times New Roman" w:hAnsi="Times New Roman" w:cs="Times New Roman"/>
          <w:sz w:val="20"/>
          <w:szCs w:val="20"/>
        </w:rPr>
        <w:t>, M.  (2010). Worldwide Governance Indicators: Methodology and Analytical Issues. Policy Research working paper; no. WPS 5430. © http://hdl.handle.net/10986/3913 License: </w:t>
      </w:r>
      <w:hyperlink r:id="rId21" w:history="1">
        <w:r w:rsidRPr="00C16D1E">
          <w:rPr>
            <w:rFonts w:ascii="Times New Roman" w:hAnsi="Times New Roman" w:cs="Times New Roman"/>
            <w:sz w:val="20"/>
            <w:szCs w:val="20"/>
          </w:rPr>
          <w:t>CC BY 3.0 IGO</w:t>
        </w:r>
      </w:hyperlink>
      <w:r w:rsidRPr="00C16D1E">
        <w:rPr>
          <w:rFonts w:ascii="Times New Roman" w:hAnsi="Times New Roman" w:cs="Times New Roman"/>
          <w:sz w:val="20"/>
          <w:szCs w:val="20"/>
        </w:rPr>
        <w:t>.</w:t>
      </w:r>
    </w:p>
    <w:p w14:paraId="67F2EEFC"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lastRenderedPageBreak/>
        <w:t xml:space="preserve">Kaufmann, D., Kraay, A., &amp; </w:t>
      </w:r>
      <w:proofErr w:type="spellStart"/>
      <w:r w:rsidRPr="00C16D1E">
        <w:rPr>
          <w:rFonts w:ascii="Times New Roman" w:eastAsia="Times New Roman" w:hAnsi="Times New Roman" w:cs="Times New Roman"/>
          <w:sz w:val="20"/>
          <w:szCs w:val="20"/>
          <w:lang w:eastAsia="en-GB"/>
        </w:rPr>
        <w:t>Mastruzzi</w:t>
      </w:r>
      <w:proofErr w:type="spellEnd"/>
      <w:r w:rsidRPr="00C16D1E">
        <w:rPr>
          <w:rFonts w:ascii="Times New Roman" w:eastAsia="Times New Roman" w:hAnsi="Times New Roman" w:cs="Times New Roman"/>
          <w:sz w:val="20"/>
          <w:szCs w:val="20"/>
          <w:lang w:eastAsia="en-GB"/>
        </w:rPr>
        <w:t xml:space="preserve">, M. (2023). </w:t>
      </w:r>
      <w:r w:rsidRPr="00C16D1E">
        <w:rPr>
          <w:rFonts w:ascii="Times New Roman" w:eastAsia="Times New Roman" w:hAnsi="Times New Roman" w:cs="Times New Roman"/>
          <w:i/>
          <w:iCs/>
          <w:sz w:val="20"/>
          <w:szCs w:val="20"/>
          <w:lang w:eastAsia="en-GB"/>
        </w:rPr>
        <w:t>The worldwide governance indicators: Methodology and analytical issues</w:t>
      </w:r>
      <w:r w:rsidRPr="00C16D1E">
        <w:rPr>
          <w:rFonts w:ascii="Times New Roman" w:eastAsia="Times New Roman" w:hAnsi="Times New Roman" w:cs="Times New Roman"/>
          <w:sz w:val="20"/>
          <w:szCs w:val="20"/>
          <w:lang w:eastAsia="en-GB"/>
        </w:rPr>
        <w:t xml:space="preserve">. World Bank Policy Research Working Paper No. 10315. </w:t>
      </w:r>
      <w:hyperlink r:id="rId22" w:tgtFrame="_blank" w:history="1">
        <w:r w:rsidRPr="00C16D1E">
          <w:rPr>
            <w:rFonts w:ascii="Times New Roman" w:eastAsia="Times New Roman" w:hAnsi="Times New Roman" w:cs="Times New Roman"/>
            <w:color w:val="0000FF"/>
            <w:sz w:val="20"/>
            <w:szCs w:val="20"/>
            <w:u w:val="single"/>
            <w:lang w:eastAsia="en-GB"/>
          </w:rPr>
          <w:t>https://doi.org/10.1596/1813-9450-10315</w:t>
        </w:r>
      </w:hyperlink>
    </w:p>
    <w:p w14:paraId="02C65C64" w14:textId="6ACA0DFC"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Klein, P.G. (1999). New Institutional Economics. Retrieved from: </w:t>
      </w:r>
      <w:proofErr w:type="spellStart"/>
      <w:r w:rsidRPr="00C16D1E">
        <w:rPr>
          <w:rFonts w:ascii="Times New Roman" w:hAnsi="Times New Roman" w:cs="Times New Roman"/>
          <w:sz w:val="20"/>
          <w:szCs w:val="20"/>
        </w:rPr>
        <w:t>htt</w:t>
      </w:r>
      <w:proofErr w:type="spellEnd"/>
      <w:r w:rsidRPr="00C16D1E">
        <w:rPr>
          <w:rFonts w:ascii="Times New Roman" w:hAnsi="Times New Roman" w:cs="Times New Roman"/>
          <w:sz w:val="20"/>
          <w:szCs w:val="20"/>
        </w:rPr>
        <w:t xml:space="preserve"> p://dx.doi.org/10.2139/ssrn.115811.</w:t>
      </w:r>
    </w:p>
    <w:p w14:paraId="64875F00" w14:textId="77104E2F" w:rsidR="000A0475" w:rsidRPr="00C16D1E" w:rsidRDefault="000A0475"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Isham, J.</w:t>
      </w:r>
      <w:r w:rsidR="009414B4" w:rsidRPr="00C16D1E">
        <w:rPr>
          <w:rFonts w:ascii="Times New Roman" w:hAnsi="Times New Roman" w:cs="Times New Roman"/>
          <w:sz w:val="20"/>
          <w:szCs w:val="20"/>
        </w:rPr>
        <w:t>,</w:t>
      </w:r>
      <w:r w:rsidRPr="00C16D1E">
        <w:rPr>
          <w:rFonts w:ascii="Times New Roman" w:hAnsi="Times New Roman" w:cs="Times New Roman"/>
          <w:sz w:val="20"/>
          <w:szCs w:val="20"/>
        </w:rPr>
        <w:t xml:space="preserve"> Woolcock, M., Pritchett, L. &amp; Gwen, B. (2</w:t>
      </w:r>
      <w:r w:rsidR="00042A2E" w:rsidRPr="00C16D1E">
        <w:rPr>
          <w:rFonts w:ascii="Times New Roman" w:hAnsi="Times New Roman" w:cs="Times New Roman"/>
          <w:sz w:val="20"/>
          <w:szCs w:val="20"/>
        </w:rPr>
        <w:t>00</w:t>
      </w:r>
      <w:r w:rsidR="004F715E" w:rsidRPr="00C16D1E">
        <w:rPr>
          <w:rFonts w:ascii="Times New Roman" w:hAnsi="Times New Roman" w:cs="Times New Roman"/>
          <w:sz w:val="20"/>
          <w:szCs w:val="20"/>
        </w:rPr>
        <w:t>5</w:t>
      </w:r>
      <w:r w:rsidR="00042A2E" w:rsidRPr="00C16D1E">
        <w:rPr>
          <w:rFonts w:ascii="Times New Roman" w:hAnsi="Times New Roman" w:cs="Times New Roman"/>
          <w:sz w:val="20"/>
          <w:szCs w:val="20"/>
        </w:rPr>
        <w:t>). The Varieties of Resource E</w:t>
      </w:r>
      <w:r w:rsidRPr="00C16D1E">
        <w:rPr>
          <w:rFonts w:ascii="Times New Roman" w:hAnsi="Times New Roman" w:cs="Times New Roman"/>
          <w:sz w:val="20"/>
          <w:szCs w:val="20"/>
        </w:rPr>
        <w:t>x</w:t>
      </w:r>
      <w:r w:rsidR="00042A2E" w:rsidRPr="00C16D1E">
        <w:rPr>
          <w:rFonts w:ascii="Times New Roman" w:hAnsi="Times New Roman" w:cs="Times New Roman"/>
          <w:sz w:val="20"/>
          <w:szCs w:val="20"/>
        </w:rPr>
        <w:t>perience: How Natural Resource E</w:t>
      </w:r>
      <w:r w:rsidRPr="00C16D1E">
        <w:rPr>
          <w:rFonts w:ascii="Times New Roman" w:hAnsi="Times New Roman" w:cs="Times New Roman"/>
          <w:sz w:val="20"/>
          <w:szCs w:val="20"/>
        </w:rPr>
        <w:t xml:space="preserve">xport </w:t>
      </w:r>
      <w:r w:rsidR="00042A2E" w:rsidRPr="00C16D1E">
        <w:rPr>
          <w:rFonts w:ascii="Times New Roman" w:hAnsi="Times New Roman" w:cs="Times New Roman"/>
          <w:sz w:val="20"/>
          <w:szCs w:val="20"/>
        </w:rPr>
        <w:t>S</w:t>
      </w:r>
      <w:r w:rsidRPr="00C16D1E">
        <w:rPr>
          <w:rFonts w:ascii="Times New Roman" w:hAnsi="Times New Roman" w:cs="Times New Roman"/>
          <w:sz w:val="20"/>
          <w:szCs w:val="20"/>
        </w:rPr>
        <w:t xml:space="preserve">tructures Affect the Political Economy of Economic Growth. Middlebury College Discussion. </w:t>
      </w:r>
    </w:p>
    <w:p w14:paraId="358B3082" w14:textId="77777777"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Lin, J. Y. (2012). New Structural Economics: A Framework for Rethinking Development. World Bank Policy Research Working Paper.</w:t>
      </w:r>
    </w:p>
    <w:p w14:paraId="37D0AF0A" w14:textId="77777777" w:rsidR="004F79A4" w:rsidRPr="00C16D1E" w:rsidRDefault="004F79A4" w:rsidP="00524050">
      <w:pPr>
        <w:autoSpaceDE w:val="0"/>
        <w:autoSpaceDN w:val="0"/>
        <w:adjustRightInd w:val="0"/>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 xml:space="preserve">Lin, J. Y. (2020). New structural economics: the third generation of development economics. Asian </w:t>
      </w:r>
      <w:r w:rsidRPr="00C16D1E">
        <w:rPr>
          <w:rFonts w:ascii="Times New Roman" w:eastAsia="Times New Roman" w:hAnsi="Times New Roman" w:cs="Times New Roman"/>
          <w:sz w:val="20"/>
          <w:szCs w:val="20"/>
          <w:lang w:val="en-GB"/>
        </w:rPr>
        <w:tab/>
        <w:t>Educ. Dev. Stud. 9 (3), 279–286.</w:t>
      </w:r>
    </w:p>
    <w:p w14:paraId="5BD7D4DE" w14:textId="0A900350"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rPr>
        <w:t>Lin, J. Y. (2021).</w:t>
      </w:r>
      <w:r w:rsidRPr="00C16D1E">
        <w:rPr>
          <w:rFonts w:ascii="Times New Roman" w:eastAsia="Times New Roman" w:hAnsi="Times New Roman" w:cs="Times New Roman"/>
          <w:sz w:val="20"/>
          <w:szCs w:val="20"/>
          <w:lang w:val="en-GB"/>
        </w:rPr>
        <w:t xml:space="preserve"> New structural economics: A framework </w:t>
      </w:r>
      <w:r w:rsidR="009414B4" w:rsidRPr="00C16D1E">
        <w:rPr>
          <w:rFonts w:ascii="Times New Roman" w:eastAsia="Times New Roman" w:hAnsi="Times New Roman" w:cs="Times New Roman"/>
          <w:sz w:val="20"/>
          <w:szCs w:val="20"/>
          <w:lang w:val="en-GB"/>
        </w:rPr>
        <w:t>for</w:t>
      </w:r>
      <w:r w:rsidRPr="00C16D1E">
        <w:rPr>
          <w:rFonts w:ascii="Times New Roman" w:eastAsia="Times New Roman" w:hAnsi="Times New Roman" w:cs="Times New Roman"/>
          <w:sz w:val="20"/>
          <w:szCs w:val="20"/>
          <w:lang w:val="en-GB"/>
        </w:rPr>
        <w:t xml:space="preserve"> studying government and economics. </w:t>
      </w:r>
      <w:r w:rsidRPr="00C16D1E">
        <w:rPr>
          <w:rFonts w:ascii="Times New Roman" w:eastAsia="Times New Roman" w:hAnsi="Times New Roman" w:cs="Times New Roman"/>
          <w:i/>
          <w:iCs/>
          <w:sz w:val="20"/>
          <w:szCs w:val="20"/>
          <w:lang w:val="en-GB"/>
        </w:rPr>
        <w:t>Journal of Government and Economics</w:t>
      </w:r>
      <w:r w:rsidRPr="00C16D1E">
        <w:rPr>
          <w:rFonts w:ascii="Times New Roman" w:eastAsia="Times New Roman" w:hAnsi="Times New Roman" w:cs="Times New Roman"/>
          <w:sz w:val="20"/>
          <w:szCs w:val="20"/>
          <w:lang w:val="en-GB"/>
        </w:rPr>
        <w:t>; Institute of New Structural Economics, Peking University, China.</w:t>
      </w:r>
      <w:r w:rsidRPr="00C16D1E">
        <w:rPr>
          <w:rFonts w:ascii="Times New Roman" w:eastAsia="Times New Roman" w:hAnsi="Times New Roman" w:cs="Times New Roman"/>
          <w:i/>
          <w:iCs/>
          <w:sz w:val="20"/>
          <w:szCs w:val="20"/>
          <w:lang w:val="en-GB"/>
        </w:rPr>
        <w:t xml:space="preserve"> 2 (2021) 100014, homepage: www.elsevier.com/locate/jge.  </w:t>
      </w:r>
      <w:r w:rsidRPr="00C16D1E">
        <w:rPr>
          <w:rFonts w:ascii="Times New Roman" w:eastAsia="Times New Roman" w:hAnsi="Times New Roman" w:cs="Times New Roman"/>
          <w:sz w:val="20"/>
          <w:szCs w:val="20"/>
          <w:lang w:val="en-GB"/>
        </w:rPr>
        <w:t xml:space="preserve"> </w:t>
      </w:r>
    </w:p>
    <w:p w14:paraId="76954151"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Macro, F. (2021). Institutional quality shapes cooperation with out-group strangers: Evolution and Human Behaviour.</w:t>
      </w:r>
    </w:p>
    <w:p w14:paraId="128DEC46"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Mehlum, H., K. Moene, &amp; R. Torvik (2006). “Institutions and the Resource Curse,” </w:t>
      </w:r>
      <w:r w:rsidRPr="00C16D1E">
        <w:rPr>
          <w:rFonts w:ascii="Times New Roman" w:hAnsi="Times New Roman" w:cs="Times New Roman"/>
          <w:i/>
          <w:sz w:val="20"/>
          <w:szCs w:val="20"/>
        </w:rPr>
        <w:t xml:space="preserve">The </w:t>
      </w:r>
      <w:r w:rsidRPr="00C16D1E">
        <w:rPr>
          <w:rFonts w:ascii="Times New Roman" w:hAnsi="Times New Roman" w:cs="Times New Roman"/>
          <w:i/>
          <w:sz w:val="20"/>
          <w:szCs w:val="20"/>
        </w:rPr>
        <w:tab/>
        <w:t>Economic Journal,</w:t>
      </w:r>
      <w:r w:rsidRPr="00C16D1E">
        <w:rPr>
          <w:rFonts w:ascii="Times New Roman" w:hAnsi="Times New Roman" w:cs="Times New Roman"/>
          <w:sz w:val="20"/>
          <w:szCs w:val="20"/>
        </w:rPr>
        <w:t xml:space="preserve"> 116(508), 1–20.</w:t>
      </w:r>
    </w:p>
    <w:p w14:paraId="0C7E3C7B"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Michael, D., &amp; Segal, I. (2010). Property Rights: Stanford Law and Economics Olin Working </w:t>
      </w:r>
      <w:r w:rsidRPr="00C16D1E">
        <w:rPr>
          <w:rFonts w:ascii="Times New Roman" w:eastAsia="Times New Roman" w:hAnsi="Times New Roman" w:cs="Times New Roman"/>
          <w:sz w:val="20"/>
          <w:szCs w:val="20"/>
        </w:rPr>
        <w:tab/>
        <w:t>Paper No. 394, </w:t>
      </w:r>
      <w:hyperlink r:id="rId23" w:tgtFrame="_blank" w:history="1">
        <w:r w:rsidRPr="00C16D1E">
          <w:rPr>
            <w:rFonts w:ascii="Times New Roman" w:eastAsia="Times New Roman" w:hAnsi="Times New Roman" w:cs="Times New Roman"/>
            <w:sz w:val="20"/>
            <w:szCs w:val="20"/>
          </w:rPr>
          <w:t>http://dx.doi.org/10.2139/ssrn.1577382</w:t>
        </w:r>
      </w:hyperlink>
      <w:r w:rsidRPr="00C16D1E">
        <w:rPr>
          <w:rFonts w:ascii="Times New Roman" w:eastAsia="Times New Roman" w:hAnsi="Times New Roman" w:cs="Times New Roman"/>
          <w:sz w:val="20"/>
          <w:szCs w:val="20"/>
        </w:rPr>
        <w:t>.</w:t>
      </w:r>
    </w:p>
    <w:p w14:paraId="61E2F68D" w14:textId="77777777" w:rsidR="004F79A4" w:rsidRPr="00C16D1E" w:rsidRDefault="004F79A4" w:rsidP="00524050">
      <w:pPr>
        <w:autoSpaceDE w:val="0"/>
        <w:autoSpaceDN w:val="0"/>
        <w:adjustRightInd w:val="0"/>
        <w:spacing w:after="200"/>
        <w:ind w:left="540" w:hanging="540"/>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t>Mohammed, S. H. (2023). Institutional quality and economic growth in Sub-Saharan Africa: a panel data approach. Journal volume &amp; issue. Vol 25, no. 4</w:t>
      </w:r>
      <w:r w:rsidRPr="00C16D1E">
        <w:rPr>
          <w:rFonts w:ascii="Times New Roman" w:hAnsi="Times New Roman" w:cs="Times New Roman"/>
          <w:sz w:val="20"/>
          <w:szCs w:val="20"/>
          <w:lang w:val="en-GB"/>
        </w:rPr>
        <w:br/>
        <w:t xml:space="preserve">pp. 332 – 348. </w:t>
      </w:r>
    </w:p>
    <w:p w14:paraId="3F278159"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Narayan, P. K. (2005). The saving and investment nexus for China: Evidence from cointegration tests. </w:t>
      </w:r>
      <w:r w:rsidRPr="00C16D1E">
        <w:rPr>
          <w:rFonts w:ascii="Times New Roman" w:eastAsia="Times New Roman" w:hAnsi="Times New Roman" w:cs="Times New Roman"/>
          <w:i/>
          <w:iCs/>
          <w:sz w:val="20"/>
          <w:szCs w:val="20"/>
          <w:lang w:eastAsia="en-GB"/>
        </w:rPr>
        <w:t>Applied Economics</w:t>
      </w:r>
      <w:r w:rsidRPr="00C16D1E">
        <w:rPr>
          <w:rFonts w:ascii="Times New Roman" w:eastAsia="Times New Roman" w:hAnsi="Times New Roman" w:cs="Times New Roman"/>
          <w:sz w:val="20"/>
          <w:szCs w:val="20"/>
          <w:lang w:eastAsia="en-GB"/>
        </w:rPr>
        <w:t xml:space="preserve">, 37(17), 1979–1990. </w:t>
      </w:r>
      <w:hyperlink r:id="rId24" w:tgtFrame="_blank" w:history="1">
        <w:r w:rsidRPr="00C16D1E">
          <w:rPr>
            <w:rFonts w:ascii="Times New Roman" w:eastAsia="Times New Roman" w:hAnsi="Times New Roman" w:cs="Times New Roman"/>
            <w:color w:val="0000FF"/>
            <w:sz w:val="20"/>
            <w:szCs w:val="20"/>
            <w:u w:val="single"/>
            <w:lang w:eastAsia="en-GB"/>
          </w:rPr>
          <w:t>https://doi.org/10.1080/00036840500278103</w:t>
        </w:r>
      </w:hyperlink>
    </w:p>
    <w:p w14:paraId="35F924B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National Forestry Research Institute (2020). National forestry statistics.</w:t>
      </w:r>
    </w:p>
    <w:p w14:paraId="5E338185"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Netho, N. (2022). Analysis of the Trends and Determinants of Governance Quality in Tanzania from 1990-2021: Department of Economics and Statistics, University of Dodoma, Tanzania.</w:t>
      </w:r>
    </w:p>
    <w:p w14:paraId="297AAA20"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 xml:space="preserve">Nigerian Minerals and Mining Act (2007). </w:t>
      </w:r>
      <w:r w:rsidRPr="00C16D1E">
        <w:rPr>
          <w:rFonts w:ascii="Times New Roman" w:hAnsi="Times New Roman" w:cs="Times New Roman"/>
          <w:sz w:val="20"/>
          <w:szCs w:val="20"/>
          <w:shd w:val="clear" w:color="auto" w:fill="FFFFFF"/>
        </w:rPr>
        <w:t xml:space="preserve">Nigerian Minerals and Mining Policy. Ministry of </w:t>
      </w:r>
      <w:r w:rsidRPr="00C16D1E">
        <w:rPr>
          <w:rFonts w:ascii="Times New Roman" w:hAnsi="Times New Roman" w:cs="Times New Roman"/>
          <w:sz w:val="20"/>
          <w:szCs w:val="20"/>
          <w:shd w:val="clear" w:color="auto" w:fill="FFFFFF"/>
        </w:rPr>
        <w:tab/>
        <w:t>Mines and Steel Development.</w:t>
      </w:r>
      <w:r w:rsidRPr="00C16D1E">
        <w:rPr>
          <w:rFonts w:ascii="Times New Roman" w:eastAsia="Times New Roman" w:hAnsi="Times New Roman" w:cs="Times New Roman"/>
          <w:sz w:val="20"/>
          <w:szCs w:val="20"/>
        </w:rPr>
        <w:t xml:space="preserve"> </w:t>
      </w:r>
    </w:p>
    <w:p w14:paraId="57003FBD"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North, D. C. (1990). Institutions, Institutional Change, and Economic Performance. New York: Cambridge University Press.</w:t>
      </w:r>
    </w:p>
    <w:p w14:paraId="3F9A06E2"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North, D.C. (1991). Institutions, Institutional Change and Economic Performance. Cambridge </w:t>
      </w:r>
      <w:r w:rsidRPr="00C16D1E">
        <w:rPr>
          <w:rFonts w:ascii="Times New Roman" w:hAnsi="Times New Roman" w:cs="Times New Roman"/>
          <w:sz w:val="20"/>
          <w:szCs w:val="20"/>
        </w:rPr>
        <w:tab/>
        <w:t>University Press. Journal of Economic Perspectives, 5(1), pp. 97–112.</w:t>
      </w:r>
    </w:p>
    <w:p w14:paraId="245144C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shd w:val="clear" w:color="auto" w:fill="FFFFFF"/>
        </w:rPr>
        <w:t>OECD (1993). </w:t>
      </w:r>
      <w:r w:rsidRPr="00C16D1E">
        <w:rPr>
          <w:rFonts w:ascii="Times New Roman" w:hAnsi="Times New Roman" w:cs="Times New Roman"/>
          <w:i/>
          <w:iCs/>
          <w:sz w:val="20"/>
          <w:szCs w:val="20"/>
        </w:rPr>
        <w:t>The Economic Outlook</w:t>
      </w:r>
      <w:r w:rsidRPr="00C16D1E">
        <w:rPr>
          <w:rFonts w:ascii="Times New Roman" w:hAnsi="Times New Roman" w:cs="Times New Roman"/>
          <w:i/>
          <w:sz w:val="20"/>
          <w:szCs w:val="20"/>
          <w:shd w:val="clear" w:color="auto" w:fill="FFFFFF"/>
        </w:rPr>
        <w:t>.</w:t>
      </w:r>
      <w:r w:rsidRPr="00C16D1E">
        <w:rPr>
          <w:rFonts w:ascii="Times New Roman" w:hAnsi="Times New Roman" w:cs="Times New Roman"/>
          <w:sz w:val="20"/>
          <w:szCs w:val="20"/>
          <w:shd w:val="clear" w:color="auto" w:fill="FFFFFF"/>
        </w:rPr>
        <w:t xml:space="preserve"> Paris: OECD Publishing.</w:t>
      </w:r>
    </w:p>
    <w:p w14:paraId="644F0B8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 xml:space="preserve">Ogonis (2021). Environmental Degradation in Nigeria's Niger Delta: Causes and Consequences. </w:t>
      </w:r>
      <w:r w:rsidRPr="00C16D1E">
        <w:rPr>
          <w:rFonts w:ascii="Times New Roman" w:eastAsia="Times New Roman" w:hAnsi="Times New Roman" w:cs="Times New Roman"/>
          <w:sz w:val="20"/>
          <w:szCs w:val="20"/>
        </w:rPr>
        <w:tab/>
        <w:t>Environmental Impact Assessment Review, 86, 106404.</w:t>
      </w:r>
    </w:p>
    <w:p w14:paraId="47792AA1" w14:textId="77777777" w:rsidR="004F79A4" w:rsidRPr="00C16D1E" w:rsidRDefault="004F79A4" w:rsidP="00524050">
      <w:pPr>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Ogunlana, O.F., Bakare, I.O.A., &amp; Omobitan, O.A. (2017). Natural Resources Abundance and Economic Growth Nexus in Nigeria. Internal Journal of Innovative Finance and Economics Research. 5(4):52-65.</w:t>
      </w:r>
    </w:p>
    <w:p w14:paraId="5EBC5DAF" w14:textId="5370E100" w:rsidR="004F79A4" w:rsidRPr="00C16D1E" w:rsidRDefault="004F79A4" w:rsidP="00524050">
      <w:pPr>
        <w:shd w:val="clear" w:color="auto" w:fill="FFFFFF"/>
        <w:spacing w:after="200"/>
        <w:ind w:left="540" w:hanging="540"/>
        <w:jc w:val="both"/>
        <w:outlineLvl w:val="3"/>
        <w:rPr>
          <w:rFonts w:ascii="Times New Roman" w:eastAsia="Times New Roman" w:hAnsi="Times New Roman" w:cs="Times New Roman"/>
          <w:sz w:val="20"/>
          <w:szCs w:val="20"/>
        </w:rPr>
      </w:pPr>
      <w:r w:rsidRPr="00C16D1E">
        <w:rPr>
          <w:rFonts w:ascii="Times New Roman" w:hAnsi="Times New Roman" w:cs="Times New Roman"/>
          <w:sz w:val="20"/>
          <w:szCs w:val="20"/>
        </w:rPr>
        <w:t>Ojeka, S., Alex, A., Kofo, A., Olaoluwa, U., Olajide, D., &amp; Emmanuel, O.</w:t>
      </w:r>
      <w:r w:rsidRPr="00C16D1E">
        <w:rPr>
          <w:rFonts w:ascii="Times New Roman" w:eastAsia="Times New Roman" w:hAnsi="Times New Roman" w:cs="Times New Roman"/>
          <w:sz w:val="20"/>
          <w:szCs w:val="20"/>
        </w:rPr>
        <w:t xml:space="preserve"> (2020). </w:t>
      </w:r>
      <w:r w:rsidRPr="00C16D1E">
        <w:rPr>
          <w:rFonts w:ascii="Times New Roman" w:eastAsia="Times New Roman" w:hAnsi="Times New Roman" w:cs="Times New Roman"/>
          <w:bCs/>
          <w:sz w:val="20"/>
          <w:szCs w:val="20"/>
        </w:rPr>
        <w:t>Corruption</w:t>
      </w:r>
      <w:r w:rsidR="009414B4" w:rsidRPr="00C16D1E">
        <w:rPr>
          <w:rFonts w:ascii="Times New Roman" w:eastAsia="Times New Roman" w:hAnsi="Times New Roman" w:cs="Times New Roman"/>
          <w:bCs/>
          <w:sz w:val="20"/>
          <w:szCs w:val="20"/>
        </w:rPr>
        <w:t xml:space="preserve"> </w:t>
      </w:r>
      <w:r w:rsidRPr="00C16D1E">
        <w:rPr>
          <w:rFonts w:ascii="Times New Roman" w:eastAsia="Times New Roman" w:hAnsi="Times New Roman" w:cs="Times New Roman"/>
          <w:bCs/>
          <w:sz w:val="20"/>
          <w:szCs w:val="20"/>
        </w:rPr>
        <w:t xml:space="preserve">perception, institutional quality and performance of listed companies in Nigeria. </w:t>
      </w:r>
      <w:r w:rsidRPr="00C16D1E">
        <w:rPr>
          <w:rFonts w:ascii="Times New Roman" w:eastAsia="Times New Roman" w:hAnsi="Times New Roman" w:cs="Times New Roman"/>
          <w:sz w:val="20"/>
          <w:szCs w:val="20"/>
        </w:rPr>
        <w:t xml:space="preserve">Heliyon, </w:t>
      </w:r>
      <w:r w:rsidRPr="00C16D1E">
        <w:rPr>
          <w:rFonts w:ascii="Times New Roman" w:eastAsia="Times New Roman" w:hAnsi="Times New Roman" w:cs="Times New Roman"/>
          <w:sz w:val="20"/>
          <w:szCs w:val="20"/>
        </w:rPr>
        <w:tab/>
        <w:t>Volume 5, Issue 10, e02569</w:t>
      </w:r>
    </w:p>
    <w:p w14:paraId="7B62E7CD"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lastRenderedPageBreak/>
        <w:t>Okafor, C., &amp; Onyishi, I. E. (2019). Social Capital and Community Development in Rural Nigeria. International Journal of Sociology and Social Policy, 39(5/6), 407-424. DOI: 10.1108/IJSSP09-2018-0157.</w:t>
      </w:r>
    </w:p>
    <w:p w14:paraId="1401B83C"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Olander, P. (2019). Economic Diversification and Institutional Quality: Issues of Concentrated </w:t>
      </w:r>
      <w:r w:rsidRPr="00C16D1E">
        <w:rPr>
          <w:rFonts w:ascii="Times New Roman" w:hAnsi="Times New Roman" w:cs="Times New Roman"/>
          <w:sz w:val="20"/>
          <w:szCs w:val="20"/>
        </w:rPr>
        <w:tab/>
        <w:t xml:space="preserve">Interests. Stud Comp International Development 54:346 364. </w:t>
      </w:r>
      <w:hyperlink r:id="rId25" w:history="1">
        <w:r w:rsidRPr="00C16D1E">
          <w:rPr>
            <w:rFonts w:ascii="Times New Roman" w:hAnsi="Times New Roman" w:cs="Times New Roman"/>
            <w:sz w:val="20"/>
            <w:szCs w:val="20"/>
          </w:rPr>
          <w:t>https://doi.org/10.1007/s12116-019-09287-0</w:t>
        </w:r>
      </w:hyperlink>
      <w:r w:rsidRPr="00C16D1E">
        <w:rPr>
          <w:rFonts w:ascii="Times New Roman" w:hAnsi="Times New Roman" w:cs="Times New Roman"/>
          <w:sz w:val="20"/>
          <w:szCs w:val="20"/>
        </w:rPr>
        <w:t>.</w:t>
      </w:r>
    </w:p>
    <w:p w14:paraId="283674D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Oliver, A., Samuel, K., Bossman, A., Ellen, A., Joseph, A., &amp; Michael, A. (2022). Natural Resource Dependence and Institutional Quality: Evidence from Sub-Saharan Africa. </w:t>
      </w:r>
    </w:p>
    <w:p w14:paraId="555FA48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OPEC (2021). Nigeria Facts and Figures.</w:t>
      </w:r>
    </w:p>
    <w:p w14:paraId="6EDB450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val="en-GB"/>
        </w:rPr>
        <w:t>Osagie, E. (2019). The Threat of Dutch Disease in Nigeria's Oil-Dependent Economy. </w:t>
      </w:r>
      <w:r w:rsidRPr="00C16D1E">
        <w:rPr>
          <w:rFonts w:ascii="Times New Roman" w:eastAsia="Times New Roman" w:hAnsi="Times New Roman" w:cs="Times New Roman"/>
          <w:i/>
          <w:iCs/>
          <w:sz w:val="20"/>
          <w:szCs w:val="20"/>
          <w:lang w:val="en-GB"/>
        </w:rPr>
        <w:t xml:space="preserve">African </w:t>
      </w:r>
      <w:r w:rsidRPr="00C16D1E">
        <w:rPr>
          <w:rFonts w:ascii="Times New Roman" w:eastAsia="Times New Roman" w:hAnsi="Times New Roman" w:cs="Times New Roman"/>
          <w:i/>
          <w:iCs/>
          <w:sz w:val="20"/>
          <w:szCs w:val="20"/>
          <w:lang w:val="en-GB"/>
        </w:rPr>
        <w:tab/>
        <w:t>Economic Research Consortium</w:t>
      </w:r>
      <w:r w:rsidRPr="00C16D1E">
        <w:rPr>
          <w:rFonts w:ascii="Times New Roman" w:eastAsia="Times New Roman" w:hAnsi="Times New Roman" w:cs="Times New Roman"/>
          <w:sz w:val="20"/>
          <w:szCs w:val="20"/>
          <w:lang w:val="en-GB"/>
        </w:rPr>
        <w:t>.</w:t>
      </w:r>
    </w:p>
    <w:p w14:paraId="6CF4A537"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val="en-GB"/>
        </w:rPr>
      </w:pPr>
      <w:r w:rsidRPr="00C16D1E">
        <w:rPr>
          <w:rFonts w:ascii="Times New Roman" w:eastAsia="Times New Roman" w:hAnsi="Times New Roman" w:cs="Times New Roman"/>
          <w:sz w:val="20"/>
          <w:szCs w:val="20"/>
          <w:lang w:eastAsia="en-GB"/>
        </w:rPr>
        <w:t xml:space="preserve">Owusu, E. L., &amp; Frimpong, J. M. (2025). Resource abundance, governance dynamics, and long-run development outcomes in Africa. </w:t>
      </w:r>
      <w:r w:rsidRPr="00C16D1E">
        <w:rPr>
          <w:rFonts w:ascii="Times New Roman" w:eastAsia="Times New Roman" w:hAnsi="Times New Roman" w:cs="Times New Roman"/>
          <w:i/>
          <w:iCs/>
          <w:sz w:val="20"/>
          <w:szCs w:val="20"/>
          <w:lang w:eastAsia="en-GB"/>
        </w:rPr>
        <w:t>World Development, 176</w:t>
      </w:r>
      <w:r w:rsidRPr="00C16D1E">
        <w:rPr>
          <w:rFonts w:ascii="Times New Roman" w:eastAsia="Times New Roman" w:hAnsi="Times New Roman" w:cs="Times New Roman"/>
          <w:sz w:val="20"/>
          <w:szCs w:val="20"/>
          <w:lang w:eastAsia="en-GB"/>
        </w:rPr>
        <w:t xml:space="preserve">, 106561. </w:t>
      </w:r>
      <w:hyperlink r:id="rId26" w:history="1">
        <w:r w:rsidRPr="00C16D1E">
          <w:rPr>
            <w:rFonts w:ascii="Times New Roman" w:eastAsia="Times New Roman" w:hAnsi="Times New Roman" w:cs="Times New Roman"/>
            <w:color w:val="0000FF"/>
            <w:sz w:val="20"/>
            <w:szCs w:val="20"/>
            <w:u w:val="single"/>
            <w:lang w:eastAsia="en-GB"/>
          </w:rPr>
          <w:t>https://doi.org/10.1016/j.worlddev.2024.106561</w:t>
        </w:r>
      </w:hyperlink>
    </w:p>
    <w:p w14:paraId="5FDBC0B1"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shd w:val="clear" w:color="auto" w:fill="FFFFFF"/>
        </w:rPr>
      </w:pPr>
      <w:r w:rsidRPr="00C16D1E">
        <w:rPr>
          <w:rFonts w:ascii="Times New Roman" w:hAnsi="Times New Roman" w:cs="Times New Roman"/>
          <w:sz w:val="20"/>
          <w:szCs w:val="20"/>
          <w:shd w:val="clear" w:color="auto" w:fill="FFFFFF"/>
        </w:rPr>
        <w:t>Parada, J. (2002). Building Social Capital for Economic Development. </w:t>
      </w:r>
      <w:r w:rsidRPr="00C16D1E">
        <w:rPr>
          <w:rFonts w:ascii="Times New Roman" w:hAnsi="Times New Roman" w:cs="Times New Roman"/>
          <w:i/>
          <w:iCs/>
          <w:sz w:val="20"/>
          <w:szCs w:val="20"/>
        </w:rPr>
        <w:t>Journal of Economic Perspectives</w:t>
      </w:r>
      <w:r w:rsidRPr="00C16D1E">
        <w:rPr>
          <w:rFonts w:ascii="Times New Roman" w:hAnsi="Times New Roman" w:cs="Times New Roman"/>
          <w:sz w:val="20"/>
          <w:szCs w:val="20"/>
          <w:shd w:val="clear" w:color="auto" w:fill="FFFFFF"/>
        </w:rPr>
        <w:t>, Vol. 16, No. 3, pp. 149–168.</w:t>
      </w:r>
    </w:p>
    <w:p w14:paraId="0C7C4156" w14:textId="77777777" w:rsidR="004F79A4" w:rsidRPr="00C16D1E" w:rsidRDefault="004F79A4" w:rsidP="00524050">
      <w:pPr>
        <w:spacing w:after="240"/>
        <w:ind w:left="720" w:hanging="720"/>
        <w:jc w:val="both"/>
        <w:rPr>
          <w:rFonts w:ascii="Times New Roman" w:hAnsi="Times New Roman" w:cs="Times New Roman"/>
          <w:sz w:val="20"/>
          <w:szCs w:val="20"/>
          <w:shd w:val="clear" w:color="auto" w:fill="FFFFFF"/>
        </w:rPr>
      </w:pPr>
      <w:r w:rsidRPr="00C16D1E">
        <w:rPr>
          <w:rFonts w:ascii="Times New Roman" w:eastAsia="Times New Roman" w:hAnsi="Times New Roman" w:cs="Times New Roman"/>
          <w:sz w:val="20"/>
          <w:szCs w:val="20"/>
          <w:lang w:eastAsia="en-GB"/>
        </w:rPr>
        <w:t xml:space="preserve">Pesaran, M. H., Shin, Y., &amp; Smith, R. J. (2001). Bounds testing approaches to the analysis of level relationships. </w:t>
      </w:r>
      <w:r w:rsidRPr="00C16D1E">
        <w:rPr>
          <w:rFonts w:ascii="Times New Roman" w:eastAsia="Times New Roman" w:hAnsi="Times New Roman" w:cs="Times New Roman"/>
          <w:i/>
          <w:iCs/>
          <w:sz w:val="20"/>
          <w:szCs w:val="20"/>
          <w:lang w:eastAsia="en-GB"/>
        </w:rPr>
        <w:t>Journal of Applied Econometrics</w:t>
      </w:r>
      <w:r w:rsidRPr="00C16D1E">
        <w:rPr>
          <w:rFonts w:ascii="Times New Roman" w:eastAsia="Times New Roman" w:hAnsi="Times New Roman" w:cs="Times New Roman"/>
          <w:sz w:val="20"/>
          <w:szCs w:val="20"/>
          <w:lang w:eastAsia="en-GB"/>
        </w:rPr>
        <w:t xml:space="preserve">, 16(3), 289–326. </w:t>
      </w:r>
      <w:hyperlink r:id="rId27" w:tgtFrame="_blank" w:history="1">
        <w:r w:rsidRPr="00C16D1E">
          <w:rPr>
            <w:rFonts w:ascii="Times New Roman" w:eastAsia="Times New Roman" w:hAnsi="Times New Roman" w:cs="Times New Roman"/>
            <w:color w:val="0000FF"/>
            <w:sz w:val="20"/>
            <w:szCs w:val="20"/>
            <w:u w:val="single"/>
            <w:lang w:eastAsia="en-GB"/>
          </w:rPr>
          <w:t>https://doi.org/10.1002/jae.616</w:t>
        </w:r>
      </w:hyperlink>
    </w:p>
    <w:p w14:paraId="49B99AB4" w14:textId="77777777" w:rsidR="004F79A4" w:rsidRPr="00C16D1E" w:rsidRDefault="004F79A4" w:rsidP="00524050">
      <w:pPr>
        <w:spacing w:before="240"/>
        <w:ind w:left="720" w:hanging="720"/>
        <w:jc w:val="both"/>
        <w:rPr>
          <w:sz w:val="20"/>
          <w:szCs w:val="20"/>
        </w:rPr>
      </w:pPr>
      <w:r w:rsidRPr="00C16D1E">
        <w:rPr>
          <w:rFonts w:ascii="Times New Roman" w:eastAsia="Times New Roman" w:hAnsi="Times New Roman" w:cs="Times New Roman"/>
          <w:sz w:val="20"/>
          <w:szCs w:val="20"/>
          <w:lang w:eastAsia="en-GB"/>
        </w:rPr>
        <w:t xml:space="preserve">Polat, O. (2020). Measuring Quality of Governance in Turkey: A Composite Governance Index. </w:t>
      </w:r>
      <w:proofErr w:type="spellStart"/>
      <w:r w:rsidRPr="00C16D1E">
        <w:rPr>
          <w:rFonts w:ascii="Times New Roman" w:eastAsia="Times New Roman" w:hAnsi="Times New Roman" w:cs="Times New Roman"/>
          <w:i/>
          <w:iCs/>
          <w:sz w:val="20"/>
          <w:szCs w:val="20"/>
          <w:lang w:eastAsia="en-GB"/>
        </w:rPr>
        <w:t>Fiscaoeconomia</w:t>
      </w:r>
      <w:proofErr w:type="spellEnd"/>
      <w:r w:rsidRPr="00C16D1E">
        <w:rPr>
          <w:rFonts w:ascii="Times New Roman" w:eastAsia="Times New Roman" w:hAnsi="Times New Roman" w:cs="Times New Roman"/>
          <w:sz w:val="20"/>
          <w:szCs w:val="20"/>
          <w:lang w:eastAsia="en-GB"/>
        </w:rPr>
        <w:t>, 4(1), 51–60. https://doi.org/10.25295/fsecon.2020.01.003</w:t>
      </w:r>
    </w:p>
    <w:p w14:paraId="7070C620"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Recep, U. (2020). The pathway toward pollution mitigation: Does institutional quality make a </w:t>
      </w:r>
      <w:r w:rsidRPr="00C16D1E">
        <w:rPr>
          <w:rFonts w:ascii="Times New Roman" w:hAnsi="Times New Roman" w:cs="Times New Roman"/>
          <w:sz w:val="20"/>
          <w:szCs w:val="20"/>
        </w:rPr>
        <w:tab/>
        <w:t>difference? Business Strategy and The Environment (John Wiley &amp; Sons, Ltd) vol. 29, ISS:8 pp3571-3583.</w:t>
      </w:r>
    </w:p>
    <w:p w14:paraId="594DEE0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Subramanian, A., &amp; Trebbi, F.  (2002). “Institutions Rule: The Primacy of Institutions over Geography and Integration in Economic Development”, IMF Working Paper 02/189, Washington.</w:t>
      </w:r>
    </w:p>
    <w:p w14:paraId="1DB1AFEE"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Rodrik, D. (2003). “What do We Learn from Country Narratives?” in D. </w:t>
      </w:r>
      <w:proofErr w:type="spellStart"/>
      <w:r w:rsidRPr="00C16D1E">
        <w:rPr>
          <w:rFonts w:ascii="Times New Roman" w:hAnsi="Times New Roman" w:cs="Times New Roman"/>
          <w:sz w:val="20"/>
          <w:szCs w:val="20"/>
        </w:rPr>
        <w:t>Rodrik</w:t>
      </w:r>
      <w:proofErr w:type="spellEnd"/>
      <w:r w:rsidRPr="00C16D1E">
        <w:rPr>
          <w:rFonts w:ascii="Times New Roman" w:hAnsi="Times New Roman" w:cs="Times New Roman"/>
          <w:sz w:val="20"/>
          <w:szCs w:val="20"/>
        </w:rPr>
        <w:t xml:space="preserve"> (</w:t>
      </w:r>
      <w:proofErr w:type="spellStart"/>
      <w:r w:rsidRPr="00C16D1E">
        <w:rPr>
          <w:rFonts w:ascii="Times New Roman" w:hAnsi="Times New Roman" w:cs="Times New Roman"/>
          <w:sz w:val="20"/>
          <w:szCs w:val="20"/>
        </w:rPr>
        <w:t>ed</w:t>
      </w:r>
      <w:proofErr w:type="spellEnd"/>
      <w:r w:rsidRPr="00C16D1E">
        <w:rPr>
          <w:rFonts w:ascii="Times New Roman" w:hAnsi="Times New Roman" w:cs="Times New Roman"/>
          <w:sz w:val="20"/>
          <w:szCs w:val="20"/>
        </w:rPr>
        <w:t>), In search of prosperity. Analytic narratives on economic growth, Princeton, Princeton University Press.</w:t>
      </w:r>
    </w:p>
    <w:p w14:paraId="44B6FD1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Subramanian, A. &amp; Trebbi, F. (2004). Institutions rule: The primacy of institutions over geography and integration in economic development: Journal of Economic Growth, 9, pp. 131-165.</w:t>
      </w:r>
    </w:p>
    <w:p w14:paraId="3B17A3E9"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(2007). One Economics, Many Recipes: Globalisation, Institutions, and Economic Growth. </w:t>
      </w:r>
      <w:r w:rsidRPr="00C16D1E">
        <w:rPr>
          <w:rFonts w:ascii="Times New Roman" w:hAnsi="Times New Roman" w:cs="Times New Roman"/>
          <w:i/>
          <w:iCs/>
          <w:sz w:val="20"/>
          <w:szCs w:val="20"/>
        </w:rPr>
        <w:t>Princeton University Press</w:t>
      </w:r>
      <w:r w:rsidRPr="00C16D1E">
        <w:rPr>
          <w:rFonts w:ascii="Times New Roman" w:hAnsi="Times New Roman" w:cs="Times New Roman"/>
          <w:sz w:val="20"/>
          <w:szCs w:val="20"/>
        </w:rPr>
        <w:t>.</w:t>
      </w:r>
    </w:p>
    <w:p w14:paraId="14F7EB9A" w14:textId="77777777" w:rsidR="004F79A4" w:rsidRPr="00C16D1E" w:rsidRDefault="004F79A4" w:rsidP="00524050">
      <w:pPr>
        <w:spacing w:after="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 xml:space="preserve">Rodrik, D., Subramanian, A., &amp; Trebbi, F. (2004). Institutions rule: The primacy of institutions over geography and integration in economic development. </w:t>
      </w:r>
      <w:r w:rsidRPr="00C16D1E">
        <w:rPr>
          <w:rFonts w:ascii="Times New Roman" w:eastAsia="Times New Roman" w:hAnsi="Times New Roman" w:cs="Times New Roman"/>
          <w:i/>
          <w:iCs/>
          <w:sz w:val="20"/>
          <w:szCs w:val="20"/>
          <w:lang w:eastAsia="en-GB"/>
        </w:rPr>
        <w:t>Journal of Economic Growth</w:t>
      </w:r>
      <w:r w:rsidRPr="00C16D1E">
        <w:rPr>
          <w:rFonts w:ascii="Times New Roman" w:eastAsia="Times New Roman" w:hAnsi="Times New Roman" w:cs="Times New Roman"/>
          <w:sz w:val="20"/>
          <w:szCs w:val="20"/>
          <w:lang w:eastAsia="en-GB"/>
        </w:rPr>
        <w:t xml:space="preserve">, 9(2), 131–165. </w:t>
      </w:r>
    </w:p>
    <w:p w14:paraId="06163124"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Rodrik, D. (2008). Second-best institutions. American Economic Review. 98 (2), 100–104.</w:t>
      </w:r>
    </w:p>
    <w:p w14:paraId="1C67DC6A" w14:textId="77777777" w:rsidR="004F79A4" w:rsidRPr="00C16D1E" w:rsidRDefault="004F79A4" w:rsidP="00524050">
      <w:pPr>
        <w:spacing w:after="240"/>
        <w:ind w:left="720" w:hanging="720"/>
        <w:jc w:val="both"/>
        <w:rPr>
          <w:rFonts w:ascii="Times New Roman" w:eastAsia="Times New Roman" w:hAnsi="Times New Roman" w:cs="Times New Roman"/>
          <w:color w:val="0000FF"/>
          <w:sz w:val="20"/>
          <w:szCs w:val="20"/>
          <w:u w:val="single"/>
          <w:lang w:eastAsia="en-GB"/>
        </w:rPr>
      </w:pPr>
      <w:r w:rsidRPr="00C16D1E">
        <w:rPr>
          <w:rFonts w:ascii="Times New Roman" w:eastAsia="Times New Roman" w:hAnsi="Times New Roman" w:cs="Times New Roman"/>
          <w:sz w:val="20"/>
          <w:szCs w:val="20"/>
          <w:lang w:eastAsia="en-GB"/>
        </w:rPr>
        <w:t xml:space="preserve">Ross, M. L. (2015). What have we learned about the resource curse? </w:t>
      </w:r>
      <w:r w:rsidRPr="00C16D1E">
        <w:rPr>
          <w:rFonts w:ascii="Times New Roman" w:eastAsia="Times New Roman" w:hAnsi="Times New Roman" w:cs="Times New Roman"/>
          <w:i/>
          <w:iCs/>
          <w:sz w:val="20"/>
          <w:szCs w:val="20"/>
          <w:lang w:eastAsia="en-GB"/>
        </w:rPr>
        <w:t>Annual Review of Political Science, 18</w:t>
      </w:r>
      <w:r w:rsidRPr="00C16D1E">
        <w:rPr>
          <w:rFonts w:ascii="Times New Roman" w:eastAsia="Times New Roman" w:hAnsi="Times New Roman" w:cs="Times New Roman"/>
          <w:sz w:val="20"/>
          <w:szCs w:val="20"/>
          <w:lang w:eastAsia="en-GB"/>
        </w:rPr>
        <w:t xml:space="preserve">, 239–259. </w:t>
      </w:r>
      <w:hyperlink r:id="rId28" w:tgtFrame="_blank" w:history="1">
        <w:r w:rsidRPr="00C16D1E">
          <w:rPr>
            <w:rFonts w:ascii="Times New Roman" w:eastAsia="Times New Roman" w:hAnsi="Times New Roman" w:cs="Times New Roman"/>
            <w:color w:val="0000FF"/>
            <w:sz w:val="20"/>
            <w:szCs w:val="20"/>
            <w:u w:val="single"/>
            <w:lang w:eastAsia="en-GB"/>
          </w:rPr>
          <w:t>https://doi.org/10.1146/annurev-polisci-052213-040359</w:t>
        </w:r>
      </w:hyperlink>
      <w:r w:rsidRPr="00C16D1E">
        <w:rPr>
          <w:rFonts w:ascii="Times New Roman" w:eastAsia="Times New Roman" w:hAnsi="Times New Roman" w:cs="Times New Roman"/>
          <w:color w:val="0000FF"/>
          <w:sz w:val="20"/>
          <w:szCs w:val="20"/>
          <w:u w:val="single"/>
          <w:lang w:eastAsia="en-GB"/>
        </w:rPr>
        <w:t>.</w:t>
      </w:r>
    </w:p>
    <w:p w14:paraId="577F9A09" w14:textId="77777777" w:rsidR="004F79A4" w:rsidRPr="00C16D1E" w:rsidRDefault="004F79A4" w:rsidP="00524050">
      <w:pPr>
        <w:spacing w:after="160"/>
        <w:ind w:left="720" w:hanging="720"/>
        <w:jc w:val="both"/>
        <w:rPr>
          <w:rFonts w:ascii="Times New Roman" w:eastAsia="Aptos" w:hAnsi="Times New Roman" w:cs="Times New Roman"/>
          <w:kern w:val="2"/>
          <w:sz w:val="20"/>
          <w:szCs w:val="20"/>
          <w:lang w:val="en-GB"/>
          <w14:ligatures w14:val="standardContextual"/>
        </w:rPr>
      </w:pPr>
      <w:r w:rsidRPr="00C16D1E">
        <w:rPr>
          <w:rFonts w:ascii="Times New Roman" w:eastAsia="Aptos" w:hAnsi="Times New Roman" w:cs="Times New Roman"/>
          <w:kern w:val="2"/>
          <w:sz w:val="20"/>
          <w:szCs w:val="20"/>
          <w:lang w:val="en-GB"/>
          <w14:ligatures w14:val="standardContextual"/>
        </w:rPr>
        <w:t xml:space="preserve">Ross, M. L. (2015). </w:t>
      </w:r>
      <w:r w:rsidRPr="00C16D1E">
        <w:rPr>
          <w:rFonts w:ascii="Times New Roman" w:eastAsia="Aptos" w:hAnsi="Times New Roman" w:cs="Times New Roman"/>
          <w:i/>
          <w:iCs/>
          <w:kern w:val="2"/>
          <w:sz w:val="20"/>
          <w:szCs w:val="20"/>
          <w:lang w:val="en-GB"/>
          <w14:ligatures w14:val="standardContextual"/>
        </w:rPr>
        <w:t>The oil curse: How petroleum wealth shapes the development of nations</w:t>
      </w:r>
      <w:r w:rsidRPr="00C16D1E">
        <w:rPr>
          <w:rFonts w:ascii="Times New Roman" w:eastAsia="Aptos" w:hAnsi="Times New Roman" w:cs="Times New Roman"/>
          <w:kern w:val="2"/>
          <w:sz w:val="20"/>
          <w:szCs w:val="20"/>
          <w:lang w:val="en-GB"/>
          <w14:ligatures w14:val="standardContextual"/>
        </w:rPr>
        <w:t xml:space="preserve"> (2nd ed.). Princeton University Press.</w:t>
      </w:r>
    </w:p>
    <w:p w14:paraId="59376EA3" w14:textId="6365A9CB"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Ruba, A. A. (2020). Natural resource dependency, institutional quality and human capital</w:t>
      </w:r>
      <w:r w:rsidR="00BE37F6" w:rsidRPr="00C16D1E">
        <w:rPr>
          <w:rFonts w:ascii="Times New Roman" w:hAnsi="Times New Roman" w:cs="Times New Roman"/>
          <w:sz w:val="20"/>
          <w:szCs w:val="20"/>
        </w:rPr>
        <w:t xml:space="preserve"> </w:t>
      </w:r>
      <w:r w:rsidRPr="00C16D1E">
        <w:rPr>
          <w:rFonts w:ascii="Times New Roman" w:hAnsi="Times New Roman" w:cs="Times New Roman"/>
          <w:sz w:val="20"/>
          <w:szCs w:val="20"/>
        </w:rPr>
        <w:t>development in Gulf Countries, Cranfield University, United Kingdom.</w:t>
      </w:r>
    </w:p>
    <w:p w14:paraId="18E9D1EA" w14:textId="1DE8D195" w:rsidR="00C4403C" w:rsidRPr="00C16D1E" w:rsidRDefault="00C4403C"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shd w:val="clear" w:color="auto" w:fill="FFFFFF"/>
        </w:rPr>
        <w:t xml:space="preserve">Sachs, </w:t>
      </w:r>
      <w:r w:rsidR="009414B4" w:rsidRPr="00C16D1E">
        <w:rPr>
          <w:rFonts w:ascii="Times New Roman" w:hAnsi="Times New Roman" w:cs="Times New Roman"/>
          <w:sz w:val="20"/>
          <w:szCs w:val="20"/>
          <w:shd w:val="clear" w:color="auto" w:fill="FFFFFF"/>
        </w:rPr>
        <w:t>J.</w:t>
      </w:r>
      <w:r w:rsidRPr="00C16D1E">
        <w:rPr>
          <w:rFonts w:ascii="Times New Roman" w:hAnsi="Times New Roman" w:cs="Times New Roman"/>
          <w:sz w:val="20"/>
          <w:szCs w:val="20"/>
          <w:shd w:val="clear" w:color="auto" w:fill="FFFFFF"/>
        </w:rPr>
        <w:t xml:space="preserve"> &amp; Warner, A.  M. (1995). </w:t>
      </w:r>
      <w:r w:rsidRPr="00C16D1E">
        <w:rPr>
          <w:rFonts w:ascii="Times New Roman" w:hAnsi="Times New Roman" w:cs="Times New Roman"/>
          <w:sz w:val="20"/>
          <w:szCs w:val="20"/>
        </w:rPr>
        <w:t>"Natural Resource Abundance and Economic Growth," NBER Working Papers 5398, National Bureau of Economic Research, Inc.</w:t>
      </w:r>
    </w:p>
    <w:p w14:paraId="3E9C369C" w14:textId="5152C57E"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Sachs, J.D. </w:t>
      </w:r>
      <w:r w:rsidR="00564323" w:rsidRPr="00C16D1E">
        <w:rPr>
          <w:rFonts w:ascii="Times New Roman" w:eastAsia="Times New Roman" w:hAnsi="Times New Roman" w:cs="Times New Roman"/>
          <w:sz w:val="20"/>
          <w:szCs w:val="20"/>
        </w:rPr>
        <w:t>&amp;</w:t>
      </w:r>
      <w:r w:rsidRPr="00C16D1E">
        <w:rPr>
          <w:rFonts w:ascii="Times New Roman" w:eastAsia="Times New Roman" w:hAnsi="Times New Roman" w:cs="Times New Roman"/>
          <w:sz w:val="20"/>
          <w:szCs w:val="20"/>
        </w:rPr>
        <w:t xml:space="preserve"> Warner, A.</w:t>
      </w:r>
      <w:r w:rsidR="000F62F6" w:rsidRPr="00C16D1E">
        <w:rPr>
          <w:rFonts w:ascii="Times New Roman" w:eastAsia="Times New Roman" w:hAnsi="Times New Roman" w:cs="Times New Roman"/>
          <w:sz w:val="20"/>
          <w:szCs w:val="20"/>
        </w:rPr>
        <w:t xml:space="preserve"> </w:t>
      </w:r>
      <w:r w:rsidRPr="00C16D1E">
        <w:rPr>
          <w:rFonts w:ascii="Times New Roman" w:eastAsia="Times New Roman" w:hAnsi="Times New Roman" w:cs="Times New Roman"/>
          <w:sz w:val="20"/>
          <w:szCs w:val="20"/>
        </w:rPr>
        <w:t xml:space="preserve">M. (1997). Natural Resource Abundance and Economic Growth. </w:t>
      </w:r>
      <w:r w:rsidRPr="00C16D1E">
        <w:rPr>
          <w:rFonts w:ascii="Times New Roman" w:eastAsia="Times New Roman" w:hAnsi="Times New Roman" w:cs="Times New Roman"/>
          <w:sz w:val="20"/>
          <w:szCs w:val="20"/>
        </w:rPr>
        <w:tab/>
        <w:t>Centre for International Development at Harvard University.</w:t>
      </w:r>
    </w:p>
    <w:p w14:paraId="11F6F944" w14:textId="77777777" w:rsidR="00B77A15" w:rsidRPr="00C16D1E" w:rsidRDefault="00B77A15"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lastRenderedPageBreak/>
        <w:t>Sala-I-Martin, X. &amp; Subramanian, A. (2008). Addressing the natural resource curse: An illustration from Nigeria. In Economic policy options for a prosperous Nigeria (pp. 61-92). Palgrave Macmillan, London.</w:t>
      </w:r>
    </w:p>
    <w:p w14:paraId="09E7DEE2" w14:textId="77777777" w:rsidR="004F79A4" w:rsidRPr="00C16D1E" w:rsidRDefault="004F79A4" w:rsidP="00524050">
      <w:pPr>
        <w:spacing w:after="240"/>
        <w:ind w:left="720" w:hanging="720"/>
        <w:jc w:val="both"/>
        <w:rPr>
          <w:rFonts w:ascii="Times New Roman" w:eastAsia="Times New Roman" w:hAnsi="Times New Roman" w:cs="Times New Roman"/>
          <w:sz w:val="20"/>
          <w:szCs w:val="20"/>
          <w:lang w:eastAsia="en-GB"/>
        </w:rPr>
      </w:pPr>
      <w:r w:rsidRPr="00C16D1E">
        <w:rPr>
          <w:rFonts w:ascii="Times New Roman" w:eastAsia="Times New Roman" w:hAnsi="Times New Roman" w:cs="Times New Roman"/>
          <w:sz w:val="20"/>
          <w:szCs w:val="20"/>
          <w:lang w:eastAsia="en-GB"/>
        </w:rPr>
        <w:t xml:space="preserve">Sala-i-Martin, X., &amp; Subramanian, A. (2013). Addressing the natural resource curse: An illustration from Nigeria. </w:t>
      </w:r>
      <w:r w:rsidRPr="00C16D1E">
        <w:rPr>
          <w:rFonts w:ascii="Times New Roman" w:eastAsia="Times New Roman" w:hAnsi="Times New Roman" w:cs="Times New Roman"/>
          <w:i/>
          <w:iCs/>
          <w:sz w:val="20"/>
          <w:szCs w:val="20"/>
          <w:lang w:eastAsia="en-GB"/>
        </w:rPr>
        <w:t>Journal of African Economies, 22</w:t>
      </w:r>
      <w:r w:rsidRPr="00C16D1E">
        <w:rPr>
          <w:rFonts w:ascii="Times New Roman" w:eastAsia="Times New Roman" w:hAnsi="Times New Roman" w:cs="Times New Roman"/>
          <w:sz w:val="20"/>
          <w:szCs w:val="20"/>
          <w:lang w:eastAsia="en-GB"/>
        </w:rPr>
        <w:t xml:space="preserve">(4), 570–615. </w:t>
      </w:r>
      <w:hyperlink r:id="rId29" w:tgtFrame="_blank" w:history="1">
        <w:r w:rsidRPr="00C16D1E">
          <w:rPr>
            <w:rFonts w:ascii="Times New Roman" w:eastAsia="Times New Roman" w:hAnsi="Times New Roman" w:cs="Times New Roman"/>
            <w:color w:val="0000FF"/>
            <w:sz w:val="20"/>
            <w:szCs w:val="20"/>
            <w:u w:val="single"/>
            <w:lang w:eastAsia="en-GB"/>
          </w:rPr>
          <w:t>https://doi.org/10.1093/jae/ejs033</w:t>
        </w:r>
      </w:hyperlink>
    </w:p>
    <w:p w14:paraId="4C004916" w14:textId="482306F5" w:rsidR="004F79A4" w:rsidRPr="00C16D1E" w:rsidRDefault="00AE70C8" w:rsidP="00524050">
      <w:pPr>
        <w:spacing w:before="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Shaharuddin, S.</w:t>
      </w:r>
      <w:r w:rsidR="00BE37F6" w:rsidRPr="00C16D1E">
        <w:rPr>
          <w:rFonts w:ascii="Times New Roman" w:eastAsia="Times New Roman" w:hAnsi="Times New Roman" w:cs="Times New Roman"/>
          <w:sz w:val="20"/>
          <w:szCs w:val="20"/>
          <w:lang w:eastAsia="en-GB"/>
        </w:rPr>
        <w:t>, Zarina, A. T., Mohtarc, M., Prihatiningtias, Y., W., &amp; Hanafi, H.</w:t>
      </w:r>
      <w:r w:rsidR="004F79A4" w:rsidRPr="00C16D1E">
        <w:rPr>
          <w:rFonts w:ascii="Times New Roman" w:eastAsia="Times New Roman" w:hAnsi="Times New Roman" w:cs="Times New Roman"/>
          <w:sz w:val="20"/>
          <w:szCs w:val="20"/>
          <w:lang w:eastAsia="en-GB"/>
        </w:rPr>
        <w:t xml:space="preserve"> (2024). The moderating effect of cultural influence: Composite governance index and economic growth – Evidence from global panel data. </w:t>
      </w:r>
      <w:r w:rsidR="004F79A4" w:rsidRPr="00C16D1E">
        <w:rPr>
          <w:rFonts w:ascii="Times New Roman" w:eastAsia="Times New Roman" w:hAnsi="Times New Roman" w:cs="Times New Roman"/>
          <w:i/>
          <w:iCs/>
          <w:sz w:val="20"/>
          <w:szCs w:val="20"/>
          <w:lang w:eastAsia="en-GB"/>
        </w:rPr>
        <w:t>PJLSS</w:t>
      </w:r>
      <w:r w:rsidR="004F79A4" w:rsidRPr="00C16D1E">
        <w:rPr>
          <w:rFonts w:ascii="Times New Roman" w:eastAsia="Times New Roman" w:hAnsi="Times New Roman" w:cs="Times New Roman"/>
          <w:sz w:val="20"/>
          <w:szCs w:val="20"/>
          <w:lang w:eastAsia="en-GB"/>
        </w:rPr>
        <w:t xml:space="preserve">. </w:t>
      </w:r>
      <w:hyperlink r:id="rId30" w:tgtFrame="_new" w:history="1">
        <w:r w:rsidR="004F79A4" w:rsidRPr="00C16D1E">
          <w:rPr>
            <w:rFonts w:ascii="Times New Roman" w:eastAsia="Times New Roman" w:hAnsi="Times New Roman" w:cs="Times New Roman"/>
            <w:color w:val="0000FF"/>
            <w:sz w:val="20"/>
            <w:szCs w:val="20"/>
            <w:u w:val="single"/>
            <w:lang w:eastAsia="en-GB"/>
          </w:rPr>
          <w:t>https://www.pjlss.edu.pk/pdf_files/2024_1/842-869.pdf</w:t>
        </w:r>
      </w:hyperlink>
    </w:p>
    <w:p w14:paraId="61C617D1"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shd w:val="clear" w:color="auto" w:fill="FFFFFF"/>
        </w:rPr>
        <w:t>Sharma, A., Sousa, C., &amp; Woodward, R. (2022). Determinants of Innovation Outcomes: The Role of Institutional Quality.  </w:t>
      </w:r>
      <w:hyperlink r:id="rId31" w:history="1">
        <w:r w:rsidRPr="00C16D1E">
          <w:rPr>
            <w:rFonts w:ascii="Times New Roman" w:hAnsi="Times New Roman"/>
            <w:color w:val="0000FF"/>
            <w:sz w:val="20"/>
            <w:szCs w:val="20"/>
            <w:u w:val="single"/>
            <w:shd w:val="clear" w:color="auto" w:fill="FFFFFF"/>
          </w:rPr>
          <w:t>https://doi.org/10.1016/j.technovation</w:t>
        </w:r>
      </w:hyperlink>
      <w:r w:rsidRPr="00C16D1E">
        <w:rPr>
          <w:rFonts w:ascii="Times New Roman" w:hAnsi="Times New Roman" w:cs="Times New Roman"/>
          <w:sz w:val="20"/>
          <w:szCs w:val="20"/>
          <w:shd w:val="clear" w:color="auto" w:fill="FFFFFF"/>
        </w:rPr>
        <w:t>.</w:t>
      </w:r>
    </w:p>
    <w:p w14:paraId="078C9B00" w14:textId="77777777" w:rsidR="004F79A4" w:rsidRPr="00C16D1E" w:rsidRDefault="004F79A4" w:rsidP="00524050">
      <w:pPr>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Smith, A. (1776). "</w:t>
      </w:r>
      <w:hyperlink r:id="rId32" w:history="1">
        <w:r w:rsidRPr="00C16D1E">
          <w:rPr>
            <w:rFonts w:ascii="Times New Roman" w:eastAsia="Times New Roman" w:hAnsi="Times New Roman" w:cs="Times New Roman"/>
            <w:sz w:val="20"/>
            <w:szCs w:val="20"/>
          </w:rPr>
          <w:t>An Inquiry into the Nature and Causes of the Wealth of Nations</w:t>
        </w:r>
      </w:hyperlink>
      <w:r w:rsidRPr="00C16D1E">
        <w:rPr>
          <w:rFonts w:ascii="Times New Roman" w:eastAsia="Times New Roman" w:hAnsi="Times New Roman" w:cs="Times New Roman"/>
          <w:sz w:val="20"/>
          <w:szCs w:val="20"/>
        </w:rPr>
        <w:t>," </w:t>
      </w:r>
      <w:hyperlink r:id="rId33" w:history="1">
        <w:r w:rsidRPr="00C16D1E">
          <w:rPr>
            <w:rFonts w:ascii="Times New Roman" w:eastAsia="Times New Roman" w:hAnsi="Times New Roman" w:cs="Times New Roman"/>
            <w:sz w:val="20"/>
            <w:szCs w:val="20"/>
          </w:rPr>
          <w:t>History of Economic Thought Books</w:t>
        </w:r>
      </w:hyperlink>
      <w:r w:rsidRPr="00C16D1E">
        <w:rPr>
          <w:rFonts w:ascii="Times New Roman" w:eastAsia="Times New Roman" w:hAnsi="Times New Roman" w:cs="Times New Roman"/>
          <w:sz w:val="20"/>
          <w:szCs w:val="20"/>
        </w:rPr>
        <w:t xml:space="preserve">, McMaster University. </w:t>
      </w:r>
    </w:p>
    <w:p w14:paraId="467F3933"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Soula, H. M. A., Hassan, G. A. A., &amp; Perai, N. A. A. (2023). Natural Resources, Institutional Quality, and Economic Growth: The Case of Africa. International </w:t>
      </w:r>
      <w:r w:rsidRPr="00C16D1E">
        <w:rPr>
          <w:rFonts w:ascii="Times New Roman" w:hAnsi="Times New Roman" w:cs="Times New Roman"/>
          <w:i/>
          <w:sz w:val="20"/>
          <w:szCs w:val="20"/>
        </w:rPr>
        <w:t>Journal of Academic Research in Economics and Management and Sciences</w:t>
      </w:r>
      <w:r w:rsidRPr="00C16D1E">
        <w:rPr>
          <w:rFonts w:ascii="Times New Roman" w:hAnsi="Times New Roman" w:cs="Times New Roman"/>
          <w:sz w:val="20"/>
          <w:szCs w:val="20"/>
        </w:rPr>
        <w:t>, 12(4), pp. 2562–2578.</w:t>
      </w:r>
    </w:p>
    <w:p w14:paraId="4A0B70E4" w14:textId="5C24A735"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Sun, H., Sun, W., Geng, Y., Yang, X., &amp; Edziah, B.K. (2018). How does natural resource dependence affect public education spending?</w:t>
      </w:r>
    </w:p>
    <w:p w14:paraId="33F6A96E" w14:textId="44CBB4C7" w:rsidR="004F79A4" w:rsidRPr="00C16D1E" w:rsidRDefault="00913C58" w:rsidP="00524050">
      <w:pPr>
        <w:spacing w:after="200"/>
        <w:ind w:left="540" w:hanging="540"/>
        <w:jc w:val="both"/>
        <w:rPr>
          <w:rFonts w:ascii="Times New Roman" w:hAnsi="Times New Roman" w:cs="Times New Roman"/>
          <w:sz w:val="20"/>
          <w:szCs w:val="20"/>
        </w:rPr>
      </w:pPr>
      <w:hyperlink r:id="rId34" w:history="1">
        <w:r w:rsidR="004F79A4" w:rsidRPr="00C16D1E">
          <w:rPr>
            <w:rFonts w:ascii="Times New Roman" w:hAnsi="Times New Roman" w:cs="Times New Roman"/>
            <w:sz w:val="20"/>
            <w:szCs w:val="20"/>
          </w:rPr>
          <w:t>Tambovtsev</w:t>
        </w:r>
      </w:hyperlink>
      <w:r w:rsidR="004F79A4" w:rsidRPr="00C16D1E">
        <w:rPr>
          <w:rFonts w:ascii="Times New Roman" w:hAnsi="Times New Roman" w:cs="Times New Roman"/>
          <w:sz w:val="20"/>
          <w:szCs w:val="20"/>
        </w:rPr>
        <w:t xml:space="preserve">, V. (2021). Quality of Institutions: Problems of definition and evaluation </w:t>
      </w:r>
      <w:hyperlink r:id="rId35" w:history="1">
        <w:r w:rsidR="004F79A4" w:rsidRPr="00C16D1E">
          <w:rPr>
            <w:rFonts w:ascii="Times New Roman" w:hAnsi="Times New Roman" w:cs="Times New Roman"/>
            <w:sz w:val="20"/>
            <w:szCs w:val="20"/>
          </w:rPr>
          <w:t xml:space="preserve">Voprosy </w:t>
        </w:r>
        <w:r w:rsidR="004F79A4" w:rsidRPr="00C16D1E">
          <w:rPr>
            <w:rFonts w:ascii="Times New Roman" w:hAnsi="Times New Roman" w:cs="Times New Roman"/>
            <w:sz w:val="20"/>
            <w:szCs w:val="20"/>
          </w:rPr>
          <w:tab/>
          <w:t>Economiki</w:t>
        </w:r>
      </w:hyperlink>
      <w:r w:rsidR="004F79A4" w:rsidRPr="00C16D1E">
        <w:rPr>
          <w:rFonts w:ascii="Times New Roman" w:hAnsi="Times New Roman" w:cs="Times New Roman"/>
          <w:sz w:val="20"/>
          <w:szCs w:val="20"/>
        </w:rPr>
        <w:t>- ISS: 7, pp 49</w:t>
      </w:r>
      <w:r w:rsidR="009414B4" w:rsidRPr="00C16D1E">
        <w:rPr>
          <w:rFonts w:ascii="Times New Roman" w:hAnsi="Times New Roman" w:cs="Times New Roman"/>
          <w:sz w:val="20"/>
          <w:szCs w:val="20"/>
        </w:rPr>
        <w:t>–</w:t>
      </w:r>
      <w:r w:rsidR="004F79A4" w:rsidRPr="00C16D1E">
        <w:rPr>
          <w:rFonts w:ascii="Times New Roman" w:hAnsi="Times New Roman" w:cs="Times New Roman"/>
          <w:sz w:val="20"/>
          <w:szCs w:val="20"/>
        </w:rPr>
        <w:t>67.</w:t>
      </w:r>
    </w:p>
    <w:p w14:paraId="18CEA932"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Transparency International. (2021). Corruption Perceptions Index.</w:t>
      </w:r>
    </w:p>
    <w:p w14:paraId="4B3D9A89"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Tr</w:t>
      </w:r>
      <w:r w:rsidRPr="00C16D1E">
        <w:rPr>
          <w:rFonts w:ascii="Times New Roman" w:hAnsi="Times New Roman" w:cs="Times New Roman"/>
          <w:sz w:val="20"/>
          <w:szCs w:val="20"/>
          <w:shd w:val="clear" w:color="auto" w:fill="FFFFFF"/>
        </w:rPr>
        <w:t xml:space="preserve">ansparency International. (2022). Corruption Perceptions Index. </w:t>
      </w:r>
    </w:p>
    <w:p w14:paraId="70BD9758"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Ukwueze, E.R., Ugwu, U.C., &amp; Okafor, O.A. (2021). The Impact of Institutional Quality on </w:t>
      </w:r>
      <w:r w:rsidRPr="00C16D1E">
        <w:rPr>
          <w:rFonts w:ascii="Times New Roman" w:hAnsi="Times New Roman" w:cs="Times New Roman"/>
          <w:sz w:val="20"/>
          <w:szCs w:val="20"/>
        </w:rPr>
        <w:tab/>
        <w:t xml:space="preserve">Multilateral Aid in Nigeria. Journal of Economic Science Research, 2021, 4(4), 3116. </w:t>
      </w:r>
      <w:r w:rsidRPr="00C16D1E">
        <w:rPr>
          <w:rFonts w:ascii="Times New Roman" w:hAnsi="Times New Roman" w:cs="Times New Roman"/>
          <w:sz w:val="20"/>
          <w:szCs w:val="20"/>
        </w:rPr>
        <w:tab/>
      </w:r>
      <w:hyperlink r:id="rId36" w:history="1">
        <w:r w:rsidRPr="00C16D1E">
          <w:rPr>
            <w:rFonts w:ascii="Times New Roman" w:hAnsi="Times New Roman" w:cs="Times New Roman"/>
            <w:color w:val="0000FF"/>
            <w:sz w:val="20"/>
            <w:szCs w:val="20"/>
            <w:u w:val="single"/>
          </w:rPr>
          <w:t>https://doi.org/10.WANG30564/jesr.v4i4.3116</w:t>
        </w:r>
      </w:hyperlink>
      <w:r w:rsidRPr="00C16D1E">
        <w:rPr>
          <w:rFonts w:ascii="Times New Roman" w:hAnsi="Times New Roman" w:cs="Times New Roman"/>
          <w:sz w:val="20"/>
          <w:szCs w:val="20"/>
        </w:rPr>
        <w:t>.</w:t>
      </w:r>
    </w:p>
    <w:p w14:paraId="02A9E62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lang w:eastAsia="sv-SE"/>
        </w:rPr>
      </w:pPr>
      <w:r w:rsidRPr="00C16D1E">
        <w:rPr>
          <w:rFonts w:ascii="Times New Roman" w:hAnsi="Times New Roman" w:cs="Times New Roman"/>
          <w:sz w:val="20"/>
          <w:szCs w:val="20"/>
          <w:shd w:val="clear" w:color="auto" w:fill="FFFFFF"/>
        </w:rPr>
        <w:t xml:space="preserve">United Nations (2015). Transforming our World: The 2030 Agenda for Sustainable </w:t>
      </w:r>
      <w:r w:rsidRPr="00C16D1E">
        <w:rPr>
          <w:rFonts w:ascii="Times New Roman" w:hAnsi="Times New Roman" w:cs="Times New Roman"/>
          <w:sz w:val="20"/>
          <w:szCs w:val="20"/>
          <w:shd w:val="clear" w:color="auto" w:fill="FFFFFF"/>
        </w:rPr>
        <w:tab/>
        <w:t xml:space="preserve">Development. </w:t>
      </w:r>
    </w:p>
    <w:p w14:paraId="4AEFAEE7"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sv-SE"/>
        </w:rPr>
        <w:t xml:space="preserve">Uslaner, E. M. (2002).  </w:t>
      </w:r>
      <w:r w:rsidRPr="00C16D1E">
        <w:rPr>
          <w:rFonts w:ascii="Times New Roman" w:eastAsia="Times New Roman" w:hAnsi="Times New Roman" w:cs="Times New Roman"/>
          <w:iCs/>
          <w:sz w:val="20"/>
          <w:szCs w:val="20"/>
          <w:lang w:eastAsia="sv-SE"/>
        </w:rPr>
        <w:t>The Moral Foundations of Trust</w:t>
      </w:r>
      <w:r w:rsidRPr="00C16D1E">
        <w:rPr>
          <w:rFonts w:ascii="Times New Roman" w:eastAsia="Times New Roman" w:hAnsi="Times New Roman" w:cs="Times New Roman"/>
          <w:sz w:val="20"/>
          <w:szCs w:val="20"/>
          <w:lang w:eastAsia="sv-SE"/>
        </w:rPr>
        <w:t xml:space="preserve">.  New York: Cambridge University Press, </w:t>
      </w:r>
      <w:r w:rsidRPr="00C16D1E">
        <w:rPr>
          <w:rFonts w:ascii="Times New Roman" w:hAnsi="Times New Roman" w:cs="Times New Roman"/>
          <w:sz w:val="20"/>
          <w:szCs w:val="20"/>
        </w:rPr>
        <w:t>US. Energy Information Administration (2021). Country Analysis Executive Summary: Nigeria.</w:t>
      </w:r>
    </w:p>
    <w:p w14:paraId="20818DA1" w14:textId="77777777" w:rsidR="004F79A4" w:rsidRPr="00C16D1E" w:rsidRDefault="004F79A4" w:rsidP="00524050">
      <w:pPr>
        <w:spacing w:after="240"/>
        <w:ind w:left="720" w:hanging="720"/>
        <w:jc w:val="both"/>
        <w:rPr>
          <w:rFonts w:ascii="Times New Roman" w:hAnsi="Times New Roman" w:cs="Times New Roman"/>
          <w:sz w:val="20"/>
          <w:szCs w:val="20"/>
        </w:rPr>
      </w:pPr>
      <w:r w:rsidRPr="00C16D1E">
        <w:rPr>
          <w:rFonts w:ascii="Times New Roman" w:eastAsia="Times New Roman" w:hAnsi="Times New Roman" w:cs="Times New Roman"/>
          <w:sz w:val="20"/>
          <w:szCs w:val="20"/>
          <w:lang w:eastAsia="en-GB"/>
        </w:rPr>
        <w:t xml:space="preserve">UNCTAD. (2023). </w:t>
      </w:r>
      <w:r w:rsidRPr="00C16D1E">
        <w:rPr>
          <w:rFonts w:ascii="Times New Roman" w:eastAsia="Times New Roman" w:hAnsi="Times New Roman" w:cs="Times New Roman"/>
          <w:i/>
          <w:iCs/>
          <w:sz w:val="20"/>
          <w:szCs w:val="20"/>
          <w:lang w:eastAsia="en-GB"/>
        </w:rPr>
        <w:t>World investment report 2023: Investing in sustainable energy for all</w:t>
      </w:r>
      <w:r w:rsidRPr="00C16D1E">
        <w:rPr>
          <w:rFonts w:ascii="Times New Roman" w:eastAsia="Times New Roman" w:hAnsi="Times New Roman" w:cs="Times New Roman"/>
          <w:sz w:val="20"/>
          <w:szCs w:val="20"/>
          <w:lang w:eastAsia="en-GB"/>
        </w:rPr>
        <w:t xml:space="preserve">. United Nations Conference on Trade and Development. </w:t>
      </w:r>
      <w:hyperlink r:id="rId37" w:tgtFrame="_blank" w:history="1">
        <w:r w:rsidRPr="00C16D1E">
          <w:rPr>
            <w:rFonts w:ascii="Times New Roman" w:eastAsia="Times New Roman" w:hAnsi="Times New Roman" w:cs="Times New Roman"/>
            <w:color w:val="0000FF"/>
            <w:sz w:val="20"/>
            <w:szCs w:val="20"/>
            <w:u w:val="single"/>
            <w:lang w:eastAsia="en-GB"/>
          </w:rPr>
          <w:t>https://unctad.org/publication/world-investment-report-2023</w:t>
        </w:r>
      </w:hyperlink>
      <w:r w:rsidRPr="00C16D1E">
        <w:rPr>
          <w:rFonts w:ascii="Times New Roman" w:eastAsia="Times New Roman" w:hAnsi="Times New Roman" w:cs="Times New Roman"/>
          <w:color w:val="0000FF"/>
          <w:sz w:val="20"/>
          <w:szCs w:val="20"/>
          <w:u w:val="single"/>
          <w:lang w:eastAsia="en-GB"/>
        </w:rPr>
        <w:t>.</w:t>
      </w:r>
    </w:p>
    <w:p w14:paraId="25233008" w14:textId="5CC3BF94" w:rsidR="004F79A4" w:rsidRPr="00C16D1E" w:rsidRDefault="004F79A4" w:rsidP="00524050">
      <w:pPr>
        <w:spacing w:after="200"/>
        <w:ind w:left="540" w:hanging="540"/>
        <w:jc w:val="both"/>
        <w:rPr>
          <w:rFonts w:ascii="Times New Roman" w:hAnsi="Times New Roman" w:cs="Times New Roman"/>
          <w:sz w:val="20"/>
          <w:szCs w:val="20"/>
          <w:lang w:val="en-GB"/>
        </w:rPr>
      </w:pPr>
      <w:r w:rsidRPr="00C16D1E">
        <w:rPr>
          <w:rFonts w:ascii="Times New Roman" w:hAnsi="Times New Roman" w:cs="Times New Roman"/>
          <w:sz w:val="20"/>
          <w:szCs w:val="20"/>
          <w:lang w:val="en-GB"/>
        </w:rPr>
        <w:t>van der Ploeg, F. (2021</w:t>
      </w:r>
      <w:r w:rsidR="005F7AFB" w:rsidRPr="00C16D1E">
        <w:rPr>
          <w:rFonts w:ascii="Times New Roman" w:hAnsi="Times New Roman" w:cs="Times New Roman"/>
          <w:sz w:val="20"/>
          <w:szCs w:val="20"/>
          <w:lang w:val="en-GB"/>
        </w:rPr>
        <w:t>a</w:t>
      </w:r>
      <w:r w:rsidRPr="00C16D1E">
        <w:rPr>
          <w:rFonts w:ascii="Times New Roman" w:hAnsi="Times New Roman" w:cs="Times New Roman"/>
          <w:sz w:val="20"/>
          <w:szCs w:val="20"/>
          <w:lang w:val="en-GB"/>
        </w:rPr>
        <w:t xml:space="preserve">). Natural resources: Curse or blessing? </w:t>
      </w:r>
      <w:r w:rsidRPr="00C16D1E">
        <w:rPr>
          <w:rFonts w:ascii="Times New Roman" w:hAnsi="Times New Roman" w:cs="Times New Roman"/>
          <w:i/>
          <w:iCs/>
          <w:sz w:val="20"/>
          <w:szCs w:val="20"/>
          <w:lang w:val="en-GB"/>
        </w:rPr>
        <w:t>Journal of Economic Literature, 59</w:t>
      </w:r>
      <w:r w:rsidRPr="00C16D1E">
        <w:rPr>
          <w:rFonts w:ascii="Times New Roman" w:hAnsi="Times New Roman" w:cs="Times New Roman"/>
          <w:sz w:val="20"/>
          <w:szCs w:val="20"/>
          <w:lang w:val="en-GB"/>
        </w:rPr>
        <w:t xml:space="preserve">(2), 409–471. </w:t>
      </w:r>
      <w:hyperlink r:id="rId38" w:history="1">
        <w:r w:rsidRPr="00C16D1E">
          <w:rPr>
            <w:rFonts w:ascii="Times New Roman" w:hAnsi="Times New Roman" w:cs="Times New Roman"/>
            <w:color w:val="0000FF"/>
            <w:sz w:val="20"/>
            <w:szCs w:val="20"/>
            <w:u w:val="single"/>
            <w:lang w:val="en-GB"/>
          </w:rPr>
          <w:t>https://doi.org/10.1257/jel.20191549</w:t>
        </w:r>
      </w:hyperlink>
    </w:p>
    <w:p w14:paraId="51F674E1" w14:textId="2C3AEB5D"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lang w:val="en-GB"/>
        </w:rPr>
        <w:t>van der Ploeg, F. (2021</w:t>
      </w:r>
      <w:r w:rsidR="005F7AFB" w:rsidRPr="00C16D1E">
        <w:rPr>
          <w:rFonts w:ascii="Times New Roman" w:hAnsi="Times New Roman" w:cs="Times New Roman"/>
          <w:sz w:val="20"/>
          <w:szCs w:val="20"/>
          <w:lang w:val="en-GB"/>
        </w:rPr>
        <w:t>b</w:t>
      </w:r>
      <w:r w:rsidRPr="00C16D1E">
        <w:rPr>
          <w:rFonts w:ascii="Times New Roman" w:hAnsi="Times New Roman" w:cs="Times New Roman"/>
          <w:sz w:val="20"/>
          <w:szCs w:val="20"/>
          <w:lang w:val="en-GB"/>
        </w:rPr>
        <w:t xml:space="preserve">). Volatility and the resource curse: Revisiting theory and evidence. </w:t>
      </w:r>
      <w:r w:rsidRPr="00C16D1E">
        <w:rPr>
          <w:rFonts w:ascii="Times New Roman" w:hAnsi="Times New Roman" w:cs="Times New Roman"/>
          <w:i/>
          <w:iCs/>
          <w:sz w:val="20"/>
          <w:szCs w:val="20"/>
          <w:lang w:val="en-GB"/>
        </w:rPr>
        <w:t>Journal of Development Economics, 151,</w:t>
      </w:r>
      <w:r w:rsidRPr="00C16D1E">
        <w:rPr>
          <w:rFonts w:ascii="Times New Roman" w:hAnsi="Times New Roman" w:cs="Times New Roman"/>
          <w:sz w:val="20"/>
          <w:szCs w:val="20"/>
          <w:lang w:val="en-GB"/>
        </w:rPr>
        <w:t xml:space="preserve"> 102650. </w:t>
      </w:r>
      <w:hyperlink r:id="rId39" w:history="1">
        <w:r w:rsidRPr="00C16D1E">
          <w:rPr>
            <w:rFonts w:ascii="Times New Roman" w:hAnsi="Times New Roman" w:cs="Times New Roman"/>
            <w:color w:val="0000FF"/>
            <w:sz w:val="20"/>
            <w:szCs w:val="20"/>
            <w:u w:val="single"/>
            <w:lang w:val="en-GB"/>
          </w:rPr>
          <w:t>https://doi.org/10.1016/j.jdeveco.2021.102650</w:t>
        </w:r>
      </w:hyperlink>
    </w:p>
    <w:p w14:paraId="3D151352" w14:textId="77777777" w:rsidR="004F79A4" w:rsidRPr="00C16D1E" w:rsidRDefault="004F79A4" w:rsidP="00524050">
      <w:pPr>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Victor, U. I., Timothy, U., &amp; Adoo, S. (2021). Impacts of Institutional Quality on Economic Growth in Nigeria: Gusau International Journal of Management and Social Sciences, Federal University, Gusau, Vol. 4, No. 3: pp. 157-177.</w:t>
      </w:r>
    </w:p>
    <w:p w14:paraId="5E28A9E3"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 xml:space="preserve">Wang, H., Wang, S., Yang, C., Jiang, S., and Li, Y. (2019). Resource Price Fluctuations, </w:t>
      </w:r>
      <w:r w:rsidRPr="00C16D1E">
        <w:rPr>
          <w:rFonts w:ascii="Times New Roman" w:eastAsia="Times New Roman" w:hAnsi="Times New Roman" w:cs="Times New Roman"/>
          <w:sz w:val="20"/>
          <w:szCs w:val="20"/>
        </w:rPr>
        <w:tab/>
        <w:t>Resource Dependence and Sustainable Growth. Sustainability 2019, 11, 6371.</w:t>
      </w:r>
    </w:p>
    <w:p w14:paraId="79FE566B"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iCs/>
          <w:sz w:val="20"/>
          <w:szCs w:val="20"/>
        </w:rPr>
      </w:pPr>
      <w:r w:rsidRPr="00C16D1E">
        <w:rPr>
          <w:rFonts w:ascii="Times New Roman" w:hAnsi="Times New Roman" w:cs="Times New Roman"/>
          <w:iCs/>
          <w:sz w:val="20"/>
          <w:szCs w:val="20"/>
          <w:shd w:val="clear" w:color="auto" w:fill="FFFFFF"/>
        </w:rPr>
        <w:t>Williamson, O. E. (1985). </w:t>
      </w:r>
      <w:r w:rsidRPr="00C16D1E">
        <w:rPr>
          <w:rFonts w:ascii="Times New Roman" w:hAnsi="Times New Roman" w:cs="Times New Roman"/>
          <w:iCs/>
          <w:sz w:val="20"/>
          <w:szCs w:val="20"/>
        </w:rPr>
        <w:t>The Economic Institutions of Capitalism: Firms, Markets, Relational Contracting.</w:t>
      </w:r>
      <w:r w:rsidRPr="00C16D1E">
        <w:rPr>
          <w:rFonts w:ascii="Times New Roman" w:hAnsi="Times New Roman" w:cs="Times New Roman"/>
          <w:iCs/>
          <w:sz w:val="20"/>
          <w:szCs w:val="20"/>
          <w:shd w:val="clear" w:color="auto" w:fill="FFFFFF"/>
        </w:rPr>
        <w:t> Free Press.</w:t>
      </w:r>
    </w:p>
    <w:p w14:paraId="34EDD41C" w14:textId="77777777" w:rsidR="0022069F" w:rsidRPr="00C16D1E" w:rsidRDefault="0022069F"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eastAsia="Times New Roman" w:hAnsi="Times New Roman" w:cs="Times New Roman"/>
          <w:sz w:val="20"/>
          <w:szCs w:val="20"/>
        </w:rPr>
        <w:t>World Governance Indicators. (2020). Nigeria's Governance Performance Report.</w:t>
      </w:r>
    </w:p>
    <w:p w14:paraId="75242F79" w14:textId="77777777" w:rsidR="004F79A4" w:rsidRPr="00C16D1E" w:rsidRDefault="004F79A4" w:rsidP="00524050">
      <w:pPr>
        <w:shd w:val="clear" w:color="auto" w:fill="FFFFFF"/>
        <w:spacing w:after="200"/>
        <w:ind w:left="540" w:hanging="540"/>
        <w:jc w:val="both"/>
        <w:rPr>
          <w:rFonts w:ascii="Times New Roman" w:eastAsia="Times New Roman" w:hAnsi="Times New Roman" w:cs="Times New Roman"/>
          <w:sz w:val="20"/>
          <w:szCs w:val="20"/>
        </w:rPr>
      </w:pPr>
      <w:r w:rsidRPr="00C16D1E">
        <w:rPr>
          <w:rFonts w:ascii="Times New Roman" w:hAnsi="Times New Roman" w:cs="Times New Roman"/>
          <w:sz w:val="20"/>
          <w:szCs w:val="20"/>
        </w:rPr>
        <w:t>World Bank (2021). World Development Indicators. http://datatopics.worldbank.org /world-development-indicators.</w:t>
      </w:r>
    </w:p>
    <w:p w14:paraId="083E3427"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lastRenderedPageBreak/>
        <w:t>World Bank. (2022). The Continuing Urgency of Business Unusual. Nigeria Development Update, Washington, D.C, World Bank Group. </w:t>
      </w:r>
      <w:hyperlink r:id="rId40" w:history="1">
        <w:r w:rsidRPr="00C16D1E">
          <w:rPr>
            <w:rFonts w:ascii="Times New Roman" w:hAnsi="Times New Roman"/>
            <w:color w:val="0000FF"/>
            <w:sz w:val="20"/>
            <w:szCs w:val="20"/>
            <w:u w:val="single"/>
          </w:rPr>
          <w:t>http://documents.worldbank.org/curated/en/099740006132214750/P17782005822360a00a0850f63928a34418</w:t>
        </w:r>
      </w:hyperlink>
      <w:r w:rsidRPr="00C16D1E">
        <w:rPr>
          <w:rFonts w:ascii="Times New Roman" w:hAnsi="Times New Roman" w:cs="Times New Roman"/>
          <w:sz w:val="20"/>
          <w:szCs w:val="20"/>
        </w:rPr>
        <w:t>.</w:t>
      </w:r>
    </w:p>
    <w:p w14:paraId="61CD697A" w14:textId="77777777" w:rsidR="004F79A4" w:rsidRPr="00C16D1E" w:rsidRDefault="004F79A4" w:rsidP="00524050">
      <w:pPr>
        <w:spacing w:after="160"/>
        <w:ind w:left="720" w:hanging="720"/>
        <w:jc w:val="both"/>
        <w:rPr>
          <w:rFonts w:ascii="Times New Roman" w:eastAsia="Aptos" w:hAnsi="Times New Roman" w:cs="Times New Roman"/>
          <w:kern w:val="2"/>
          <w:sz w:val="20"/>
          <w:szCs w:val="20"/>
          <w:lang w:val="en-GB"/>
          <w14:ligatures w14:val="standardContextual"/>
        </w:rPr>
      </w:pPr>
      <w:r w:rsidRPr="00C16D1E">
        <w:rPr>
          <w:rFonts w:ascii="Times New Roman" w:eastAsia="Aptos" w:hAnsi="Times New Roman" w:cs="Times New Roman"/>
          <w:kern w:val="2"/>
          <w:sz w:val="20"/>
          <w:szCs w:val="20"/>
          <w:lang w:val="en-GB"/>
          <w14:ligatures w14:val="standardContextual"/>
        </w:rPr>
        <w:t xml:space="preserve">World Bank. (2024). </w:t>
      </w:r>
      <w:r w:rsidRPr="00C16D1E">
        <w:rPr>
          <w:rFonts w:ascii="Times New Roman" w:eastAsia="Aptos" w:hAnsi="Times New Roman" w:cs="Times New Roman"/>
          <w:i/>
          <w:iCs/>
          <w:kern w:val="2"/>
          <w:sz w:val="20"/>
          <w:szCs w:val="20"/>
          <w:lang w:val="en-GB"/>
          <w14:ligatures w14:val="standardContextual"/>
        </w:rPr>
        <w:t>Nigeria economic update: Harnessing oil revenues for sustainable growth.</w:t>
      </w:r>
      <w:r w:rsidRPr="00C16D1E">
        <w:rPr>
          <w:rFonts w:ascii="Times New Roman" w:eastAsia="Aptos" w:hAnsi="Times New Roman" w:cs="Times New Roman"/>
          <w:kern w:val="2"/>
          <w:sz w:val="20"/>
          <w:szCs w:val="20"/>
          <w:lang w:val="en-GB"/>
          <w14:ligatures w14:val="standardContextual"/>
        </w:rPr>
        <w:t xml:space="preserve"> World Bank Group. </w:t>
      </w:r>
      <w:hyperlink r:id="rId41" w:history="1">
        <w:r w:rsidRPr="00C16D1E">
          <w:rPr>
            <w:rFonts w:ascii="Times New Roman" w:eastAsia="Aptos" w:hAnsi="Times New Roman" w:cs="Times New Roman"/>
            <w:color w:val="467886"/>
            <w:kern w:val="2"/>
            <w:sz w:val="20"/>
            <w:szCs w:val="20"/>
            <w:lang w:val="en-GB"/>
            <w14:ligatures w14:val="standardContextual"/>
          </w:rPr>
          <w:t>https://www.worldbank.org/en/country/nigeria/publication/nigeria-economic-update</w:t>
        </w:r>
      </w:hyperlink>
    </w:p>
    <w:p w14:paraId="28ED4338" w14:textId="77777777" w:rsidR="004F79A4" w:rsidRPr="00C16D1E" w:rsidRDefault="004F79A4" w:rsidP="00524050">
      <w:pPr>
        <w:shd w:val="clear" w:color="auto" w:fill="FFFFFF"/>
        <w:spacing w:after="200"/>
        <w:ind w:left="540" w:hanging="540"/>
        <w:jc w:val="both"/>
        <w:rPr>
          <w:rFonts w:ascii="Times New Roman" w:hAnsi="Times New Roman" w:cs="Times New Roman"/>
          <w:sz w:val="20"/>
          <w:szCs w:val="20"/>
        </w:rPr>
      </w:pPr>
      <w:r w:rsidRPr="00C16D1E">
        <w:rPr>
          <w:rFonts w:ascii="Times New Roman" w:eastAsia="Times New Roman" w:hAnsi="Times New Roman" w:cs="Times New Roman"/>
          <w:sz w:val="20"/>
          <w:szCs w:val="20"/>
        </w:rPr>
        <w:t>Xie, X., Li, K., Liu, Z., &amp; Ai, H. (2021). Curse or blessing: How does natural resource dependence affect city-level economic development in China? Aust. J. Agric. Resource. Econ. 2021.</w:t>
      </w:r>
    </w:p>
    <w:p w14:paraId="5F8CC29A" w14:textId="77777777" w:rsidR="004F79A4" w:rsidRPr="00C16D1E" w:rsidRDefault="004F79A4" w:rsidP="00524050">
      <w:pPr>
        <w:autoSpaceDE w:val="0"/>
        <w:autoSpaceDN w:val="0"/>
        <w:adjustRightInd w:val="0"/>
        <w:spacing w:after="200"/>
        <w:ind w:left="540" w:hanging="540"/>
        <w:jc w:val="both"/>
        <w:rPr>
          <w:rFonts w:ascii="Times New Roman" w:hAnsi="Times New Roman" w:cs="Times New Roman"/>
          <w:sz w:val="20"/>
          <w:szCs w:val="20"/>
        </w:rPr>
      </w:pPr>
      <w:r w:rsidRPr="00C16D1E">
        <w:rPr>
          <w:rFonts w:ascii="Times New Roman" w:hAnsi="Times New Roman" w:cs="Times New Roman"/>
          <w:sz w:val="20"/>
          <w:szCs w:val="20"/>
        </w:rPr>
        <w:t xml:space="preserve">Zalle, O. (2019). Natural Resources and Economic Growth in Africa: The role of institutional quality and human capital. Resource Policy </w:t>
      </w:r>
      <w:r w:rsidRPr="00C16D1E">
        <w:rPr>
          <w:rFonts w:ascii="Times New Roman" w:hAnsi="Times New Roman" w:cs="Times New Roman"/>
          <w:bCs/>
          <w:sz w:val="20"/>
          <w:szCs w:val="20"/>
        </w:rPr>
        <w:t>62</w:t>
      </w:r>
      <w:r w:rsidRPr="00C16D1E">
        <w:rPr>
          <w:rFonts w:ascii="Times New Roman" w:hAnsi="Times New Roman" w:cs="Times New Roman"/>
          <w:sz w:val="20"/>
          <w:szCs w:val="20"/>
        </w:rPr>
        <w:t xml:space="preserve">, pp. 616–624. https://doi.org/10.1016/j. resource </w:t>
      </w:r>
      <w:proofErr w:type="spellStart"/>
      <w:r w:rsidRPr="00C16D1E">
        <w:rPr>
          <w:rFonts w:ascii="Times New Roman" w:hAnsi="Times New Roman" w:cs="Times New Roman"/>
          <w:sz w:val="20"/>
          <w:szCs w:val="20"/>
        </w:rPr>
        <w:t>rpol</w:t>
      </w:r>
      <w:proofErr w:type="spellEnd"/>
      <w:r w:rsidRPr="00C16D1E">
        <w:rPr>
          <w:rFonts w:ascii="Times New Roman" w:hAnsi="Times New Roman" w:cs="Times New Roman"/>
          <w:sz w:val="20"/>
          <w:szCs w:val="20"/>
        </w:rPr>
        <w:t>.</w:t>
      </w:r>
    </w:p>
    <w:p w14:paraId="103B163C" w14:textId="77777777" w:rsidR="002757DD" w:rsidRPr="00C16D1E" w:rsidRDefault="002757DD" w:rsidP="00524050">
      <w:pPr>
        <w:spacing w:after="160"/>
        <w:jc w:val="center"/>
        <w:rPr>
          <w:rFonts w:ascii="Aptos" w:eastAsia="Aptos" w:hAnsi="Aptos" w:cs="Times New Roman"/>
          <w:sz w:val="20"/>
          <w:szCs w:val="20"/>
          <w:lang w:val="en-GB"/>
        </w:rPr>
      </w:pPr>
    </w:p>
    <w:p w14:paraId="679B70E4" w14:textId="77777777" w:rsidR="002757DD" w:rsidRPr="00C16D1E" w:rsidRDefault="002757DD" w:rsidP="00524050">
      <w:pPr>
        <w:spacing w:after="160"/>
        <w:jc w:val="center"/>
        <w:rPr>
          <w:rFonts w:ascii="Aptos" w:eastAsia="Aptos" w:hAnsi="Aptos" w:cs="Times New Roman"/>
          <w:sz w:val="20"/>
          <w:szCs w:val="20"/>
          <w:lang w:val="en-GB"/>
        </w:rPr>
      </w:pPr>
    </w:p>
    <w:p w14:paraId="2CE46EE8" w14:textId="77777777" w:rsidR="002757DD" w:rsidRPr="00C16D1E" w:rsidRDefault="002757DD" w:rsidP="00524050">
      <w:pPr>
        <w:spacing w:after="160"/>
        <w:jc w:val="center"/>
        <w:rPr>
          <w:rFonts w:ascii="Aptos" w:eastAsia="Aptos" w:hAnsi="Aptos" w:cs="Times New Roman"/>
          <w:sz w:val="20"/>
          <w:szCs w:val="20"/>
          <w:lang w:val="en-GB"/>
        </w:rPr>
      </w:pPr>
    </w:p>
    <w:p w14:paraId="12CA29B7" w14:textId="77777777" w:rsidR="002757DD" w:rsidRPr="00C16D1E" w:rsidRDefault="002757DD" w:rsidP="00524050">
      <w:pPr>
        <w:spacing w:after="160"/>
        <w:jc w:val="center"/>
        <w:rPr>
          <w:rFonts w:ascii="Aptos" w:eastAsia="Aptos" w:hAnsi="Aptos" w:cs="Times New Roman"/>
          <w:sz w:val="20"/>
          <w:szCs w:val="20"/>
          <w:lang w:val="en-GB"/>
        </w:rPr>
      </w:pPr>
    </w:p>
    <w:p w14:paraId="456DD871" w14:textId="77777777" w:rsidR="003143E9" w:rsidRPr="00C16D1E" w:rsidRDefault="003143E9" w:rsidP="00524050">
      <w:pPr>
        <w:spacing w:after="160"/>
        <w:jc w:val="center"/>
        <w:rPr>
          <w:rFonts w:ascii="Aptos" w:eastAsia="Aptos" w:hAnsi="Aptos" w:cs="Times New Roman"/>
          <w:b/>
          <w:sz w:val="20"/>
          <w:szCs w:val="20"/>
          <w:lang w:val="en-GB"/>
        </w:rPr>
      </w:pPr>
    </w:p>
    <w:p w14:paraId="5CF593C7" w14:textId="77777777" w:rsidR="003143E9" w:rsidRPr="00C16D1E" w:rsidRDefault="003143E9" w:rsidP="00524050">
      <w:pPr>
        <w:spacing w:after="160"/>
        <w:jc w:val="center"/>
        <w:rPr>
          <w:rFonts w:ascii="Aptos" w:eastAsia="Aptos" w:hAnsi="Aptos" w:cs="Times New Roman"/>
          <w:b/>
          <w:sz w:val="20"/>
          <w:szCs w:val="20"/>
          <w:lang w:val="en-GB"/>
        </w:rPr>
      </w:pPr>
    </w:p>
    <w:p w14:paraId="125B6209" w14:textId="77777777" w:rsidR="003143E9" w:rsidRPr="00C16D1E" w:rsidRDefault="003143E9" w:rsidP="00524050">
      <w:pPr>
        <w:spacing w:after="160"/>
        <w:jc w:val="center"/>
        <w:rPr>
          <w:rFonts w:ascii="Aptos" w:eastAsia="Aptos" w:hAnsi="Aptos" w:cs="Times New Roman"/>
          <w:b/>
          <w:sz w:val="20"/>
          <w:szCs w:val="20"/>
          <w:lang w:val="en-GB"/>
        </w:rPr>
      </w:pPr>
    </w:p>
    <w:p w14:paraId="047D18AA" w14:textId="77777777" w:rsidR="003143E9" w:rsidRPr="00C16D1E" w:rsidRDefault="003143E9" w:rsidP="00524050">
      <w:pPr>
        <w:spacing w:after="160"/>
        <w:jc w:val="center"/>
        <w:rPr>
          <w:rFonts w:ascii="Aptos" w:eastAsia="Aptos" w:hAnsi="Aptos" w:cs="Times New Roman"/>
          <w:b/>
          <w:sz w:val="20"/>
          <w:szCs w:val="20"/>
          <w:lang w:val="en-GB"/>
        </w:rPr>
      </w:pPr>
    </w:p>
    <w:p w14:paraId="032C664F" w14:textId="77777777" w:rsidR="003143E9" w:rsidRPr="00C16D1E" w:rsidRDefault="003143E9" w:rsidP="00524050">
      <w:pPr>
        <w:spacing w:after="160"/>
        <w:jc w:val="center"/>
        <w:rPr>
          <w:rFonts w:ascii="Aptos" w:eastAsia="Aptos" w:hAnsi="Aptos" w:cs="Times New Roman"/>
          <w:b/>
          <w:sz w:val="20"/>
          <w:szCs w:val="20"/>
          <w:lang w:val="en-GB"/>
        </w:rPr>
      </w:pPr>
    </w:p>
    <w:p w14:paraId="41CE36E3" w14:textId="77777777" w:rsidR="003143E9" w:rsidRPr="00C16D1E" w:rsidRDefault="003143E9" w:rsidP="00524050">
      <w:pPr>
        <w:spacing w:after="160"/>
        <w:jc w:val="center"/>
        <w:rPr>
          <w:rFonts w:ascii="Aptos" w:eastAsia="Aptos" w:hAnsi="Aptos" w:cs="Times New Roman"/>
          <w:b/>
          <w:sz w:val="20"/>
          <w:szCs w:val="20"/>
          <w:lang w:val="en-GB"/>
        </w:rPr>
      </w:pPr>
    </w:p>
    <w:p w14:paraId="31D9D3B7" w14:textId="77777777" w:rsidR="003143E9" w:rsidRPr="00C16D1E" w:rsidRDefault="003143E9" w:rsidP="00524050">
      <w:pPr>
        <w:spacing w:after="160"/>
        <w:jc w:val="center"/>
        <w:rPr>
          <w:rFonts w:ascii="Aptos" w:eastAsia="Aptos" w:hAnsi="Aptos" w:cs="Times New Roman"/>
          <w:b/>
          <w:sz w:val="20"/>
          <w:szCs w:val="20"/>
          <w:lang w:val="en-GB"/>
        </w:rPr>
      </w:pPr>
    </w:p>
    <w:p w14:paraId="6F140043" w14:textId="77777777" w:rsidR="003143E9" w:rsidRPr="00C16D1E" w:rsidRDefault="003143E9" w:rsidP="00524050">
      <w:pPr>
        <w:spacing w:after="160"/>
        <w:jc w:val="center"/>
        <w:rPr>
          <w:rFonts w:ascii="Aptos" w:eastAsia="Aptos" w:hAnsi="Aptos" w:cs="Times New Roman"/>
          <w:b/>
          <w:sz w:val="20"/>
          <w:szCs w:val="20"/>
          <w:lang w:val="en-GB"/>
        </w:rPr>
      </w:pPr>
    </w:p>
    <w:p w14:paraId="3203B073" w14:textId="77777777" w:rsidR="003143E9" w:rsidRPr="00C16D1E" w:rsidRDefault="003143E9" w:rsidP="00524050">
      <w:pPr>
        <w:spacing w:after="160"/>
        <w:jc w:val="center"/>
        <w:rPr>
          <w:rFonts w:ascii="Aptos" w:eastAsia="Aptos" w:hAnsi="Aptos" w:cs="Times New Roman"/>
          <w:b/>
          <w:sz w:val="20"/>
          <w:szCs w:val="20"/>
          <w:lang w:val="en-GB"/>
        </w:rPr>
      </w:pPr>
    </w:p>
    <w:p w14:paraId="5974DB31" w14:textId="77777777" w:rsidR="003143E9" w:rsidRPr="00C16D1E" w:rsidRDefault="003143E9" w:rsidP="00524050">
      <w:pPr>
        <w:spacing w:after="160"/>
        <w:jc w:val="center"/>
        <w:rPr>
          <w:rFonts w:ascii="Aptos" w:eastAsia="Aptos" w:hAnsi="Aptos" w:cs="Times New Roman"/>
          <w:b/>
          <w:sz w:val="20"/>
          <w:szCs w:val="20"/>
          <w:lang w:val="en-GB"/>
        </w:rPr>
      </w:pPr>
    </w:p>
    <w:p w14:paraId="0438DE14" w14:textId="77777777" w:rsidR="003143E9" w:rsidRPr="00C16D1E" w:rsidRDefault="003143E9" w:rsidP="00524050">
      <w:pPr>
        <w:spacing w:after="160"/>
        <w:jc w:val="center"/>
        <w:rPr>
          <w:rFonts w:ascii="Aptos" w:eastAsia="Aptos" w:hAnsi="Aptos" w:cs="Times New Roman"/>
          <w:b/>
          <w:sz w:val="20"/>
          <w:szCs w:val="20"/>
          <w:lang w:val="en-GB"/>
        </w:rPr>
      </w:pPr>
    </w:p>
    <w:p w14:paraId="4AC20294" w14:textId="77777777" w:rsidR="003143E9" w:rsidRPr="00C16D1E" w:rsidRDefault="003143E9" w:rsidP="00524050">
      <w:pPr>
        <w:spacing w:after="160"/>
        <w:jc w:val="center"/>
        <w:rPr>
          <w:rFonts w:ascii="Aptos" w:eastAsia="Aptos" w:hAnsi="Aptos" w:cs="Times New Roman"/>
          <w:b/>
          <w:sz w:val="20"/>
          <w:szCs w:val="20"/>
          <w:lang w:val="en-GB"/>
        </w:rPr>
      </w:pPr>
    </w:p>
    <w:p w14:paraId="6B75C026" w14:textId="77777777" w:rsidR="003143E9" w:rsidRPr="00C16D1E" w:rsidRDefault="003143E9" w:rsidP="00524050">
      <w:pPr>
        <w:spacing w:after="160"/>
        <w:jc w:val="center"/>
        <w:rPr>
          <w:rFonts w:ascii="Aptos" w:eastAsia="Aptos" w:hAnsi="Aptos" w:cs="Times New Roman"/>
          <w:b/>
          <w:sz w:val="20"/>
          <w:szCs w:val="20"/>
          <w:lang w:val="en-GB"/>
        </w:rPr>
      </w:pPr>
    </w:p>
    <w:p w14:paraId="504ACEDC" w14:textId="77777777" w:rsidR="003143E9" w:rsidRPr="00C16D1E" w:rsidRDefault="003143E9" w:rsidP="00524050">
      <w:pPr>
        <w:spacing w:after="160"/>
        <w:jc w:val="center"/>
        <w:rPr>
          <w:rFonts w:ascii="Aptos" w:eastAsia="Aptos" w:hAnsi="Aptos" w:cs="Times New Roman"/>
          <w:b/>
          <w:sz w:val="20"/>
          <w:szCs w:val="20"/>
          <w:lang w:val="en-GB"/>
        </w:rPr>
      </w:pPr>
    </w:p>
    <w:p w14:paraId="3E8C452C" w14:textId="77777777" w:rsidR="003143E9" w:rsidRPr="00C16D1E" w:rsidRDefault="003143E9" w:rsidP="00524050">
      <w:pPr>
        <w:spacing w:after="160"/>
        <w:jc w:val="center"/>
        <w:rPr>
          <w:rFonts w:ascii="Aptos" w:eastAsia="Aptos" w:hAnsi="Aptos" w:cs="Times New Roman"/>
          <w:b/>
          <w:sz w:val="20"/>
          <w:szCs w:val="20"/>
          <w:lang w:val="en-GB"/>
        </w:rPr>
      </w:pPr>
    </w:p>
    <w:p w14:paraId="545A5B8B" w14:textId="77777777" w:rsidR="003143E9" w:rsidRPr="00C16D1E" w:rsidRDefault="003143E9" w:rsidP="00524050">
      <w:pPr>
        <w:spacing w:after="160"/>
        <w:jc w:val="center"/>
        <w:rPr>
          <w:rFonts w:ascii="Aptos" w:eastAsia="Aptos" w:hAnsi="Aptos" w:cs="Times New Roman"/>
          <w:b/>
          <w:sz w:val="20"/>
          <w:szCs w:val="20"/>
          <w:lang w:val="en-GB"/>
        </w:rPr>
      </w:pPr>
    </w:p>
    <w:p w14:paraId="630E7553" w14:textId="77777777" w:rsidR="003143E9" w:rsidRPr="00C16D1E" w:rsidRDefault="003143E9" w:rsidP="00524050">
      <w:pPr>
        <w:spacing w:after="160"/>
        <w:jc w:val="center"/>
        <w:rPr>
          <w:rFonts w:ascii="Aptos" w:eastAsia="Aptos" w:hAnsi="Aptos" w:cs="Times New Roman"/>
          <w:b/>
          <w:sz w:val="20"/>
          <w:szCs w:val="20"/>
          <w:lang w:val="en-GB"/>
        </w:rPr>
      </w:pPr>
    </w:p>
    <w:p w14:paraId="4CCD2120" w14:textId="77777777" w:rsidR="003143E9" w:rsidRPr="00C16D1E" w:rsidRDefault="003143E9" w:rsidP="00524050">
      <w:pPr>
        <w:spacing w:after="160"/>
        <w:jc w:val="center"/>
        <w:rPr>
          <w:rFonts w:ascii="Aptos" w:eastAsia="Aptos" w:hAnsi="Aptos" w:cs="Times New Roman"/>
          <w:b/>
          <w:sz w:val="20"/>
          <w:szCs w:val="20"/>
          <w:lang w:val="en-GB"/>
        </w:rPr>
      </w:pPr>
    </w:p>
    <w:sectPr w:rsidR="003143E9" w:rsidRPr="00C16D1E" w:rsidSect="0030756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006BD" w14:textId="77777777" w:rsidR="00913C58" w:rsidRDefault="00913C58" w:rsidP="00BF107E">
      <w:r>
        <w:separator/>
      </w:r>
    </w:p>
  </w:endnote>
  <w:endnote w:type="continuationSeparator" w:id="0">
    <w:p w14:paraId="50B57C51" w14:textId="77777777" w:rsidR="00913C58" w:rsidRDefault="00913C58" w:rsidP="00BF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skerville MT Std">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mr12">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26470"/>
      <w:docPartObj>
        <w:docPartGallery w:val="Page Numbers (Bottom of Page)"/>
        <w:docPartUnique/>
      </w:docPartObj>
    </w:sdtPr>
    <w:sdtEndPr/>
    <w:sdtContent>
      <w:p w14:paraId="5C4D729D" w14:textId="50EEF0CC" w:rsidR="00B04554" w:rsidRDefault="00B04554">
        <w:pPr>
          <w:pStyle w:val="Footer"/>
          <w:jc w:val="center"/>
        </w:pPr>
        <w:r>
          <w:fldChar w:fldCharType="begin"/>
        </w:r>
        <w:r>
          <w:instrText>PAGE   \* MERGEFORMAT</w:instrText>
        </w:r>
        <w:r>
          <w:fldChar w:fldCharType="separate"/>
        </w:r>
        <w:r w:rsidR="006F49CF" w:rsidRPr="006F49CF">
          <w:rPr>
            <w:noProof/>
            <w:lang w:val="en-GB"/>
          </w:rPr>
          <w:t>11</w:t>
        </w:r>
        <w:r>
          <w:fldChar w:fldCharType="end"/>
        </w:r>
      </w:p>
    </w:sdtContent>
  </w:sdt>
  <w:p w14:paraId="2232D404" w14:textId="77777777" w:rsidR="00B04554" w:rsidRDefault="00B0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AAF0D" w14:textId="77777777" w:rsidR="00913C58" w:rsidRDefault="00913C58" w:rsidP="00BF107E">
      <w:r>
        <w:separator/>
      </w:r>
    </w:p>
  </w:footnote>
  <w:footnote w:type="continuationSeparator" w:id="0">
    <w:p w14:paraId="0B155F1A" w14:textId="77777777" w:rsidR="00913C58" w:rsidRDefault="00913C58" w:rsidP="00BF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AD46" w14:textId="343B0D5E" w:rsidR="00B04554" w:rsidRDefault="00B04554">
    <w:pPr>
      <w:pStyle w:val="Header"/>
    </w:pPr>
  </w:p>
  <w:p w14:paraId="587C9129" w14:textId="77777777" w:rsidR="00B04554" w:rsidRDefault="00B04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DD2"/>
    <w:multiLevelType w:val="hybridMultilevel"/>
    <w:tmpl w:val="6BC870E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nsid w:val="05E55F98"/>
    <w:multiLevelType w:val="hybridMultilevel"/>
    <w:tmpl w:val="706685A4"/>
    <w:lvl w:ilvl="0" w:tplc="432EC30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862BB"/>
    <w:multiLevelType w:val="hybridMultilevel"/>
    <w:tmpl w:val="D84679CC"/>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42C7A"/>
    <w:multiLevelType w:val="multilevel"/>
    <w:tmpl w:val="24F67E3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AA1455"/>
    <w:multiLevelType w:val="hybridMultilevel"/>
    <w:tmpl w:val="8FE847F6"/>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050C7"/>
    <w:multiLevelType w:val="hybridMultilevel"/>
    <w:tmpl w:val="63CAB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A36301"/>
    <w:multiLevelType w:val="multilevel"/>
    <w:tmpl w:val="E75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E6088"/>
    <w:multiLevelType w:val="multilevel"/>
    <w:tmpl w:val="1750D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765FF2"/>
    <w:multiLevelType w:val="multilevel"/>
    <w:tmpl w:val="CFA22EB6"/>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23CE9"/>
    <w:multiLevelType w:val="hybridMultilevel"/>
    <w:tmpl w:val="50AC6A04"/>
    <w:lvl w:ilvl="0" w:tplc="5D0294E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06296"/>
    <w:multiLevelType w:val="multilevel"/>
    <w:tmpl w:val="9B2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7F58AB"/>
    <w:multiLevelType w:val="hybridMultilevel"/>
    <w:tmpl w:val="3606D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165C9F"/>
    <w:multiLevelType w:val="multilevel"/>
    <w:tmpl w:val="009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64CC7"/>
    <w:multiLevelType w:val="multilevel"/>
    <w:tmpl w:val="5380E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EE5BDF"/>
    <w:multiLevelType w:val="multilevel"/>
    <w:tmpl w:val="76FC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D06E3"/>
    <w:multiLevelType w:val="hybridMultilevel"/>
    <w:tmpl w:val="02A85E66"/>
    <w:lvl w:ilvl="0" w:tplc="05F49F10">
      <w:start w:val="1"/>
      <w:numFmt w:val="lowerRoman"/>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878F5"/>
    <w:multiLevelType w:val="multilevel"/>
    <w:tmpl w:val="527C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5D138D"/>
    <w:multiLevelType w:val="hybridMultilevel"/>
    <w:tmpl w:val="427E6980"/>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C6EFF"/>
    <w:multiLevelType w:val="multilevel"/>
    <w:tmpl w:val="12BC18A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03748A"/>
    <w:multiLevelType w:val="hybridMultilevel"/>
    <w:tmpl w:val="1660B9AC"/>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40CE8"/>
    <w:multiLevelType w:val="hybridMultilevel"/>
    <w:tmpl w:val="A3B253C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41EF1EE3"/>
    <w:multiLevelType w:val="hybridMultilevel"/>
    <w:tmpl w:val="B6F45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4D295E"/>
    <w:multiLevelType w:val="hybridMultilevel"/>
    <w:tmpl w:val="89F64D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47721BDF"/>
    <w:multiLevelType w:val="multilevel"/>
    <w:tmpl w:val="FDA0B0B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1104A0"/>
    <w:multiLevelType w:val="hybridMultilevel"/>
    <w:tmpl w:val="5A3AE7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840009D"/>
    <w:multiLevelType w:val="multilevel"/>
    <w:tmpl w:val="8A7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A62BB3"/>
    <w:multiLevelType w:val="hybridMultilevel"/>
    <w:tmpl w:val="67D0F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95690"/>
    <w:multiLevelType w:val="hybridMultilevel"/>
    <w:tmpl w:val="1B227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FC0253"/>
    <w:multiLevelType w:val="multilevel"/>
    <w:tmpl w:val="CD223430"/>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529731AF"/>
    <w:multiLevelType w:val="hybridMultilevel"/>
    <w:tmpl w:val="89BA3524"/>
    <w:lvl w:ilvl="0" w:tplc="398041C4">
      <w:start w:val="1"/>
      <w:numFmt w:val="decimal"/>
      <w:lvlText w:val="%1."/>
      <w:lvlJc w:val="left"/>
      <w:pPr>
        <w:ind w:left="720" w:hanging="360"/>
      </w:pPr>
      <w:rPr>
        <w:rFonts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F00933"/>
    <w:multiLevelType w:val="hybridMultilevel"/>
    <w:tmpl w:val="5972FE88"/>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8466D"/>
    <w:multiLevelType w:val="multilevel"/>
    <w:tmpl w:val="E8D25D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6C2B31"/>
    <w:multiLevelType w:val="hybridMultilevel"/>
    <w:tmpl w:val="4A0E7BA4"/>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8244A"/>
    <w:multiLevelType w:val="hybridMultilevel"/>
    <w:tmpl w:val="A0E86822"/>
    <w:lvl w:ilvl="0" w:tplc="BB449C36">
      <w:start w:val="1"/>
      <w:numFmt w:val="lowerRoman"/>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4">
    <w:nsid w:val="5A732B27"/>
    <w:multiLevelType w:val="hybridMultilevel"/>
    <w:tmpl w:val="BEA8AF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A47F37"/>
    <w:multiLevelType w:val="multilevel"/>
    <w:tmpl w:val="80F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317275"/>
    <w:multiLevelType w:val="hybridMultilevel"/>
    <w:tmpl w:val="9B6E50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80B7F"/>
    <w:multiLevelType w:val="hybridMultilevel"/>
    <w:tmpl w:val="45983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A35B17"/>
    <w:multiLevelType w:val="multilevel"/>
    <w:tmpl w:val="723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BF0264"/>
    <w:multiLevelType w:val="hybridMultilevel"/>
    <w:tmpl w:val="EB6E78D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A57963"/>
    <w:multiLevelType w:val="hybridMultilevel"/>
    <w:tmpl w:val="290ABEE4"/>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9969E4"/>
    <w:multiLevelType w:val="multilevel"/>
    <w:tmpl w:val="561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D51DC9"/>
    <w:multiLevelType w:val="hybridMultilevel"/>
    <w:tmpl w:val="A95A51A8"/>
    <w:lvl w:ilvl="0" w:tplc="BB449C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6689B"/>
    <w:multiLevelType w:val="hybridMultilevel"/>
    <w:tmpl w:val="91E47A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455C00"/>
    <w:multiLevelType w:val="multilevel"/>
    <w:tmpl w:val="7BF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EF2DED"/>
    <w:multiLevelType w:val="hybridMultilevel"/>
    <w:tmpl w:val="56B017AA"/>
    <w:lvl w:ilvl="0" w:tplc="5D0294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5F7F3C"/>
    <w:multiLevelType w:val="hybridMultilevel"/>
    <w:tmpl w:val="EBCEC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FC7654"/>
    <w:multiLevelType w:val="hybridMultilevel"/>
    <w:tmpl w:val="796CA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2"/>
  </w:num>
  <w:num w:numId="3">
    <w:abstractNumId w:val="1"/>
  </w:num>
  <w:num w:numId="4">
    <w:abstractNumId w:val="15"/>
  </w:num>
  <w:num w:numId="5">
    <w:abstractNumId w:val="33"/>
  </w:num>
  <w:num w:numId="6">
    <w:abstractNumId w:val="30"/>
  </w:num>
  <w:num w:numId="7">
    <w:abstractNumId w:val="19"/>
  </w:num>
  <w:num w:numId="8">
    <w:abstractNumId w:val="17"/>
  </w:num>
  <w:num w:numId="9">
    <w:abstractNumId w:val="32"/>
  </w:num>
  <w:num w:numId="10">
    <w:abstractNumId w:val="45"/>
  </w:num>
  <w:num w:numId="11">
    <w:abstractNumId w:val="9"/>
  </w:num>
  <w:num w:numId="12">
    <w:abstractNumId w:val="4"/>
  </w:num>
  <w:num w:numId="13">
    <w:abstractNumId w:val="40"/>
  </w:num>
  <w:num w:numId="14">
    <w:abstractNumId w:val="23"/>
  </w:num>
  <w:num w:numId="15">
    <w:abstractNumId w:val="2"/>
  </w:num>
  <w:num w:numId="16">
    <w:abstractNumId w:val="26"/>
  </w:num>
  <w:num w:numId="17">
    <w:abstractNumId w:val="47"/>
  </w:num>
  <w:num w:numId="18">
    <w:abstractNumId w:val="37"/>
  </w:num>
  <w:num w:numId="19">
    <w:abstractNumId w:val="25"/>
  </w:num>
  <w:num w:numId="20">
    <w:abstractNumId w:val="16"/>
  </w:num>
  <w:num w:numId="21">
    <w:abstractNumId w:val="39"/>
  </w:num>
  <w:num w:numId="22">
    <w:abstractNumId w:val="27"/>
  </w:num>
  <w:num w:numId="23">
    <w:abstractNumId w:val="34"/>
  </w:num>
  <w:num w:numId="24">
    <w:abstractNumId w:val="43"/>
  </w:num>
  <w:num w:numId="25">
    <w:abstractNumId w:val="5"/>
  </w:num>
  <w:num w:numId="26">
    <w:abstractNumId w:val="36"/>
  </w:num>
  <w:num w:numId="27">
    <w:abstractNumId w:val="35"/>
  </w:num>
  <w:num w:numId="28">
    <w:abstractNumId w:val="44"/>
  </w:num>
  <w:num w:numId="29">
    <w:abstractNumId w:val="38"/>
  </w:num>
  <w:num w:numId="30">
    <w:abstractNumId w:val="12"/>
  </w:num>
  <w:num w:numId="31">
    <w:abstractNumId w:val="10"/>
  </w:num>
  <w:num w:numId="32">
    <w:abstractNumId w:val="41"/>
  </w:num>
  <w:num w:numId="33">
    <w:abstractNumId w:val="6"/>
  </w:num>
  <w:num w:numId="34">
    <w:abstractNumId w:val="8"/>
  </w:num>
  <w:num w:numId="35">
    <w:abstractNumId w:val="31"/>
  </w:num>
  <w:num w:numId="36">
    <w:abstractNumId w:val="11"/>
  </w:num>
  <w:num w:numId="37">
    <w:abstractNumId w:val="22"/>
  </w:num>
  <w:num w:numId="38">
    <w:abstractNumId w:val="46"/>
  </w:num>
  <w:num w:numId="39">
    <w:abstractNumId w:val="3"/>
  </w:num>
  <w:num w:numId="40">
    <w:abstractNumId w:val="24"/>
  </w:num>
  <w:num w:numId="41">
    <w:abstractNumId w:val="18"/>
  </w:num>
  <w:num w:numId="42">
    <w:abstractNumId w:val="20"/>
  </w:num>
  <w:num w:numId="43">
    <w:abstractNumId w:val="0"/>
  </w:num>
  <w:num w:numId="44">
    <w:abstractNumId w:val="29"/>
  </w:num>
  <w:num w:numId="45">
    <w:abstractNumId w:val="14"/>
  </w:num>
  <w:num w:numId="46">
    <w:abstractNumId w:val="7"/>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B5"/>
    <w:rsid w:val="000015DE"/>
    <w:rsid w:val="00001638"/>
    <w:rsid w:val="000067CF"/>
    <w:rsid w:val="00007E51"/>
    <w:rsid w:val="00010FB6"/>
    <w:rsid w:val="00013D77"/>
    <w:rsid w:val="00017F12"/>
    <w:rsid w:val="00026F56"/>
    <w:rsid w:val="00027557"/>
    <w:rsid w:val="00031E50"/>
    <w:rsid w:val="0003392C"/>
    <w:rsid w:val="000420C2"/>
    <w:rsid w:val="00042A2E"/>
    <w:rsid w:val="0004697B"/>
    <w:rsid w:val="000539CD"/>
    <w:rsid w:val="00054B7B"/>
    <w:rsid w:val="000579B4"/>
    <w:rsid w:val="00057CF1"/>
    <w:rsid w:val="000717EA"/>
    <w:rsid w:val="00082362"/>
    <w:rsid w:val="00090676"/>
    <w:rsid w:val="00093473"/>
    <w:rsid w:val="00097A8F"/>
    <w:rsid w:val="000A0475"/>
    <w:rsid w:val="000A52B4"/>
    <w:rsid w:val="000B7DC0"/>
    <w:rsid w:val="000C0A20"/>
    <w:rsid w:val="000C2330"/>
    <w:rsid w:val="000C38F5"/>
    <w:rsid w:val="000C4AEA"/>
    <w:rsid w:val="000C7A27"/>
    <w:rsid w:val="000D38EC"/>
    <w:rsid w:val="000D5926"/>
    <w:rsid w:val="000D7812"/>
    <w:rsid w:val="000E27E7"/>
    <w:rsid w:val="000E2EB4"/>
    <w:rsid w:val="000E31E2"/>
    <w:rsid w:val="000F5ABB"/>
    <w:rsid w:val="000F62F6"/>
    <w:rsid w:val="000F70A2"/>
    <w:rsid w:val="00102CF9"/>
    <w:rsid w:val="00103DE8"/>
    <w:rsid w:val="00107E61"/>
    <w:rsid w:val="0011062B"/>
    <w:rsid w:val="00110D88"/>
    <w:rsid w:val="00112AE5"/>
    <w:rsid w:val="001446B8"/>
    <w:rsid w:val="0014554E"/>
    <w:rsid w:val="001504A1"/>
    <w:rsid w:val="001518F9"/>
    <w:rsid w:val="0015215E"/>
    <w:rsid w:val="00152F41"/>
    <w:rsid w:val="0015771D"/>
    <w:rsid w:val="00160F6D"/>
    <w:rsid w:val="00165D7C"/>
    <w:rsid w:val="00171C12"/>
    <w:rsid w:val="00172CD7"/>
    <w:rsid w:val="00176009"/>
    <w:rsid w:val="00180704"/>
    <w:rsid w:val="00181EDF"/>
    <w:rsid w:val="001824EF"/>
    <w:rsid w:val="00182FBC"/>
    <w:rsid w:val="0018686D"/>
    <w:rsid w:val="00191DFE"/>
    <w:rsid w:val="001A0108"/>
    <w:rsid w:val="001A5E77"/>
    <w:rsid w:val="001B174F"/>
    <w:rsid w:val="001B2A59"/>
    <w:rsid w:val="001B47DD"/>
    <w:rsid w:val="001B5D70"/>
    <w:rsid w:val="001C1148"/>
    <w:rsid w:val="001C1EA3"/>
    <w:rsid w:val="001C2A54"/>
    <w:rsid w:val="001D21E2"/>
    <w:rsid w:val="001D3CE9"/>
    <w:rsid w:val="001D560C"/>
    <w:rsid w:val="001E1D61"/>
    <w:rsid w:val="001E6CE4"/>
    <w:rsid w:val="001F6D0B"/>
    <w:rsid w:val="00201270"/>
    <w:rsid w:val="002076B6"/>
    <w:rsid w:val="00213B61"/>
    <w:rsid w:val="00216BEE"/>
    <w:rsid w:val="0022069F"/>
    <w:rsid w:val="00222A21"/>
    <w:rsid w:val="0022303E"/>
    <w:rsid w:val="00224BE3"/>
    <w:rsid w:val="00225ABB"/>
    <w:rsid w:val="00230170"/>
    <w:rsid w:val="00235149"/>
    <w:rsid w:val="00236911"/>
    <w:rsid w:val="00242624"/>
    <w:rsid w:val="002553ED"/>
    <w:rsid w:val="002635EC"/>
    <w:rsid w:val="00273386"/>
    <w:rsid w:val="002757DD"/>
    <w:rsid w:val="00280840"/>
    <w:rsid w:val="00281476"/>
    <w:rsid w:val="002829FC"/>
    <w:rsid w:val="002871C3"/>
    <w:rsid w:val="002951B6"/>
    <w:rsid w:val="002A7A5F"/>
    <w:rsid w:val="002B117C"/>
    <w:rsid w:val="002B57F3"/>
    <w:rsid w:val="002B6449"/>
    <w:rsid w:val="002C0D60"/>
    <w:rsid w:val="002C33D4"/>
    <w:rsid w:val="002C444D"/>
    <w:rsid w:val="002C6583"/>
    <w:rsid w:val="002D63FC"/>
    <w:rsid w:val="002D77CB"/>
    <w:rsid w:val="002E089F"/>
    <w:rsid w:val="002E0D37"/>
    <w:rsid w:val="002E3427"/>
    <w:rsid w:val="002E37E2"/>
    <w:rsid w:val="002F347E"/>
    <w:rsid w:val="002F6345"/>
    <w:rsid w:val="00307564"/>
    <w:rsid w:val="003143E9"/>
    <w:rsid w:val="0031720F"/>
    <w:rsid w:val="00317362"/>
    <w:rsid w:val="00317800"/>
    <w:rsid w:val="003202F2"/>
    <w:rsid w:val="003216E4"/>
    <w:rsid w:val="00323A1F"/>
    <w:rsid w:val="00326C5A"/>
    <w:rsid w:val="00330DBE"/>
    <w:rsid w:val="0033201C"/>
    <w:rsid w:val="00340E5D"/>
    <w:rsid w:val="00343D4C"/>
    <w:rsid w:val="003451EB"/>
    <w:rsid w:val="00345B85"/>
    <w:rsid w:val="0034605C"/>
    <w:rsid w:val="003510BF"/>
    <w:rsid w:val="003514F5"/>
    <w:rsid w:val="00351E7F"/>
    <w:rsid w:val="00353075"/>
    <w:rsid w:val="00357E75"/>
    <w:rsid w:val="00361F3A"/>
    <w:rsid w:val="00363934"/>
    <w:rsid w:val="00366BBA"/>
    <w:rsid w:val="00366EB6"/>
    <w:rsid w:val="003709A8"/>
    <w:rsid w:val="003749FE"/>
    <w:rsid w:val="00377585"/>
    <w:rsid w:val="00381C37"/>
    <w:rsid w:val="00383A89"/>
    <w:rsid w:val="003852AD"/>
    <w:rsid w:val="00392238"/>
    <w:rsid w:val="00395F9D"/>
    <w:rsid w:val="003A4738"/>
    <w:rsid w:val="003A6701"/>
    <w:rsid w:val="003A69C9"/>
    <w:rsid w:val="003A6DF1"/>
    <w:rsid w:val="003B0125"/>
    <w:rsid w:val="003B3DD9"/>
    <w:rsid w:val="003C1104"/>
    <w:rsid w:val="003C5233"/>
    <w:rsid w:val="003D43E8"/>
    <w:rsid w:val="003D56FB"/>
    <w:rsid w:val="003D5F77"/>
    <w:rsid w:val="003E0712"/>
    <w:rsid w:val="003E75E6"/>
    <w:rsid w:val="003F6B59"/>
    <w:rsid w:val="003F716E"/>
    <w:rsid w:val="00402159"/>
    <w:rsid w:val="00410BED"/>
    <w:rsid w:val="004144ED"/>
    <w:rsid w:val="0042204E"/>
    <w:rsid w:val="00432575"/>
    <w:rsid w:val="0043516C"/>
    <w:rsid w:val="00435AA7"/>
    <w:rsid w:val="00437351"/>
    <w:rsid w:val="00440BCF"/>
    <w:rsid w:val="00442A51"/>
    <w:rsid w:val="0044436A"/>
    <w:rsid w:val="00445A0C"/>
    <w:rsid w:val="00450EBD"/>
    <w:rsid w:val="004557F3"/>
    <w:rsid w:val="0046040F"/>
    <w:rsid w:val="004703F3"/>
    <w:rsid w:val="00484EC7"/>
    <w:rsid w:val="00487DCD"/>
    <w:rsid w:val="004925B2"/>
    <w:rsid w:val="004A2FFB"/>
    <w:rsid w:val="004B5519"/>
    <w:rsid w:val="004C17B8"/>
    <w:rsid w:val="004C1C00"/>
    <w:rsid w:val="004C5076"/>
    <w:rsid w:val="004C7173"/>
    <w:rsid w:val="004C75EE"/>
    <w:rsid w:val="004C7B6C"/>
    <w:rsid w:val="004D1E5E"/>
    <w:rsid w:val="004D23D9"/>
    <w:rsid w:val="004D6926"/>
    <w:rsid w:val="004E1F69"/>
    <w:rsid w:val="004E1F90"/>
    <w:rsid w:val="004E2564"/>
    <w:rsid w:val="004E4C9B"/>
    <w:rsid w:val="004F3428"/>
    <w:rsid w:val="004F55B2"/>
    <w:rsid w:val="004F715E"/>
    <w:rsid w:val="004F777C"/>
    <w:rsid w:val="004F79A4"/>
    <w:rsid w:val="00503A20"/>
    <w:rsid w:val="00514291"/>
    <w:rsid w:val="005176BA"/>
    <w:rsid w:val="00523205"/>
    <w:rsid w:val="00524050"/>
    <w:rsid w:val="005275A1"/>
    <w:rsid w:val="00530D4C"/>
    <w:rsid w:val="00534F15"/>
    <w:rsid w:val="00537BBF"/>
    <w:rsid w:val="00540F9E"/>
    <w:rsid w:val="00543C33"/>
    <w:rsid w:val="005514DE"/>
    <w:rsid w:val="005518FF"/>
    <w:rsid w:val="00556FBF"/>
    <w:rsid w:val="00564323"/>
    <w:rsid w:val="00571171"/>
    <w:rsid w:val="005718EE"/>
    <w:rsid w:val="0057402D"/>
    <w:rsid w:val="00577442"/>
    <w:rsid w:val="00580923"/>
    <w:rsid w:val="005868FC"/>
    <w:rsid w:val="005906F6"/>
    <w:rsid w:val="005A19B9"/>
    <w:rsid w:val="005A2CDB"/>
    <w:rsid w:val="005B1B33"/>
    <w:rsid w:val="005B45BA"/>
    <w:rsid w:val="005B7704"/>
    <w:rsid w:val="005C1A5A"/>
    <w:rsid w:val="005C45FF"/>
    <w:rsid w:val="005D0635"/>
    <w:rsid w:val="005D06B3"/>
    <w:rsid w:val="005D3377"/>
    <w:rsid w:val="005D3E34"/>
    <w:rsid w:val="005D42F5"/>
    <w:rsid w:val="005D5081"/>
    <w:rsid w:val="005D5673"/>
    <w:rsid w:val="005D680B"/>
    <w:rsid w:val="005E675D"/>
    <w:rsid w:val="005F2B16"/>
    <w:rsid w:val="005F3AC1"/>
    <w:rsid w:val="005F57BB"/>
    <w:rsid w:val="005F6CB7"/>
    <w:rsid w:val="005F7AFB"/>
    <w:rsid w:val="00602B0E"/>
    <w:rsid w:val="00605AF6"/>
    <w:rsid w:val="00613CBD"/>
    <w:rsid w:val="00614356"/>
    <w:rsid w:val="006204C0"/>
    <w:rsid w:val="006237F6"/>
    <w:rsid w:val="00623FAA"/>
    <w:rsid w:val="006242ED"/>
    <w:rsid w:val="00635479"/>
    <w:rsid w:val="006379C6"/>
    <w:rsid w:val="00637D15"/>
    <w:rsid w:val="00643391"/>
    <w:rsid w:val="0064626B"/>
    <w:rsid w:val="0066444D"/>
    <w:rsid w:val="006702AA"/>
    <w:rsid w:val="00673B6A"/>
    <w:rsid w:val="006779A6"/>
    <w:rsid w:val="00680A26"/>
    <w:rsid w:val="00685EF7"/>
    <w:rsid w:val="00687F06"/>
    <w:rsid w:val="00692BD6"/>
    <w:rsid w:val="006946CD"/>
    <w:rsid w:val="00695D48"/>
    <w:rsid w:val="006C117E"/>
    <w:rsid w:val="006C211B"/>
    <w:rsid w:val="006C4F44"/>
    <w:rsid w:val="006D17D6"/>
    <w:rsid w:val="006D3550"/>
    <w:rsid w:val="006D7CBC"/>
    <w:rsid w:val="006D7DB4"/>
    <w:rsid w:val="006E09DC"/>
    <w:rsid w:val="006E38E0"/>
    <w:rsid w:val="006E6754"/>
    <w:rsid w:val="006E6C80"/>
    <w:rsid w:val="006F3877"/>
    <w:rsid w:val="006F49CF"/>
    <w:rsid w:val="006F6F4D"/>
    <w:rsid w:val="00701FF0"/>
    <w:rsid w:val="007047F1"/>
    <w:rsid w:val="00704F07"/>
    <w:rsid w:val="00712B9E"/>
    <w:rsid w:val="00715EA0"/>
    <w:rsid w:val="00716D69"/>
    <w:rsid w:val="00722346"/>
    <w:rsid w:val="007308B4"/>
    <w:rsid w:val="007344FF"/>
    <w:rsid w:val="00737583"/>
    <w:rsid w:val="00743B37"/>
    <w:rsid w:val="007440E0"/>
    <w:rsid w:val="007461AB"/>
    <w:rsid w:val="0075614E"/>
    <w:rsid w:val="00757C8A"/>
    <w:rsid w:val="00760F4B"/>
    <w:rsid w:val="00763AF8"/>
    <w:rsid w:val="00784A0C"/>
    <w:rsid w:val="007860F0"/>
    <w:rsid w:val="007A1162"/>
    <w:rsid w:val="007A1755"/>
    <w:rsid w:val="007A266F"/>
    <w:rsid w:val="007A5B3A"/>
    <w:rsid w:val="007B1A95"/>
    <w:rsid w:val="007B2BA8"/>
    <w:rsid w:val="007B6F29"/>
    <w:rsid w:val="007C07DF"/>
    <w:rsid w:val="007C77C0"/>
    <w:rsid w:val="007D1649"/>
    <w:rsid w:val="007D31AA"/>
    <w:rsid w:val="007D576B"/>
    <w:rsid w:val="007E37DC"/>
    <w:rsid w:val="007E76F9"/>
    <w:rsid w:val="00805367"/>
    <w:rsid w:val="00810D18"/>
    <w:rsid w:val="00812342"/>
    <w:rsid w:val="00814014"/>
    <w:rsid w:val="008217A8"/>
    <w:rsid w:val="00822024"/>
    <w:rsid w:val="008233F0"/>
    <w:rsid w:val="00832AE7"/>
    <w:rsid w:val="00841161"/>
    <w:rsid w:val="00852952"/>
    <w:rsid w:val="00854227"/>
    <w:rsid w:val="00854E85"/>
    <w:rsid w:val="008566E3"/>
    <w:rsid w:val="0085700C"/>
    <w:rsid w:val="008602E3"/>
    <w:rsid w:val="00862306"/>
    <w:rsid w:val="0086299A"/>
    <w:rsid w:val="00863751"/>
    <w:rsid w:val="008648EF"/>
    <w:rsid w:val="00871595"/>
    <w:rsid w:val="0087213A"/>
    <w:rsid w:val="0087380D"/>
    <w:rsid w:val="0087484A"/>
    <w:rsid w:val="00876D72"/>
    <w:rsid w:val="008823B6"/>
    <w:rsid w:val="008837E3"/>
    <w:rsid w:val="008853F7"/>
    <w:rsid w:val="00894312"/>
    <w:rsid w:val="00897B30"/>
    <w:rsid w:val="008A13C0"/>
    <w:rsid w:val="008A66ED"/>
    <w:rsid w:val="008A7412"/>
    <w:rsid w:val="008B3FF1"/>
    <w:rsid w:val="008B76ED"/>
    <w:rsid w:val="008C0876"/>
    <w:rsid w:val="008E0640"/>
    <w:rsid w:val="008F0B24"/>
    <w:rsid w:val="008F202C"/>
    <w:rsid w:val="008F2BA5"/>
    <w:rsid w:val="008F38F0"/>
    <w:rsid w:val="008F66C2"/>
    <w:rsid w:val="00901770"/>
    <w:rsid w:val="009036DC"/>
    <w:rsid w:val="009056BF"/>
    <w:rsid w:val="00910E8B"/>
    <w:rsid w:val="00913C58"/>
    <w:rsid w:val="009162C4"/>
    <w:rsid w:val="009213FB"/>
    <w:rsid w:val="009238ED"/>
    <w:rsid w:val="00923FD1"/>
    <w:rsid w:val="00930105"/>
    <w:rsid w:val="009303B9"/>
    <w:rsid w:val="009310DA"/>
    <w:rsid w:val="009414B4"/>
    <w:rsid w:val="0094255B"/>
    <w:rsid w:val="00942D39"/>
    <w:rsid w:val="009439CA"/>
    <w:rsid w:val="00943BE0"/>
    <w:rsid w:val="00945587"/>
    <w:rsid w:val="00945E29"/>
    <w:rsid w:val="009463F9"/>
    <w:rsid w:val="00950EF0"/>
    <w:rsid w:val="00952A68"/>
    <w:rsid w:val="00954588"/>
    <w:rsid w:val="0096231F"/>
    <w:rsid w:val="00974831"/>
    <w:rsid w:val="00977F6D"/>
    <w:rsid w:val="00981163"/>
    <w:rsid w:val="00983BA2"/>
    <w:rsid w:val="0098431A"/>
    <w:rsid w:val="0098597E"/>
    <w:rsid w:val="00990FF0"/>
    <w:rsid w:val="00992518"/>
    <w:rsid w:val="009928A0"/>
    <w:rsid w:val="0099592C"/>
    <w:rsid w:val="00995A47"/>
    <w:rsid w:val="009A35DA"/>
    <w:rsid w:val="009B0FDC"/>
    <w:rsid w:val="009B75AA"/>
    <w:rsid w:val="009D0923"/>
    <w:rsid w:val="009D126A"/>
    <w:rsid w:val="009D744B"/>
    <w:rsid w:val="009E33E4"/>
    <w:rsid w:val="009E6042"/>
    <w:rsid w:val="009F12BA"/>
    <w:rsid w:val="009F442B"/>
    <w:rsid w:val="009F54B1"/>
    <w:rsid w:val="009F625A"/>
    <w:rsid w:val="009F7258"/>
    <w:rsid w:val="00A108AB"/>
    <w:rsid w:val="00A10A76"/>
    <w:rsid w:val="00A11FD8"/>
    <w:rsid w:val="00A25DDE"/>
    <w:rsid w:val="00A26BB8"/>
    <w:rsid w:val="00A301F2"/>
    <w:rsid w:val="00A34935"/>
    <w:rsid w:val="00A3774C"/>
    <w:rsid w:val="00A40558"/>
    <w:rsid w:val="00A45D0E"/>
    <w:rsid w:val="00A60A47"/>
    <w:rsid w:val="00A63C2E"/>
    <w:rsid w:val="00A677F3"/>
    <w:rsid w:val="00A71CE2"/>
    <w:rsid w:val="00A734D9"/>
    <w:rsid w:val="00A7766D"/>
    <w:rsid w:val="00A77DE1"/>
    <w:rsid w:val="00A84F7B"/>
    <w:rsid w:val="00A86A09"/>
    <w:rsid w:val="00A91D9F"/>
    <w:rsid w:val="00A9371F"/>
    <w:rsid w:val="00A941C6"/>
    <w:rsid w:val="00A9631B"/>
    <w:rsid w:val="00AA0543"/>
    <w:rsid w:val="00AA0CD0"/>
    <w:rsid w:val="00AA7AD0"/>
    <w:rsid w:val="00AB0911"/>
    <w:rsid w:val="00AB668C"/>
    <w:rsid w:val="00AB6CCF"/>
    <w:rsid w:val="00AC0040"/>
    <w:rsid w:val="00AC30F0"/>
    <w:rsid w:val="00AC4F7A"/>
    <w:rsid w:val="00AD0277"/>
    <w:rsid w:val="00AD052E"/>
    <w:rsid w:val="00AD3582"/>
    <w:rsid w:val="00AD562F"/>
    <w:rsid w:val="00AD74A5"/>
    <w:rsid w:val="00AE4D31"/>
    <w:rsid w:val="00AE4FF8"/>
    <w:rsid w:val="00AE70C8"/>
    <w:rsid w:val="00AF7AD8"/>
    <w:rsid w:val="00B0077E"/>
    <w:rsid w:val="00B04554"/>
    <w:rsid w:val="00B13DB6"/>
    <w:rsid w:val="00B14FC3"/>
    <w:rsid w:val="00B1768B"/>
    <w:rsid w:val="00B2315D"/>
    <w:rsid w:val="00B35C08"/>
    <w:rsid w:val="00B37B8F"/>
    <w:rsid w:val="00B40AB6"/>
    <w:rsid w:val="00B45FC3"/>
    <w:rsid w:val="00B47B8E"/>
    <w:rsid w:val="00B47D83"/>
    <w:rsid w:val="00B55D31"/>
    <w:rsid w:val="00B641C0"/>
    <w:rsid w:val="00B65FE4"/>
    <w:rsid w:val="00B77A15"/>
    <w:rsid w:val="00B86F24"/>
    <w:rsid w:val="00B90F3B"/>
    <w:rsid w:val="00B94DEC"/>
    <w:rsid w:val="00B95C30"/>
    <w:rsid w:val="00B96AE2"/>
    <w:rsid w:val="00BA0018"/>
    <w:rsid w:val="00BA137B"/>
    <w:rsid w:val="00BA4FCB"/>
    <w:rsid w:val="00BC141A"/>
    <w:rsid w:val="00BC7C75"/>
    <w:rsid w:val="00BC7CF0"/>
    <w:rsid w:val="00BE37F6"/>
    <w:rsid w:val="00BF107E"/>
    <w:rsid w:val="00BF11BF"/>
    <w:rsid w:val="00C0303A"/>
    <w:rsid w:val="00C03ADC"/>
    <w:rsid w:val="00C03F06"/>
    <w:rsid w:val="00C03FDE"/>
    <w:rsid w:val="00C0707A"/>
    <w:rsid w:val="00C16D1E"/>
    <w:rsid w:val="00C23A81"/>
    <w:rsid w:val="00C23D52"/>
    <w:rsid w:val="00C26C2B"/>
    <w:rsid w:val="00C34754"/>
    <w:rsid w:val="00C35BAE"/>
    <w:rsid w:val="00C363CE"/>
    <w:rsid w:val="00C4403C"/>
    <w:rsid w:val="00C461D7"/>
    <w:rsid w:val="00C473C4"/>
    <w:rsid w:val="00C51EEF"/>
    <w:rsid w:val="00C54DD7"/>
    <w:rsid w:val="00C563F8"/>
    <w:rsid w:val="00C65245"/>
    <w:rsid w:val="00C72D7B"/>
    <w:rsid w:val="00C751DF"/>
    <w:rsid w:val="00C75DCE"/>
    <w:rsid w:val="00C76145"/>
    <w:rsid w:val="00C82F35"/>
    <w:rsid w:val="00CA0543"/>
    <w:rsid w:val="00CA38E6"/>
    <w:rsid w:val="00CA44A3"/>
    <w:rsid w:val="00CA4DB5"/>
    <w:rsid w:val="00CD3AAA"/>
    <w:rsid w:val="00CD529B"/>
    <w:rsid w:val="00CE13F5"/>
    <w:rsid w:val="00CE54B2"/>
    <w:rsid w:val="00CE559A"/>
    <w:rsid w:val="00CE7787"/>
    <w:rsid w:val="00CF0ADB"/>
    <w:rsid w:val="00CF0B0D"/>
    <w:rsid w:val="00CF1AD3"/>
    <w:rsid w:val="00CF6123"/>
    <w:rsid w:val="00CF7D4B"/>
    <w:rsid w:val="00D000B5"/>
    <w:rsid w:val="00D03516"/>
    <w:rsid w:val="00D074BD"/>
    <w:rsid w:val="00D17696"/>
    <w:rsid w:val="00D207FE"/>
    <w:rsid w:val="00D20D6B"/>
    <w:rsid w:val="00D25C2A"/>
    <w:rsid w:val="00D35FE7"/>
    <w:rsid w:val="00D3745E"/>
    <w:rsid w:val="00D40975"/>
    <w:rsid w:val="00D438A3"/>
    <w:rsid w:val="00D4460C"/>
    <w:rsid w:val="00D45E68"/>
    <w:rsid w:val="00D477C4"/>
    <w:rsid w:val="00D510E1"/>
    <w:rsid w:val="00D52E46"/>
    <w:rsid w:val="00D54670"/>
    <w:rsid w:val="00D6079C"/>
    <w:rsid w:val="00D61078"/>
    <w:rsid w:val="00D6220E"/>
    <w:rsid w:val="00D63099"/>
    <w:rsid w:val="00D63777"/>
    <w:rsid w:val="00D709EB"/>
    <w:rsid w:val="00D8090D"/>
    <w:rsid w:val="00D81203"/>
    <w:rsid w:val="00D83CB2"/>
    <w:rsid w:val="00D85EB2"/>
    <w:rsid w:val="00DA0B82"/>
    <w:rsid w:val="00DA1B33"/>
    <w:rsid w:val="00DB24FC"/>
    <w:rsid w:val="00DB5BE2"/>
    <w:rsid w:val="00DB5C0D"/>
    <w:rsid w:val="00DB7714"/>
    <w:rsid w:val="00DC0762"/>
    <w:rsid w:val="00DC3DB9"/>
    <w:rsid w:val="00DC53C6"/>
    <w:rsid w:val="00DD0877"/>
    <w:rsid w:val="00DD4D4C"/>
    <w:rsid w:val="00DD60F3"/>
    <w:rsid w:val="00DF307D"/>
    <w:rsid w:val="00DF6654"/>
    <w:rsid w:val="00E1005D"/>
    <w:rsid w:val="00E1123D"/>
    <w:rsid w:val="00E142FF"/>
    <w:rsid w:val="00E20C28"/>
    <w:rsid w:val="00E265B5"/>
    <w:rsid w:val="00E34B6E"/>
    <w:rsid w:val="00E45652"/>
    <w:rsid w:val="00E468B6"/>
    <w:rsid w:val="00E636FD"/>
    <w:rsid w:val="00E63AE7"/>
    <w:rsid w:val="00E6410B"/>
    <w:rsid w:val="00E67357"/>
    <w:rsid w:val="00E71B46"/>
    <w:rsid w:val="00E74177"/>
    <w:rsid w:val="00E768AB"/>
    <w:rsid w:val="00E8111B"/>
    <w:rsid w:val="00E82C67"/>
    <w:rsid w:val="00E87D63"/>
    <w:rsid w:val="00E91AAA"/>
    <w:rsid w:val="00E92F96"/>
    <w:rsid w:val="00E9521C"/>
    <w:rsid w:val="00E96C6A"/>
    <w:rsid w:val="00EA5F9A"/>
    <w:rsid w:val="00EB72EB"/>
    <w:rsid w:val="00EC29B7"/>
    <w:rsid w:val="00ED388C"/>
    <w:rsid w:val="00ED54AB"/>
    <w:rsid w:val="00ED6B27"/>
    <w:rsid w:val="00ED7E6C"/>
    <w:rsid w:val="00EE264E"/>
    <w:rsid w:val="00EE493B"/>
    <w:rsid w:val="00EF1824"/>
    <w:rsid w:val="00EF2032"/>
    <w:rsid w:val="00EF60B3"/>
    <w:rsid w:val="00F03A24"/>
    <w:rsid w:val="00F11018"/>
    <w:rsid w:val="00F117E9"/>
    <w:rsid w:val="00F1505E"/>
    <w:rsid w:val="00F15647"/>
    <w:rsid w:val="00F21967"/>
    <w:rsid w:val="00F30EB3"/>
    <w:rsid w:val="00F35D21"/>
    <w:rsid w:val="00F37DA2"/>
    <w:rsid w:val="00F56B51"/>
    <w:rsid w:val="00F575F1"/>
    <w:rsid w:val="00F6653D"/>
    <w:rsid w:val="00F670D2"/>
    <w:rsid w:val="00F67961"/>
    <w:rsid w:val="00F67F93"/>
    <w:rsid w:val="00F70905"/>
    <w:rsid w:val="00F7385A"/>
    <w:rsid w:val="00F77AC4"/>
    <w:rsid w:val="00F77B97"/>
    <w:rsid w:val="00F830B2"/>
    <w:rsid w:val="00F84190"/>
    <w:rsid w:val="00F8533B"/>
    <w:rsid w:val="00F91718"/>
    <w:rsid w:val="00F9280D"/>
    <w:rsid w:val="00F93C12"/>
    <w:rsid w:val="00F96CD0"/>
    <w:rsid w:val="00FA2E78"/>
    <w:rsid w:val="00FA4B28"/>
    <w:rsid w:val="00FB28DC"/>
    <w:rsid w:val="00FD0B3C"/>
    <w:rsid w:val="00FD129C"/>
    <w:rsid w:val="00FD1847"/>
    <w:rsid w:val="00FD721B"/>
    <w:rsid w:val="00FE21AC"/>
    <w:rsid w:val="00FF13E9"/>
    <w:rsid w:val="00FF1961"/>
    <w:rsid w:val="00FF2A34"/>
    <w:rsid w:val="00FF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B5"/>
    <w:pPr>
      <w:spacing w:after="0" w:line="240" w:lineRule="auto"/>
      <w:jc w:val="right"/>
    </w:pPr>
    <w:rPr>
      <w:rFonts w:asciiTheme="majorHAnsi" w:hAnsiTheme="majorHAnsi" w:cstheme="majorBidi"/>
      <w:kern w:val="0"/>
      <w:sz w:val="22"/>
      <w:szCs w:val="22"/>
      <w:lang w:val="en-US"/>
      <w14:ligatures w14:val="none"/>
    </w:rPr>
  </w:style>
  <w:style w:type="paragraph" w:styleId="Heading1">
    <w:name w:val="heading 1"/>
    <w:basedOn w:val="Normal"/>
    <w:next w:val="Normal"/>
    <w:link w:val="Heading1Char"/>
    <w:uiPriority w:val="9"/>
    <w:qFormat/>
    <w:rsid w:val="00D000B5"/>
    <w:pPr>
      <w:keepNext/>
      <w:keepLines/>
      <w:spacing w:before="480"/>
      <w:outlineLvl w:val="0"/>
    </w:pPr>
    <w:rPr>
      <w:rFonts w:eastAsiaTheme="majorEastAsia"/>
      <w:b/>
      <w:bCs/>
      <w:color w:val="0F4761" w:themeColor="accent1" w:themeShade="BF"/>
      <w:sz w:val="28"/>
      <w:szCs w:val="28"/>
    </w:rPr>
  </w:style>
  <w:style w:type="paragraph" w:styleId="Heading2">
    <w:name w:val="heading 2"/>
    <w:basedOn w:val="Normal"/>
    <w:next w:val="Normal"/>
    <w:link w:val="Heading2Char"/>
    <w:uiPriority w:val="9"/>
    <w:unhideWhenUsed/>
    <w:qFormat/>
    <w:rsid w:val="00D000B5"/>
    <w:pPr>
      <w:keepNext/>
      <w:keepLines/>
      <w:spacing w:before="200"/>
      <w:jc w:val="both"/>
      <w:outlineLvl w:val="1"/>
    </w:pPr>
    <w:rPr>
      <w:rFonts w:ascii="Times New Roman" w:eastAsiaTheme="majorEastAsia" w:hAnsi="Times New Roman" w:cs="Times New Roman"/>
      <w:b/>
      <w:bCs/>
      <w:color w:val="156082" w:themeColor="accent1"/>
      <w:sz w:val="26"/>
      <w:szCs w:val="26"/>
    </w:rPr>
  </w:style>
  <w:style w:type="paragraph" w:styleId="Heading3">
    <w:name w:val="heading 3"/>
    <w:basedOn w:val="Normal"/>
    <w:next w:val="Normal"/>
    <w:link w:val="Heading3Char"/>
    <w:uiPriority w:val="9"/>
    <w:semiHidden/>
    <w:unhideWhenUsed/>
    <w:qFormat/>
    <w:rsid w:val="00D000B5"/>
    <w:pPr>
      <w:keepNext/>
      <w:keepLines/>
      <w:spacing w:before="200"/>
      <w:outlineLvl w:val="2"/>
    </w:pPr>
    <w:rPr>
      <w:rFonts w:eastAsiaTheme="majorEastAsia"/>
      <w:b/>
      <w:bCs/>
      <w:color w:val="156082" w:themeColor="accent1"/>
    </w:rPr>
  </w:style>
  <w:style w:type="paragraph" w:styleId="Heading4">
    <w:name w:val="heading 4"/>
    <w:basedOn w:val="Normal"/>
    <w:link w:val="Heading4Char"/>
    <w:uiPriority w:val="9"/>
    <w:qFormat/>
    <w:rsid w:val="00D000B5"/>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000B5"/>
    <w:pPr>
      <w:keepNext/>
      <w:keepLines/>
      <w:spacing w:before="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D000B5"/>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D000B5"/>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D000B5"/>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D000B5"/>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B5"/>
    <w:rPr>
      <w:rFonts w:asciiTheme="majorHAnsi" w:eastAsiaTheme="majorEastAsia" w:hAnsiTheme="majorHAnsi" w:cstheme="majorBidi"/>
      <w:b/>
      <w:bCs/>
      <w:color w:val="0F4761"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D000B5"/>
    <w:rPr>
      <w:rFonts w:ascii="Times New Roman" w:eastAsiaTheme="majorEastAsia" w:hAnsi="Times New Roman" w:cs="Times New Roman"/>
      <w:b/>
      <w:bCs/>
      <w:color w:val="156082" w:themeColor="accent1"/>
      <w:kern w:val="0"/>
      <w:sz w:val="26"/>
      <w:szCs w:val="26"/>
      <w:lang w:val="en-US"/>
      <w14:ligatures w14:val="none"/>
    </w:rPr>
  </w:style>
  <w:style w:type="character" w:customStyle="1" w:styleId="Heading3Char">
    <w:name w:val="Heading 3 Char"/>
    <w:basedOn w:val="DefaultParagraphFont"/>
    <w:link w:val="Heading3"/>
    <w:uiPriority w:val="9"/>
    <w:semiHidden/>
    <w:rsid w:val="00D000B5"/>
    <w:rPr>
      <w:rFonts w:asciiTheme="majorHAnsi" w:eastAsiaTheme="majorEastAsia" w:hAnsiTheme="majorHAnsi" w:cstheme="majorBidi"/>
      <w:b/>
      <w:bCs/>
      <w:color w:val="156082" w:themeColor="accent1"/>
      <w:kern w:val="0"/>
      <w:sz w:val="22"/>
      <w:szCs w:val="22"/>
      <w:lang w:val="en-US"/>
      <w14:ligatures w14:val="none"/>
    </w:rPr>
  </w:style>
  <w:style w:type="character" w:customStyle="1" w:styleId="Heading4Char">
    <w:name w:val="Heading 4 Char"/>
    <w:basedOn w:val="DefaultParagraphFont"/>
    <w:link w:val="Heading4"/>
    <w:uiPriority w:val="9"/>
    <w:rsid w:val="00D000B5"/>
    <w:rPr>
      <w:rFonts w:ascii="Times New Roman" w:eastAsia="Times New Roman" w:hAnsi="Times New Roman" w:cs="Times New Roman"/>
      <w:b/>
      <w:bCs/>
      <w:kern w:val="0"/>
      <w:lang w:val="en-US"/>
      <w14:ligatures w14:val="none"/>
    </w:rPr>
  </w:style>
  <w:style w:type="character" w:customStyle="1" w:styleId="Heading5Char">
    <w:name w:val="Heading 5 Char"/>
    <w:basedOn w:val="DefaultParagraphFont"/>
    <w:link w:val="Heading5"/>
    <w:uiPriority w:val="9"/>
    <w:semiHidden/>
    <w:rsid w:val="00D000B5"/>
    <w:rPr>
      <w:rFonts w:asciiTheme="majorHAnsi" w:eastAsia="Times New Roman" w:hAnsiTheme="majorHAnsi" w:cs="Times New Roman"/>
      <w:color w:val="0F4761"/>
      <w:kern w:val="0"/>
      <w:sz w:val="22"/>
      <w:szCs w:val="22"/>
      <w:lang w:val="en-US"/>
      <w14:ligatures w14:val="none"/>
    </w:rPr>
  </w:style>
  <w:style w:type="character" w:customStyle="1" w:styleId="Heading6Char">
    <w:name w:val="Heading 6 Char"/>
    <w:basedOn w:val="DefaultParagraphFont"/>
    <w:link w:val="Heading6"/>
    <w:uiPriority w:val="9"/>
    <w:semiHidden/>
    <w:rsid w:val="00D000B5"/>
    <w:rPr>
      <w:rFonts w:asciiTheme="majorHAnsi" w:eastAsia="Times New Roman" w:hAnsiTheme="majorHAnsi" w:cs="Times New Roman"/>
      <w:i/>
      <w:iCs/>
      <w:color w:val="595959"/>
      <w:kern w:val="0"/>
      <w:sz w:val="22"/>
      <w:szCs w:val="22"/>
      <w:lang w:val="en-US"/>
      <w14:ligatures w14:val="none"/>
    </w:rPr>
  </w:style>
  <w:style w:type="character" w:customStyle="1" w:styleId="Heading7Char">
    <w:name w:val="Heading 7 Char"/>
    <w:basedOn w:val="DefaultParagraphFont"/>
    <w:link w:val="Heading7"/>
    <w:uiPriority w:val="9"/>
    <w:semiHidden/>
    <w:rsid w:val="00D000B5"/>
    <w:rPr>
      <w:rFonts w:asciiTheme="majorHAnsi" w:eastAsia="Times New Roman" w:hAnsiTheme="majorHAnsi" w:cs="Times New Roman"/>
      <w:color w:val="595959"/>
      <w:kern w:val="0"/>
      <w:sz w:val="22"/>
      <w:szCs w:val="22"/>
      <w:lang w:val="en-US"/>
      <w14:ligatures w14:val="none"/>
    </w:rPr>
  </w:style>
  <w:style w:type="character" w:customStyle="1" w:styleId="Heading8Char">
    <w:name w:val="Heading 8 Char"/>
    <w:basedOn w:val="DefaultParagraphFont"/>
    <w:link w:val="Heading8"/>
    <w:uiPriority w:val="9"/>
    <w:semiHidden/>
    <w:rsid w:val="00D000B5"/>
    <w:rPr>
      <w:rFonts w:asciiTheme="majorHAnsi" w:eastAsia="Times New Roman" w:hAnsiTheme="majorHAnsi" w:cs="Times New Roman"/>
      <w:i/>
      <w:iCs/>
      <w:color w:val="272727"/>
      <w:kern w:val="0"/>
      <w:sz w:val="22"/>
      <w:szCs w:val="22"/>
      <w:lang w:val="en-US"/>
      <w14:ligatures w14:val="none"/>
    </w:rPr>
  </w:style>
  <w:style w:type="character" w:customStyle="1" w:styleId="Heading9Char">
    <w:name w:val="Heading 9 Char"/>
    <w:basedOn w:val="DefaultParagraphFont"/>
    <w:link w:val="Heading9"/>
    <w:uiPriority w:val="9"/>
    <w:semiHidden/>
    <w:rsid w:val="00D000B5"/>
    <w:rPr>
      <w:rFonts w:asciiTheme="majorHAnsi" w:eastAsia="Times New Roman" w:hAnsiTheme="majorHAnsi" w:cs="Times New Roman"/>
      <w:color w:val="272727"/>
      <w:kern w:val="0"/>
      <w:sz w:val="22"/>
      <w:szCs w:val="22"/>
      <w:lang w:val="en-US"/>
      <w14:ligatures w14:val="none"/>
    </w:rPr>
  </w:style>
  <w:style w:type="paragraph" w:styleId="ListParagraph">
    <w:name w:val="List Paragraph"/>
    <w:basedOn w:val="Normal"/>
    <w:uiPriority w:val="34"/>
    <w:qFormat/>
    <w:rsid w:val="00D000B5"/>
    <w:pPr>
      <w:ind w:left="720"/>
      <w:contextualSpacing/>
    </w:pPr>
  </w:style>
  <w:style w:type="paragraph" w:styleId="NormalWeb">
    <w:name w:val="Normal (Web)"/>
    <w:basedOn w:val="Normal"/>
    <w:uiPriority w:val="99"/>
    <w:unhideWhenUsed/>
    <w:qFormat/>
    <w:rsid w:val="00D000B5"/>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000B5"/>
    <w:rPr>
      <w:b/>
      <w:bCs/>
    </w:rPr>
  </w:style>
  <w:style w:type="character" w:styleId="Emphasis">
    <w:name w:val="Emphasis"/>
    <w:basedOn w:val="DefaultParagraphFont"/>
    <w:uiPriority w:val="20"/>
    <w:qFormat/>
    <w:rsid w:val="00D000B5"/>
    <w:rPr>
      <w:i/>
      <w:iCs/>
    </w:rPr>
  </w:style>
  <w:style w:type="character" w:styleId="Hyperlink">
    <w:name w:val="Hyperlink"/>
    <w:basedOn w:val="DefaultParagraphFont"/>
    <w:uiPriority w:val="99"/>
    <w:unhideWhenUsed/>
    <w:rsid w:val="00D000B5"/>
    <w:rPr>
      <w:color w:val="0000FF"/>
      <w:u w:val="single"/>
    </w:rPr>
  </w:style>
  <w:style w:type="paragraph" w:customStyle="1" w:styleId="Default">
    <w:name w:val="Default"/>
    <w:qFormat/>
    <w:rsid w:val="00D000B5"/>
    <w:pPr>
      <w:autoSpaceDE w:val="0"/>
      <w:autoSpaceDN w:val="0"/>
      <w:adjustRightInd w:val="0"/>
      <w:spacing w:after="0" w:line="240" w:lineRule="auto"/>
    </w:pPr>
    <w:rPr>
      <w:rFonts w:ascii="Baskerville MT Std" w:eastAsiaTheme="minorEastAsia" w:hAnsi="Baskerville MT Std" w:cs="Baskerville MT Std"/>
      <w:color w:val="000000"/>
      <w:kern w:val="0"/>
      <w:lang w:val="en-US"/>
      <w14:ligatures w14:val="none"/>
    </w:rPr>
  </w:style>
  <w:style w:type="paragraph" w:styleId="BalloonText">
    <w:name w:val="Balloon Text"/>
    <w:basedOn w:val="Normal"/>
    <w:link w:val="BalloonTextChar"/>
    <w:uiPriority w:val="99"/>
    <w:unhideWhenUsed/>
    <w:qFormat/>
    <w:rsid w:val="00D000B5"/>
    <w:rPr>
      <w:rFonts w:ascii="Tahoma" w:hAnsi="Tahoma" w:cs="Tahoma"/>
      <w:sz w:val="16"/>
      <w:szCs w:val="16"/>
    </w:rPr>
  </w:style>
  <w:style w:type="character" w:customStyle="1" w:styleId="BalloonTextChar">
    <w:name w:val="Balloon Text Char"/>
    <w:basedOn w:val="DefaultParagraphFont"/>
    <w:link w:val="BalloonText"/>
    <w:uiPriority w:val="99"/>
    <w:qFormat/>
    <w:rsid w:val="00D000B5"/>
    <w:rPr>
      <w:rFonts w:ascii="Tahoma" w:hAnsi="Tahoma" w:cs="Tahoma"/>
      <w:kern w:val="0"/>
      <w:sz w:val="16"/>
      <w:szCs w:val="16"/>
      <w:lang w:val="en-US"/>
      <w14:ligatures w14:val="none"/>
    </w:rPr>
  </w:style>
  <w:style w:type="numbering" w:customStyle="1" w:styleId="NoList1">
    <w:name w:val="No List1"/>
    <w:next w:val="NoList"/>
    <w:uiPriority w:val="99"/>
    <w:semiHidden/>
    <w:unhideWhenUsed/>
    <w:rsid w:val="00D000B5"/>
  </w:style>
  <w:style w:type="character" w:customStyle="1" w:styleId="react-xocs-alternative-link">
    <w:name w:val="react-xocs-alternative-link"/>
    <w:basedOn w:val="DefaultParagraphFont"/>
    <w:rsid w:val="00D000B5"/>
  </w:style>
  <w:style w:type="character" w:customStyle="1" w:styleId="given-name">
    <w:name w:val="given-name"/>
    <w:basedOn w:val="DefaultParagraphFont"/>
    <w:rsid w:val="00D000B5"/>
  </w:style>
  <w:style w:type="character" w:customStyle="1" w:styleId="text">
    <w:name w:val="text"/>
    <w:basedOn w:val="DefaultParagraphFont"/>
    <w:rsid w:val="00D000B5"/>
  </w:style>
  <w:style w:type="paragraph" w:styleId="Header">
    <w:name w:val="header"/>
    <w:basedOn w:val="Normal"/>
    <w:link w:val="Head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D000B5"/>
    <w:rPr>
      <w:rFonts w:ascii="Times New Roman" w:hAnsi="Times New Roman" w:cs="Times New Roman"/>
      <w:kern w:val="0"/>
      <w:lang w:val="en-US"/>
      <w14:ligatures w14:val="none"/>
    </w:rPr>
  </w:style>
  <w:style w:type="paragraph" w:styleId="Footer">
    <w:name w:val="footer"/>
    <w:basedOn w:val="Normal"/>
    <w:link w:val="Foot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D000B5"/>
    <w:rPr>
      <w:rFonts w:ascii="Times New Roman" w:hAnsi="Times New Roman" w:cs="Times New Roman"/>
      <w:kern w:val="0"/>
      <w:lang w:val="en-US"/>
      <w14:ligatures w14:val="none"/>
    </w:rPr>
  </w:style>
  <w:style w:type="paragraph" w:customStyle="1" w:styleId="mark-6">
    <w:name w:val="mark-6"/>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html-italic">
    <w:name w:val="html-italic"/>
    <w:basedOn w:val="DefaultParagraphFont"/>
    <w:rsid w:val="00D000B5"/>
  </w:style>
  <w:style w:type="paragraph" w:customStyle="1" w:styleId="text-default">
    <w:name w:val="text-defaul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fr-inner">
    <w:name w:val="fr-inner"/>
    <w:basedOn w:val="DefaultParagraphFont"/>
    <w:rsid w:val="00D000B5"/>
  </w:style>
  <w:style w:type="character" w:styleId="PlaceholderText">
    <w:name w:val="Placeholder Text"/>
    <w:basedOn w:val="DefaultParagraphFont"/>
    <w:uiPriority w:val="99"/>
    <w:semiHidden/>
    <w:rsid w:val="00D000B5"/>
    <w:rPr>
      <w:color w:val="808080"/>
    </w:rPr>
  </w:style>
  <w:style w:type="character" w:customStyle="1" w:styleId="anchor-text">
    <w:name w:val="anchor-text"/>
    <w:basedOn w:val="DefaultParagraphFont"/>
    <w:rsid w:val="00D000B5"/>
  </w:style>
  <w:style w:type="table" w:styleId="TableGrid">
    <w:name w:val="Table Grid"/>
    <w:basedOn w:val="TableNormal"/>
    <w:uiPriority w:val="39"/>
    <w:unhideWhenUsed/>
    <w:rsid w:val="00D000B5"/>
    <w:pPr>
      <w:spacing w:after="0" w:line="240" w:lineRule="auto"/>
      <w:jc w:val="right"/>
    </w:pPr>
    <w:rPr>
      <w:rFonts w:asciiTheme="majorHAnsi" w:hAnsiTheme="majorHAnsi" w:cstheme="majorBid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00B5"/>
    <w:rPr>
      <w:color w:val="96607D" w:themeColor="followedHyperlink"/>
      <w:u w:val="single"/>
    </w:rPr>
  </w:style>
  <w:style w:type="character" w:customStyle="1" w:styleId="flex">
    <w:name w:val="flex"/>
    <w:basedOn w:val="DefaultParagraphFont"/>
    <w:rsid w:val="00D000B5"/>
  </w:style>
  <w:style w:type="character" w:customStyle="1" w:styleId="mx-1">
    <w:name w:val="mx-1"/>
    <w:basedOn w:val="DefaultParagraphFont"/>
    <w:rsid w:val="00D000B5"/>
  </w:style>
  <w:style w:type="character" w:customStyle="1" w:styleId="author-ref">
    <w:name w:val="author-ref"/>
    <w:basedOn w:val="DefaultParagraphFont"/>
    <w:rsid w:val="00D000B5"/>
  </w:style>
  <w:style w:type="character" w:customStyle="1" w:styleId="a">
    <w:name w:val="_"/>
    <w:basedOn w:val="DefaultParagraphFont"/>
    <w:qFormat/>
    <w:rsid w:val="00D000B5"/>
  </w:style>
  <w:style w:type="character" w:customStyle="1" w:styleId="ff2">
    <w:name w:val="ff2"/>
    <w:basedOn w:val="DefaultParagraphFont"/>
    <w:rsid w:val="00D000B5"/>
  </w:style>
  <w:style w:type="character" w:customStyle="1" w:styleId="ff3">
    <w:name w:val="ff3"/>
    <w:basedOn w:val="DefaultParagraphFont"/>
    <w:rsid w:val="00D000B5"/>
  </w:style>
  <w:style w:type="character" w:customStyle="1" w:styleId="ff1">
    <w:name w:val="ff1"/>
    <w:basedOn w:val="DefaultParagraphFont"/>
    <w:rsid w:val="00D000B5"/>
  </w:style>
  <w:style w:type="character" w:customStyle="1" w:styleId="ffd">
    <w:name w:val="ffd"/>
    <w:basedOn w:val="DefaultParagraphFont"/>
    <w:rsid w:val="00D000B5"/>
  </w:style>
  <w:style w:type="character" w:customStyle="1" w:styleId="ff5">
    <w:name w:val="ff5"/>
    <w:basedOn w:val="DefaultParagraphFont"/>
    <w:rsid w:val="00D000B5"/>
  </w:style>
  <w:style w:type="character" w:customStyle="1" w:styleId="ls3d">
    <w:name w:val="ls3d"/>
    <w:basedOn w:val="DefaultParagraphFont"/>
    <w:rsid w:val="00D000B5"/>
  </w:style>
  <w:style w:type="paragraph" w:customStyle="1" w:styleId="citationtext">
    <w:name w:val="citation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text-node">
    <w:name w:val="text-node"/>
    <w:basedOn w:val="DefaultParagraphFont"/>
    <w:rsid w:val="00D000B5"/>
  </w:style>
  <w:style w:type="paragraph" w:customStyle="1" w:styleId="ng-tns-c1-0">
    <w:name w:val="ng-tns-c1-0"/>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tns-c1-01">
    <w:name w:val="ng-tns-c1-01"/>
    <w:basedOn w:val="DefaultParagraphFont"/>
    <w:rsid w:val="00D000B5"/>
  </w:style>
  <w:style w:type="paragraph" w:customStyle="1" w:styleId="blurb-text">
    <w:name w:val="blurb-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star-inserted">
    <w:name w:val="ng-star-inserted"/>
    <w:basedOn w:val="DefaultParagraphFont"/>
    <w:rsid w:val="00D000B5"/>
  </w:style>
  <w:style w:type="character" w:customStyle="1" w:styleId="svelte-5o33a9">
    <w:name w:val="svelte-5o33a9"/>
    <w:basedOn w:val="DefaultParagraphFont"/>
    <w:rsid w:val="00D000B5"/>
  </w:style>
  <w:style w:type="character" w:customStyle="1" w:styleId="fal6plv">
    <w:name w:val="fal6plv"/>
    <w:basedOn w:val="DefaultParagraphFont"/>
    <w:rsid w:val="00D000B5"/>
  </w:style>
  <w:style w:type="character" w:customStyle="1" w:styleId="personname">
    <w:name w:val="person_name"/>
    <w:basedOn w:val="DefaultParagraphFont"/>
    <w:rsid w:val="00D000B5"/>
  </w:style>
  <w:style w:type="character" w:styleId="CommentReference">
    <w:name w:val="annotation reference"/>
    <w:basedOn w:val="DefaultParagraphFont"/>
    <w:uiPriority w:val="99"/>
    <w:semiHidden/>
    <w:unhideWhenUsed/>
    <w:rsid w:val="00D000B5"/>
    <w:rPr>
      <w:sz w:val="16"/>
      <w:szCs w:val="16"/>
    </w:rPr>
  </w:style>
  <w:style w:type="paragraph" w:styleId="CommentText">
    <w:name w:val="annotation text"/>
    <w:basedOn w:val="Normal"/>
    <w:link w:val="CommentTextChar"/>
    <w:uiPriority w:val="99"/>
    <w:unhideWhenUsed/>
    <w:rsid w:val="00D000B5"/>
    <w:rPr>
      <w:sz w:val="20"/>
      <w:szCs w:val="20"/>
    </w:rPr>
  </w:style>
  <w:style w:type="character" w:customStyle="1" w:styleId="CommentTextChar">
    <w:name w:val="Comment Text Char"/>
    <w:basedOn w:val="DefaultParagraphFont"/>
    <w:link w:val="CommentText"/>
    <w:uiPriority w:val="99"/>
    <w:rsid w:val="00D000B5"/>
    <w:rPr>
      <w:rFonts w:asciiTheme="majorHAnsi" w:hAnsiTheme="majorHAnsi" w:cstheme="maj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00B5"/>
    <w:rPr>
      <w:b/>
      <w:bCs/>
    </w:rPr>
  </w:style>
  <w:style w:type="character" w:customStyle="1" w:styleId="CommentSubjectChar">
    <w:name w:val="Comment Subject Char"/>
    <w:basedOn w:val="CommentTextChar"/>
    <w:link w:val="CommentSubject"/>
    <w:uiPriority w:val="99"/>
    <w:semiHidden/>
    <w:rsid w:val="00D000B5"/>
    <w:rPr>
      <w:rFonts w:asciiTheme="majorHAnsi" w:hAnsiTheme="majorHAnsi" w:cstheme="majorBidi"/>
      <w:b/>
      <w:bCs/>
      <w:kern w:val="0"/>
      <w:sz w:val="20"/>
      <w:szCs w:val="20"/>
      <w:lang w:val="en-US"/>
      <w14:ligatures w14:val="none"/>
    </w:rPr>
  </w:style>
  <w:style w:type="paragraph" w:styleId="FootnoteText">
    <w:name w:val="footnote text"/>
    <w:basedOn w:val="Normal"/>
    <w:link w:val="FootnoteTextChar"/>
    <w:uiPriority w:val="99"/>
    <w:unhideWhenUsed/>
    <w:rsid w:val="00D000B5"/>
    <w:rPr>
      <w:sz w:val="20"/>
      <w:szCs w:val="20"/>
    </w:rPr>
  </w:style>
  <w:style w:type="character" w:customStyle="1" w:styleId="FootnoteTextChar">
    <w:name w:val="Footnote Text Char"/>
    <w:basedOn w:val="DefaultParagraphFont"/>
    <w:link w:val="FootnoteText"/>
    <w:uiPriority w:val="99"/>
    <w:rsid w:val="00D000B5"/>
    <w:rPr>
      <w:rFonts w:asciiTheme="majorHAnsi" w:hAnsiTheme="majorHAnsi" w:cstheme="majorBidi"/>
      <w:kern w:val="0"/>
      <w:sz w:val="20"/>
      <w:szCs w:val="20"/>
      <w:lang w:val="en-US"/>
      <w14:ligatures w14:val="none"/>
    </w:rPr>
  </w:style>
  <w:style w:type="character" w:styleId="FootnoteReference">
    <w:name w:val="footnote reference"/>
    <w:basedOn w:val="DefaultParagraphFont"/>
    <w:uiPriority w:val="99"/>
    <w:semiHidden/>
    <w:unhideWhenUsed/>
    <w:rsid w:val="00D000B5"/>
    <w:rPr>
      <w:vertAlign w:val="superscript"/>
    </w:rPr>
  </w:style>
  <w:style w:type="paragraph" w:styleId="EndnoteText">
    <w:name w:val="endnote text"/>
    <w:basedOn w:val="Normal"/>
    <w:link w:val="EndnoteTextChar"/>
    <w:uiPriority w:val="99"/>
    <w:unhideWhenUsed/>
    <w:rsid w:val="00D000B5"/>
    <w:rPr>
      <w:sz w:val="20"/>
      <w:szCs w:val="20"/>
    </w:rPr>
  </w:style>
  <w:style w:type="character" w:customStyle="1" w:styleId="EndnoteTextChar">
    <w:name w:val="Endnote Text Char"/>
    <w:basedOn w:val="DefaultParagraphFont"/>
    <w:link w:val="EndnoteText"/>
    <w:uiPriority w:val="99"/>
    <w:rsid w:val="00D000B5"/>
    <w:rPr>
      <w:rFonts w:asciiTheme="majorHAnsi" w:hAnsiTheme="majorHAnsi" w:cstheme="majorBidi"/>
      <w:kern w:val="0"/>
      <w:sz w:val="20"/>
      <w:szCs w:val="20"/>
      <w:lang w:val="en-US"/>
      <w14:ligatures w14:val="none"/>
    </w:rPr>
  </w:style>
  <w:style w:type="character" w:styleId="EndnoteReference">
    <w:name w:val="endnote reference"/>
    <w:basedOn w:val="DefaultParagraphFont"/>
    <w:uiPriority w:val="99"/>
    <w:semiHidden/>
    <w:unhideWhenUsed/>
    <w:rsid w:val="00D000B5"/>
    <w:rPr>
      <w:vertAlign w:val="superscript"/>
    </w:rPr>
  </w:style>
  <w:style w:type="character" w:customStyle="1" w:styleId="UnresolvedMention1">
    <w:name w:val="Unresolved Mention1"/>
    <w:basedOn w:val="DefaultParagraphFont"/>
    <w:uiPriority w:val="99"/>
    <w:semiHidden/>
    <w:unhideWhenUsed/>
    <w:rsid w:val="00D000B5"/>
    <w:rPr>
      <w:color w:val="605E5C"/>
      <w:shd w:val="clear" w:color="auto" w:fill="E1DFDD"/>
    </w:rPr>
  </w:style>
  <w:style w:type="paragraph" w:customStyle="1" w:styleId="Heading51">
    <w:name w:val="Heading 51"/>
    <w:basedOn w:val="Normal"/>
    <w:next w:val="Normal"/>
    <w:uiPriority w:val="9"/>
    <w:semiHidden/>
    <w:unhideWhenUsed/>
    <w:qFormat/>
    <w:rsid w:val="00D000B5"/>
    <w:pPr>
      <w:keepNext/>
      <w:keepLines/>
      <w:spacing w:before="80" w:after="40" w:line="278" w:lineRule="auto"/>
      <w:jc w:val="left"/>
      <w:outlineLvl w:val="4"/>
    </w:pPr>
    <w:rPr>
      <w:rFonts w:ascii="Aptos" w:eastAsia="Times New Roman" w:hAnsi="Aptos"/>
      <w:color w:val="0F4761"/>
      <w:kern w:val="2"/>
      <w:sz w:val="24"/>
      <w:szCs w:val="24"/>
      <w:lang w:val="en-GB"/>
      <w14:ligatures w14:val="standardContextual"/>
    </w:rPr>
  </w:style>
  <w:style w:type="paragraph" w:customStyle="1" w:styleId="Heading61">
    <w:name w:val="Heading 61"/>
    <w:basedOn w:val="Normal"/>
    <w:next w:val="Normal"/>
    <w:uiPriority w:val="9"/>
    <w:semiHidden/>
    <w:unhideWhenUsed/>
    <w:qFormat/>
    <w:rsid w:val="00D000B5"/>
    <w:pPr>
      <w:keepNext/>
      <w:keepLines/>
      <w:spacing w:before="40" w:line="278" w:lineRule="auto"/>
      <w:jc w:val="left"/>
      <w:outlineLvl w:val="5"/>
    </w:pPr>
    <w:rPr>
      <w:rFonts w:ascii="Aptos" w:eastAsia="Times New Roman" w:hAnsi="Aptos"/>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rsid w:val="00D000B5"/>
    <w:pPr>
      <w:keepNext/>
      <w:keepLines/>
      <w:spacing w:before="40" w:line="278" w:lineRule="auto"/>
      <w:jc w:val="left"/>
      <w:outlineLvl w:val="6"/>
    </w:pPr>
    <w:rPr>
      <w:rFonts w:ascii="Aptos" w:eastAsia="Times New Roman" w:hAnsi="Aptos"/>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rsid w:val="00D000B5"/>
    <w:pPr>
      <w:keepNext/>
      <w:keepLines/>
      <w:spacing w:line="278" w:lineRule="auto"/>
      <w:jc w:val="left"/>
      <w:outlineLvl w:val="7"/>
    </w:pPr>
    <w:rPr>
      <w:rFonts w:ascii="Aptos" w:eastAsia="Times New Roman" w:hAnsi="Aptos"/>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rsid w:val="00D000B5"/>
    <w:pPr>
      <w:keepNext/>
      <w:keepLines/>
      <w:spacing w:line="278" w:lineRule="auto"/>
      <w:jc w:val="left"/>
      <w:outlineLvl w:val="8"/>
    </w:pPr>
    <w:rPr>
      <w:rFonts w:ascii="Aptos" w:eastAsia="Times New Roman" w:hAnsi="Aptos"/>
      <w:color w:val="272727"/>
      <w:kern w:val="2"/>
      <w:sz w:val="24"/>
      <w:szCs w:val="24"/>
      <w:lang w:val="en-GB"/>
      <w14:ligatures w14:val="standardContextual"/>
    </w:rPr>
  </w:style>
  <w:style w:type="numbering" w:customStyle="1" w:styleId="NoList2">
    <w:name w:val="No List2"/>
    <w:next w:val="NoList"/>
    <w:uiPriority w:val="99"/>
    <w:semiHidden/>
    <w:unhideWhenUsed/>
    <w:rsid w:val="00D000B5"/>
  </w:style>
  <w:style w:type="paragraph" w:customStyle="1" w:styleId="Title1">
    <w:name w:val="Title1"/>
    <w:basedOn w:val="Normal"/>
    <w:next w:val="Normal"/>
    <w:uiPriority w:val="10"/>
    <w:qFormat/>
    <w:rsid w:val="00D000B5"/>
    <w:pPr>
      <w:spacing w:after="80"/>
      <w:contextualSpacing/>
      <w:jc w:val="left"/>
    </w:pPr>
    <w:rPr>
      <w:rFonts w:eastAsia="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D000B5"/>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000B5"/>
    <w:pPr>
      <w:numPr>
        <w:ilvl w:val="1"/>
      </w:numPr>
      <w:spacing w:after="160" w:line="278" w:lineRule="auto"/>
      <w:jc w:val="left"/>
    </w:pPr>
    <w:rPr>
      <w:rFonts w:ascii="Aptos" w:eastAsia="Times New Roman" w:hAnsi="Aptos"/>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000B5"/>
    <w:rPr>
      <w:rFonts w:eastAsia="Times New Roman" w:cs="Times New Roman"/>
      <w:color w:val="595959"/>
      <w:spacing w:val="15"/>
      <w:sz w:val="28"/>
      <w:szCs w:val="28"/>
    </w:rPr>
  </w:style>
  <w:style w:type="paragraph" w:customStyle="1" w:styleId="Quote1">
    <w:name w:val="Quote1"/>
    <w:basedOn w:val="Normal"/>
    <w:next w:val="Normal"/>
    <w:uiPriority w:val="29"/>
    <w:qFormat/>
    <w:rsid w:val="00D000B5"/>
    <w:pPr>
      <w:spacing w:before="160" w:after="160" w:line="278" w:lineRule="auto"/>
      <w:jc w:val="center"/>
    </w:pPr>
    <w:rPr>
      <w:rFonts w:ascii="Aptos" w:hAnsi="Aptos" w:cs="Times New Roman"/>
      <w:i/>
      <w:iCs/>
      <w:color w:val="404040"/>
      <w:kern w:val="2"/>
      <w:sz w:val="24"/>
      <w:szCs w:val="24"/>
      <w:lang w:val="en-GB"/>
      <w14:ligatures w14:val="standardContextual"/>
    </w:rPr>
  </w:style>
  <w:style w:type="character" w:customStyle="1" w:styleId="QuoteChar">
    <w:name w:val="Quote Char"/>
    <w:basedOn w:val="DefaultParagraphFont"/>
    <w:link w:val="Quote"/>
    <w:uiPriority w:val="29"/>
    <w:rsid w:val="00D000B5"/>
    <w:rPr>
      <w:i/>
      <w:iCs/>
      <w:color w:val="404040"/>
    </w:rPr>
  </w:style>
  <w:style w:type="character" w:customStyle="1" w:styleId="IntenseEmphasis1">
    <w:name w:val="Intense Emphasis1"/>
    <w:basedOn w:val="DefaultParagraphFont"/>
    <w:uiPriority w:val="21"/>
    <w:qFormat/>
    <w:rsid w:val="00D000B5"/>
    <w:rPr>
      <w:i/>
      <w:iCs/>
      <w:color w:val="0F4761"/>
    </w:rPr>
  </w:style>
  <w:style w:type="paragraph" w:customStyle="1" w:styleId="IntenseQuote1">
    <w:name w:val="Intense Quote1"/>
    <w:basedOn w:val="Normal"/>
    <w:next w:val="Normal"/>
    <w:uiPriority w:val="30"/>
    <w:qFormat/>
    <w:rsid w:val="00D000B5"/>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D000B5"/>
    <w:rPr>
      <w:i/>
      <w:iCs/>
      <w:color w:val="0F4761"/>
    </w:rPr>
  </w:style>
  <w:style w:type="character" w:customStyle="1" w:styleId="IntenseReference1">
    <w:name w:val="Intense Reference1"/>
    <w:basedOn w:val="DefaultParagraphFont"/>
    <w:uiPriority w:val="32"/>
    <w:qFormat/>
    <w:rsid w:val="00D000B5"/>
    <w:rPr>
      <w:b/>
      <w:bCs/>
      <w:smallCaps/>
      <w:color w:val="0F4761"/>
      <w:spacing w:val="5"/>
    </w:rPr>
  </w:style>
  <w:style w:type="numbering" w:customStyle="1" w:styleId="NoList11">
    <w:name w:val="No List11"/>
    <w:next w:val="NoList"/>
    <w:uiPriority w:val="99"/>
    <w:semiHidden/>
    <w:unhideWhenUsed/>
    <w:rsid w:val="00D000B5"/>
  </w:style>
  <w:style w:type="paragraph" w:customStyle="1" w:styleId="Heading11">
    <w:name w:val="Heading 11"/>
    <w:basedOn w:val="Normal"/>
    <w:next w:val="Normal"/>
    <w:uiPriority w:val="9"/>
    <w:qFormat/>
    <w:rsid w:val="00D000B5"/>
    <w:pPr>
      <w:keepNext/>
      <w:keepLines/>
      <w:spacing w:before="240" w:line="276" w:lineRule="auto"/>
      <w:jc w:val="left"/>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rsid w:val="00D000B5"/>
    <w:pPr>
      <w:keepNext/>
      <w:keepLines/>
      <w:spacing w:before="40" w:line="276" w:lineRule="auto"/>
      <w:jc w:val="left"/>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D000B5"/>
    <w:pPr>
      <w:keepNext/>
      <w:keepLines/>
      <w:spacing w:before="40" w:line="276" w:lineRule="auto"/>
      <w:jc w:val="left"/>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000B5"/>
    <w:pPr>
      <w:keepNext/>
      <w:keepLines/>
      <w:spacing w:before="40" w:line="276" w:lineRule="auto"/>
      <w:jc w:val="left"/>
      <w:outlineLvl w:val="3"/>
    </w:pPr>
    <w:rPr>
      <w:rFonts w:ascii="Calibri Light" w:eastAsia="Times New Roman" w:hAnsi="Calibri Light" w:cs="Times New Roman"/>
      <w:i/>
      <w:iCs/>
      <w:color w:val="2E74B5"/>
    </w:rPr>
  </w:style>
  <w:style w:type="character" w:customStyle="1" w:styleId="match">
    <w:name w:val="match"/>
    <w:basedOn w:val="DefaultParagraphFont"/>
    <w:rsid w:val="00D000B5"/>
  </w:style>
  <w:style w:type="character" w:customStyle="1" w:styleId="fontstyle01">
    <w:name w:val="fontstyle01"/>
    <w:basedOn w:val="DefaultParagraphFont"/>
    <w:rsid w:val="00D000B5"/>
    <w:rPr>
      <w:rFonts w:ascii="Times New Roman" w:hAnsi="Times New Roman" w:cs="Times New Roman" w:hint="default"/>
      <w:b w:val="0"/>
      <w:bCs w:val="0"/>
      <w:i w:val="0"/>
      <w:iCs w:val="0"/>
      <w:color w:val="000000"/>
      <w:sz w:val="24"/>
      <w:szCs w:val="24"/>
    </w:rPr>
  </w:style>
  <w:style w:type="character" w:customStyle="1" w:styleId="Hyperlink1">
    <w:name w:val="Hyperlink1"/>
    <w:basedOn w:val="DefaultParagraphFont"/>
    <w:uiPriority w:val="99"/>
    <w:unhideWhenUsed/>
    <w:rsid w:val="00D000B5"/>
    <w:rPr>
      <w:color w:val="0563C1"/>
      <w:u w:val="single"/>
    </w:rPr>
  </w:style>
  <w:style w:type="paragraph" w:styleId="NoSpacing">
    <w:name w:val="No Spacing"/>
    <w:uiPriority w:val="1"/>
    <w:qFormat/>
    <w:rsid w:val="00D000B5"/>
    <w:pPr>
      <w:spacing w:after="0" w:line="240" w:lineRule="auto"/>
    </w:pPr>
    <w:rPr>
      <w:rFonts w:ascii="Aptos" w:hAnsi="Aptos" w:cs="Times New Roman"/>
      <w:kern w:val="0"/>
      <w:sz w:val="22"/>
      <w:szCs w:val="22"/>
      <w14:ligatures w14:val="none"/>
    </w:rPr>
  </w:style>
  <w:style w:type="character" w:customStyle="1" w:styleId="fontstyle21">
    <w:name w:val="fontstyle21"/>
    <w:basedOn w:val="DefaultParagraphFont"/>
    <w:rsid w:val="00D000B5"/>
    <w:rPr>
      <w:rFonts w:ascii="Times New Roman" w:hAnsi="Times New Roman" w:cs="Times New Roman" w:hint="default"/>
      <w:b w:val="0"/>
      <w:bCs w:val="0"/>
      <w:i/>
      <w:iCs/>
      <w:color w:val="000000"/>
      <w:sz w:val="24"/>
      <w:szCs w:val="24"/>
    </w:rPr>
  </w:style>
  <w:style w:type="character" w:styleId="HTMLCite">
    <w:name w:val="HTML Cite"/>
    <w:basedOn w:val="DefaultParagraphFont"/>
    <w:uiPriority w:val="99"/>
    <w:rsid w:val="00D000B5"/>
    <w:rPr>
      <w:i/>
      <w:iCs/>
    </w:rPr>
  </w:style>
  <w:style w:type="character" w:customStyle="1" w:styleId="fontstyle31">
    <w:name w:val="fontstyle31"/>
    <w:basedOn w:val="DefaultParagraphFont"/>
    <w:rsid w:val="00D000B5"/>
    <w:rPr>
      <w:rFonts w:ascii="Cmr12" w:hAnsi="Cmr12" w:hint="default"/>
      <w:b w:val="0"/>
      <w:bCs w:val="0"/>
      <w:i w:val="0"/>
      <w:iCs w:val="0"/>
      <w:color w:val="000000"/>
      <w:sz w:val="24"/>
      <w:szCs w:val="24"/>
    </w:rPr>
  </w:style>
  <w:style w:type="character" w:customStyle="1" w:styleId="fontstyle41">
    <w:name w:val="fontstyle41"/>
    <w:basedOn w:val="DefaultParagraphFont"/>
    <w:rsid w:val="00D000B5"/>
    <w:rPr>
      <w:rFonts w:ascii="Times-Roman" w:hAnsi="Times-Roman" w:hint="default"/>
      <w:b w:val="0"/>
      <w:bCs w:val="0"/>
      <w:i w:val="0"/>
      <w:iCs w:val="0"/>
      <w:color w:val="000000"/>
      <w:sz w:val="22"/>
      <w:szCs w:val="22"/>
    </w:rPr>
  </w:style>
  <w:style w:type="character" w:customStyle="1" w:styleId="fontstyle51">
    <w:name w:val="fontstyle51"/>
    <w:basedOn w:val="DefaultParagraphFont"/>
    <w:rsid w:val="00D000B5"/>
    <w:rPr>
      <w:rFonts w:ascii="Times-Italic" w:hAnsi="Times-Italic" w:hint="default"/>
      <w:b w:val="0"/>
      <w:bCs w:val="0"/>
      <w:i/>
      <w:iCs/>
      <w:color w:val="000000"/>
      <w:sz w:val="24"/>
      <w:szCs w:val="24"/>
    </w:rPr>
  </w:style>
  <w:style w:type="character" w:customStyle="1" w:styleId="hgkelc">
    <w:name w:val="hgkelc"/>
    <w:basedOn w:val="DefaultParagraphFont"/>
    <w:rsid w:val="00D000B5"/>
  </w:style>
  <w:style w:type="character" w:customStyle="1" w:styleId="FollowedHyperlink1">
    <w:name w:val="FollowedHyperlink1"/>
    <w:basedOn w:val="DefaultParagraphFont"/>
    <w:uiPriority w:val="99"/>
    <w:semiHidden/>
    <w:unhideWhenUsed/>
    <w:rsid w:val="00D000B5"/>
    <w:rPr>
      <w:color w:val="954F72"/>
      <w:u w:val="single"/>
    </w:rPr>
  </w:style>
  <w:style w:type="table" w:customStyle="1" w:styleId="TableGrid1">
    <w:name w:val="Table Grid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2">
    <w:name w:val="Hyperlink2"/>
    <w:basedOn w:val="DefaultParagraphFont"/>
    <w:uiPriority w:val="99"/>
    <w:unhideWhenUsed/>
    <w:qFormat/>
    <w:rsid w:val="00D000B5"/>
    <w:rPr>
      <w:color w:val="0000FF"/>
      <w:u w:val="single"/>
    </w:rPr>
  </w:style>
  <w:style w:type="character" w:customStyle="1" w:styleId="Heading1Char1">
    <w:name w:val="Heading 1 Char1"/>
    <w:basedOn w:val="DefaultParagraphFont"/>
    <w:uiPriority w:val="9"/>
    <w:rsid w:val="00D000B5"/>
    <w:rPr>
      <w:rFonts w:ascii="Cambria" w:eastAsia="Times New Roman" w:hAnsi="Cambria" w:cs="Times New Roman"/>
      <w:color w:val="365F91"/>
      <w:sz w:val="32"/>
      <w:szCs w:val="32"/>
    </w:rPr>
  </w:style>
  <w:style w:type="character" w:customStyle="1" w:styleId="Heading2Char1">
    <w:name w:val="Heading 2 Char1"/>
    <w:basedOn w:val="DefaultParagraphFont"/>
    <w:uiPriority w:val="9"/>
    <w:semiHidden/>
    <w:rsid w:val="00D000B5"/>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D000B5"/>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D000B5"/>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D000B5"/>
    <w:rPr>
      <w:rFonts w:ascii="Cambria" w:eastAsia="Times New Roman" w:hAnsi="Cambria" w:cs="Times New Roman"/>
      <w:color w:val="365F91"/>
    </w:rPr>
  </w:style>
  <w:style w:type="character" w:customStyle="1" w:styleId="FollowedHyperlink2">
    <w:name w:val="FollowedHyperlink2"/>
    <w:basedOn w:val="DefaultParagraphFont"/>
    <w:uiPriority w:val="99"/>
    <w:semiHidden/>
    <w:unhideWhenUsed/>
    <w:rsid w:val="00D000B5"/>
    <w:rPr>
      <w:color w:val="800080"/>
      <w:u w:val="single"/>
    </w:rPr>
  </w:style>
  <w:style w:type="table" w:customStyle="1" w:styleId="TableGrid2">
    <w:name w:val="Table Grid2"/>
    <w:basedOn w:val="TableNormal"/>
    <w:next w:val="TableGrid"/>
    <w:uiPriority w:val="59"/>
    <w:unhideWhenUsed/>
    <w:rsid w:val="00D000B5"/>
    <w:pPr>
      <w:spacing w:after="0" w:line="240" w:lineRule="auto"/>
    </w:pPr>
    <w:rPr>
      <w:rFonts w:ascii="Aptos" w:hAnsi="Aptos"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qFormat/>
    <w:rsid w:val="00D000B5"/>
    <w:pPr>
      <w:spacing w:after="120" w:line="480" w:lineRule="auto"/>
      <w:jc w:val="left"/>
    </w:pPr>
    <w:rPr>
      <w:rFonts w:ascii="Calibri" w:eastAsia="Calibri" w:hAnsi="Calibri" w:cs="Times New Roman"/>
      <w:sz w:val="21"/>
    </w:rPr>
  </w:style>
  <w:style w:type="character" w:customStyle="1" w:styleId="BodyText2Char">
    <w:name w:val="Body Text 2 Char"/>
    <w:basedOn w:val="DefaultParagraphFont"/>
    <w:link w:val="BodyText2"/>
    <w:rsid w:val="00D000B5"/>
    <w:rPr>
      <w:rFonts w:ascii="Calibri" w:eastAsia="Calibri" w:hAnsi="Calibri" w:cs="Times New Roman"/>
      <w:kern w:val="0"/>
      <w:sz w:val="21"/>
      <w:szCs w:val="22"/>
      <w:lang w:val="en-US"/>
      <w14:ligatures w14:val="none"/>
    </w:rPr>
  </w:style>
  <w:style w:type="paragraph" w:styleId="TOC2">
    <w:name w:val="toc 2"/>
    <w:basedOn w:val="Normal"/>
    <w:next w:val="Normal"/>
    <w:qFormat/>
    <w:rsid w:val="00D000B5"/>
    <w:pPr>
      <w:tabs>
        <w:tab w:val="left" w:pos="880"/>
        <w:tab w:val="left" w:pos="9000"/>
        <w:tab w:val="right" w:leader="dot" w:pos="9340"/>
      </w:tabs>
      <w:spacing w:after="100" w:line="276" w:lineRule="auto"/>
      <w:ind w:left="220"/>
      <w:jc w:val="left"/>
    </w:pPr>
    <w:rPr>
      <w:rFonts w:ascii="Calibri" w:eastAsia="Calibri" w:hAnsi="Calibri" w:cs="SimSun"/>
      <w:sz w:val="21"/>
    </w:rPr>
  </w:style>
  <w:style w:type="table" w:customStyle="1" w:styleId="TableGrid11">
    <w:name w:val="Table Grid11"/>
    <w:basedOn w:val="TableNormal"/>
    <w:next w:val="TableGrid"/>
    <w:uiPriority w:val="39"/>
    <w:qFormat/>
    <w:rsid w:val="00D000B5"/>
    <w:pPr>
      <w:spacing w:after="0" w:line="240" w:lineRule="auto"/>
    </w:pPr>
    <w:rPr>
      <w:rFonts w:ascii="Calibri" w:eastAsia="Calibri" w:hAnsi="Calibri" w:cs="SimSu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D000B5"/>
    <w:pPr>
      <w:spacing w:after="200" w:line="276" w:lineRule="auto"/>
      <w:ind w:left="720"/>
      <w:contextualSpacing/>
      <w:jc w:val="left"/>
    </w:pPr>
    <w:rPr>
      <w:rFonts w:ascii="Calibri" w:eastAsia="Calibri" w:hAnsi="Calibri" w:cs="SimSun"/>
    </w:rPr>
  </w:style>
  <w:style w:type="character" w:customStyle="1" w:styleId="ls5">
    <w:name w:val="ls5"/>
    <w:basedOn w:val="DefaultParagraphFont"/>
    <w:qFormat/>
    <w:rsid w:val="00D000B5"/>
  </w:style>
  <w:style w:type="character" w:customStyle="1" w:styleId="ff6">
    <w:name w:val="ff6"/>
    <w:basedOn w:val="DefaultParagraphFont"/>
    <w:qFormat/>
    <w:rsid w:val="00D000B5"/>
  </w:style>
  <w:style w:type="character" w:customStyle="1" w:styleId="ls3">
    <w:name w:val="ls3"/>
    <w:basedOn w:val="DefaultParagraphFont"/>
    <w:qFormat/>
    <w:rsid w:val="00D000B5"/>
  </w:style>
  <w:style w:type="character" w:customStyle="1" w:styleId="ls2">
    <w:name w:val="ls2"/>
    <w:basedOn w:val="DefaultParagraphFont"/>
    <w:qFormat/>
    <w:rsid w:val="00D000B5"/>
  </w:style>
  <w:style w:type="paragraph" w:customStyle="1" w:styleId="TOCHeading1">
    <w:name w:val="TOC Heading1"/>
    <w:basedOn w:val="Heading1"/>
    <w:qFormat/>
    <w:rsid w:val="00D000B5"/>
    <w:pPr>
      <w:widowControl w:val="0"/>
      <w:spacing w:before="240" w:line="276" w:lineRule="auto"/>
      <w:jc w:val="left"/>
      <w:outlineLvl w:val="9"/>
    </w:pPr>
    <w:rPr>
      <w:rFonts w:ascii="Calibri Light" w:eastAsia="SimSun" w:hAnsi="Calibri Light" w:cs="SimSun"/>
      <w:b w:val="0"/>
      <w:bCs w:val="0"/>
      <w:color w:val="2E74B5"/>
      <w:sz w:val="32"/>
      <w:szCs w:val="32"/>
    </w:rPr>
  </w:style>
  <w:style w:type="paragraph" w:customStyle="1" w:styleId="Default0">
    <w:name w:val="&quot;Default&quot;"/>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NoSpacing1">
    <w:name w:val="No Spacing1"/>
    <w:uiPriority w:val="1"/>
    <w:qFormat/>
    <w:rsid w:val="00D000B5"/>
    <w:pPr>
      <w:spacing w:after="0" w:line="240" w:lineRule="auto"/>
    </w:pPr>
    <w:rPr>
      <w:rFonts w:ascii="Calibri" w:eastAsia="Calibri" w:hAnsi="Calibri" w:cs="SimSun"/>
      <w:kern w:val="0"/>
      <w:sz w:val="21"/>
      <w:szCs w:val="22"/>
      <w:lang w:val="en-US"/>
      <w14:ligatures w14:val="none"/>
    </w:rPr>
  </w:style>
  <w:style w:type="paragraph" w:customStyle="1" w:styleId="Default19">
    <w:name w:val="&quot;Default&quot;19"/>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8">
    <w:name w:val="&quot;Default&quot;18"/>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7">
    <w:name w:val="&quot;Default&quot;17"/>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6">
    <w:name w:val="&quot;Default&quot;1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5">
    <w:name w:val="&quot;Default&quot;1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4">
    <w:name w:val="&quot;Default&quot;1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3">
    <w:name w:val="&quot;Default&quot;1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2">
    <w:name w:val="&quot;Default&quot;1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1">
    <w:name w:val="&quot;Default&quot;1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0">
    <w:name w:val="&quot;Default&quot;10"/>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9">
    <w:name w:val="&quot;Default&quot;9"/>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8">
    <w:name w:val="&quot;Default&quot;8"/>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7">
    <w:name w:val="&quot;Default&quot;7"/>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6">
    <w:name w:val="&quot;Default&quot;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5">
    <w:name w:val="&quot;Default&quot;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4">
    <w:name w:val="&quot;Default&quot;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3">
    <w:name w:val="&quot;Default&quot;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2">
    <w:name w:val="&quot;Default&quot;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
    <w:name w:val="&quot;Default&quot;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PlaceholderText1">
    <w:name w:val="Placeholder Text1"/>
    <w:basedOn w:val="DefaultParagraphFont"/>
    <w:uiPriority w:val="99"/>
    <w:semiHidden/>
    <w:qFormat/>
    <w:rsid w:val="00D000B5"/>
    <w:rPr>
      <w:color w:val="808080"/>
    </w:rPr>
  </w:style>
  <w:style w:type="paragraph" w:customStyle="1" w:styleId="Revision1">
    <w:name w:val="Revision1"/>
    <w:hidden/>
    <w:uiPriority w:val="99"/>
    <w:semiHidden/>
    <w:qFormat/>
    <w:rsid w:val="00D000B5"/>
    <w:pPr>
      <w:spacing w:after="0" w:line="240" w:lineRule="auto"/>
    </w:pPr>
    <w:rPr>
      <w:rFonts w:ascii="Calibri" w:eastAsia="Calibri" w:hAnsi="Calibri" w:cs="SimSun"/>
      <w:kern w:val="0"/>
      <w:sz w:val="22"/>
      <w:szCs w:val="22"/>
      <w:lang w:val="en-US"/>
      <w14:ligatures w14:val="none"/>
    </w:rPr>
  </w:style>
  <w:style w:type="table" w:customStyle="1" w:styleId="TableGrid111">
    <w:name w:val="Table Grid111"/>
    <w:basedOn w:val="TableNormal"/>
    <w:next w:val="TableGrid"/>
    <w:uiPriority w:val="59"/>
    <w:rsid w:val="00D000B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0nh2b">
    <w:name w:val="y0nh2b"/>
    <w:basedOn w:val="DefaultParagraphFont"/>
    <w:rsid w:val="00D000B5"/>
  </w:style>
  <w:style w:type="table" w:customStyle="1" w:styleId="PlainTable21">
    <w:name w:val="Plain Table 21"/>
    <w:basedOn w:val="TableNormal"/>
    <w:next w:val="PlainTable24"/>
    <w:uiPriority w:val="42"/>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
    <w:name w:val="Grid Table 1 Light - Accent 21"/>
    <w:basedOn w:val="TableNormal"/>
    <w:next w:val="GridTable1Light-Accent24"/>
    <w:uiPriority w:val="46"/>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
    <w:name w:val="Table Grid1111"/>
    <w:basedOn w:val="TableNormal"/>
    <w:next w:val="TableGrid"/>
    <w:uiPriority w:val="39"/>
    <w:rsid w:val="00D000B5"/>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next w:val="PlainTable24"/>
    <w:uiPriority w:val="42"/>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
    <w:name w:val="Grid Table 1 Light - Accent 22"/>
    <w:basedOn w:val="TableNormal"/>
    <w:next w:val="GridTable1Light-Accent24"/>
    <w:uiPriority w:val="46"/>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
    <w:name w:val="Table Grid211"/>
    <w:basedOn w:val="TableNormal"/>
    <w:next w:val="TableGrid"/>
    <w:uiPriority w:val="39"/>
    <w:rsid w:val="00D000B5"/>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ed-on">
    <w:name w:val="posted-on"/>
    <w:basedOn w:val="DefaultParagraphFont"/>
    <w:rsid w:val="00D000B5"/>
  </w:style>
  <w:style w:type="table" w:customStyle="1" w:styleId="PlainTable23">
    <w:name w:val="Plain Table 23"/>
    <w:basedOn w:val="TableNormal"/>
    <w:next w:val="PlainTable24"/>
    <w:uiPriority w:val="42"/>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
    <w:name w:val="Grid Table 1 Light - Accent 23"/>
    <w:basedOn w:val="TableNormal"/>
    <w:next w:val="GridTable1Light-Accent24"/>
    <w:uiPriority w:val="46"/>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
    <w:name w:val="Plain Table 5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jx-char">
    <w:name w:val="mjx-char"/>
    <w:basedOn w:val="DefaultParagraphFont"/>
    <w:rsid w:val="00D000B5"/>
  </w:style>
  <w:style w:type="table" w:customStyle="1" w:styleId="TableGrid12">
    <w:name w:val="Table Grid12"/>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
    <w:name w:val="Plain Table 51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next w:val="PlainTable32"/>
    <w:uiPriority w:val="43"/>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
    <w:name w:val="Plain Table 24"/>
    <w:basedOn w:val="TableNormal"/>
    <w:uiPriority w:val="42"/>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
    <w:name w:val="Grid Table 1 Light - Accent 24"/>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D000B5"/>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rsid w:val="00D000B5"/>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
    <w:name w:val="Plain Table 521"/>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uiPriority w:val="99"/>
    <w:semiHidden/>
    <w:unhideWhenUsed/>
    <w:rsid w:val="00D000B5"/>
  </w:style>
  <w:style w:type="paragraph" w:customStyle="1" w:styleId="msonormal0">
    <w:name w:val="msonormal"/>
    <w:basedOn w:val="Normal"/>
    <w:rsid w:val="00D000B5"/>
    <w:pP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66">
    <w:name w:val="xl66"/>
    <w:basedOn w:val="Normal"/>
    <w:rsid w:val="00D000B5"/>
    <w:pPr>
      <w:spacing w:before="100" w:beforeAutospacing="1" w:after="100" w:afterAutospacing="1"/>
      <w:jc w:val="center"/>
    </w:pPr>
    <w:rPr>
      <w:rFonts w:ascii="Times New Roman" w:eastAsia="Times New Roman" w:hAnsi="Times New Roman" w:cs="Times New Roman"/>
      <w:b/>
      <w:bCs/>
      <w:sz w:val="24"/>
      <w:szCs w:val="24"/>
      <w:lang w:val="en-GB"/>
    </w:rPr>
  </w:style>
  <w:style w:type="paragraph" w:customStyle="1" w:styleId="xl67">
    <w:name w:val="xl67"/>
    <w:basedOn w:val="Normal"/>
    <w:rsid w:val="00D000B5"/>
    <w:pPr>
      <w:spacing w:before="100" w:beforeAutospacing="1" w:after="100" w:afterAutospacing="1"/>
      <w:jc w:val="center"/>
    </w:pPr>
    <w:rPr>
      <w:rFonts w:ascii="Times New Roman" w:eastAsia="Times New Roman" w:hAnsi="Times New Roman" w:cs="Times New Roman"/>
      <w:sz w:val="24"/>
      <w:szCs w:val="24"/>
      <w:lang w:val="en-GB"/>
    </w:rPr>
  </w:style>
  <w:style w:type="table" w:customStyle="1" w:styleId="TableGrid4">
    <w:name w:val="Table Grid4"/>
    <w:basedOn w:val="TableNormal"/>
    <w:next w:val="TableGrid"/>
    <w:uiPriority w:val="39"/>
    <w:rsid w:val="00D000B5"/>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000B5"/>
  </w:style>
  <w:style w:type="table" w:customStyle="1" w:styleId="TableGrid5">
    <w:name w:val="Table Grid5"/>
    <w:basedOn w:val="TableNormal"/>
    <w:next w:val="TableGrid"/>
    <w:uiPriority w:val="39"/>
    <w:rsid w:val="00D000B5"/>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
    <w:name w:val="Plain Table 53"/>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
    <w:name w:val="qu"/>
    <w:basedOn w:val="DefaultParagraphFont"/>
    <w:rsid w:val="00D000B5"/>
  </w:style>
  <w:style w:type="character" w:customStyle="1" w:styleId="gd">
    <w:name w:val="gd"/>
    <w:basedOn w:val="DefaultParagraphFont"/>
    <w:rsid w:val="00D000B5"/>
  </w:style>
  <w:style w:type="character" w:customStyle="1" w:styleId="g3">
    <w:name w:val="g3"/>
    <w:basedOn w:val="DefaultParagraphFont"/>
    <w:rsid w:val="00D000B5"/>
  </w:style>
  <w:style w:type="character" w:customStyle="1" w:styleId="hb">
    <w:name w:val="hb"/>
    <w:basedOn w:val="DefaultParagraphFont"/>
    <w:rsid w:val="00D000B5"/>
  </w:style>
  <w:style w:type="character" w:customStyle="1" w:styleId="g2">
    <w:name w:val="g2"/>
    <w:basedOn w:val="DefaultParagraphFont"/>
    <w:rsid w:val="00D000B5"/>
  </w:style>
  <w:style w:type="character" w:customStyle="1" w:styleId="markedcontent">
    <w:name w:val="markedcontent"/>
    <w:basedOn w:val="DefaultParagraphFont"/>
    <w:rsid w:val="00D000B5"/>
  </w:style>
  <w:style w:type="character" w:customStyle="1" w:styleId="ref-lnk">
    <w:name w:val="ref-lnk"/>
    <w:basedOn w:val="DefaultParagraphFont"/>
    <w:rsid w:val="00D000B5"/>
  </w:style>
  <w:style w:type="table" w:customStyle="1" w:styleId="PlainTable54">
    <w:name w:val="Plain Table 54"/>
    <w:basedOn w:val="TableNormal"/>
    <w:next w:val="PlainTable5"/>
    <w:uiPriority w:val="45"/>
    <w:rsid w:val="00D000B5"/>
    <w:pPr>
      <w:spacing w:after="0" w:line="240" w:lineRule="auto"/>
    </w:pPr>
    <w:rPr>
      <w:rFonts w:ascii="Aptos" w:hAnsi="Aptos" w:cs="Times New Roman"/>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
    <w:name w:val="Plain Table 55"/>
    <w:basedOn w:val="TableNormal"/>
    <w:next w:val="PlainTable5"/>
    <w:uiPriority w:val="45"/>
    <w:rsid w:val="00D000B5"/>
    <w:pPr>
      <w:spacing w:after="0" w:line="240" w:lineRule="auto"/>
    </w:pPr>
    <w:rPr>
      <w:rFonts w:ascii="Aptos" w:hAnsi="Aptos" w:cs="Times New Roman"/>
    </w:r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11">
    <w:name w:val="Plain Table 5211"/>
    <w:basedOn w:val="TableNormal"/>
    <w:uiPriority w:val="45"/>
    <w:rsid w:val="00D000B5"/>
    <w:pPr>
      <w:spacing w:after="0" w:line="240" w:lineRule="auto"/>
    </w:pPr>
    <w:rPr>
      <w:rFonts w:ascii="Calibri" w:eastAsia="Calibri" w:hAnsi="Calibri" w:cs="Times New Roman"/>
      <w:sz w:val="22"/>
      <w:szCs w:val="22"/>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
    <w:name w:val="Table Grid7"/>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00B5"/>
  </w:style>
  <w:style w:type="table" w:customStyle="1" w:styleId="TableGrid20">
    <w:name w:val="Table Grid20"/>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2">
    <w:name w:val="Heading 5 Char2"/>
    <w:basedOn w:val="DefaultParagraphFont"/>
    <w:uiPriority w:val="9"/>
    <w:semiHidden/>
    <w:rsid w:val="00D000B5"/>
    <w:rPr>
      <w:rFonts w:eastAsiaTheme="majorEastAsia"/>
      <w:color w:val="0F4761" w:themeColor="accent1" w:themeShade="BF"/>
    </w:rPr>
  </w:style>
  <w:style w:type="character" w:customStyle="1" w:styleId="Heading6Char1">
    <w:name w:val="Heading 6 Char1"/>
    <w:basedOn w:val="DefaultParagraphFont"/>
    <w:uiPriority w:val="9"/>
    <w:semiHidden/>
    <w:rsid w:val="00D000B5"/>
    <w:rPr>
      <w:rFonts w:eastAsiaTheme="majorEastAsia"/>
      <w:color w:val="0A2F40" w:themeColor="accent1" w:themeShade="7F"/>
    </w:rPr>
  </w:style>
  <w:style w:type="character" w:customStyle="1" w:styleId="Heading7Char1">
    <w:name w:val="Heading 7 Char1"/>
    <w:basedOn w:val="DefaultParagraphFont"/>
    <w:uiPriority w:val="9"/>
    <w:semiHidden/>
    <w:rsid w:val="00D000B5"/>
    <w:rPr>
      <w:rFonts w:eastAsiaTheme="majorEastAsia"/>
      <w:i/>
      <w:iCs/>
      <w:color w:val="0A2F40" w:themeColor="accent1" w:themeShade="7F"/>
    </w:rPr>
  </w:style>
  <w:style w:type="character" w:customStyle="1" w:styleId="Heading8Char1">
    <w:name w:val="Heading 8 Char1"/>
    <w:basedOn w:val="DefaultParagraphFont"/>
    <w:uiPriority w:val="9"/>
    <w:semiHidden/>
    <w:rsid w:val="00D000B5"/>
    <w:rPr>
      <w:rFonts w:eastAsiaTheme="majorEastAsia"/>
      <w:color w:val="272727" w:themeColor="text1" w:themeTint="D8"/>
      <w:sz w:val="21"/>
      <w:szCs w:val="21"/>
    </w:rPr>
  </w:style>
  <w:style w:type="character" w:customStyle="1" w:styleId="Heading9Char1">
    <w:name w:val="Heading 9 Char1"/>
    <w:basedOn w:val="DefaultParagraphFont"/>
    <w:uiPriority w:val="9"/>
    <w:semiHidden/>
    <w:rsid w:val="00D000B5"/>
    <w:rPr>
      <w:rFonts w:eastAsiaTheme="majorEastAsia"/>
      <w:i/>
      <w:iCs/>
      <w:color w:val="272727" w:themeColor="text1" w:themeTint="D8"/>
      <w:sz w:val="21"/>
      <w:szCs w:val="21"/>
    </w:rPr>
  </w:style>
  <w:style w:type="paragraph" w:styleId="Title">
    <w:name w:val="Title"/>
    <w:basedOn w:val="Normal"/>
    <w:next w:val="Normal"/>
    <w:link w:val="TitleChar"/>
    <w:uiPriority w:val="10"/>
    <w:qFormat/>
    <w:rsid w:val="00D000B5"/>
    <w:pPr>
      <w:contextualSpacing/>
    </w:pPr>
    <w:rPr>
      <w:rFonts w:ascii="Aptos Display" w:eastAsia="Times New Roman" w:hAnsi="Aptos Display"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D000B5"/>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000B5"/>
    <w:pPr>
      <w:numPr>
        <w:ilvl w:val="1"/>
      </w:numPr>
      <w:spacing w:after="160"/>
    </w:pPr>
    <w:rPr>
      <w:rFonts w:asciiTheme="minorHAnsi" w:eastAsia="Times New Roman" w:hAnsiTheme="minorHAnsi" w:cs="Times New Roman"/>
      <w:color w:val="595959"/>
      <w:spacing w:val="15"/>
      <w:kern w:val="2"/>
      <w:sz w:val="28"/>
      <w:szCs w:val="28"/>
      <w:lang w:val="en-GB"/>
      <w14:ligatures w14:val="standardContextual"/>
    </w:rPr>
  </w:style>
  <w:style w:type="character" w:customStyle="1" w:styleId="SubtitleChar1">
    <w:name w:val="Subtitle Char1"/>
    <w:basedOn w:val="DefaultParagraphFont"/>
    <w:uiPriority w:val="11"/>
    <w:rsid w:val="00D000B5"/>
    <w:rPr>
      <w:rFonts w:eastAsiaTheme="minorEastAsia"/>
      <w:color w:val="5A5A5A" w:themeColor="text1" w:themeTint="A5"/>
      <w:spacing w:val="15"/>
      <w:kern w:val="0"/>
      <w:sz w:val="22"/>
      <w:szCs w:val="22"/>
      <w:lang w:val="en-US"/>
      <w14:ligatures w14:val="none"/>
    </w:rPr>
  </w:style>
  <w:style w:type="paragraph" w:styleId="Quote">
    <w:name w:val="Quote"/>
    <w:basedOn w:val="Normal"/>
    <w:next w:val="Normal"/>
    <w:link w:val="QuoteChar"/>
    <w:uiPriority w:val="29"/>
    <w:qFormat/>
    <w:rsid w:val="00D000B5"/>
    <w:pPr>
      <w:spacing w:before="200" w:after="160"/>
      <w:ind w:left="864" w:right="864"/>
      <w:jc w:val="center"/>
    </w:pPr>
    <w:rPr>
      <w:rFonts w:asciiTheme="minorHAnsi" w:hAnsiTheme="minorHAnsi" w:cstheme="minorBidi"/>
      <w:i/>
      <w:iCs/>
      <w:color w:val="404040"/>
      <w:kern w:val="2"/>
      <w:sz w:val="24"/>
      <w:szCs w:val="24"/>
      <w:lang w:val="en-GB"/>
      <w14:ligatures w14:val="standardContextual"/>
    </w:rPr>
  </w:style>
  <w:style w:type="character" w:customStyle="1" w:styleId="QuoteChar1">
    <w:name w:val="Quote Char1"/>
    <w:basedOn w:val="DefaultParagraphFont"/>
    <w:uiPriority w:val="29"/>
    <w:rsid w:val="00D000B5"/>
    <w:rPr>
      <w:rFonts w:asciiTheme="majorHAnsi" w:hAnsiTheme="majorHAnsi" w:cstheme="majorBidi"/>
      <w:i/>
      <w:iCs/>
      <w:color w:val="404040" w:themeColor="text1" w:themeTint="BF"/>
      <w:kern w:val="0"/>
      <w:sz w:val="22"/>
      <w:szCs w:val="22"/>
      <w:lang w:val="en-US"/>
      <w14:ligatures w14:val="none"/>
    </w:rPr>
  </w:style>
  <w:style w:type="character" w:styleId="IntenseEmphasis">
    <w:name w:val="Intense Emphasis"/>
    <w:basedOn w:val="DefaultParagraphFont"/>
    <w:uiPriority w:val="21"/>
    <w:qFormat/>
    <w:rsid w:val="00D000B5"/>
    <w:rPr>
      <w:i/>
      <w:iCs/>
      <w:color w:val="156082" w:themeColor="accent1"/>
    </w:rPr>
  </w:style>
  <w:style w:type="paragraph" w:styleId="IntenseQuote">
    <w:name w:val="Intense Quote"/>
    <w:basedOn w:val="Normal"/>
    <w:next w:val="Normal"/>
    <w:link w:val="IntenseQuoteChar"/>
    <w:uiPriority w:val="30"/>
    <w:qFormat/>
    <w:rsid w:val="00D000B5"/>
    <w:pPr>
      <w:pBdr>
        <w:top w:val="single" w:sz="4" w:space="10" w:color="156082" w:themeColor="accent1"/>
        <w:bottom w:val="single" w:sz="4" w:space="10" w:color="156082" w:themeColor="accent1"/>
      </w:pBdr>
      <w:spacing w:before="360" w:after="360"/>
      <w:ind w:left="864" w:right="864"/>
      <w:jc w:val="center"/>
    </w:pPr>
    <w:rPr>
      <w:rFonts w:asciiTheme="minorHAnsi" w:hAnsiTheme="minorHAnsi" w:cstheme="minorBidi"/>
      <w:i/>
      <w:iCs/>
      <w:color w:val="0F4761"/>
      <w:kern w:val="2"/>
      <w:sz w:val="24"/>
      <w:szCs w:val="24"/>
      <w:lang w:val="en-GB"/>
      <w14:ligatures w14:val="standardContextual"/>
    </w:rPr>
  </w:style>
  <w:style w:type="character" w:customStyle="1" w:styleId="IntenseQuoteChar1">
    <w:name w:val="Intense Quote Char1"/>
    <w:basedOn w:val="DefaultParagraphFont"/>
    <w:uiPriority w:val="30"/>
    <w:rsid w:val="00D000B5"/>
    <w:rPr>
      <w:rFonts w:asciiTheme="majorHAnsi" w:hAnsiTheme="majorHAnsi" w:cstheme="majorBidi"/>
      <w:i/>
      <w:iCs/>
      <w:color w:val="156082" w:themeColor="accent1"/>
      <w:kern w:val="0"/>
      <w:sz w:val="22"/>
      <w:szCs w:val="22"/>
      <w:lang w:val="en-US"/>
      <w14:ligatures w14:val="none"/>
    </w:rPr>
  </w:style>
  <w:style w:type="character" w:styleId="IntenseReference">
    <w:name w:val="Intense Reference"/>
    <w:basedOn w:val="DefaultParagraphFont"/>
    <w:uiPriority w:val="32"/>
    <w:qFormat/>
    <w:rsid w:val="00D000B5"/>
    <w:rPr>
      <w:b/>
      <w:bCs/>
      <w:smallCaps/>
      <w:color w:val="156082" w:themeColor="accent1"/>
      <w:spacing w:val="5"/>
    </w:rPr>
  </w:style>
  <w:style w:type="table" w:customStyle="1" w:styleId="PlainTable5">
    <w:name w:val="Plain Table 5"/>
    <w:basedOn w:val="TableNormal"/>
    <w:uiPriority w:val="45"/>
    <w:rsid w:val="00D000B5"/>
    <w:pPr>
      <w:spacing w:after="0" w:line="240" w:lineRule="auto"/>
      <w:jc w:val="right"/>
    </w:pPr>
    <w:rPr>
      <w:rFonts w:asciiTheme="majorHAnsi" w:hAnsiTheme="majorHAnsi" w:cstheme="majorBidi"/>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4">
    <w:name w:val="No List4"/>
    <w:next w:val="NoList"/>
    <w:uiPriority w:val="99"/>
    <w:semiHidden/>
    <w:unhideWhenUsed/>
    <w:rsid w:val="006C4F44"/>
  </w:style>
  <w:style w:type="table" w:customStyle="1" w:styleId="TableGrid22">
    <w:name w:val="Table Grid22"/>
    <w:basedOn w:val="TableNormal"/>
    <w:next w:val="TableGrid"/>
    <w:uiPriority w:val="39"/>
    <w:rsid w:val="00503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F107E"/>
  </w:style>
  <w:style w:type="numbering" w:customStyle="1" w:styleId="NoList12">
    <w:name w:val="No List12"/>
    <w:next w:val="NoList"/>
    <w:uiPriority w:val="99"/>
    <w:semiHidden/>
    <w:unhideWhenUsed/>
    <w:rsid w:val="00BF107E"/>
  </w:style>
  <w:style w:type="table" w:customStyle="1" w:styleId="TableGrid23">
    <w:name w:val="Table Grid23"/>
    <w:basedOn w:val="TableNormal"/>
    <w:next w:val="TableGrid"/>
    <w:uiPriority w:val="39"/>
    <w:unhideWhenUsed/>
    <w:rsid w:val="00BF107E"/>
    <w:pPr>
      <w:spacing w:after="0" w:line="240" w:lineRule="auto"/>
      <w:jc w:val="right"/>
    </w:pPr>
    <w:rPr>
      <w:rFonts w:ascii="Cambria" w:hAnsi="Cambria"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BF107E"/>
  </w:style>
  <w:style w:type="numbering" w:customStyle="1" w:styleId="NoList112">
    <w:name w:val="No List112"/>
    <w:next w:val="NoList"/>
    <w:uiPriority w:val="99"/>
    <w:semiHidden/>
    <w:unhideWhenUsed/>
    <w:rsid w:val="00BF107E"/>
  </w:style>
  <w:style w:type="table" w:customStyle="1" w:styleId="TableGrid110">
    <w:name w:val="Table Grid110"/>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39"/>
    <w:unhideWhenUsed/>
    <w:rsid w:val="00BF107E"/>
    <w:pPr>
      <w:spacing w:after="0" w:line="240" w:lineRule="auto"/>
    </w:pPr>
    <w:rPr>
      <w:rFonts w:ascii="Aptos" w:hAnsi="Aptos"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BF107E"/>
    <w:pPr>
      <w:spacing w:after="0" w:line="240" w:lineRule="auto"/>
    </w:pPr>
    <w:rPr>
      <w:rFonts w:ascii="Calibri" w:eastAsia="Calibri" w:hAnsi="Calibri" w:cs="SimSu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BF107E"/>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next w:val="PlainTable24"/>
    <w:uiPriority w:val="42"/>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1">
    <w:name w:val="Grid Table 1 Light - Accent 211"/>
    <w:basedOn w:val="TableNormal"/>
    <w:next w:val="GridTable1Light-Accent24"/>
    <w:uiPriority w:val="46"/>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1">
    <w:name w:val="Table Grid11111"/>
    <w:basedOn w:val="TableNormal"/>
    <w:next w:val="TableGrid"/>
    <w:uiPriority w:val="39"/>
    <w:rsid w:val="00BF107E"/>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1">
    <w:name w:val="Plain Table 221"/>
    <w:basedOn w:val="TableNormal"/>
    <w:next w:val="PlainTable24"/>
    <w:uiPriority w:val="42"/>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1">
    <w:name w:val="Grid Table 1 Light - Accent 221"/>
    <w:basedOn w:val="TableNormal"/>
    <w:next w:val="GridTable1Light-Accent24"/>
    <w:uiPriority w:val="46"/>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1">
    <w:name w:val="Table Grid2111"/>
    <w:basedOn w:val="TableNormal"/>
    <w:next w:val="TableGrid"/>
    <w:uiPriority w:val="39"/>
    <w:rsid w:val="00BF107E"/>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
    <w:name w:val="Plain Table 231"/>
    <w:basedOn w:val="TableNormal"/>
    <w:next w:val="PlainTable24"/>
    <w:uiPriority w:val="42"/>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1">
    <w:name w:val="Grid Table 1 Light - Accent 231"/>
    <w:basedOn w:val="TableNormal"/>
    <w:next w:val="GridTable1Light-Accent24"/>
    <w:uiPriority w:val="46"/>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2">
    <w:name w:val="Plain Table 512"/>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1">
    <w:name w:val="Table Grid12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1">
    <w:name w:val="Plain Table 5111"/>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
    <w:name w:val="Plain Table 311"/>
    <w:basedOn w:val="TableNormal"/>
    <w:next w:val="PlainTable32"/>
    <w:uiPriority w:val="43"/>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1">
    <w:name w:val="Plain Table 241"/>
    <w:basedOn w:val="TableNormal"/>
    <w:uiPriority w:val="42"/>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1">
    <w:name w:val="Grid Table 1 Light - Accent 24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2">
    <w:name w:val="Plain Table 522"/>
    <w:basedOn w:val="TableNormal"/>
    <w:uiPriority w:val="45"/>
    <w:rsid w:val="00BF107E"/>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1">
    <w:name w:val="Plain Table 321"/>
    <w:basedOn w:val="TableNormal"/>
    <w:uiPriority w:val="43"/>
    <w:rsid w:val="00BF107E"/>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2">
    <w:name w:val="Plain Table 5212"/>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1">
    <w:name w:val="No List1111"/>
    <w:next w:val="NoList"/>
    <w:uiPriority w:val="99"/>
    <w:semiHidden/>
    <w:unhideWhenUsed/>
    <w:rsid w:val="00BF107E"/>
  </w:style>
  <w:style w:type="table" w:customStyle="1" w:styleId="TableGrid41">
    <w:name w:val="Table Grid41"/>
    <w:basedOn w:val="TableNormal"/>
    <w:next w:val="TableGrid"/>
    <w:uiPriority w:val="39"/>
    <w:rsid w:val="00BF107E"/>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BF107E"/>
  </w:style>
  <w:style w:type="table" w:customStyle="1" w:styleId="TableGrid51">
    <w:name w:val="Table Grid51"/>
    <w:basedOn w:val="TableNormal"/>
    <w:next w:val="TableGrid"/>
    <w:uiPriority w:val="39"/>
    <w:rsid w:val="00BF107E"/>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1">
    <w:name w:val="Plain Table 531"/>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1">
    <w:name w:val="Plain Table 541"/>
    <w:basedOn w:val="TableNormal"/>
    <w:next w:val="PlainTable5"/>
    <w:uiPriority w:val="45"/>
    <w:rsid w:val="00BF107E"/>
    <w:pPr>
      <w:spacing w:after="0" w:line="240" w:lineRule="auto"/>
    </w:pPr>
    <w:rPr>
      <w:rFonts w:ascii="Aptos" w:hAnsi="Aptos" w:cs="Times New Roman"/>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1">
    <w:name w:val="Plain Table 551"/>
    <w:basedOn w:val="TableNormal"/>
    <w:next w:val="PlainTable5"/>
    <w:uiPriority w:val="45"/>
    <w:rsid w:val="00BF107E"/>
    <w:pPr>
      <w:spacing w:after="0" w:line="240" w:lineRule="auto"/>
    </w:pPr>
    <w:rPr>
      <w:rFonts w:ascii="Aptos" w:hAnsi="Aptos" w:cs="Times New Roman"/>
    </w:r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1">
    <w:name w:val="Table Grid6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111">
    <w:name w:val="Plain Table 52111"/>
    <w:basedOn w:val="TableNormal"/>
    <w:uiPriority w:val="45"/>
    <w:rsid w:val="00BF107E"/>
    <w:pPr>
      <w:spacing w:after="0" w:line="240" w:lineRule="auto"/>
    </w:pPr>
    <w:rPr>
      <w:rFonts w:ascii="Calibri" w:eastAsia="Calibri" w:hAnsi="Calibri" w:cs="Times New Roman"/>
      <w:sz w:val="22"/>
      <w:szCs w:val="22"/>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1">
    <w:name w:val="Table Grid7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107E"/>
  </w:style>
  <w:style w:type="table" w:customStyle="1" w:styleId="TableGrid201">
    <w:name w:val="Table Grid20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6">
    <w:name w:val="Plain Table 56"/>
    <w:basedOn w:val="TableNormal"/>
    <w:next w:val="PlainTable5"/>
    <w:uiPriority w:val="45"/>
    <w:rsid w:val="00BF107E"/>
    <w:pPr>
      <w:spacing w:after="0" w:line="240" w:lineRule="auto"/>
      <w:jc w:val="right"/>
    </w:pPr>
    <w:rPr>
      <w:rFonts w:ascii="Cambria" w:hAnsi="Cambria"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6">
    <w:name w:val="No List6"/>
    <w:next w:val="NoList"/>
    <w:uiPriority w:val="99"/>
    <w:semiHidden/>
    <w:unhideWhenUsed/>
    <w:rsid w:val="00E142FF"/>
  </w:style>
  <w:style w:type="numbering" w:customStyle="1" w:styleId="NoList13">
    <w:name w:val="No List13"/>
    <w:next w:val="NoList"/>
    <w:uiPriority w:val="99"/>
    <w:semiHidden/>
    <w:unhideWhenUsed/>
    <w:rsid w:val="00E142FF"/>
  </w:style>
  <w:style w:type="table" w:customStyle="1" w:styleId="TableGrid113">
    <w:name w:val="Table Grid113"/>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39"/>
    <w:unhideWhenUsed/>
    <w:rsid w:val="00E142F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uiPriority w:val="46"/>
    <w:rsid w:val="00E142FF"/>
    <w:pPr>
      <w:spacing w:after="0" w:line="240" w:lineRule="auto"/>
    </w:pPr>
    <w:rPr>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6">
    <w:name w:val="Table Grid26"/>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E142FF"/>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
    <w:name w:val="Plain Table 232"/>
    <w:basedOn w:val="TableNormal"/>
    <w:next w:val="PlainTable24"/>
    <w:uiPriority w:val="42"/>
    <w:rsid w:val="00E142FF"/>
    <w:pPr>
      <w:spacing w:after="0" w:line="240" w:lineRule="auto"/>
    </w:pPr>
    <w:rPr>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2">
    <w:name w:val="Grid Table 1 Light - Accent 232"/>
    <w:basedOn w:val="TableNormal"/>
    <w:next w:val="GridTable1Light-Accent24"/>
    <w:uiPriority w:val="46"/>
    <w:rsid w:val="00E142FF"/>
    <w:pPr>
      <w:spacing w:after="0" w:line="240" w:lineRule="auto"/>
    </w:pPr>
    <w:rPr>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3">
    <w:name w:val="Plain Table 513"/>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2">
    <w:name w:val="Table Grid122"/>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2">
    <w:name w:val="Plain Table 5112"/>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2">
    <w:name w:val="Plain Table 312"/>
    <w:basedOn w:val="TableNormal"/>
    <w:next w:val="PlainTable32"/>
    <w:uiPriority w:val="43"/>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2">
    <w:name w:val="Plain Table 242"/>
    <w:basedOn w:val="TableNormal"/>
    <w:uiPriority w:val="42"/>
    <w:rsid w:val="00E142FF"/>
    <w:pPr>
      <w:spacing w:after="0" w:line="240" w:lineRule="auto"/>
    </w:pPr>
    <w:rPr>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2">
    <w:name w:val="Grid Table 1 Light - Accent 242"/>
    <w:basedOn w:val="TableNormal"/>
    <w:uiPriority w:val="46"/>
    <w:rsid w:val="00E142FF"/>
    <w:pPr>
      <w:spacing w:after="0" w:line="240" w:lineRule="auto"/>
    </w:pPr>
    <w:rPr>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3">
    <w:name w:val="Plain Table 523"/>
    <w:basedOn w:val="TableNormal"/>
    <w:uiPriority w:val="45"/>
    <w:rsid w:val="00E142FF"/>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2">
    <w:name w:val="Plain Table 322"/>
    <w:basedOn w:val="TableNormal"/>
    <w:uiPriority w:val="43"/>
    <w:rsid w:val="00E142FF"/>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3">
    <w:name w:val="Plain Table 5213"/>
    <w:basedOn w:val="TableNormal"/>
    <w:next w:val="PlainTable52"/>
    <w:uiPriority w:val="45"/>
    <w:rsid w:val="00E142FF"/>
    <w:pPr>
      <w:spacing w:after="0" w:line="240" w:lineRule="auto"/>
    </w:pPr>
    <w:rPr>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3">
    <w:name w:val="No List113"/>
    <w:next w:val="NoList"/>
    <w:uiPriority w:val="99"/>
    <w:semiHidden/>
    <w:unhideWhenUsed/>
    <w:rsid w:val="00E142FF"/>
  </w:style>
  <w:style w:type="table" w:customStyle="1" w:styleId="TableGrid42">
    <w:name w:val="Table Grid42"/>
    <w:basedOn w:val="TableNormal"/>
    <w:next w:val="TableGrid"/>
    <w:uiPriority w:val="39"/>
    <w:rsid w:val="00E142FF"/>
    <w:pPr>
      <w:spacing w:after="0" w:line="240" w:lineRule="auto"/>
    </w:pPr>
    <w:rPr>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E142FF"/>
  </w:style>
  <w:style w:type="table" w:customStyle="1" w:styleId="TableGrid52">
    <w:name w:val="Table Grid52"/>
    <w:basedOn w:val="TableNormal"/>
    <w:next w:val="TableGrid"/>
    <w:uiPriority w:val="39"/>
    <w:rsid w:val="00E142FF"/>
    <w:pPr>
      <w:spacing w:after="0" w:line="240" w:lineRule="auto"/>
    </w:pPr>
    <w:rPr>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2">
    <w:name w:val="Plain Table 532"/>
    <w:basedOn w:val="TableNormal"/>
    <w:next w:val="PlainTable52"/>
    <w:uiPriority w:val="45"/>
    <w:rsid w:val="00E142FF"/>
    <w:pPr>
      <w:spacing w:after="0" w:line="240" w:lineRule="auto"/>
    </w:pPr>
    <w:rPr>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2">
    <w:name w:val="Plain Table 542"/>
    <w:basedOn w:val="TableNormal"/>
    <w:next w:val="PlainTable5"/>
    <w:uiPriority w:val="45"/>
    <w:rsid w:val="00E142FF"/>
    <w:pPr>
      <w:spacing w:after="0" w:line="240" w:lineRule="auto"/>
    </w:pPr>
    <w:rPr>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7">
    <w:name w:val="Plain Table 57"/>
    <w:basedOn w:val="TableNormal"/>
    <w:next w:val="PlainTable5"/>
    <w:uiPriority w:val="45"/>
    <w:rsid w:val="00E142F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2">
    <w:name w:val="Table Grid6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142FF"/>
  </w:style>
  <w:style w:type="table" w:customStyle="1" w:styleId="TableGrid202">
    <w:name w:val="Table Grid20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142FF"/>
    <w:pPr>
      <w:spacing w:before="240" w:line="259" w:lineRule="auto"/>
      <w:jc w:val="left"/>
      <w:outlineLvl w:val="9"/>
    </w:pPr>
    <w:rPr>
      <w:b w:val="0"/>
      <w:bCs w:val="0"/>
      <w:sz w:val="32"/>
      <w:szCs w:val="32"/>
      <w:lang w:val="en-GB" w:eastAsia="en-GB"/>
    </w:rPr>
  </w:style>
  <w:style w:type="table" w:customStyle="1" w:styleId="TableGrid241">
    <w:name w:val="Table Grid24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E142FF"/>
  </w:style>
  <w:style w:type="table" w:customStyle="1" w:styleId="TableGrid261">
    <w:name w:val="Table Grid26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E14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B5"/>
    <w:pPr>
      <w:spacing w:after="0" w:line="240" w:lineRule="auto"/>
      <w:jc w:val="right"/>
    </w:pPr>
    <w:rPr>
      <w:rFonts w:asciiTheme="majorHAnsi" w:hAnsiTheme="majorHAnsi" w:cstheme="majorBidi"/>
      <w:kern w:val="0"/>
      <w:sz w:val="22"/>
      <w:szCs w:val="22"/>
      <w:lang w:val="en-US"/>
      <w14:ligatures w14:val="none"/>
    </w:rPr>
  </w:style>
  <w:style w:type="paragraph" w:styleId="Heading1">
    <w:name w:val="heading 1"/>
    <w:basedOn w:val="Normal"/>
    <w:next w:val="Normal"/>
    <w:link w:val="Heading1Char"/>
    <w:uiPriority w:val="9"/>
    <w:qFormat/>
    <w:rsid w:val="00D000B5"/>
    <w:pPr>
      <w:keepNext/>
      <w:keepLines/>
      <w:spacing w:before="480"/>
      <w:outlineLvl w:val="0"/>
    </w:pPr>
    <w:rPr>
      <w:rFonts w:eastAsiaTheme="majorEastAsia"/>
      <w:b/>
      <w:bCs/>
      <w:color w:val="0F4761" w:themeColor="accent1" w:themeShade="BF"/>
      <w:sz w:val="28"/>
      <w:szCs w:val="28"/>
    </w:rPr>
  </w:style>
  <w:style w:type="paragraph" w:styleId="Heading2">
    <w:name w:val="heading 2"/>
    <w:basedOn w:val="Normal"/>
    <w:next w:val="Normal"/>
    <w:link w:val="Heading2Char"/>
    <w:uiPriority w:val="9"/>
    <w:unhideWhenUsed/>
    <w:qFormat/>
    <w:rsid w:val="00D000B5"/>
    <w:pPr>
      <w:keepNext/>
      <w:keepLines/>
      <w:spacing w:before="200"/>
      <w:jc w:val="both"/>
      <w:outlineLvl w:val="1"/>
    </w:pPr>
    <w:rPr>
      <w:rFonts w:ascii="Times New Roman" w:eastAsiaTheme="majorEastAsia" w:hAnsi="Times New Roman" w:cs="Times New Roman"/>
      <w:b/>
      <w:bCs/>
      <w:color w:val="156082" w:themeColor="accent1"/>
      <w:sz w:val="26"/>
      <w:szCs w:val="26"/>
    </w:rPr>
  </w:style>
  <w:style w:type="paragraph" w:styleId="Heading3">
    <w:name w:val="heading 3"/>
    <w:basedOn w:val="Normal"/>
    <w:next w:val="Normal"/>
    <w:link w:val="Heading3Char"/>
    <w:uiPriority w:val="9"/>
    <w:semiHidden/>
    <w:unhideWhenUsed/>
    <w:qFormat/>
    <w:rsid w:val="00D000B5"/>
    <w:pPr>
      <w:keepNext/>
      <w:keepLines/>
      <w:spacing w:before="200"/>
      <w:outlineLvl w:val="2"/>
    </w:pPr>
    <w:rPr>
      <w:rFonts w:eastAsiaTheme="majorEastAsia"/>
      <w:b/>
      <w:bCs/>
      <w:color w:val="156082" w:themeColor="accent1"/>
    </w:rPr>
  </w:style>
  <w:style w:type="paragraph" w:styleId="Heading4">
    <w:name w:val="heading 4"/>
    <w:basedOn w:val="Normal"/>
    <w:link w:val="Heading4Char"/>
    <w:uiPriority w:val="9"/>
    <w:qFormat/>
    <w:rsid w:val="00D000B5"/>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000B5"/>
    <w:pPr>
      <w:keepNext/>
      <w:keepLines/>
      <w:spacing w:before="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D000B5"/>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D000B5"/>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D000B5"/>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D000B5"/>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B5"/>
    <w:rPr>
      <w:rFonts w:asciiTheme="majorHAnsi" w:eastAsiaTheme="majorEastAsia" w:hAnsiTheme="majorHAnsi" w:cstheme="majorBidi"/>
      <w:b/>
      <w:bCs/>
      <w:color w:val="0F4761"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D000B5"/>
    <w:rPr>
      <w:rFonts w:ascii="Times New Roman" w:eastAsiaTheme="majorEastAsia" w:hAnsi="Times New Roman" w:cs="Times New Roman"/>
      <w:b/>
      <w:bCs/>
      <w:color w:val="156082" w:themeColor="accent1"/>
      <w:kern w:val="0"/>
      <w:sz w:val="26"/>
      <w:szCs w:val="26"/>
      <w:lang w:val="en-US"/>
      <w14:ligatures w14:val="none"/>
    </w:rPr>
  </w:style>
  <w:style w:type="character" w:customStyle="1" w:styleId="Heading3Char">
    <w:name w:val="Heading 3 Char"/>
    <w:basedOn w:val="DefaultParagraphFont"/>
    <w:link w:val="Heading3"/>
    <w:uiPriority w:val="9"/>
    <w:semiHidden/>
    <w:rsid w:val="00D000B5"/>
    <w:rPr>
      <w:rFonts w:asciiTheme="majorHAnsi" w:eastAsiaTheme="majorEastAsia" w:hAnsiTheme="majorHAnsi" w:cstheme="majorBidi"/>
      <w:b/>
      <w:bCs/>
      <w:color w:val="156082" w:themeColor="accent1"/>
      <w:kern w:val="0"/>
      <w:sz w:val="22"/>
      <w:szCs w:val="22"/>
      <w:lang w:val="en-US"/>
      <w14:ligatures w14:val="none"/>
    </w:rPr>
  </w:style>
  <w:style w:type="character" w:customStyle="1" w:styleId="Heading4Char">
    <w:name w:val="Heading 4 Char"/>
    <w:basedOn w:val="DefaultParagraphFont"/>
    <w:link w:val="Heading4"/>
    <w:uiPriority w:val="9"/>
    <w:rsid w:val="00D000B5"/>
    <w:rPr>
      <w:rFonts w:ascii="Times New Roman" w:eastAsia="Times New Roman" w:hAnsi="Times New Roman" w:cs="Times New Roman"/>
      <w:b/>
      <w:bCs/>
      <w:kern w:val="0"/>
      <w:lang w:val="en-US"/>
      <w14:ligatures w14:val="none"/>
    </w:rPr>
  </w:style>
  <w:style w:type="character" w:customStyle="1" w:styleId="Heading5Char">
    <w:name w:val="Heading 5 Char"/>
    <w:basedOn w:val="DefaultParagraphFont"/>
    <w:link w:val="Heading5"/>
    <w:uiPriority w:val="9"/>
    <w:semiHidden/>
    <w:rsid w:val="00D000B5"/>
    <w:rPr>
      <w:rFonts w:asciiTheme="majorHAnsi" w:eastAsia="Times New Roman" w:hAnsiTheme="majorHAnsi" w:cs="Times New Roman"/>
      <w:color w:val="0F4761"/>
      <w:kern w:val="0"/>
      <w:sz w:val="22"/>
      <w:szCs w:val="22"/>
      <w:lang w:val="en-US"/>
      <w14:ligatures w14:val="none"/>
    </w:rPr>
  </w:style>
  <w:style w:type="character" w:customStyle="1" w:styleId="Heading6Char">
    <w:name w:val="Heading 6 Char"/>
    <w:basedOn w:val="DefaultParagraphFont"/>
    <w:link w:val="Heading6"/>
    <w:uiPriority w:val="9"/>
    <w:semiHidden/>
    <w:rsid w:val="00D000B5"/>
    <w:rPr>
      <w:rFonts w:asciiTheme="majorHAnsi" w:eastAsia="Times New Roman" w:hAnsiTheme="majorHAnsi" w:cs="Times New Roman"/>
      <w:i/>
      <w:iCs/>
      <w:color w:val="595959"/>
      <w:kern w:val="0"/>
      <w:sz w:val="22"/>
      <w:szCs w:val="22"/>
      <w:lang w:val="en-US"/>
      <w14:ligatures w14:val="none"/>
    </w:rPr>
  </w:style>
  <w:style w:type="character" w:customStyle="1" w:styleId="Heading7Char">
    <w:name w:val="Heading 7 Char"/>
    <w:basedOn w:val="DefaultParagraphFont"/>
    <w:link w:val="Heading7"/>
    <w:uiPriority w:val="9"/>
    <w:semiHidden/>
    <w:rsid w:val="00D000B5"/>
    <w:rPr>
      <w:rFonts w:asciiTheme="majorHAnsi" w:eastAsia="Times New Roman" w:hAnsiTheme="majorHAnsi" w:cs="Times New Roman"/>
      <w:color w:val="595959"/>
      <w:kern w:val="0"/>
      <w:sz w:val="22"/>
      <w:szCs w:val="22"/>
      <w:lang w:val="en-US"/>
      <w14:ligatures w14:val="none"/>
    </w:rPr>
  </w:style>
  <w:style w:type="character" w:customStyle="1" w:styleId="Heading8Char">
    <w:name w:val="Heading 8 Char"/>
    <w:basedOn w:val="DefaultParagraphFont"/>
    <w:link w:val="Heading8"/>
    <w:uiPriority w:val="9"/>
    <w:semiHidden/>
    <w:rsid w:val="00D000B5"/>
    <w:rPr>
      <w:rFonts w:asciiTheme="majorHAnsi" w:eastAsia="Times New Roman" w:hAnsiTheme="majorHAnsi" w:cs="Times New Roman"/>
      <w:i/>
      <w:iCs/>
      <w:color w:val="272727"/>
      <w:kern w:val="0"/>
      <w:sz w:val="22"/>
      <w:szCs w:val="22"/>
      <w:lang w:val="en-US"/>
      <w14:ligatures w14:val="none"/>
    </w:rPr>
  </w:style>
  <w:style w:type="character" w:customStyle="1" w:styleId="Heading9Char">
    <w:name w:val="Heading 9 Char"/>
    <w:basedOn w:val="DefaultParagraphFont"/>
    <w:link w:val="Heading9"/>
    <w:uiPriority w:val="9"/>
    <w:semiHidden/>
    <w:rsid w:val="00D000B5"/>
    <w:rPr>
      <w:rFonts w:asciiTheme="majorHAnsi" w:eastAsia="Times New Roman" w:hAnsiTheme="majorHAnsi" w:cs="Times New Roman"/>
      <w:color w:val="272727"/>
      <w:kern w:val="0"/>
      <w:sz w:val="22"/>
      <w:szCs w:val="22"/>
      <w:lang w:val="en-US"/>
      <w14:ligatures w14:val="none"/>
    </w:rPr>
  </w:style>
  <w:style w:type="paragraph" w:styleId="ListParagraph">
    <w:name w:val="List Paragraph"/>
    <w:basedOn w:val="Normal"/>
    <w:uiPriority w:val="34"/>
    <w:qFormat/>
    <w:rsid w:val="00D000B5"/>
    <w:pPr>
      <w:ind w:left="720"/>
      <w:contextualSpacing/>
    </w:pPr>
  </w:style>
  <w:style w:type="paragraph" w:styleId="NormalWeb">
    <w:name w:val="Normal (Web)"/>
    <w:basedOn w:val="Normal"/>
    <w:uiPriority w:val="99"/>
    <w:unhideWhenUsed/>
    <w:qFormat/>
    <w:rsid w:val="00D000B5"/>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000B5"/>
    <w:rPr>
      <w:b/>
      <w:bCs/>
    </w:rPr>
  </w:style>
  <w:style w:type="character" w:styleId="Emphasis">
    <w:name w:val="Emphasis"/>
    <w:basedOn w:val="DefaultParagraphFont"/>
    <w:uiPriority w:val="20"/>
    <w:qFormat/>
    <w:rsid w:val="00D000B5"/>
    <w:rPr>
      <w:i/>
      <w:iCs/>
    </w:rPr>
  </w:style>
  <w:style w:type="character" w:styleId="Hyperlink">
    <w:name w:val="Hyperlink"/>
    <w:basedOn w:val="DefaultParagraphFont"/>
    <w:uiPriority w:val="99"/>
    <w:unhideWhenUsed/>
    <w:rsid w:val="00D000B5"/>
    <w:rPr>
      <w:color w:val="0000FF"/>
      <w:u w:val="single"/>
    </w:rPr>
  </w:style>
  <w:style w:type="paragraph" w:customStyle="1" w:styleId="Default">
    <w:name w:val="Default"/>
    <w:qFormat/>
    <w:rsid w:val="00D000B5"/>
    <w:pPr>
      <w:autoSpaceDE w:val="0"/>
      <w:autoSpaceDN w:val="0"/>
      <w:adjustRightInd w:val="0"/>
      <w:spacing w:after="0" w:line="240" w:lineRule="auto"/>
    </w:pPr>
    <w:rPr>
      <w:rFonts w:ascii="Baskerville MT Std" w:eastAsiaTheme="minorEastAsia" w:hAnsi="Baskerville MT Std" w:cs="Baskerville MT Std"/>
      <w:color w:val="000000"/>
      <w:kern w:val="0"/>
      <w:lang w:val="en-US"/>
      <w14:ligatures w14:val="none"/>
    </w:rPr>
  </w:style>
  <w:style w:type="paragraph" w:styleId="BalloonText">
    <w:name w:val="Balloon Text"/>
    <w:basedOn w:val="Normal"/>
    <w:link w:val="BalloonTextChar"/>
    <w:uiPriority w:val="99"/>
    <w:unhideWhenUsed/>
    <w:qFormat/>
    <w:rsid w:val="00D000B5"/>
    <w:rPr>
      <w:rFonts w:ascii="Tahoma" w:hAnsi="Tahoma" w:cs="Tahoma"/>
      <w:sz w:val="16"/>
      <w:szCs w:val="16"/>
    </w:rPr>
  </w:style>
  <w:style w:type="character" w:customStyle="1" w:styleId="BalloonTextChar">
    <w:name w:val="Balloon Text Char"/>
    <w:basedOn w:val="DefaultParagraphFont"/>
    <w:link w:val="BalloonText"/>
    <w:uiPriority w:val="99"/>
    <w:qFormat/>
    <w:rsid w:val="00D000B5"/>
    <w:rPr>
      <w:rFonts w:ascii="Tahoma" w:hAnsi="Tahoma" w:cs="Tahoma"/>
      <w:kern w:val="0"/>
      <w:sz w:val="16"/>
      <w:szCs w:val="16"/>
      <w:lang w:val="en-US"/>
      <w14:ligatures w14:val="none"/>
    </w:rPr>
  </w:style>
  <w:style w:type="numbering" w:customStyle="1" w:styleId="NoList1">
    <w:name w:val="No List1"/>
    <w:next w:val="NoList"/>
    <w:uiPriority w:val="99"/>
    <w:semiHidden/>
    <w:unhideWhenUsed/>
    <w:rsid w:val="00D000B5"/>
  </w:style>
  <w:style w:type="character" w:customStyle="1" w:styleId="react-xocs-alternative-link">
    <w:name w:val="react-xocs-alternative-link"/>
    <w:basedOn w:val="DefaultParagraphFont"/>
    <w:rsid w:val="00D000B5"/>
  </w:style>
  <w:style w:type="character" w:customStyle="1" w:styleId="given-name">
    <w:name w:val="given-name"/>
    <w:basedOn w:val="DefaultParagraphFont"/>
    <w:rsid w:val="00D000B5"/>
  </w:style>
  <w:style w:type="character" w:customStyle="1" w:styleId="text">
    <w:name w:val="text"/>
    <w:basedOn w:val="DefaultParagraphFont"/>
    <w:rsid w:val="00D000B5"/>
  </w:style>
  <w:style w:type="paragraph" w:styleId="Header">
    <w:name w:val="header"/>
    <w:basedOn w:val="Normal"/>
    <w:link w:val="Head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D000B5"/>
    <w:rPr>
      <w:rFonts w:ascii="Times New Roman" w:hAnsi="Times New Roman" w:cs="Times New Roman"/>
      <w:kern w:val="0"/>
      <w:lang w:val="en-US"/>
      <w14:ligatures w14:val="none"/>
    </w:rPr>
  </w:style>
  <w:style w:type="paragraph" w:styleId="Footer">
    <w:name w:val="footer"/>
    <w:basedOn w:val="Normal"/>
    <w:link w:val="FooterChar"/>
    <w:uiPriority w:val="99"/>
    <w:unhideWhenUsed/>
    <w:qFormat/>
    <w:rsid w:val="00D000B5"/>
    <w:pPr>
      <w:tabs>
        <w:tab w:val="center" w:pos="4680"/>
        <w:tab w:val="right" w:pos="9360"/>
      </w:tabs>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D000B5"/>
    <w:rPr>
      <w:rFonts w:ascii="Times New Roman" w:hAnsi="Times New Roman" w:cs="Times New Roman"/>
      <w:kern w:val="0"/>
      <w:lang w:val="en-US"/>
      <w14:ligatures w14:val="none"/>
    </w:rPr>
  </w:style>
  <w:style w:type="paragraph" w:customStyle="1" w:styleId="mark-6">
    <w:name w:val="mark-6"/>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html-italic">
    <w:name w:val="html-italic"/>
    <w:basedOn w:val="DefaultParagraphFont"/>
    <w:rsid w:val="00D000B5"/>
  </w:style>
  <w:style w:type="paragraph" w:customStyle="1" w:styleId="text-default">
    <w:name w:val="text-defaul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fr-inner">
    <w:name w:val="fr-inner"/>
    <w:basedOn w:val="DefaultParagraphFont"/>
    <w:rsid w:val="00D000B5"/>
  </w:style>
  <w:style w:type="character" w:styleId="PlaceholderText">
    <w:name w:val="Placeholder Text"/>
    <w:basedOn w:val="DefaultParagraphFont"/>
    <w:uiPriority w:val="99"/>
    <w:semiHidden/>
    <w:rsid w:val="00D000B5"/>
    <w:rPr>
      <w:color w:val="808080"/>
    </w:rPr>
  </w:style>
  <w:style w:type="character" w:customStyle="1" w:styleId="anchor-text">
    <w:name w:val="anchor-text"/>
    <w:basedOn w:val="DefaultParagraphFont"/>
    <w:rsid w:val="00D000B5"/>
  </w:style>
  <w:style w:type="table" w:styleId="TableGrid">
    <w:name w:val="Table Grid"/>
    <w:basedOn w:val="TableNormal"/>
    <w:uiPriority w:val="39"/>
    <w:unhideWhenUsed/>
    <w:rsid w:val="00D000B5"/>
    <w:pPr>
      <w:spacing w:after="0" w:line="240" w:lineRule="auto"/>
      <w:jc w:val="right"/>
    </w:pPr>
    <w:rPr>
      <w:rFonts w:asciiTheme="majorHAnsi" w:hAnsiTheme="majorHAnsi" w:cstheme="majorBid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00B5"/>
    <w:rPr>
      <w:color w:val="96607D" w:themeColor="followedHyperlink"/>
      <w:u w:val="single"/>
    </w:rPr>
  </w:style>
  <w:style w:type="character" w:customStyle="1" w:styleId="flex">
    <w:name w:val="flex"/>
    <w:basedOn w:val="DefaultParagraphFont"/>
    <w:rsid w:val="00D000B5"/>
  </w:style>
  <w:style w:type="character" w:customStyle="1" w:styleId="mx-1">
    <w:name w:val="mx-1"/>
    <w:basedOn w:val="DefaultParagraphFont"/>
    <w:rsid w:val="00D000B5"/>
  </w:style>
  <w:style w:type="character" w:customStyle="1" w:styleId="author-ref">
    <w:name w:val="author-ref"/>
    <w:basedOn w:val="DefaultParagraphFont"/>
    <w:rsid w:val="00D000B5"/>
  </w:style>
  <w:style w:type="character" w:customStyle="1" w:styleId="a">
    <w:name w:val="_"/>
    <w:basedOn w:val="DefaultParagraphFont"/>
    <w:qFormat/>
    <w:rsid w:val="00D000B5"/>
  </w:style>
  <w:style w:type="character" w:customStyle="1" w:styleId="ff2">
    <w:name w:val="ff2"/>
    <w:basedOn w:val="DefaultParagraphFont"/>
    <w:rsid w:val="00D000B5"/>
  </w:style>
  <w:style w:type="character" w:customStyle="1" w:styleId="ff3">
    <w:name w:val="ff3"/>
    <w:basedOn w:val="DefaultParagraphFont"/>
    <w:rsid w:val="00D000B5"/>
  </w:style>
  <w:style w:type="character" w:customStyle="1" w:styleId="ff1">
    <w:name w:val="ff1"/>
    <w:basedOn w:val="DefaultParagraphFont"/>
    <w:rsid w:val="00D000B5"/>
  </w:style>
  <w:style w:type="character" w:customStyle="1" w:styleId="ffd">
    <w:name w:val="ffd"/>
    <w:basedOn w:val="DefaultParagraphFont"/>
    <w:rsid w:val="00D000B5"/>
  </w:style>
  <w:style w:type="character" w:customStyle="1" w:styleId="ff5">
    <w:name w:val="ff5"/>
    <w:basedOn w:val="DefaultParagraphFont"/>
    <w:rsid w:val="00D000B5"/>
  </w:style>
  <w:style w:type="character" w:customStyle="1" w:styleId="ls3d">
    <w:name w:val="ls3d"/>
    <w:basedOn w:val="DefaultParagraphFont"/>
    <w:rsid w:val="00D000B5"/>
  </w:style>
  <w:style w:type="paragraph" w:customStyle="1" w:styleId="citationtext">
    <w:name w:val="citation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text-node">
    <w:name w:val="text-node"/>
    <w:basedOn w:val="DefaultParagraphFont"/>
    <w:rsid w:val="00D000B5"/>
  </w:style>
  <w:style w:type="paragraph" w:customStyle="1" w:styleId="ng-tns-c1-0">
    <w:name w:val="ng-tns-c1-0"/>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tns-c1-01">
    <w:name w:val="ng-tns-c1-01"/>
    <w:basedOn w:val="DefaultParagraphFont"/>
    <w:rsid w:val="00D000B5"/>
  </w:style>
  <w:style w:type="paragraph" w:customStyle="1" w:styleId="blurb-text">
    <w:name w:val="blurb-text"/>
    <w:basedOn w:val="Normal"/>
    <w:rsid w:val="00D000B5"/>
    <w:pPr>
      <w:spacing w:before="100" w:beforeAutospacing="1" w:after="100" w:afterAutospacing="1"/>
      <w:jc w:val="left"/>
    </w:pPr>
    <w:rPr>
      <w:rFonts w:ascii="Times New Roman" w:eastAsia="Times New Roman" w:hAnsi="Times New Roman" w:cs="Times New Roman"/>
      <w:sz w:val="24"/>
      <w:szCs w:val="24"/>
    </w:rPr>
  </w:style>
  <w:style w:type="character" w:customStyle="1" w:styleId="ng-star-inserted">
    <w:name w:val="ng-star-inserted"/>
    <w:basedOn w:val="DefaultParagraphFont"/>
    <w:rsid w:val="00D000B5"/>
  </w:style>
  <w:style w:type="character" w:customStyle="1" w:styleId="svelte-5o33a9">
    <w:name w:val="svelte-5o33a9"/>
    <w:basedOn w:val="DefaultParagraphFont"/>
    <w:rsid w:val="00D000B5"/>
  </w:style>
  <w:style w:type="character" w:customStyle="1" w:styleId="fal6plv">
    <w:name w:val="fal6plv"/>
    <w:basedOn w:val="DefaultParagraphFont"/>
    <w:rsid w:val="00D000B5"/>
  </w:style>
  <w:style w:type="character" w:customStyle="1" w:styleId="personname">
    <w:name w:val="person_name"/>
    <w:basedOn w:val="DefaultParagraphFont"/>
    <w:rsid w:val="00D000B5"/>
  </w:style>
  <w:style w:type="character" w:styleId="CommentReference">
    <w:name w:val="annotation reference"/>
    <w:basedOn w:val="DefaultParagraphFont"/>
    <w:uiPriority w:val="99"/>
    <w:semiHidden/>
    <w:unhideWhenUsed/>
    <w:rsid w:val="00D000B5"/>
    <w:rPr>
      <w:sz w:val="16"/>
      <w:szCs w:val="16"/>
    </w:rPr>
  </w:style>
  <w:style w:type="paragraph" w:styleId="CommentText">
    <w:name w:val="annotation text"/>
    <w:basedOn w:val="Normal"/>
    <w:link w:val="CommentTextChar"/>
    <w:uiPriority w:val="99"/>
    <w:unhideWhenUsed/>
    <w:rsid w:val="00D000B5"/>
    <w:rPr>
      <w:sz w:val="20"/>
      <w:szCs w:val="20"/>
    </w:rPr>
  </w:style>
  <w:style w:type="character" w:customStyle="1" w:styleId="CommentTextChar">
    <w:name w:val="Comment Text Char"/>
    <w:basedOn w:val="DefaultParagraphFont"/>
    <w:link w:val="CommentText"/>
    <w:uiPriority w:val="99"/>
    <w:rsid w:val="00D000B5"/>
    <w:rPr>
      <w:rFonts w:asciiTheme="majorHAnsi" w:hAnsiTheme="majorHAnsi" w:cstheme="maj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00B5"/>
    <w:rPr>
      <w:b/>
      <w:bCs/>
    </w:rPr>
  </w:style>
  <w:style w:type="character" w:customStyle="1" w:styleId="CommentSubjectChar">
    <w:name w:val="Comment Subject Char"/>
    <w:basedOn w:val="CommentTextChar"/>
    <w:link w:val="CommentSubject"/>
    <w:uiPriority w:val="99"/>
    <w:semiHidden/>
    <w:rsid w:val="00D000B5"/>
    <w:rPr>
      <w:rFonts w:asciiTheme="majorHAnsi" w:hAnsiTheme="majorHAnsi" w:cstheme="majorBidi"/>
      <w:b/>
      <w:bCs/>
      <w:kern w:val="0"/>
      <w:sz w:val="20"/>
      <w:szCs w:val="20"/>
      <w:lang w:val="en-US"/>
      <w14:ligatures w14:val="none"/>
    </w:rPr>
  </w:style>
  <w:style w:type="paragraph" w:styleId="FootnoteText">
    <w:name w:val="footnote text"/>
    <w:basedOn w:val="Normal"/>
    <w:link w:val="FootnoteTextChar"/>
    <w:uiPriority w:val="99"/>
    <w:unhideWhenUsed/>
    <w:rsid w:val="00D000B5"/>
    <w:rPr>
      <w:sz w:val="20"/>
      <w:szCs w:val="20"/>
    </w:rPr>
  </w:style>
  <w:style w:type="character" w:customStyle="1" w:styleId="FootnoteTextChar">
    <w:name w:val="Footnote Text Char"/>
    <w:basedOn w:val="DefaultParagraphFont"/>
    <w:link w:val="FootnoteText"/>
    <w:uiPriority w:val="99"/>
    <w:rsid w:val="00D000B5"/>
    <w:rPr>
      <w:rFonts w:asciiTheme="majorHAnsi" w:hAnsiTheme="majorHAnsi" w:cstheme="majorBidi"/>
      <w:kern w:val="0"/>
      <w:sz w:val="20"/>
      <w:szCs w:val="20"/>
      <w:lang w:val="en-US"/>
      <w14:ligatures w14:val="none"/>
    </w:rPr>
  </w:style>
  <w:style w:type="character" w:styleId="FootnoteReference">
    <w:name w:val="footnote reference"/>
    <w:basedOn w:val="DefaultParagraphFont"/>
    <w:uiPriority w:val="99"/>
    <w:semiHidden/>
    <w:unhideWhenUsed/>
    <w:rsid w:val="00D000B5"/>
    <w:rPr>
      <w:vertAlign w:val="superscript"/>
    </w:rPr>
  </w:style>
  <w:style w:type="paragraph" w:styleId="EndnoteText">
    <w:name w:val="endnote text"/>
    <w:basedOn w:val="Normal"/>
    <w:link w:val="EndnoteTextChar"/>
    <w:uiPriority w:val="99"/>
    <w:unhideWhenUsed/>
    <w:rsid w:val="00D000B5"/>
    <w:rPr>
      <w:sz w:val="20"/>
      <w:szCs w:val="20"/>
    </w:rPr>
  </w:style>
  <w:style w:type="character" w:customStyle="1" w:styleId="EndnoteTextChar">
    <w:name w:val="Endnote Text Char"/>
    <w:basedOn w:val="DefaultParagraphFont"/>
    <w:link w:val="EndnoteText"/>
    <w:uiPriority w:val="99"/>
    <w:rsid w:val="00D000B5"/>
    <w:rPr>
      <w:rFonts w:asciiTheme="majorHAnsi" w:hAnsiTheme="majorHAnsi" w:cstheme="majorBidi"/>
      <w:kern w:val="0"/>
      <w:sz w:val="20"/>
      <w:szCs w:val="20"/>
      <w:lang w:val="en-US"/>
      <w14:ligatures w14:val="none"/>
    </w:rPr>
  </w:style>
  <w:style w:type="character" w:styleId="EndnoteReference">
    <w:name w:val="endnote reference"/>
    <w:basedOn w:val="DefaultParagraphFont"/>
    <w:uiPriority w:val="99"/>
    <w:semiHidden/>
    <w:unhideWhenUsed/>
    <w:rsid w:val="00D000B5"/>
    <w:rPr>
      <w:vertAlign w:val="superscript"/>
    </w:rPr>
  </w:style>
  <w:style w:type="character" w:customStyle="1" w:styleId="UnresolvedMention1">
    <w:name w:val="Unresolved Mention1"/>
    <w:basedOn w:val="DefaultParagraphFont"/>
    <w:uiPriority w:val="99"/>
    <w:semiHidden/>
    <w:unhideWhenUsed/>
    <w:rsid w:val="00D000B5"/>
    <w:rPr>
      <w:color w:val="605E5C"/>
      <w:shd w:val="clear" w:color="auto" w:fill="E1DFDD"/>
    </w:rPr>
  </w:style>
  <w:style w:type="paragraph" w:customStyle="1" w:styleId="Heading51">
    <w:name w:val="Heading 51"/>
    <w:basedOn w:val="Normal"/>
    <w:next w:val="Normal"/>
    <w:uiPriority w:val="9"/>
    <w:semiHidden/>
    <w:unhideWhenUsed/>
    <w:qFormat/>
    <w:rsid w:val="00D000B5"/>
    <w:pPr>
      <w:keepNext/>
      <w:keepLines/>
      <w:spacing w:before="80" w:after="40" w:line="278" w:lineRule="auto"/>
      <w:jc w:val="left"/>
      <w:outlineLvl w:val="4"/>
    </w:pPr>
    <w:rPr>
      <w:rFonts w:ascii="Aptos" w:eastAsia="Times New Roman" w:hAnsi="Aptos"/>
      <w:color w:val="0F4761"/>
      <w:kern w:val="2"/>
      <w:sz w:val="24"/>
      <w:szCs w:val="24"/>
      <w:lang w:val="en-GB"/>
      <w14:ligatures w14:val="standardContextual"/>
    </w:rPr>
  </w:style>
  <w:style w:type="paragraph" w:customStyle="1" w:styleId="Heading61">
    <w:name w:val="Heading 61"/>
    <w:basedOn w:val="Normal"/>
    <w:next w:val="Normal"/>
    <w:uiPriority w:val="9"/>
    <w:semiHidden/>
    <w:unhideWhenUsed/>
    <w:qFormat/>
    <w:rsid w:val="00D000B5"/>
    <w:pPr>
      <w:keepNext/>
      <w:keepLines/>
      <w:spacing w:before="40" w:line="278" w:lineRule="auto"/>
      <w:jc w:val="left"/>
      <w:outlineLvl w:val="5"/>
    </w:pPr>
    <w:rPr>
      <w:rFonts w:ascii="Aptos" w:eastAsia="Times New Roman" w:hAnsi="Aptos"/>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rsid w:val="00D000B5"/>
    <w:pPr>
      <w:keepNext/>
      <w:keepLines/>
      <w:spacing w:before="40" w:line="278" w:lineRule="auto"/>
      <w:jc w:val="left"/>
      <w:outlineLvl w:val="6"/>
    </w:pPr>
    <w:rPr>
      <w:rFonts w:ascii="Aptos" w:eastAsia="Times New Roman" w:hAnsi="Aptos"/>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rsid w:val="00D000B5"/>
    <w:pPr>
      <w:keepNext/>
      <w:keepLines/>
      <w:spacing w:line="278" w:lineRule="auto"/>
      <w:jc w:val="left"/>
      <w:outlineLvl w:val="7"/>
    </w:pPr>
    <w:rPr>
      <w:rFonts w:ascii="Aptos" w:eastAsia="Times New Roman" w:hAnsi="Aptos"/>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rsid w:val="00D000B5"/>
    <w:pPr>
      <w:keepNext/>
      <w:keepLines/>
      <w:spacing w:line="278" w:lineRule="auto"/>
      <w:jc w:val="left"/>
      <w:outlineLvl w:val="8"/>
    </w:pPr>
    <w:rPr>
      <w:rFonts w:ascii="Aptos" w:eastAsia="Times New Roman" w:hAnsi="Aptos"/>
      <w:color w:val="272727"/>
      <w:kern w:val="2"/>
      <w:sz w:val="24"/>
      <w:szCs w:val="24"/>
      <w:lang w:val="en-GB"/>
      <w14:ligatures w14:val="standardContextual"/>
    </w:rPr>
  </w:style>
  <w:style w:type="numbering" w:customStyle="1" w:styleId="NoList2">
    <w:name w:val="No List2"/>
    <w:next w:val="NoList"/>
    <w:uiPriority w:val="99"/>
    <w:semiHidden/>
    <w:unhideWhenUsed/>
    <w:rsid w:val="00D000B5"/>
  </w:style>
  <w:style w:type="paragraph" w:customStyle="1" w:styleId="Title1">
    <w:name w:val="Title1"/>
    <w:basedOn w:val="Normal"/>
    <w:next w:val="Normal"/>
    <w:uiPriority w:val="10"/>
    <w:qFormat/>
    <w:rsid w:val="00D000B5"/>
    <w:pPr>
      <w:spacing w:after="80"/>
      <w:contextualSpacing/>
      <w:jc w:val="left"/>
    </w:pPr>
    <w:rPr>
      <w:rFonts w:eastAsia="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D000B5"/>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000B5"/>
    <w:pPr>
      <w:numPr>
        <w:ilvl w:val="1"/>
      </w:numPr>
      <w:spacing w:after="160" w:line="278" w:lineRule="auto"/>
      <w:jc w:val="left"/>
    </w:pPr>
    <w:rPr>
      <w:rFonts w:ascii="Aptos" w:eastAsia="Times New Roman" w:hAnsi="Aptos"/>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000B5"/>
    <w:rPr>
      <w:rFonts w:eastAsia="Times New Roman" w:cs="Times New Roman"/>
      <w:color w:val="595959"/>
      <w:spacing w:val="15"/>
      <w:sz w:val="28"/>
      <w:szCs w:val="28"/>
    </w:rPr>
  </w:style>
  <w:style w:type="paragraph" w:customStyle="1" w:styleId="Quote1">
    <w:name w:val="Quote1"/>
    <w:basedOn w:val="Normal"/>
    <w:next w:val="Normal"/>
    <w:uiPriority w:val="29"/>
    <w:qFormat/>
    <w:rsid w:val="00D000B5"/>
    <w:pPr>
      <w:spacing w:before="160" w:after="160" w:line="278" w:lineRule="auto"/>
      <w:jc w:val="center"/>
    </w:pPr>
    <w:rPr>
      <w:rFonts w:ascii="Aptos" w:hAnsi="Aptos" w:cs="Times New Roman"/>
      <w:i/>
      <w:iCs/>
      <w:color w:val="404040"/>
      <w:kern w:val="2"/>
      <w:sz w:val="24"/>
      <w:szCs w:val="24"/>
      <w:lang w:val="en-GB"/>
      <w14:ligatures w14:val="standardContextual"/>
    </w:rPr>
  </w:style>
  <w:style w:type="character" w:customStyle="1" w:styleId="QuoteChar">
    <w:name w:val="Quote Char"/>
    <w:basedOn w:val="DefaultParagraphFont"/>
    <w:link w:val="Quote"/>
    <w:uiPriority w:val="29"/>
    <w:rsid w:val="00D000B5"/>
    <w:rPr>
      <w:i/>
      <w:iCs/>
      <w:color w:val="404040"/>
    </w:rPr>
  </w:style>
  <w:style w:type="character" w:customStyle="1" w:styleId="IntenseEmphasis1">
    <w:name w:val="Intense Emphasis1"/>
    <w:basedOn w:val="DefaultParagraphFont"/>
    <w:uiPriority w:val="21"/>
    <w:qFormat/>
    <w:rsid w:val="00D000B5"/>
    <w:rPr>
      <w:i/>
      <w:iCs/>
      <w:color w:val="0F4761"/>
    </w:rPr>
  </w:style>
  <w:style w:type="paragraph" w:customStyle="1" w:styleId="IntenseQuote1">
    <w:name w:val="Intense Quote1"/>
    <w:basedOn w:val="Normal"/>
    <w:next w:val="Normal"/>
    <w:uiPriority w:val="30"/>
    <w:qFormat/>
    <w:rsid w:val="00D000B5"/>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D000B5"/>
    <w:rPr>
      <w:i/>
      <w:iCs/>
      <w:color w:val="0F4761"/>
    </w:rPr>
  </w:style>
  <w:style w:type="character" w:customStyle="1" w:styleId="IntenseReference1">
    <w:name w:val="Intense Reference1"/>
    <w:basedOn w:val="DefaultParagraphFont"/>
    <w:uiPriority w:val="32"/>
    <w:qFormat/>
    <w:rsid w:val="00D000B5"/>
    <w:rPr>
      <w:b/>
      <w:bCs/>
      <w:smallCaps/>
      <w:color w:val="0F4761"/>
      <w:spacing w:val="5"/>
    </w:rPr>
  </w:style>
  <w:style w:type="numbering" w:customStyle="1" w:styleId="NoList11">
    <w:name w:val="No List11"/>
    <w:next w:val="NoList"/>
    <w:uiPriority w:val="99"/>
    <w:semiHidden/>
    <w:unhideWhenUsed/>
    <w:rsid w:val="00D000B5"/>
  </w:style>
  <w:style w:type="paragraph" w:customStyle="1" w:styleId="Heading11">
    <w:name w:val="Heading 11"/>
    <w:basedOn w:val="Normal"/>
    <w:next w:val="Normal"/>
    <w:uiPriority w:val="9"/>
    <w:qFormat/>
    <w:rsid w:val="00D000B5"/>
    <w:pPr>
      <w:keepNext/>
      <w:keepLines/>
      <w:spacing w:before="240" w:line="276" w:lineRule="auto"/>
      <w:jc w:val="left"/>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rsid w:val="00D000B5"/>
    <w:pPr>
      <w:keepNext/>
      <w:keepLines/>
      <w:spacing w:before="40" w:line="276" w:lineRule="auto"/>
      <w:jc w:val="left"/>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rsid w:val="00D000B5"/>
    <w:pPr>
      <w:keepNext/>
      <w:keepLines/>
      <w:spacing w:before="40" w:line="276" w:lineRule="auto"/>
      <w:jc w:val="left"/>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000B5"/>
    <w:pPr>
      <w:keepNext/>
      <w:keepLines/>
      <w:spacing w:before="40" w:line="276" w:lineRule="auto"/>
      <w:jc w:val="left"/>
      <w:outlineLvl w:val="3"/>
    </w:pPr>
    <w:rPr>
      <w:rFonts w:ascii="Calibri Light" w:eastAsia="Times New Roman" w:hAnsi="Calibri Light" w:cs="Times New Roman"/>
      <w:i/>
      <w:iCs/>
      <w:color w:val="2E74B5"/>
    </w:rPr>
  </w:style>
  <w:style w:type="character" w:customStyle="1" w:styleId="match">
    <w:name w:val="match"/>
    <w:basedOn w:val="DefaultParagraphFont"/>
    <w:rsid w:val="00D000B5"/>
  </w:style>
  <w:style w:type="character" w:customStyle="1" w:styleId="fontstyle01">
    <w:name w:val="fontstyle01"/>
    <w:basedOn w:val="DefaultParagraphFont"/>
    <w:rsid w:val="00D000B5"/>
    <w:rPr>
      <w:rFonts w:ascii="Times New Roman" w:hAnsi="Times New Roman" w:cs="Times New Roman" w:hint="default"/>
      <w:b w:val="0"/>
      <w:bCs w:val="0"/>
      <w:i w:val="0"/>
      <w:iCs w:val="0"/>
      <w:color w:val="000000"/>
      <w:sz w:val="24"/>
      <w:szCs w:val="24"/>
    </w:rPr>
  </w:style>
  <w:style w:type="character" w:customStyle="1" w:styleId="Hyperlink1">
    <w:name w:val="Hyperlink1"/>
    <w:basedOn w:val="DefaultParagraphFont"/>
    <w:uiPriority w:val="99"/>
    <w:unhideWhenUsed/>
    <w:rsid w:val="00D000B5"/>
    <w:rPr>
      <w:color w:val="0563C1"/>
      <w:u w:val="single"/>
    </w:rPr>
  </w:style>
  <w:style w:type="paragraph" w:styleId="NoSpacing">
    <w:name w:val="No Spacing"/>
    <w:uiPriority w:val="1"/>
    <w:qFormat/>
    <w:rsid w:val="00D000B5"/>
    <w:pPr>
      <w:spacing w:after="0" w:line="240" w:lineRule="auto"/>
    </w:pPr>
    <w:rPr>
      <w:rFonts w:ascii="Aptos" w:hAnsi="Aptos" w:cs="Times New Roman"/>
      <w:kern w:val="0"/>
      <w:sz w:val="22"/>
      <w:szCs w:val="22"/>
      <w14:ligatures w14:val="none"/>
    </w:rPr>
  </w:style>
  <w:style w:type="character" w:customStyle="1" w:styleId="fontstyle21">
    <w:name w:val="fontstyle21"/>
    <w:basedOn w:val="DefaultParagraphFont"/>
    <w:rsid w:val="00D000B5"/>
    <w:rPr>
      <w:rFonts w:ascii="Times New Roman" w:hAnsi="Times New Roman" w:cs="Times New Roman" w:hint="default"/>
      <w:b w:val="0"/>
      <w:bCs w:val="0"/>
      <w:i/>
      <w:iCs/>
      <w:color w:val="000000"/>
      <w:sz w:val="24"/>
      <w:szCs w:val="24"/>
    </w:rPr>
  </w:style>
  <w:style w:type="character" w:styleId="HTMLCite">
    <w:name w:val="HTML Cite"/>
    <w:basedOn w:val="DefaultParagraphFont"/>
    <w:uiPriority w:val="99"/>
    <w:rsid w:val="00D000B5"/>
    <w:rPr>
      <w:i/>
      <w:iCs/>
    </w:rPr>
  </w:style>
  <w:style w:type="character" w:customStyle="1" w:styleId="fontstyle31">
    <w:name w:val="fontstyle31"/>
    <w:basedOn w:val="DefaultParagraphFont"/>
    <w:rsid w:val="00D000B5"/>
    <w:rPr>
      <w:rFonts w:ascii="Cmr12" w:hAnsi="Cmr12" w:hint="default"/>
      <w:b w:val="0"/>
      <w:bCs w:val="0"/>
      <w:i w:val="0"/>
      <w:iCs w:val="0"/>
      <w:color w:val="000000"/>
      <w:sz w:val="24"/>
      <w:szCs w:val="24"/>
    </w:rPr>
  </w:style>
  <w:style w:type="character" w:customStyle="1" w:styleId="fontstyle41">
    <w:name w:val="fontstyle41"/>
    <w:basedOn w:val="DefaultParagraphFont"/>
    <w:rsid w:val="00D000B5"/>
    <w:rPr>
      <w:rFonts w:ascii="Times-Roman" w:hAnsi="Times-Roman" w:hint="default"/>
      <w:b w:val="0"/>
      <w:bCs w:val="0"/>
      <w:i w:val="0"/>
      <w:iCs w:val="0"/>
      <w:color w:val="000000"/>
      <w:sz w:val="22"/>
      <w:szCs w:val="22"/>
    </w:rPr>
  </w:style>
  <w:style w:type="character" w:customStyle="1" w:styleId="fontstyle51">
    <w:name w:val="fontstyle51"/>
    <w:basedOn w:val="DefaultParagraphFont"/>
    <w:rsid w:val="00D000B5"/>
    <w:rPr>
      <w:rFonts w:ascii="Times-Italic" w:hAnsi="Times-Italic" w:hint="default"/>
      <w:b w:val="0"/>
      <w:bCs w:val="0"/>
      <w:i/>
      <w:iCs/>
      <w:color w:val="000000"/>
      <w:sz w:val="24"/>
      <w:szCs w:val="24"/>
    </w:rPr>
  </w:style>
  <w:style w:type="character" w:customStyle="1" w:styleId="hgkelc">
    <w:name w:val="hgkelc"/>
    <w:basedOn w:val="DefaultParagraphFont"/>
    <w:rsid w:val="00D000B5"/>
  </w:style>
  <w:style w:type="character" w:customStyle="1" w:styleId="FollowedHyperlink1">
    <w:name w:val="FollowedHyperlink1"/>
    <w:basedOn w:val="DefaultParagraphFont"/>
    <w:uiPriority w:val="99"/>
    <w:semiHidden/>
    <w:unhideWhenUsed/>
    <w:rsid w:val="00D000B5"/>
    <w:rPr>
      <w:color w:val="954F72"/>
      <w:u w:val="single"/>
    </w:rPr>
  </w:style>
  <w:style w:type="table" w:customStyle="1" w:styleId="TableGrid1">
    <w:name w:val="Table Grid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2">
    <w:name w:val="Hyperlink2"/>
    <w:basedOn w:val="DefaultParagraphFont"/>
    <w:uiPriority w:val="99"/>
    <w:unhideWhenUsed/>
    <w:qFormat/>
    <w:rsid w:val="00D000B5"/>
    <w:rPr>
      <w:color w:val="0000FF"/>
      <w:u w:val="single"/>
    </w:rPr>
  </w:style>
  <w:style w:type="character" w:customStyle="1" w:styleId="Heading1Char1">
    <w:name w:val="Heading 1 Char1"/>
    <w:basedOn w:val="DefaultParagraphFont"/>
    <w:uiPriority w:val="9"/>
    <w:rsid w:val="00D000B5"/>
    <w:rPr>
      <w:rFonts w:ascii="Cambria" w:eastAsia="Times New Roman" w:hAnsi="Cambria" w:cs="Times New Roman"/>
      <w:color w:val="365F91"/>
      <w:sz w:val="32"/>
      <w:szCs w:val="32"/>
    </w:rPr>
  </w:style>
  <w:style w:type="character" w:customStyle="1" w:styleId="Heading2Char1">
    <w:name w:val="Heading 2 Char1"/>
    <w:basedOn w:val="DefaultParagraphFont"/>
    <w:uiPriority w:val="9"/>
    <w:semiHidden/>
    <w:rsid w:val="00D000B5"/>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D000B5"/>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D000B5"/>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D000B5"/>
    <w:rPr>
      <w:rFonts w:ascii="Cambria" w:eastAsia="Times New Roman" w:hAnsi="Cambria" w:cs="Times New Roman"/>
      <w:color w:val="365F91"/>
    </w:rPr>
  </w:style>
  <w:style w:type="character" w:customStyle="1" w:styleId="FollowedHyperlink2">
    <w:name w:val="FollowedHyperlink2"/>
    <w:basedOn w:val="DefaultParagraphFont"/>
    <w:uiPriority w:val="99"/>
    <w:semiHidden/>
    <w:unhideWhenUsed/>
    <w:rsid w:val="00D000B5"/>
    <w:rPr>
      <w:color w:val="800080"/>
      <w:u w:val="single"/>
    </w:rPr>
  </w:style>
  <w:style w:type="table" w:customStyle="1" w:styleId="TableGrid2">
    <w:name w:val="Table Grid2"/>
    <w:basedOn w:val="TableNormal"/>
    <w:next w:val="TableGrid"/>
    <w:uiPriority w:val="59"/>
    <w:unhideWhenUsed/>
    <w:rsid w:val="00D000B5"/>
    <w:pPr>
      <w:spacing w:after="0" w:line="240" w:lineRule="auto"/>
    </w:pPr>
    <w:rPr>
      <w:rFonts w:ascii="Aptos" w:hAnsi="Aptos"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qFormat/>
    <w:rsid w:val="00D000B5"/>
    <w:pPr>
      <w:spacing w:after="120" w:line="480" w:lineRule="auto"/>
      <w:jc w:val="left"/>
    </w:pPr>
    <w:rPr>
      <w:rFonts w:ascii="Calibri" w:eastAsia="Calibri" w:hAnsi="Calibri" w:cs="Times New Roman"/>
      <w:sz w:val="21"/>
    </w:rPr>
  </w:style>
  <w:style w:type="character" w:customStyle="1" w:styleId="BodyText2Char">
    <w:name w:val="Body Text 2 Char"/>
    <w:basedOn w:val="DefaultParagraphFont"/>
    <w:link w:val="BodyText2"/>
    <w:rsid w:val="00D000B5"/>
    <w:rPr>
      <w:rFonts w:ascii="Calibri" w:eastAsia="Calibri" w:hAnsi="Calibri" w:cs="Times New Roman"/>
      <w:kern w:val="0"/>
      <w:sz w:val="21"/>
      <w:szCs w:val="22"/>
      <w:lang w:val="en-US"/>
      <w14:ligatures w14:val="none"/>
    </w:rPr>
  </w:style>
  <w:style w:type="paragraph" w:styleId="TOC2">
    <w:name w:val="toc 2"/>
    <w:basedOn w:val="Normal"/>
    <w:next w:val="Normal"/>
    <w:qFormat/>
    <w:rsid w:val="00D000B5"/>
    <w:pPr>
      <w:tabs>
        <w:tab w:val="left" w:pos="880"/>
        <w:tab w:val="left" w:pos="9000"/>
        <w:tab w:val="right" w:leader="dot" w:pos="9340"/>
      </w:tabs>
      <w:spacing w:after="100" w:line="276" w:lineRule="auto"/>
      <w:ind w:left="220"/>
      <w:jc w:val="left"/>
    </w:pPr>
    <w:rPr>
      <w:rFonts w:ascii="Calibri" w:eastAsia="Calibri" w:hAnsi="Calibri" w:cs="SimSun"/>
      <w:sz w:val="21"/>
    </w:rPr>
  </w:style>
  <w:style w:type="table" w:customStyle="1" w:styleId="TableGrid11">
    <w:name w:val="Table Grid11"/>
    <w:basedOn w:val="TableNormal"/>
    <w:next w:val="TableGrid"/>
    <w:uiPriority w:val="39"/>
    <w:qFormat/>
    <w:rsid w:val="00D000B5"/>
    <w:pPr>
      <w:spacing w:after="0" w:line="240" w:lineRule="auto"/>
    </w:pPr>
    <w:rPr>
      <w:rFonts w:ascii="Calibri" w:eastAsia="Calibri" w:hAnsi="Calibri" w:cs="SimSu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D000B5"/>
    <w:pPr>
      <w:spacing w:after="200" w:line="276" w:lineRule="auto"/>
      <w:ind w:left="720"/>
      <w:contextualSpacing/>
      <w:jc w:val="left"/>
    </w:pPr>
    <w:rPr>
      <w:rFonts w:ascii="Calibri" w:eastAsia="Calibri" w:hAnsi="Calibri" w:cs="SimSun"/>
    </w:rPr>
  </w:style>
  <w:style w:type="character" w:customStyle="1" w:styleId="ls5">
    <w:name w:val="ls5"/>
    <w:basedOn w:val="DefaultParagraphFont"/>
    <w:qFormat/>
    <w:rsid w:val="00D000B5"/>
  </w:style>
  <w:style w:type="character" w:customStyle="1" w:styleId="ff6">
    <w:name w:val="ff6"/>
    <w:basedOn w:val="DefaultParagraphFont"/>
    <w:qFormat/>
    <w:rsid w:val="00D000B5"/>
  </w:style>
  <w:style w:type="character" w:customStyle="1" w:styleId="ls3">
    <w:name w:val="ls3"/>
    <w:basedOn w:val="DefaultParagraphFont"/>
    <w:qFormat/>
    <w:rsid w:val="00D000B5"/>
  </w:style>
  <w:style w:type="character" w:customStyle="1" w:styleId="ls2">
    <w:name w:val="ls2"/>
    <w:basedOn w:val="DefaultParagraphFont"/>
    <w:qFormat/>
    <w:rsid w:val="00D000B5"/>
  </w:style>
  <w:style w:type="paragraph" w:customStyle="1" w:styleId="TOCHeading1">
    <w:name w:val="TOC Heading1"/>
    <w:basedOn w:val="Heading1"/>
    <w:qFormat/>
    <w:rsid w:val="00D000B5"/>
    <w:pPr>
      <w:widowControl w:val="0"/>
      <w:spacing w:before="240" w:line="276" w:lineRule="auto"/>
      <w:jc w:val="left"/>
      <w:outlineLvl w:val="9"/>
    </w:pPr>
    <w:rPr>
      <w:rFonts w:ascii="Calibri Light" w:eastAsia="SimSun" w:hAnsi="Calibri Light" w:cs="SimSun"/>
      <w:b w:val="0"/>
      <w:bCs w:val="0"/>
      <w:color w:val="2E74B5"/>
      <w:sz w:val="32"/>
      <w:szCs w:val="32"/>
    </w:rPr>
  </w:style>
  <w:style w:type="paragraph" w:customStyle="1" w:styleId="Default0">
    <w:name w:val="&quot;Default&quot;"/>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NoSpacing1">
    <w:name w:val="No Spacing1"/>
    <w:uiPriority w:val="1"/>
    <w:qFormat/>
    <w:rsid w:val="00D000B5"/>
    <w:pPr>
      <w:spacing w:after="0" w:line="240" w:lineRule="auto"/>
    </w:pPr>
    <w:rPr>
      <w:rFonts w:ascii="Calibri" w:eastAsia="Calibri" w:hAnsi="Calibri" w:cs="SimSun"/>
      <w:kern w:val="0"/>
      <w:sz w:val="21"/>
      <w:szCs w:val="22"/>
      <w:lang w:val="en-US"/>
      <w14:ligatures w14:val="none"/>
    </w:rPr>
  </w:style>
  <w:style w:type="paragraph" w:customStyle="1" w:styleId="Default19">
    <w:name w:val="&quot;Default&quot;19"/>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8">
    <w:name w:val="&quot;Default&quot;18"/>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7">
    <w:name w:val="&quot;Default&quot;17"/>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6">
    <w:name w:val="&quot;Default&quot;1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5">
    <w:name w:val="&quot;Default&quot;1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4">
    <w:name w:val="&quot;Default&quot;1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3">
    <w:name w:val="&quot;Default&quot;1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2">
    <w:name w:val="&quot;Default&quot;1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1">
    <w:name w:val="&quot;Default&quot;1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0">
    <w:name w:val="&quot;Default&quot;10"/>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9">
    <w:name w:val="&quot;Default&quot;9"/>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8">
    <w:name w:val="&quot;Default&quot;8"/>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7">
    <w:name w:val="&quot;Default&quot;7"/>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6">
    <w:name w:val="&quot;Default&quot;6"/>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5">
    <w:name w:val="&quot;Default&quot;5"/>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4">
    <w:name w:val="&quot;Default&quot;4"/>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3">
    <w:name w:val="&quot;Default&quot;3"/>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2">
    <w:name w:val="&quot;Default&quot;2"/>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Default1">
    <w:name w:val="&quot;Default&quot;1"/>
    <w:qFormat/>
    <w:rsid w:val="00D000B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PlaceholderText1">
    <w:name w:val="Placeholder Text1"/>
    <w:basedOn w:val="DefaultParagraphFont"/>
    <w:uiPriority w:val="99"/>
    <w:semiHidden/>
    <w:qFormat/>
    <w:rsid w:val="00D000B5"/>
    <w:rPr>
      <w:color w:val="808080"/>
    </w:rPr>
  </w:style>
  <w:style w:type="paragraph" w:customStyle="1" w:styleId="Revision1">
    <w:name w:val="Revision1"/>
    <w:hidden/>
    <w:uiPriority w:val="99"/>
    <w:semiHidden/>
    <w:qFormat/>
    <w:rsid w:val="00D000B5"/>
    <w:pPr>
      <w:spacing w:after="0" w:line="240" w:lineRule="auto"/>
    </w:pPr>
    <w:rPr>
      <w:rFonts w:ascii="Calibri" w:eastAsia="Calibri" w:hAnsi="Calibri" w:cs="SimSun"/>
      <w:kern w:val="0"/>
      <w:sz w:val="22"/>
      <w:szCs w:val="22"/>
      <w:lang w:val="en-US"/>
      <w14:ligatures w14:val="none"/>
    </w:rPr>
  </w:style>
  <w:style w:type="table" w:customStyle="1" w:styleId="TableGrid111">
    <w:name w:val="Table Grid111"/>
    <w:basedOn w:val="TableNormal"/>
    <w:next w:val="TableGrid"/>
    <w:uiPriority w:val="59"/>
    <w:rsid w:val="00D000B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0nh2b">
    <w:name w:val="y0nh2b"/>
    <w:basedOn w:val="DefaultParagraphFont"/>
    <w:rsid w:val="00D000B5"/>
  </w:style>
  <w:style w:type="table" w:customStyle="1" w:styleId="PlainTable21">
    <w:name w:val="Plain Table 21"/>
    <w:basedOn w:val="TableNormal"/>
    <w:next w:val="PlainTable24"/>
    <w:uiPriority w:val="42"/>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
    <w:name w:val="Grid Table 1 Light - Accent 21"/>
    <w:basedOn w:val="TableNormal"/>
    <w:next w:val="GridTable1Light-Accent24"/>
    <w:uiPriority w:val="46"/>
    <w:rsid w:val="00D000B5"/>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
    <w:name w:val="Table Grid1111"/>
    <w:basedOn w:val="TableNormal"/>
    <w:next w:val="TableGrid"/>
    <w:uiPriority w:val="39"/>
    <w:rsid w:val="00D000B5"/>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next w:val="PlainTable24"/>
    <w:uiPriority w:val="42"/>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
    <w:name w:val="Grid Table 1 Light - Accent 22"/>
    <w:basedOn w:val="TableNormal"/>
    <w:next w:val="GridTable1Light-Accent24"/>
    <w:uiPriority w:val="46"/>
    <w:rsid w:val="00D000B5"/>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
    <w:name w:val="Table Grid211"/>
    <w:basedOn w:val="TableNormal"/>
    <w:next w:val="TableGrid"/>
    <w:uiPriority w:val="39"/>
    <w:rsid w:val="00D000B5"/>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ed-on">
    <w:name w:val="posted-on"/>
    <w:basedOn w:val="DefaultParagraphFont"/>
    <w:rsid w:val="00D000B5"/>
  </w:style>
  <w:style w:type="table" w:customStyle="1" w:styleId="PlainTable23">
    <w:name w:val="Plain Table 23"/>
    <w:basedOn w:val="TableNormal"/>
    <w:next w:val="PlainTable24"/>
    <w:uiPriority w:val="42"/>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
    <w:name w:val="Grid Table 1 Light - Accent 23"/>
    <w:basedOn w:val="TableNormal"/>
    <w:next w:val="GridTable1Light-Accent24"/>
    <w:uiPriority w:val="46"/>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
    <w:name w:val="Plain Table 5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jx-char">
    <w:name w:val="mjx-char"/>
    <w:basedOn w:val="DefaultParagraphFont"/>
    <w:rsid w:val="00D000B5"/>
  </w:style>
  <w:style w:type="table" w:customStyle="1" w:styleId="TableGrid12">
    <w:name w:val="Table Grid12"/>
    <w:basedOn w:val="TableNormal"/>
    <w:next w:val="TableGrid"/>
    <w:uiPriority w:val="39"/>
    <w:rsid w:val="00D000B5"/>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
    <w:name w:val="Plain Table 511"/>
    <w:basedOn w:val="TableNormal"/>
    <w:next w:val="PlainTable52"/>
    <w:uiPriority w:val="45"/>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next w:val="PlainTable32"/>
    <w:uiPriority w:val="43"/>
    <w:rsid w:val="00D000B5"/>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
    <w:name w:val="Plain Table 24"/>
    <w:basedOn w:val="TableNormal"/>
    <w:uiPriority w:val="42"/>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
    <w:name w:val="Grid Table 1 Light - Accent 24"/>
    <w:basedOn w:val="TableNormal"/>
    <w:uiPriority w:val="46"/>
    <w:rsid w:val="00D000B5"/>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D000B5"/>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rsid w:val="00D000B5"/>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
    <w:name w:val="Plain Table 521"/>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uiPriority w:val="99"/>
    <w:semiHidden/>
    <w:unhideWhenUsed/>
    <w:rsid w:val="00D000B5"/>
  </w:style>
  <w:style w:type="paragraph" w:customStyle="1" w:styleId="msonormal0">
    <w:name w:val="msonormal"/>
    <w:basedOn w:val="Normal"/>
    <w:rsid w:val="00D000B5"/>
    <w:pP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66">
    <w:name w:val="xl66"/>
    <w:basedOn w:val="Normal"/>
    <w:rsid w:val="00D000B5"/>
    <w:pPr>
      <w:spacing w:before="100" w:beforeAutospacing="1" w:after="100" w:afterAutospacing="1"/>
      <w:jc w:val="center"/>
    </w:pPr>
    <w:rPr>
      <w:rFonts w:ascii="Times New Roman" w:eastAsia="Times New Roman" w:hAnsi="Times New Roman" w:cs="Times New Roman"/>
      <w:b/>
      <w:bCs/>
      <w:sz w:val="24"/>
      <w:szCs w:val="24"/>
      <w:lang w:val="en-GB"/>
    </w:rPr>
  </w:style>
  <w:style w:type="paragraph" w:customStyle="1" w:styleId="xl67">
    <w:name w:val="xl67"/>
    <w:basedOn w:val="Normal"/>
    <w:rsid w:val="00D000B5"/>
    <w:pPr>
      <w:spacing w:before="100" w:beforeAutospacing="1" w:after="100" w:afterAutospacing="1"/>
      <w:jc w:val="center"/>
    </w:pPr>
    <w:rPr>
      <w:rFonts w:ascii="Times New Roman" w:eastAsia="Times New Roman" w:hAnsi="Times New Roman" w:cs="Times New Roman"/>
      <w:sz w:val="24"/>
      <w:szCs w:val="24"/>
      <w:lang w:val="en-GB"/>
    </w:rPr>
  </w:style>
  <w:style w:type="table" w:customStyle="1" w:styleId="TableGrid4">
    <w:name w:val="Table Grid4"/>
    <w:basedOn w:val="TableNormal"/>
    <w:next w:val="TableGrid"/>
    <w:uiPriority w:val="39"/>
    <w:rsid w:val="00D000B5"/>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000B5"/>
  </w:style>
  <w:style w:type="table" w:customStyle="1" w:styleId="TableGrid5">
    <w:name w:val="Table Grid5"/>
    <w:basedOn w:val="TableNormal"/>
    <w:next w:val="TableGrid"/>
    <w:uiPriority w:val="39"/>
    <w:rsid w:val="00D000B5"/>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
    <w:name w:val="Plain Table 53"/>
    <w:basedOn w:val="TableNormal"/>
    <w:next w:val="PlainTable52"/>
    <w:uiPriority w:val="45"/>
    <w:rsid w:val="00D000B5"/>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
    <w:name w:val="qu"/>
    <w:basedOn w:val="DefaultParagraphFont"/>
    <w:rsid w:val="00D000B5"/>
  </w:style>
  <w:style w:type="character" w:customStyle="1" w:styleId="gd">
    <w:name w:val="gd"/>
    <w:basedOn w:val="DefaultParagraphFont"/>
    <w:rsid w:val="00D000B5"/>
  </w:style>
  <w:style w:type="character" w:customStyle="1" w:styleId="g3">
    <w:name w:val="g3"/>
    <w:basedOn w:val="DefaultParagraphFont"/>
    <w:rsid w:val="00D000B5"/>
  </w:style>
  <w:style w:type="character" w:customStyle="1" w:styleId="hb">
    <w:name w:val="hb"/>
    <w:basedOn w:val="DefaultParagraphFont"/>
    <w:rsid w:val="00D000B5"/>
  </w:style>
  <w:style w:type="character" w:customStyle="1" w:styleId="g2">
    <w:name w:val="g2"/>
    <w:basedOn w:val="DefaultParagraphFont"/>
    <w:rsid w:val="00D000B5"/>
  </w:style>
  <w:style w:type="character" w:customStyle="1" w:styleId="markedcontent">
    <w:name w:val="markedcontent"/>
    <w:basedOn w:val="DefaultParagraphFont"/>
    <w:rsid w:val="00D000B5"/>
  </w:style>
  <w:style w:type="character" w:customStyle="1" w:styleId="ref-lnk">
    <w:name w:val="ref-lnk"/>
    <w:basedOn w:val="DefaultParagraphFont"/>
    <w:rsid w:val="00D000B5"/>
  </w:style>
  <w:style w:type="table" w:customStyle="1" w:styleId="PlainTable54">
    <w:name w:val="Plain Table 54"/>
    <w:basedOn w:val="TableNormal"/>
    <w:next w:val="PlainTable5"/>
    <w:uiPriority w:val="45"/>
    <w:rsid w:val="00D000B5"/>
    <w:pPr>
      <w:spacing w:after="0" w:line="240" w:lineRule="auto"/>
    </w:pPr>
    <w:rPr>
      <w:rFonts w:ascii="Aptos" w:hAnsi="Aptos" w:cs="Times New Roman"/>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
    <w:name w:val="Plain Table 55"/>
    <w:basedOn w:val="TableNormal"/>
    <w:next w:val="PlainTable5"/>
    <w:uiPriority w:val="45"/>
    <w:rsid w:val="00D000B5"/>
    <w:pPr>
      <w:spacing w:after="0" w:line="240" w:lineRule="auto"/>
    </w:pPr>
    <w:rPr>
      <w:rFonts w:ascii="Aptos" w:hAnsi="Aptos" w:cs="Times New Roman"/>
    </w:r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11">
    <w:name w:val="Plain Table 5211"/>
    <w:basedOn w:val="TableNormal"/>
    <w:uiPriority w:val="45"/>
    <w:rsid w:val="00D000B5"/>
    <w:pPr>
      <w:spacing w:after="0" w:line="240" w:lineRule="auto"/>
    </w:pPr>
    <w:rPr>
      <w:rFonts w:ascii="Calibri" w:eastAsia="Calibri" w:hAnsi="Calibri" w:cs="Times New Roman"/>
      <w:sz w:val="22"/>
      <w:szCs w:val="22"/>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
    <w:name w:val="Table Grid7"/>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000B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00B5"/>
  </w:style>
  <w:style w:type="table" w:customStyle="1" w:styleId="TableGrid20">
    <w:name w:val="Table Grid20"/>
    <w:basedOn w:val="TableNormal"/>
    <w:next w:val="TableGrid"/>
    <w:uiPriority w:val="39"/>
    <w:rsid w:val="00D000B5"/>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2">
    <w:name w:val="Heading 5 Char2"/>
    <w:basedOn w:val="DefaultParagraphFont"/>
    <w:uiPriority w:val="9"/>
    <w:semiHidden/>
    <w:rsid w:val="00D000B5"/>
    <w:rPr>
      <w:rFonts w:eastAsiaTheme="majorEastAsia"/>
      <w:color w:val="0F4761" w:themeColor="accent1" w:themeShade="BF"/>
    </w:rPr>
  </w:style>
  <w:style w:type="character" w:customStyle="1" w:styleId="Heading6Char1">
    <w:name w:val="Heading 6 Char1"/>
    <w:basedOn w:val="DefaultParagraphFont"/>
    <w:uiPriority w:val="9"/>
    <w:semiHidden/>
    <w:rsid w:val="00D000B5"/>
    <w:rPr>
      <w:rFonts w:eastAsiaTheme="majorEastAsia"/>
      <w:color w:val="0A2F40" w:themeColor="accent1" w:themeShade="7F"/>
    </w:rPr>
  </w:style>
  <w:style w:type="character" w:customStyle="1" w:styleId="Heading7Char1">
    <w:name w:val="Heading 7 Char1"/>
    <w:basedOn w:val="DefaultParagraphFont"/>
    <w:uiPriority w:val="9"/>
    <w:semiHidden/>
    <w:rsid w:val="00D000B5"/>
    <w:rPr>
      <w:rFonts w:eastAsiaTheme="majorEastAsia"/>
      <w:i/>
      <w:iCs/>
      <w:color w:val="0A2F40" w:themeColor="accent1" w:themeShade="7F"/>
    </w:rPr>
  </w:style>
  <w:style w:type="character" w:customStyle="1" w:styleId="Heading8Char1">
    <w:name w:val="Heading 8 Char1"/>
    <w:basedOn w:val="DefaultParagraphFont"/>
    <w:uiPriority w:val="9"/>
    <w:semiHidden/>
    <w:rsid w:val="00D000B5"/>
    <w:rPr>
      <w:rFonts w:eastAsiaTheme="majorEastAsia"/>
      <w:color w:val="272727" w:themeColor="text1" w:themeTint="D8"/>
      <w:sz w:val="21"/>
      <w:szCs w:val="21"/>
    </w:rPr>
  </w:style>
  <w:style w:type="character" w:customStyle="1" w:styleId="Heading9Char1">
    <w:name w:val="Heading 9 Char1"/>
    <w:basedOn w:val="DefaultParagraphFont"/>
    <w:uiPriority w:val="9"/>
    <w:semiHidden/>
    <w:rsid w:val="00D000B5"/>
    <w:rPr>
      <w:rFonts w:eastAsiaTheme="majorEastAsia"/>
      <w:i/>
      <w:iCs/>
      <w:color w:val="272727" w:themeColor="text1" w:themeTint="D8"/>
      <w:sz w:val="21"/>
      <w:szCs w:val="21"/>
    </w:rPr>
  </w:style>
  <w:style w:type="paragraph" w:styleId="Title">
    <w:name w:val="Title"/>
    <w:basedOn w:val="Normal"/>
    <w:next w:val="Normal"/>
    <w:link w:val="TitleChar"/>
    <w:uiPriority w:val="10"/>
    <w:qFormat/>
    <w:rsid w:val="00D000B5"/>
    <w:pPr>
      <w:contextualSpacing/>
    </w:pPr>
    <w:rPr>
      <w:rFonts w:ascii="Aptos Display" w:eastAsia="Times New Roman" w:hAnsi="Aptos Display"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D000B5"/>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000B5"/>
    <w:pPr>
      <w:numPr>
        <w:ilvl w:val="1"/>
      </w:numPr>
      <w:spacing w:after="160"/>
    </w:pPr>
    <w:rPr>
      <w:rFonts w:asciiTheme="minorHAnsi" w:eastAsia="Times New Roman" w:hAnsiTheme="minorHAnsi" w:cs="Times New Roman"/>
      <w:color w:val="595959"/>
      <w:spacing w:val="15"/>
      <w:kern w:val="2"/>
      <w:sz w:val="28"/>
      <w:szCs w:val="28"/>
      <w:lang w:val="en-GB"/>
      <w14:ligatures w14:val="standardContextual"/>
    </w:rPr>
  </w:style>
  <w:style w:type="character" w:customStyle="1" w:styleId="SubtitleChar1">
    <w:name w:val="Subtitle Char1"/>
    <w:basedOn w:val="DefaultParagraphFont"/>
    <w:uiPriority w:val="11"/>
    <w:rsid w:val="00D000B5"/>
    <w:rPr>
      <w:rFonts w:eastAsiaTheme="minorEastAsia"/>
      <w:color w:val="5A5A5A" w:themeColor="text1" w:themeTint="A5"/>
      <w:spacing w:val="15"/>
      <w:kern w:val="0"/>
      <w:sz w:val="22"/>
      <w:szCs w:val="22"/>
      <w:lang w:val="en-US"/>
      <w14:ligatures w14:val="none"/>
    </w:rPr>
  </w:style>
  <w:style w:type="paragraph" w:styleId="Quote">
    <w:name w:val="Quote"/>
    <w:basedOn w:val="Normal"/>
    <w:next w:val="Normal"/>
    <w:link w:val="QuoteChar"/>
    <w:uiPriority w:val="29"/>
    <w:qFormat/>
    <w:rsid w:val="00D000B5"/>
    <w:pPr>
      <w:spacing w:before="200" w:after="160"/>
      <w:ind w:left="864" w:right="864"/>
      <w:jc w:val="center"/>
    </w:pPr>
    <w:rPr>
      <w:rFonts w:asciiTheme="minorHAnsi" w:hAnsiTheme="minorHAnsi" w:cstheme="minorBidi"/>
      <w:i/>
      <w:iCs/>
      <w:color w:val="404040"/>
      <w:kern w:val="2"/>
      <w:sz w:val="24"/>
      <w:szCs w:val="24"/>
      <w:lang w:val="en-GB"/>
      <w14:ligatures w14:val="standardContextual"/>
    </w:rPr>
  </w:style>
  <w:style w:type="character" w:customStyle="1" w:styleId="QuoteChar1">
    <w:name w:val="Quote Char1"/>
    <w:basedOn w:val="DefaultParagraphFont"/>
    <w:uiPriority w:val="29"/>
    <w:rsid w:val="00D000B5"/>
    <w:rPr>
      <w:rFonts w:asciiTheme="majorHAnsi" w:hAnsiTheme="majorHAnsi" w:cstheme="majorBidi"/>
      <w:i/>
      <w:iCs/>
      <w:color w:val="404040" w:themeColor="text1" w:themeTint="BF"/>
      <w:kern w:val="0"/>
      <w:sz w:val="22"/>
      <w:szCs w:val="22"/>
      <w:lang w:val="en-US"/>
      <w14:ligatures w14:val="none"/>
    </w:rPr>
  </w:style>
  <w:style w:type="character" w:styleId="IntenseEmphasis">
    <w:name w:val="Intense Emphasis"/>
    <w:basedOn w:val="DefaultParagraphFont"/>
    <w:uiPriority w:val="21"/>
    <w:qFormat/>
    <w:rsid w:val="00D000B5"/>
    <w:rPr>
      <w:i/>
      <w:iCs/>
      <w:color w:val="156082" w:themeColor="accent1"/>
    </w:rPr>
  </w:style>
  <w:style w:type="paragraph" w:styleId="IntenseQuote">
    <w:name w:val="Intense Quote"/>
    <w:basedOn w:val="Normal"/>
    <w:next w:val="Normal"/>
    <w:link w:val="IntenseQuoteChar"/>
    <w:uiPriority w:val="30"/>
    <w:qFormat/>
    <w:rsid w:val="00D000B5"/>
    <w:pPr>
      <w:pBdr>
        <w:top w:val="single" w:sz="4" w:space="10" w:color="156082" w:themeColor="accent1"/>
        <w:bottom w:val="single" w:sz="4" w:space="10" w:color="156082" w:themeColor="accent1"/>
      </w:pBdr>
      <w:spacing w:before="360" w:after="360"/>
      <w:ind w:left="864" w:right="864"/>
      <w:jc w:val="center"/>
    </w:pPr>
    <w:rPr>
      <w:rFonts w:asciiTheme="minorHAnsi" w:hAnsiTheme="minorHAnsi" w:cstheme="minorBidi"/>
      <w:i/>
      <w:iCs/>
      <w:color w:val="0F4761"/>
      <w:kern w:val="2"/>
      <w:sz w:val="24"/>
      <w:szCs w:val="24"/>
      <w:lang w:val="en-GB"/>
      <w14:ligatures w14:val="standardContextual"/>
    </w:rPr>
  </w:style>
  <w:style w:type="character" w:customStyle="1" w:styleId="IntenseQuoteChar1">
    <w:name w:val="Intense Quote Char1"/>
    <w:basedOn w:val="DefaultParagraphFont"/>
    <w:uiPriority w:val="30"/>
    <w:rsid w:val="00D000B5"/>
    <w:rPr>
      <w:rFonts w:asciiTheme="majorHAnsi" w:hAnsiTheme="majorHAnsi" w:cstheme="majorBidi"/>
      <w:i/>
      <w:iCs/>
      <w:color w:val="156082" w:themeColor="accent1"/>
      <w:kern w:val="0"/>
      <w:sz w:val="22"/>
      <w:szCs w:val="22"/>
      <w:lang w:val="en-US"/>
      <w14:ligatures w14:val="none"/>
    </w:rPr>
  </w:style>
  <w:style w:type="character" w:styleId="IntenseReference">
    <w:name w:val="Intense Reference"/>
    <w:basedOn w:val="DefaultParagraphFont"/>
    <w:uiPriority w:val="32"/>
    <w:qFormat/>
    <w:rsid w:val="00D000B5"/>
    <w:rPr>
      <w:b/>
      <w:bCs/>
      <w:smallCaps/>
      <w:color w:val="156082" w:themeColor="accent1"/>
      <w:spacing w:val="5"/>
    </w:rPr>
  </w:style>
  <w:style w:type="table" w:customStyle="1" w:styleId="PlainTable5">
    <w:name w:val="Plain Table 5"/>
    <w:basedOn w:val="TableNormal"/>
    <w:uiPriority w:val="45"/>
    <w:rsid w:val="00D000B5"/>
    <w:pPr>
      <w:spacing w:after="0" w:line="240" w:lineRule="auto"/>
      <w:jc w:val="right"/>
    </w:pPr>
    <w:rPr>
      <w:rFonts w:asciiTheme="majorHAnsi" w:hAnsiTheme="majorHAnsi" w:cstheme="majorBidi"/>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4">
    <w:name w:val="No List4"/>
    <w:next w:val="NoList"/>
    <w:uiPriority w:val="99"/>
    <w:semiHidden/>
    <w:unhideWhenUsed/>
    <w:rsid w:val="006C4F44"/>
  </w:style>
  <w:style w:type="table" w:customStyle="1" w:styleId="TableGrid22">
    <w:name w:val="Table Grid22"/>
    <w:basedOn w:val="TableNormal"/>
    <w:next w:val="TableGrid"/>
    <w:uiPriority w:val="39"/>
    <w:rsid w:val="00503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F107E"/>
  </w:style>
  <w:style w:type="numbering" w:customStyle="1" w:styleId="NoList12">
    <w:name w:val="No List12"/>
    <w:next w:val="NoList"/>
    <w:uiPriority w:val="99"/>
    <w:semiHidden/>
    <w:unhideWhenUsed/>
    <w:rsid w:val="00BF107E"/>
  </w:style>
  <w:style w:type="table" w:customStyle="1" w:styleId="TableGrid23">
    <w:name w:val="Table Grid23"/>
    <w:basedOn w:val="TableNormal"/>
    <w:next w:val="TableGrid"/>
    <w:uiPriority w:val="39"/>
    <w:unhideWhenUsed/>
    <w:rsid w:val="00BF107E"/>
    <w:pPr>
      <w:spacing w:after="0" w:line="240" w:lineRule="auto"/>
      <w:jc w:val="right"/>
    </w:pPr>
    <w:rPr>
      <w:rFonts w:ascii="Cambria" w:hAnsi="Cambria"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BF107E"/>
  </w:style>
  <w:style w:type="numbering" w:customStyle="1" w:styleId="NoList112">
    <w:name w:val="No List112"/>
    <w:next w:val="NoList"/>
    <w:uiPriority w:val="99"/>
    <w:semiHidden/>
    <w:unhideWhenUsed/>
    <w:rsid w:val="00BF107E"/>
  </w:style>
  <w:style w:type="table" w:customStyle="1" w:styleId="TableGrid110">
    <w:name w:val="Table Grid110"/>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39"/>
    <w:unhideWhenUsed/>
    <w:rsid w:val="00BF107E"/>
    <w:pPr>
      <w:spacing w:after="0" w:line="240" w:lineRule="auto"/>
    </w:pPr>
    <w:rPr>
      <w:rFonts w:ascii="Aptos" w:hAnsi="Aptos"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BF107E"/>
    <w:pPr>
      <w:spacing w:after="0" w:line="240" w:lineRule="auto"/>
    </w:pPr>
    <w:rPr>
      <w:rFonts w:ascii="Calibri" w:eastAsia="Calibri" w:hAnsi="Calibri" w:cs="SimSu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BF107E"/>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next w:val="PlainTable24"/>
    <w:uiPriority w:val="42"/>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1">
    <w:name w:val="Grid Table 1 Light - Accent 211"/>
    <w:basedOn w:val="TableNormal"/>
    <w:next w:val="GridTable1Light-Accent24"/>
    <w:uiPriority w:val="46"/>
    <w:rsid w:val="00BF107E"/>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11111">
    <w:name w:val="Table Grid11111"/>
    <w:basedOn w:val="TableNormal"/>
    <w:next w:val="TableGrid"/>
    <w:uiPriority w:val="39"/>
    <w:rsid w:val="00BF107E"/>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1">
    <w:name w:val="Plain Table 221"/>
    <w:basedOn w:val="TableNormal"/>
    <w:next w:val="PlainTable24"/>
    <w:uiPriority w:val="42"/>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21">
    <w:name w:val="Grid Table 1 Light - Accent 221"/>
    <w:basedOn w:val="TableNormal"/>
    <w:next w:val="GridTable1Light-Accent24"/>
    <w:uiPriority w:val="46"/>
    <w:rsid w:val="00BF107E"/>
    <w:pPr>
      <w:spacing w:after="0" w:line="240" w:lineRule="auto"/>
    </w:pPr>
    <w:rPr>
      <w:rFonts w:ascii="Calibri" w:eastAsia="Calibri" w:hAnsi="Calibri" w:cs="SimSun"/>
      <w:kern w:val="0"/>
      <w:sz w:val="20"/>
      <w:szCs w:val="20"/>
      <w:lang w:eastAsia="en-GB"/>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2111">
    <w:name w:val="Table Grid2111"/>
    <w:basedOn w:val="TableNormal"/>
    <w:next w:val="TableGrid"/>
    <w:uiPriority w:val="39"/>
    <w:rsid w:val="00BF107E"/>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1">
    <w:name w:val="Plain Table 231"/>
    <w:basedOn w:val="TableNormal"/>
    <w:next w:val="PlainTable24"/>
    <w:uiPriority w:val="42"/>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1">
    <w:name w:val="Grid Table 1 Light - Accent 231"/>
    <w:basedOn w:val="TableNormal"/>
    <w:next w:val="GridTable1Light-Accent24"/>
    <w:uiPriority w:val="46"/>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2">
    <w:name w:val="Plain Table 512"/>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1">
    <w:name w:val="Table Grid121"/>
    <w:basedOn w:val="TableNormal"/>
    <w:next w:val="TableGrid"/>
    <w:uiPriority w:val="39"/>
    <w:rsid w:val="00BF107E"/>
    <w:pPr>
      <w:spacing w:after="0" w:line="240" w:lineRule="auto"/>
    </w:pPr>
    <w:rPr>
      <w:rFonts w:ascii="Aptos" w:hAnsi="Aptos"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1">
    <w:name w:val="Plain Table 5111"/>
    <w:basedOn w:val="TableNormal"/>
    <w:next w:val="PlainTable52"/>
    <w:uiPriority w:val="45"/>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1">
    <w:name w:val="Plain Table 311"/>
    <w:basedOn w:val="TableNormal"/>
    <w:next w:val="PlainTable32"/>
    <w:uiPriority w:val="43"/>
    <w:rsid w:val="00BF107E"/>
    <w:pPr>
      <w:spacing w:after="0" w:line="240" w:lineRule="auto"/>
    </w:pPr>
    <w:rPr>
      <w:rFonts w:ascii="Aptos" w:hAnsi="Aptos"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1">
    <w:name w:val="Plain Table 241"/>
    <w:basedOn w:val="TableNormal"/>
    <w:uiPriority w:val="42"/>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1">
    <w:name w:val="Grid Table 1 Light - Accent 241"/>
    <w:basedOn w:val="TableNormal"/>
    <w:uiPriority w:val="46"/>
    <w:rsid w:val="00BF107E"/>
    <w:pPr>
      <w:spacing w:after="0" w:line="240" w:lineRule="auto"/>
    </w:pPr>
    <w:rPr>
      <w:rFonts w:ascii="Aptos" w:hAnsi="Aptos" w:cs="Times New Roman"/>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2">
    <w:name w:val="Plain Table 522"/>
    <w:basedOn w:val="TableNormal"/>
    <w:uiPriority w:val="45"/>
    <w:rsid w:val="00BF107E"/>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1">
    <w:name w:val="Plain Table 321"/>
    <w:basedOn w:val="TableNormal"/>
    <w:uiPriority w:val="43"/>
    <w:rsid w:val="00BF107E"/>
    <w:pPr>
      <w:spacing w:after="0" w:line="240" w:lineRule="auto"/>
    </w:pPr>
    <w:rPr>
      <w:rFonts w:ascii="Aptos" w:hAnsi="Aptos" w:cs="Times New Roman"/>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2">
    <w:name w:val="Plain Table 5212"/>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1">
    <w:name w:val="No List1111"/>
    <w:next w:val="NoList"/>
    <w:uiPriority w:val="99"/>
    <w:semiHidden/>
    <w:unhideWhenUsed/>
    <w:rsid w:val="00BF107E"/>
  </w:style>
  <w:style w:type="table" w:customStyle="1" w:styleId="TableGrid41">
    <w:name w:val="Table Grid41"/>
    <w:basedOn w:val="TableNormal"/>
    <w:next w:val="TableGrid"/>
    <w:uiPriority w:val="39"/>
    <w:rsid w:val="00BF107E"/>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BF107E"/>
  </w:style>
  <w:style w:type="table" w:customStyle="1" w:styleId="TableGrid51">
    <w:name w:val="Table Grid51"/>
    <w:basedOn w:val="TableNormal"/>
    <w:next w:val="TableGrid"/>
    <w:uiPriority w:val="39"/>
    <w:rsid w:val="00BF107E"/>
    <w:pPr>
      <w:spacing w:after="0" w:line="240" w:lineRule="auto"/>
    </w:pPr>
    <w:rPr>
      <w:rFonts w:ascii="Aptos" w:hAnsi="Aptos"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1">
    <w:name w:val="Plain Table 531"/>
    <w:basedOn w:val="TableNormal"/>
    <w:next w:val="PlainTable52"/>
    <w:uiPriority w:val="45"/>
    <w:rsid w:val="00BF107E"/>
    <w:pPr>
      <w:spacing w:after="0" w:line="240" w:lineRule="auto"/>
    </w:pPr>
    <w:rPr>
      <w:rFonts w:ascii="Aptos" w:hAnsi="Aptos" w:cs="Times New Roman"/>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1">
    <w:name w:val="Plain Table 541"/>
    <w:basedOn w:val="TableNormal"/>
    <w:next w:val="PlainTable5"/>
    <w:uiPriority w:val="45"/>
    <w:rsid w:val="00BF107E"/>
    <w:pPr>
      <w:spacing w:after="0" w:line="240" w:lineRule="auto"/>
    </w:pPr>
    <w:rPr>
      <w:rFonts w:ascii="Aptos" w:hAnsi="Aptos" w:cs="Times New Roman"/>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51">
    <w:name w:val="Plain Table 551"/>
    <w:basedOn w:val="TableNormal"/>
    <w:next w:val="PlainTable5"/>
    <w:uiPriority w:val="45"/>
    <w:rsid w:val="00BF107E"/>
    <w:pPr>
      <w:spacing w:after="0" w:line="240" w:lineRule="auto"/>
    </w:pPr>
    <w:rPr>
      <w:rFonts w:ascii="Aptos" w:hAnsi="Aptos" w:cs="Times New Roman"/>
    </w:r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1">
    <w:name w:val="Table Grid6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2111">
    <w:name w:val="Plain Table 52111"/>
    <w:basedOn w:val="TableNormal"/>
    <w:uiPriority w:val="45"/>
    <w:rsid w:val="00BF107E"/>
    <w:pPr>
      <w:spacing w:after="0" w:line="240" w:lineRule="auto"/>
    </w:pPr>
    <w:rPr>
      <w:rFonts w:ascii="Calibri" w:eastAsia="Calibri" w:hAnsi="Calibri" w:cs="Times New Roman"/>
      <w:sz w:val="22"/>
      <w:szCs w:val="22"/>
    </w:rPr>
    <w:tblPr>
      <w:tblStyleRowBandSize w:val="1"/>
      <w:tblStyleColBandSize w:val="1"/>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71">
    <w:name w:val="Table Grid7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BF107E"/>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107E"/>
  </w:style>
  <w:style w:type="table" w:customStyle="1" w:styleId="TableGrid201">
    <w:name w:val="Table Grid201"/>
    <w:basedOn w:val="TableNormal"/>
    <w:next w:val="TableGrid"/>
    <w:uiPriority w:val="39"/>
    <w:rsid w:val="00BF107E"/>
    <w:pPr>
      <w:spacing w:after="0" w:line="240" w:lineRule="auto"/>
    </w:pPr>
    <w:rPr>
      <w:rFonts w:ascii="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6">
    <w:name w:val="Plain Table 56"/>
    <w:basedOn w:val="TableNormal"/>
    <w:next w:val="PlainTable5"/>
    <w:uiPriority w:val="45"/>
    <w:rsid w:val="00BF107E"/>
    <w:pPr>
      <w:spacing w:after="0" w:line="240" w:lineRule="auto"/>
      <w:jc w:val="right"/>
    </w:pPr>
    <w:rPr>
      <w:rFonts w:ascii="Cambria" w:hAnsi="Cambria" w:cs="Times New Roman"/>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6">
    <w:name w:val="No List6"/>
    <w:next w:val="NoList"/>
    <w:uiPriority w:val="99"/>
    <w:semiHidden/>
    <w:unhideWhenUsed/>
    <w:rsid w:val="00E142FF"/>
  </w:style>
  <w:style w:type="numbering" w:customStyle="1" w:styleId="NoList13">
    <w:name w:val="No List13"/>
    <w:next w:val="NoList"/>
    <w:uiPriority w:val="99"/>
    <w:semiHidden/>
    <w:unhideWhenUsed/>
    <w:rsid w:val="00E142FF"/>
  </w:style>
  <w:style w:type="table" w:customStyle="1" w:styleId="TableGrid113">
    <w:name w:val="Table Grid113"/>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39"/>
    <w:unhideWhenUsed/>
    <w:rsid w:val="00E142F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uiPriority w:val="46"/>
    <w:rsid w:val="00E142FF"/>
    <w:pPr>
      <w:spacing w:after="0" w:line="240" w:lineRule="auto"/>
    </w:pPr>
    <w:rPr>
      <w:kern w:val="0"/>
      <w:sz w:val="22"/>
      <w:szCs w:val="22"/>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6">
    <w:name w:val="Table Grid26"/>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E142FF"/>
    <w:pPr>
      <w:spacing w:after="0" w:line="240" w:lineRule="auto"/>
    </w:pPr>
    <w:rPr>
      <w:rFonts w:ascii="Calibri" w:eastAsia="Calibri" w:hAnsi="Calibri" w:cs="Times New Roman"/>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32">
    <w:name w:val="Plain Table 232"/>
    <w:basedOn w:val="TableNormal"/>
    <w:next w:val="PlainTable24"/>
    <w:uiPriority w:val="42"/>
    <w:rsid w:val="00E142FF"/>
    <w:pPr>
      <w:spacing w:after="0" w:line="240" w:lineRule="auto"/>
    </w:pPr>
    <w:rPr>
      <w:kern w:val="0"/>
      <w:sz w:val="22"/>
      <w:szCs w:val="22"/>
      <w:lang w:val="en-US"/>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32">
    <w:name w:val="Grid Table 1 Light - Accent 232"/>
    <w:basedOn w:val="TableNormal"/>
    <w:next w:val="GridTable1Light-Accent24"/>
    <w:uiPriority w:val="46"/>
    <w:rsid w:val="00E142FF"/>
    <w:pPr>
      <w:spacing w:after="0" w:line="240" w:lineRule="auto"/>
    </w:pPr>
    <w:rPr>
      <w:kern w:val="0"/>
      <w:sz w:val="22"/>
      <w:szCs w:val="22"/>
      <w:lang w:val="en-US"/>
      <w14:ligatures w14:val="none"/>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3">
    <w:name w:val="Plain Table 513"/>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2">
    <w:name w:val="Table Grid122"/>
    <w:basedOn w:val="TableNormal"/>
    <w:next w:val="TableGrid"/>
    <w:uiPriority w:val="39"/>
    <w:rsid w:val="00E142FF"/>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2">
    <w:name w:val="Plain Table 5112"/>
    <w:basedOn w:val="TableNormal"/>
    <w:next w:val="PlainTable52"/>
    <w:uiPriority w:val="45"/>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2">
    <w:name w:val="Plain Table 312"/>
    <w:basedOn w:val="TableNormal"/>
    <w:next w:val="PlainTable32"/>
    <w:uiPriority w:val="43"/>
    <w:rsid w:val="00E142FF"/>
    <w:pPr>
      <w:spacing w:after="0" w:line="240" w:lineRule="auto"/>
    </w:pPr>
    <w:rPr>
      <w:kern w:val="0"/>
      <w:sz w:val="22"/>
      <w:szCs w:val="22"/>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42">
    <w:name w:val="Plain Table 242"/>
    <w:basedOn w:val="TableNormal"/>
    <w:uiPriority w:val="42"/>
    <w:rsid w:val="00E142FF"/>
    <w:pPr>
      <w:spacing w:after="0" w:line="240" w:lineRule="auto"/>
    </w:pPr>
    <w:rPr>
      <w:kern w:val="0"/>
      <w:sz w:val="22"/>
      <w:szCs w:val="22"/>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42">
    <w:name w:val="Grid Table 1 Light - Accent 242"/>
    <w:basedOn w:val="TableNormal"/>
    <w:uiPriority w:val="46"/>
    <w:rsid w:val="00E142FF"/>
    <w:pPr>
      <w:spacing w:after="0" w:line="240" w:lineRule="auto"/>
    </w:pPr>
    <w:rPr>
      <w:kern w:val="0"/>
      <w:sz w:val="22"/>
      <w:szCs w:val="22"/>
      <w14:ligatures w14:val="none"/>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523">
    <w:name w:val="Plain Table 523"/>
    <w:basedOn w:val="TableNormal"/>
    <w:uiPriority w:val="45"/>
    <w:rsid w:val="00E142FF"/>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2">
    <w:name w:val="Plain Table 322"/>
    <w:basedOn w:val="TableNormal"/>
    <w:uiPriority w:val="43"/>
    <w:rsid w:val="00E142FF"/>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13">
    <w:name w:val="Plain Table 5213"/>
    <w:basedOn w:val="TableNormal"/>
    <w:next w:val="PlainTable52"/>
    <w:uiPriority w:val="45"/>
    <w:rsid w:val="00E142FF"/>
    <w:pPr>
      <w:spacing w:after="0" w:line="240" w:lineRule="auto"/>
    </w:pPr>
    <w:rPr>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3">
    <w:name w:val="No List113"/>
    <w:next w:val="NoList"/>
    <w:uiPriority w:val="99"/>
    <w:semiHidden/>
    <w:unhideWhenUsed/>
    <w:rsid w:val="00E142FF"/>
  </w:style>
  <w:style w:type="table" w:customStyle="1" w:styleId="TableGrid42">
    <w:name w:val="Table Grid42"/>
    <w:basedOn w:val="TableNormal"/>
    <w:next w:val="TableGrid"/>
    <w:uiPriority w:val="39"/>
    <w:rsid w:val="00E142FF"/>
    <w:pPr>
      <w:spacing w:after="0" w:line="240" w:lineRule="auto"/>
    </w:pPr>
    <w:rPr>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E142FF"/>
  </w:style>
  <w:style w:type="table" w:customStyle="1" w:styleId="TableGrid52">
    <w:name w:val="Table Grid52"/>
    <w:basedOn w:val="TableNormal"/>
    <w:next w:val="TableGrid"/>
    <w:uiPriority w:val="39"/>
    <w:rsid w:val="00E142FF"/>
    <w:pPr>
      <w:spacing w:after="0" w:line="240" w:lineRule="auto"/>
    </w:pPr>
    <w:rPr>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32">
    <w:name w:val="Plain Table 532"/>
    <w:basedOn w:val="TableNormal"/>
    <w:next w:val="PlainTable52"/>
    <w:uiPriority w:val="45"/>
    <w:rsid w:val="00E142FF"/>
    <w:pPr>
      <w:spacing w:after="0" w:line="240" w:lineRule="auto"/>
    </w:pPr>
    <w:rPr>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42">
    <w:name w:val="Plain Table 542"/>
    <w:basedOn w:val="TableNormal"/>
    <w:next w:val="PlainTable5"/>
    <w:uiPriority w:val="45"/>
    <w:rsid w:val="00E142FF"/>
    <w:pPr>
      <w:spacing w:after="0" w:line="240" w:lineRule="auto"/>
    </w:pPr>
    <w:rPr>
      <w:kern w:val="0"/>
      <w:sz w:val="22"/>
      <w:szCs w:val="22"/>
      <w:lang w:val="en-CA"/>
      <w14:ligatures w14:val="none"/>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7">
    <w:name w:val="Plain Table 57"/>
    <w:basedOn w:val="TableNormal"/>
    <w:next w:val="PlainTable5"/>
    <w:uiPriority w:val="45"/>
    <w:rsid w:val="00E142F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2">
    <w:name w:val="Table Grid6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142FF"/>
  </w:style>
  <w:style w:type="table" w:customStyle="1" w:styleId="TableGrid202">
    <w:name w:val="Table Grid202"/>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142FF"/>
    <w:pPr>
      <w:spacing w:before="240" w:line="259" w:lineRule="auto"/>
      <w:jc w:val="left"/>
      <w:outlineLvl w:val="9"/>
    </w:pPr>
    <w:rPr>
      <w:b w:val="0"/>
      <w:bCs w:val="0"/>
      <w:sz w:val="32"/>
      <w:szCs w:val="32"/>
      <w:lang w:val="en-GB" w:eastAsia="en-GB"/>
    </w:rPr>
  </w:style>
  <w:style w:type="table" w:customStyle="1" w:styleId="TableGrid241">
    <w:name w:val="Table Grid24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E142FF"/>
  </w:style>
  <w:style w:type="table" w:customStyle="1" w:styleId="TableGrid261">
    <w:name w:val="Table Grid261"/>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E1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E1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6321">
      <w:bodyDiv w:val="1"/>
      <w:marLeft w:val="0"/>
      <w:marRight w:val="0"/>
      <w:marTop w:val="0"/>
      <w:marBottom w:val="0"/>
      <w:divBdr>
        <w:top w:val="none" w:sz="0" w:space="0" w:color="auto"/>
        <w:left w:val="none" w:sz="0" w:space="0" w:color="auto"/>
        <w:bottom w:val="none" w:sz="0" w:space="0" w:color="auto"/>
        <w:right w:val="none" w:sz="0" w:space="0" w:color="auto"/>
      </w:divBdr>
    </w:div>
    <w:div w:id="101609579">
      <w:bodyDiv w:val="1"/>
      <w:marLeft w:val="0"/>
      <w:marRight w:val="0"/>
      <w:marTop w:val="0"/>
      <w:marBottom w:val="0"/>
      <w:divBdr>
        <w:top w:val="none" w:sz="0" w:space="0" w:color="auto"/>
        <w:left w:val="none" w:sz="0" w:space="0" w:color="auto"/>
        <w:bottom w:val="none" w:sz="0" w:space="0" w:color="auto"/>
        <w:right w:val="none" w:sz="0" w:space="0" w:color="auto"/>
      </w:divBdr>
    </w:div>
    <w:div w:id="153497408">
      <w:bodyDiv w:val="1"/>
      <w:marLeft w:val="0"/>
      <w:marRight w:val="0"/>
      <w:marTop w:val="0"/>
      <w:marBottom w:val="0"/>
      <w:divBdr>
        <w:top w:val="none" w:sz="0" w:space="0" w:color="auto"/>
        <w:left w:val="none" w:sz="0" w:space="0" w:color="auto"/>
        <w:bottom w:val="none" w:sz="0" w:space="0" w:color="auto"/>
        <w:right w:val="none" w:sz="0" w:space="0" w:color="auto"/>
      </w:divBdr>
    </w:div>
    <w:div w:id="244462788">
      <w:bodyDiv w:val="1"/>
      <w:marLeft w:val="0"/>
      <w:marRight w:val="0"/>
      <w:marTop w:val="0"/>
      <w:marBottom w:val="0"/>
      <w:divBdr>
        <w:top w:val="none" w:sz="0" w:space="0" w:color="auto"/>
        <w:left w:val="none" w:sz="0" w:space="0" w:color="auto"/>
        <w:bottom w:val="none" w:sz="0" w:space="0" w:color="auto"/>
        <w:right w:val="none" w:sz="0" w:space="0" w:color="auto"/>
      </w:divBdr>
    </w:div>
    <w:div w:id="298151984">
      <w:bodyDiv w:val="1"/>
      <w:marLeft w:val="0"/>
      <w:marRight w:val="0"/>
      <w:marTop w:val="0"/>
      <w:marBottom w:val="0"/>
      <w:divBdr>
        <w:top w:val="none" w:sz="0" w:space="0" w:color="auto"/>
        <w:left w:val="none" w:sz="0" w:space="0" w:color="auto"/>
        <w:bottom w:val="none" w:sz="0" w:space="0" w:color="auto"/>
        <w:right w:val="none" w:sz="0" w:space="0" w:color="auto"/>
      </w:divBdr>
    </w:div>
    <w:div w:id="410808550">
      <w:bodyDiv w:val="1"/>
      <w:marLeft w:val="0"/>
      <w:marRight w:val="0"/>
      <w:marTop w:val="0"/>
      <w:marBottom w:val="0"/>
      <w:divBdr>
        <w:top w:val="none" w:sz="0" w:space="0" w:color="auto"/>
        <w:left w:val="none" w:sz="0" w:space="0" w:color="auto"/>
        <w:bottom w:val="none" w:sz="0" w:space="0" w:color="auto"/>
        <w:right w:val="none" w:sz="0" w:space="0" w:color="auto"/>
      </w:divBdr>
    </w:div>
    <w:div w:id="509224751">
      <w:bodyDiv w:val="1"/>
      <w:marLeft w:val="0"/>
      <w:marRight w:val="0"/>
      <w:marTop w:val="0"/>
      <w:marBottom w:val="0"/>
      <w:divBdr>
        <w:top w:val="none" w:sz="0" w:space="0" w:color="auto"/>
        <w:left w:val="none" w:sz="0" w:space="0" w:color="auto"/>
        <w:bottom w:val="none" w:sz="0" w:space="0" w:color="auto"/>
        <w:right w:val="none" w:sz="0" w:space="0" w:color="auto"/>
      </w:divBdr>
    </w:div>
    <w:div w:id="560095922">
      <w:bodyDiv w:val="1"/>
      <w:marLeft w:val="0"/>
      <w:marRight w:val="0"/>
      <w:marTop w:val="0"/>
      <w:marBottom w:val="0"/>
      <w:divBdr>
        <w:top w:val="none" w:sz="0" w:space="0" w:color="auto"/>
        <w:left w:val="none" w:sz="0" w:space="0" w:color="auto"/>
        <w:bottom w:val="none" w:sz="0" w:space="0" w:color="auto"/>
        <w:right w:val="none" w:sz="0" w:space="0" w:color="auto"/>
      </w:divBdr>
    </w:div>
    <w:div w:id="638150227">
      <w:bodyDiv w:val="1"/>
      <w:marLeft w:val="0"/>
      <w:marRight w:val="0"/>
      <w:marTop w:val="0"/>
      <w:marBottom w:val="0"/>
      <w:divBdr>
        <w:top w:val="none" w:sz="0" w:space="0" w:color="auto"/>
        <w:left w:val="none" w:sz="0" w:space="0" w:color="auto"/>
        <w:bottom w:val="none" w:sz="0" w:space="0" w:color="auto"/>
        <w:right w:val="none" w:sz="0" w:space="0" w:color="auto"/>
      </w:divBdr>
    </w:div>
    <w:div w:id="763963825">
      <w:bodyDiv w:val="1"/>
      <w:marLeft w:val="0"/>
      <w:marRight w:val="0"/>
      <w:marTop w:val="0"/>
      <w:marBottom w:val="0"/>
      <w:divBdr>
        <w:top w:val="none" w:sz="0" w:space="0" w:color="auto"/>
        <w:left w:val="none" w:sz="0" w:space="0" w:color="auto"/>
        <w:bottom w:val="none" w:sz="0" w:space="0" w:color="auto"/>
        <w:right w:val="none" w:sz="0" w:space="0" w:color="auto"/>
      </w:divBdr>
    </w:div>
    <w:div w:id="861668080">
      <w:bodyDiv w:val="1"/>
      <w:marLeft w:val="0"/>
      <w:marRight w:val="0"/>
      <w:marTop w:val="0"/>
      <w:marBottom w:val="0"/>
      <w:divBdr>
        <w:top w:val="none" w:sz="0" w:space="0" w:color="auto"/>
        <w:left w:val="none" w:sz="0" w:space="0" w:color="auto"/>
        <w:bottom w:val="none" w:sz="0" w:space="0" w:color="auto"/>
        <w:right w:val="none" w:sz="0" w:space="0" w:color="auto"/>
      </w:divBdr>
    </w:div>
    <w:div w:id="880242625">
      <w:bodyDiv w:val="1"/>
      <w:marLeft w:val="0"/>
      <w:marRight w:val="0"/>
      <w:marTop w:val="0"/>
      <w:marBottom w:val="0"/>
      <w:divBdr>
        <w:top w:val="none" w:sz="0" w:space="0" w:color="auto"/>
        <w:left w:val="none" w:sz="0" w:space="0" w:color="auto"/>
        <w:bottom w:val="none" w:sz="0" w:space="0" w:color="auto"/>
        <w:right w:val="none" w:sz="0" w:space="0" w:color="auto"/>
      </w:divBdr>
    </w:div>
    <w:div w:id="929237484">
      <w:bodyDiv w:val="1"/>
      <w:marLeft w:val="0"/>
      <w:marRight w:val="0"/>
      <w:marTop w:val="0"/>
      <w:marBottom w:val="0"/>
      <w:divBdr>
        <w:top w:val="none" w:sz="0" w:space="0" w:color="auto"/>
        <w:left w:val="none" w:sz="0" w:space="0" w:color="auto"/>
        <w:bottom w:val="none" w:sz="0" w:space="0" w:color="auto"/>
        <w:right w:val="none" w:sz="0" w:space="0" w:color="auto"/>
      </w:divBdr>
    </w:div>
    <w:div w:id="944314821">
      <w:bodyDiv w:val="1"/>
      <w:marLeft w:val="0"/>
      <w:marRight w:val="0"/>
      <w:marTop w:val="0"/>
      <w:marBottom w:val="0"/>
      <w:divBdr>
        <w:top w:val="none" w:sz="0" w:space="0" w:color="auto"/>
        <w:left w:val="none" w:sz="0" w:space="0" w:color="auto"/>
        <w:bottom w:val="none" w:sz="0" w:space="0" w:color="auto"/>
        <w:right w:val="none" w:sz="0" w:space="0" w:color="auto"/>
      </w:divBdr>
    </w:div>
    <w:div w:id="1508590541">
      <w:bodyDiv w:val="1"/>
      <w:marLeft w:val="0"/>
      <w:marRight w:val="0"/>
      <w:marTop w:val="0"/>
      <w:marBottom w:val="0"/>
      <w:divBdr>
        <w:top w:val="none" w:sz="0" w:space="0" w:color="auto"/>
        <w:left w:val="none" w:sz="0" w:space="0" w:color="auto"/>
        <w:bottom w:val="none" w:sz="0" w:space="0" w:color="auto"/>
        <w:right w:val="none" w:sz="0" w:space="0" w:color="auto"/>
      </w:divBdr>
    </w:div>
    <w:div w:id="1808934664">
      <w:bodyDiv w:val="1"/>
      <w:marLeft w:val="0"/>
      <w:marRight w:val="0"/>
      <w:marTop w:val="0"/>
      <w:marBottom w:val="0"/>
      <w:divBdr>
        <w:top w:val="none" w:sz="0" w:space="0" w:color="auto"/>
        <w:left w:val="none" w:sz="0" w:space="0" w:color="auto"/>
        <w:bottom w:val="none" w:sz="0" w:space="0" w:color="auto"/>
        <w:right w:val="none" w:sz="0" w:space="0" w:color="auto"/>
      </w:divBdr>
    </w:div>
    <w:div w:id="1825849427">
      <w:bodyDiv w:val="1"/>
      <w:marLeft w:val="0"/>
      <w:marRight w:val="0"/>
      <w:marTop w:val="0"/>
      <w:marBottom w:val="0"/>
      <w:divBdr>
        <w:top w:val="none" w:sz="0" w:space="0" w:color="auto"/>
        <w:left w:val="none" w:sz="0" w:space="0" w:color="auto"/>
        <w:bottom w:val="none" w:sz="0" w:space="0" w:color="auto"/>
        <w:right w:val="none" w:sz="0" w:space="0" w:color="auto"/>
      </w:divBdr>
    </w:div>
    <w:div w:id="1902642113">
      <w:bodyDiv w:val="1"/>
      <w:marLeft w:val="0"/>
      <w:marRight w:val="0"/>
      <w:marTop w:val="0"/>
      <w:marBottom w:val="0"/>
      <w:divBdr>
        <w:top w:val="none" w:sz="0" w:space="0" w:color="auto"/>
        <w:left w:val="none" w:sz="0" w:space="0" w:color="auto"/>
        <w:bottom w:val="none" w:sz="0" w:space="0" w:color="auto"/>
        <w:right w:val="none" w:sz="0" w:space="0" w:color="auto"/>
      </w:divBdr>
    </w:div>
    <w:div w:id="1921676446">
      <w:bodyDiv w:val="1"/>
      <w:marLeft w:val="0"/>
      <w:marRight w:val="0"/>
      <w:marTop w:val="0"/>
      <w:marBottom w:val="0"/>
      <w:divBdr>
        <w:top w:val="none" w:sz="0" w:space="0" w:color="auto"/>
        <w:left w:val="none" w:sz="0" w:space="0" w:color="auto"/>
        <w:bottom w:val="none" w:sz="0" w:space="0" w:color="auto"/>
        <w:right w:val="none" w:sz="0" w:space="0" w:color="auto"/>
      </w:divBdr>
    </w:div>
    <w:div w:id="2033459092">
      <w:bodyDiv w:val="1"/>
      <w:marLeft w:val="0"/>
      <w:marRight w:val="0"/>
      <w:marTop w:val="0"/>
      <w:marBottom w:val="0"/>
      <w:divBdr>
        <w:top w:val="none" w:sz="0" w:space="0" w:color="auto"/>
        <w:left w:val="none" w:sz="0" w:space="0" w:color="auto"/>
        <w:bottom w:val="none" w:sz="0" w:space="0" w:color="auto"/>
        <w:right w:val="none" w:sz="0" w:space="0" w:color="auto"/>
      </w:divBdr>
    </w:div>
    <w:div w:id="20536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47535/1991ojbe160" TargetMode="External"/><Relationship Id="rId18" Type="http://schemas.openxmlformats.org/officeDocument/2006/relationships/hyperlink" Target="https://doi.org/10.1057/97802305232106" TargetMode="External"/><Relationship Id="rId26" Type="http://schemas.openxmlformats.org/officeDocument/2006/relationships/hyperlink" Target="https://doi.org/10.1016/j.worlddev.2024.106561" TargetMode="External"/><Relationship Id="rId39" Type="http://schemas.openxmlformats.org/officeDocument/2006/relationships/hyperlink" Target="https://doi.org/10.1016/j.jdeveco.2021.102650" TargetMode="External"/><Relationship Id="rId21" Type="http://schemas.openxmlformats.org/officeDocument/2006/relationships/hyperlink" Target="http://creativecommons.org/licenses/by/3.0/igo/" TargetMode="External"/><Relationship Id="rId34" Type="http://schemas.openxmlformats.org/officeDocument/2006/relationships/hyperlink" Target="https://typeset.io/authors/v-tambovtsev-2lnbhp3l2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16/j.worlddev.2012.10.007?referrer=grok.com" TargetMode="External"/><Relationship Id="rId20" Type="http://schemas.openxmlformats.org/officeDocument/2006/relationships/hyperlink" Target="https://journals.econsciences.com/index.php/JEL/article/view/662?utm_source=chatgpt.com" TargetMode="External"/><Relationship Id="rId29" Type="http://schemas.openxmlformats.org/officeDocument/2006/relationships/hyperlink" Target="https://doi.org/10.1093/jae/ejs033" TargetMode="External"/><Relationship Id="rId41" Type="http://schemas.openxmlformats.org/officeDocument/2006/relationships/hyperlink" Target="https://www.worldbank.org/en/country/nigeria/publication/nigeria-economic-upda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1080/00036840500278103?referrer=grok.com" TargetMode="External"/><Relationship Id="rId32" Type="http://schemas.openxmlformats.org/officeDocument/2006/relationships/hyperlink" Target="https://ideas.repec.org/b/hay/hetboo/smith1776.html" TargetMode="External"/><Relationship Id="rId37" Type="http://schemas.openxmlformats.org/officeDocument/2006/relationships/hyperlink" Target="https://unctad.org/publication/world-investment-report-2023" TargetMode="External"/><Relationship Id="rId40" Type="http://schemas.openxmlformats.org/officeDocument/2006/relationships/hyperlink" Target="http://documents.worldbank.org/curated/en/099740006132214750/P17782005822360a00a0850f63928a34418" TargetMode="External"/><Relationship Id="rId5" Type="http://schemas.openxmlformats.org/officeDocument/2006/relationships/webSettings" Target="webSettings.xml"/><Relationship Id="rId15" Type="http://schemas.openxmlformats.org/officeDocument/2006/relationships/hyperlink" Target="https://doi.org/10.1016/j.worlddev.2013.12.003?referrer=grok.com" TargetMode="External"/><Relationship Id="rId23" Type="http://schemas.openxmlformats.org/officeDocument/2006/relationships/hyperlink" Target="https://dx.doi.org/10.2139/ssrn.1577382" TargetMode="External"/><Relationship Id="rId28" Type="http://schemas.openxmlformats.org/officeDocument/2006/relationships/hyperlink" Target="https://doi.org/10.1146/annurev-polisci-052213-040359" TargetMode="External"/><Relationship Id="rId36" Type="http://schemas.openxmlformats.org/officeDocument/2006/relationships/hyperlink" Target="https://doi.org/10.WANG30564/jesr.v4i4.3116" TargetMode="External"/><Relationship Id="rId10" Type="http://schemas.openxmlformats.org/officeDocument/2006/relationships/image" Target="media/image1.emf"/><Relationship Id="rId19" Type="http://schemas.openxmlformats.org/officeDocument/2006/relationships/hyperlink" Target="https://link.springer.com/article/10.1007/s13132-024-02040-6?utm_source=chatgpt.com" TargetMode="External"/><Relationship Id="rId31" Type="http://schemas.openxmlformats.org/officeDocument/2006/relationships/hyperlink" Target="https://doi.org/10.1016/j.technov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on.worldbank.org" TargetMode="External"/><Relationship Id="rId22" Type="http://schemas.openxmlformats.org/officeDocument/2006/relationships/hyperlink" Target="https://doi.org/10.1596/1813-9450-10315" TargetMode="External"/><Relationship Id="rId27" Type="http://schemas.openxmlformats.org/officeDocument/2006/relationships/hyperlink" Target="https://doi.org/10.1002/jae.616?referrer=grok.com" TargetMode="External"/><Relationship Id="rId30" Type="http://schemas.openxmlformats.org/officeDocument/2006/relationships/hyperlink" Target="https://www.pjlss.edu.pk/pdf_files/2024_1/842-869.pdf?utm_source=chatgpt.com" TargetMode="External"/><Relationship Id="rId35" Type="http://schemas.openxmlformats.org/officeDocument/2006/relationships/hyperlink" Target="https://typeset.io/journals/voprosy-economiki-z3iaa2yz" TargetMode="External"/><Relationship Id="rId4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doi.org/10.1016/S1574-0684(05)01006-3" TargetMode="External"/><Relationship Id="rId17" Type="http://schemas.openxmlformats.org/officeDocument/2006/relationships/hyperlink" Target="https://www.state.gov/reports/2023-investment-climate-statements/nigeria/" TargetMode="External"/><Relationship Id="rId25" Type="http://schemas.openxmlformats.org/officeDocument/2006/relationships/hyperlink" Target="https://doi.org/10.1007/s12116-019-09287-0" TargetMode="External"/><Relationship Id="rId33" Type="http://schemas.openxmlformats.org/officeDocument/2006/relationships/hyperlink" Target="https://ideas.repec.org/s/hay/hetboo.html" TargetMode="External"/><Relationship Id="rId38" Type="http://schemas.openxmlformats.org/officeDocument/2006/relationships/hyperlink" Target="https://doi.org/10.1257/jel.20191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4708</TotalTime>
  <Pages>29</Pages>
  <Words>15709</Words>
  <Characters>89546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11</cp:revision>
  <dcterms:created xsi:type="dcterms:W3CDTF">2026-01-15T16:43:00Z</dcterms:created>
  <dcterms:modified xsi:type="dcterms:W3CDTF">2026-05-04T12:44:00Z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5230e057-d843-43f6-b5c8-c7db9edeaf59</vt:lpwstr>
  </property>
</Properties>
</file>