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D6901" w14:textId="72FA4982" w:rsidR="00E2142D" w:rsidRPr="00D72A36" w:rsidRDefault="000021BB">
      <w:pPr>
        <w:spacing w:after="200"/>
        <w:jc w:val="center"/>
        <w:rPr>
          <w:b/>
          <w:sz w:val="32"/>
          <w:szCs w:val="32"/>
        </w:rPr>
      </w:pPr>
      <w:r w:rsidRPr="00D72A36">
        <w:rPr>
          <w:b/>
          <w:color w:val="142C4E"/>
          <w:sz w:val="32"/>
          <w:szCs w:val="32"/>
        </w:rPr>
        <w:t xml:space="preserve">Developments and Trends </w:t>
      </w:r>
      <w:r w:rsidR="00D72A36">
        <w:rPr>
          <w:b/>
          <w:color w:val="142C4E"/>
          <w:sz w:val="32"/>
          <w:szCs w:val="32"/>
        </w:rPr>
        <w:t xml:space="preserve">in </w:t>
      </w:r>
      <w:r w:rsidR="00D72A36" w:rsidRPr="00D72A36">
        <w:rPr>
          <w:b/>
          <w:color w:val="142C4E"/>
          <w:sz w:val="32"/>
          <w:szCs w:val="32"/>
        </w:rPr>
        <w:t>Artrepreneurship</w:t>
      </w:r>
      <w:r w:rsidR="00D72A36">
        <w:rPr>
          <w:b/>
          <w:color w:val="142C4E"/>
          <w:sz w:val="32"/>
          <w:szCs w:val="32"/>
        </w:rPr>
        <w:t xml:space="preserve"> and </w:t>
      </w:r>
      <w:r w:rsidR="00D72A36" w:rsidRPr="00D72A36">
        <w:rPr>
          <w:b/>
          <w:color w:val="142C4E"/>
          <w:sz w:val="32"/>
          <w:szCs w:val="32"/>
        </w:rPr>
        <w:t xml:space="preserve">Algorithmic Literacy </w:t>
      </w:r>
      <w:r w:rsidRPr="00D72A36">
        <w:rPr>
          <w:b/>
          <w:color w:val="142C4E"/>
          <w:sz w:val="32"/>
          <w:szCs w:val="32"/>
        </w:rPr>
        <w:t>in the Application of Digital Tools in Art Teaching</w:t>
      </w:r>
    </w:p>
    <w:p w14:paraId="46C6EDF6" w14:textId="62281EC6" w:rsidR="009E695E" w:rsidRPr="00F8008C" w:rsidRDefault="00563A10" w:rsidP="00532071">
      <w:pPr>
        <w:spacing w:after="240"/>
        <w:jc w:val="center"/>
        <w:rPr>
          <w:rFonts w:eastAsia="SimSun"/>
          <w:sz w:val="24"/>
          <w:szCs w:val="24"/>
          <w:lang w:eastAsia="zh-CN"/>
        </w:rPr>
      </w:pPr>
      <w:r w:rsidRPr="00F8008C">
        <w:rPr>
          <w:rFonts w:eastAsia="SimSun" w:hint="eastAsia"/>
          <w:sz w:val="24"/>
          <w:szCs w:val="24"/>
          <w:lang w:eastAsia="zh-CN"/>
        </w:rPr>
        <w:t xml:space="preserve"> </w:t>
      </w:r>
      <w:bookmarkStart w:id="0" w:name="_GoBack"/>
      <w:bookmarkEnd w:id="0"/>
    </w:p>
    <w:p w14:paraId="0B6B2015" w14:textId="77777777" w:rsidR="00D72A36" w:rsidRPr="00D72A36" w:rsidRDefault="00D72A36" w:rsidP="00D72A36">
      <w:pPr>
        <w:spacing w:before="200" w:after="80"/>
        <w:rPr>
          <w:b/>
          <w:bCs/>
          <w:color w:val="142C4E"/>
          <w:sz w:val="24"/>
          <w:szCs w:val="24"/>
        </w:rPr>
      </w:pPr>
      <w:r w:rsidRPr="00D72A36">
        <w:rPr>
          <w:b/>
          <w:bCs/>
          <w:color w:val="142C4E"/>
          <w:sz w:val="24"/>
          <w:szCs w:val="24"/>
        </w:rPr>
        <w:t>Abstract</w:t>
      </w:r>
    </w:p>
    <w:p w14:paraId="27BA871E" w14:textId="77777777" w:rsidR="00D72A36" w:rsidRPr="00D72A36" w:rsidRDefault="00D72A36" w:rsidP="00D72A36">
      <w:pPr>
        <w:spacing w:before="200" w:after="80"/>
        <w:jc w:val="both"/>
        <w:rPr>
          <w:bCs/>
          <w:color w:val="142C4E"/>
          <w:sz w:val="24"/>
          <w:szCs w:val="24"/>
        </w:rPr>
      </w:pPr>
      <w:r w:rsidRPr="00D72A36">
        <w:rPr>
          <w:bCs/>
          <w:color w:val="142C4E"/>
          <w:sz w:val="24"/>
          <w:szCs w:val="24"/>
        </w:rPr>
        <w:t>As of 2026, the integration of digital tools in art education has shifted from supplemental technology to a fundamental transformation in creative ontology. This study utilizes a Human-AI Collaborative Synthesis model to explore global developments and trends in Artrepreneurship and Algorithmic Literacy, with a specific focus on their implications for art teaching in China. Findings reveal a transition toward an "authenticity economy" that prioritizes human authorship, material honesty, and "productive difficulty" as a response to the proliferation of Generative AI. Professional practices are increasingly defined by "workflow-first" integration, where routine technical labor is automated to reclaim time for high-level conceptual inquiry and "Original Vision". Furthermore, the study identifies a shift toward "Agentic AI Literacy," positioning artists as directors of subordinate algorithmic processes to ensure creative sovereignty and resist algorithmic homogenization. In the Chinese context, these trends necessitate a pedagogical pivot toward "agentic agency," the inclusion of artrepreneurship as a core curriculum, and the use of digital tools as instruments for cultural resilience and social advocacy. Ultimately, the study advocates for a "Human-in-the-Loop" model to bridge traditional aesthetic mastery with democratized AI governance.</w:t>
      </w:r>
    </w:p>
    <w:p w14:paraId="39DE5A4C" w14:textId="77777777" w:rsidR="00D72A36" w:rsidRPr="00D72A36" w:rsidRDefault="00D72A36" w:rsidP="00D72A36">
      <w:pPr>
        <w:spacing w:before="200" w:after="80"/>
        <w:jc w:val="both"/>
        <w:rPr>
          <w:bCs/>
          <w:color w:val="142C4E"/>
          <w:sz w:val="24"/>
          <w:szCs w:val="24"/>
        </w:rPr>
      </w:pPr>
      <w:r w:rsidRPr="00D72A36">
        <w:rPr>
          <w:b/>
          <w:bCs/>
          <w:color w:val="142C4E"/>
          <w:sz w:val="24"/>
          <w:szCs w:val="24"/>
        </w:rPr>
        <w:t>Keywords:</w:t>
      </w:r>
      <w:r w:rsidRPr="00D72A36">
        <w:rPr>
          <w:b/>
          <w:color w:val="142C4E"/>
          <w:sz w:val="24"/>
          <w:szCs w:val="24"/>
        </w:rPr>
        <w:t xml:space="preserve"> </w:t>
      </w:r>
      <w:r w:rsidRPr="00D72A36">
        <w:rPr>
          <w:bCs/>
          <w:color w:val="142C4E"/>
          <w:sz w:val="24"/>
          <w:szCs w:val="24"/>
        </w:rPr>
        <w:t>Artrepreneurship, Algorithmic Literacy, Agentic AI, Authenticity Economy, Digital Art Pedagogy</w:t>
      </w:r>
    </w:p>
    <w:p w14:paraId="056BD468" w14:textId="77777777" w:rsidR="00D72A36" w:rsidRDefault="00D72A36">
      <w:pPr>
        <w:spacing w:before="200" w:after="80"/>
        <w:rPr>
          <w:b/>
          <w:color w:val="142C4E"/>
          <w:sz w:val="24"/>
          <w:szCs w:val="24"/>
        </w:rPr>
      </w:pPr>
    </w:p>
    <w:p w14:paraId="3457BCFB" w14:textId="03C3B10C" w:rsidR="000021BB" w:rsidRPr="00F8008C" w:rsidRDefault="000021BB">
      <w:pPr>
        <w:spacing w:before="200" w:after="80"/>
        <w:rPr>
          <w:b/>
          <w:color w:val="142C4E"/>
          <w:sz w:val="24"/>
          <w:szCs w:val="24"/>
        </w:rPr>
      </w:pPr>
      <w:r w:rsidRPr="00F8008C">
        <w:rPr>
          <w:b/>
          <w:color w:val="142C4E"/>
          <w:sz w:val="24"/>
          <w:szCs w:val="24"/>
        </w:rPr>
        <w:t>Introduction</w:t>
      </w:r>
    </w:p>
    <w:p w14:paraId="7A697D05" w14:textId="77777777" w:rsidR="00F8008C" w:rsidRPr="00F8008C" w:rsidRDefault="00F8008C" w:rsidP="00F8008C">
      <w:pPr>
        <w:spacing w:before="200" w:after="80"/>
        <w:ind w:firstLine="720"/>
        <w:jc w:val="both"/>
        <w:rPr>
          <w:bCs/>
          <w:color w:val="142C4E"/>
          <w:sz w:val="24"/>
          <w:szCs w:val="24"/>
        </w:rPr>
      </w:pPr>
      <w:r w:rsidRPr="00F8008C">
        <w:rPr>
          <w:bCs/>
          <w:color w:val="142C4E"/>
          <w:sz w:val="24"/>
          <w:szCs w:val="24"/>
        </w:rPr>
        <w:t>The landscape of art education is currently undergoing its most significant transformation since the invention of the portable camera. As of 2026, the application of digital tools in art teaching has transitioned from a supplemental "tech-add" to a fundamental shift in creative ontology. This evolution is defined by a move away from mere software proficiency toward a sophisticated "agentic literacy," where students are taught to navigate the tension between human intuition and algorithmic influence (UNESCO, 2026). While traditional studio models prioritized the physical mastery of media, the modern art classroom is increasingly focused on the "authenticity economy," emphasizing visible human authorship in an era of saturated, AI-generated perfection (Cosimo, 2026; Dentsu, 2026).</w:t>
      </w:r>
    </w:p>
    <w:p w14:paraId="3BEE0F52" w14:textId="77777777" w:rsidR="00F8008C" w:rsidRPr="00F8008C" w:rsidRDefault="00F8008C" w:rsidP="00F8008C">
      <w:pPr>
        <w:spacing w:before="200" w:after="80"/>
        <w:ind w:firstLine="720"/>
        <w:jc w:val="both"/>
        <w:rPr>
          <w:bCs/>
          <w:color w:val="142C4E"/>
          <w:sz w:val="24"/>
          <w:szCs w:val="24"/>
        </w:rPr>
      </w:pPr>
      <w:r w:rsidRPr="00F8008C">
        <w:rPr>
          <w:bCs/>
          <w:color w:val="142C4E"/>
          <w:sz w:val="24"/>
          <w:szCs w:val="24"/>
        </w:rPr>
        <w:lastRenderedPageBreak/>
        <w:t xml:space="preserve">However, this rapid integration has exposed critical knowledge gaps, particularly regarding how educators can foster "productive difficulty" when digital tools offer paths to instant aesthetic gratification. Current trends suggest that the future of art teaching lies in "workflow-first" integration—automating routine technical labor to reclaim time for high-level conceptual inquiry and "artrepreneurial" agency (Holon IQ, 2026; Research.com, 2026). By examining emergent hybrid roles and the strategic use of social platforms as adaptive mechanisms for commerce, this paper explores how digital tools are not merely changing </w:t>
      </w:r>
      <w:r w:rsidRPr="00F8008C">
        <w:rPr>
          <w:bCs/>
          <w:i/>
          <w:iCs/>
          <w:color w:val="142C4E"/>
          <w:sz w:val="24"/>
          <w:szCs w:val="24"/>
        </w:rPr>
        <w:t>how</w:t>
      </w:r>
      <w:r w:rsidRPr="00F8008C">
        <w:rPr>
          <w:bCs/>
          <w:color w:val="142C4E"/>
          <w:sz w:val="24"/>
          <w:szCs w:val="24"/>
        </w:rPr>
        <w:t xml:space="preserve"> we make art, but are fundamentally redefining the role of the artist in a mature digital infrastructure (Frontiers, 2025).</w:t>
      </w:r>
    </w:p>
    <w:p w14:paraId="5CB44AED" w14:textId="77777777" w:rsidR="00F8008C" w:rsidRPr="00F8008C" w:rsidRDefault="00F8008C" w:rsidP="00F8008C">
      <w:pPr>
        <w:spacing w:before="200" w:after="80"/>
        <w:ind w:firstLine="720"/>
        <w:jc w:val="both"/>
        <w:rPr>
          <w:bCs/>
          <w:color w:val="142C4E"/>
          <w:sz w:val="25"/>
        </w:rPr>
      </w:pPr>
      <w:r w:rsidRPr="00F8008C">
        <w:rPr>
          <w:bCs/>
          <w:color w:val="142C4E"/>
          <w:sz w:val="25"/>
        </w:rPr>
        <w:t>The integration of digital tools in art education has evolved from a focus on technical software mastery to a complex negotiation of human agency, algorithmic influence, and professional "artrepreneurship." Recent literature highlights a paradigm shift where digital technology is no longer viewed as a mere medium, but as an interactive "creative companion" that reshapes the creative process (Anantrasirichai &amp; Bull, 2022; Clemente et al., 2024).</w:t>
      </w:r>
    </w:p>
    <w:p w14:paraId="47EC5072" w14:textId="77777777" w:rsidR="008F42A8" w:rsidRPr="008F42A8" w:rsidRDefault="008F42A8" w:rsidP="008F42A8">
      <w:pPr>
        <w:spacing w:before="200" w:after="80"/>
        <w:ind w:firstLine="720"/>
        <w:rPr>
          <w:b/>
          <w:bCs/>
          <w:color w:val="142C4E"/>
          <w:sz w:val="25"/>
        </w:rPr>
      </w:pPr>
      <w:r w:rsidRPr="008F42A8">
        <w:rPr>
          <w:b/>
          <w:bCs/>
          <w:color w:val="142C4E"/>
          <w:sz w:val="25"/>
        </w:rPr>
        <w:t>New Typologies and Digital Advocacy</w:t>
      </w:r>
    </w:p>
    <w:p w14:paraId="4FD703C0" w14:textId="77777777" w:rsidR="008F42A8" w:rsidRPr="008F42A8" w:rsidRDefault="008F42A8" w:rsidP="008F42A8">
      <w:pPr>
        <w:spacing w:before="200" w:after="80"/>
        <w:ind w:firstLine="720"/>
        <w:jc w:val="both"/>
        <w:rPr>
          <w:color w:val="142C4E"/>
          <w:sz w:val="25"/>
        </w:rPr>
      </w:pPr>
      <w:r w:rsidRPr="008F42A8">
        <w:rPr>
          <w:color w:val="142C4E"/>
          <w:sz w:val="25"/>
        </w:rPr>
        <w:t>A foundational development in the Philippine context is the move toward redefining what constitutes "digital art." Bantugan (2022) proposed new typologies for "digitized art," moving away from technologically deterministic genres to focus on how digital tools enable social relevance. His research underscores the educational utility of digital media in advocacy—specifically within the "Net-Gen" community—where digital tools transform cyberspace from a platform of vulnerability into a venue for mainstream social support and care (Bantugan, 2022).</w:t>
      </w:r>
    </w:p>
    <w:p w14:paraId="7021C96D" w14:textId="77777777" w:rsidR="008F42A8" w:rsidRPr="008F42A8" w:rsidRDefault="008F42A8" w:rsidP="008F42A8">
      <w:pPr>
        <w:spacing w:before="200" w:after="80"/>
        <w:ind w:firstLine="720"/>
        <w:rPr>
          <w:b/>
          <w:bCs/>
          <w:color w:val="142C4E"/>
          <w:sz w:val="25"/>
        </w:rPr>
      </w:pPr>
      <w:r w:rsidRPr="008F42A8">
        <w:rPr>
          <w:b/>
          <w:bCs/>
          <w:color w:val="142C4E"/>
          <w:sz w:val="25"/>
        </w:rPr>
        <w:t>The Rise of Agentic AI Literacy and Governance</w:t>
      </w:r>
    </w:p>
    <w:p w14:paraId="5B394778" w14:textId="77777777" w:rsidR="008F42A8" w:rsidRPr="008F42A8" w:rsidRDefault="008F42A8" w:rsidP="008F42A8">
      <w:pPr>
        <w:spacing w:before="200" w:after="80"/>
        <w:ind w:firstLine="720"/>
        <w:jc w:val="both"/>
        <w:rPr>
          <w:color w:val="142C4E"/>
          <w:sz w:val="25"/>
        </w:rPr>
      </w:pPr>
      <w:r w:rsidRPr="008F42A8">
        <w:rPr>
          <w:color w:val="142C4E"/>
          <w:sz w:val="25"/>
        </w:rPr>
        <w:t>The rapid proliferation of Generative AI has necessitated a shift toward "Agentic Literacy." This framework, supported by UNESCO (2026) and localized in the research of Bantugan et al. (2024), moves beyond teaching "how to use" AI toward an "Education on AI."</w:t>
      </w:r>
    </w:p>
    <w:p w14:paraId="3F779D96" w14:textId="77777777" w:rsidR="008F42A8" w:rsidRDefault="008F42A8" w:rsidP="008F42A8">
      <w:pPr>
        <w:spacing w:before="200" w:after="80"/>
        <w:ind w:firstLine="720"/>
        <w:jc w:val="both"/>
        <w:rPr>
          <w:color w:val="142C4E"/>
          <w:sz w:val="25"/>
        </w:rPr>
      </w:pPr>
      <w:r w:rsidRPr="008F42A8">
        <w:rPr>
          <w:color w:val="142C4E"/>
          <w:sz w:val="25"/>
        </w:rPr>
        <w:t>Bantugan (2026a) argues for a multisectoral and democratized AI governance policy in higher education to counter "global techno-authoritarianism." This involves preparing art educators and students to act as "directors" of AI workflows, ensuring that the technology serves human-centered needs rather than corporate agendas (Bantugan, 2026a; DepEd, 2026). Furthermore, his work with international graduate students reveals that while there is a high adoption rate of AI tools, there remains a critical need for "intentionality" in how these digital creative spaces are used to foster cross-cultural collaboration and imagination (Bantugan, 2024).</w:t>
      </w:r>
    </w:p>
    <w:p w14:paraId="1A8525D5" w14:textId="77777777" w:rsidR="008F42A8" w:rsidRPr="008F42A8" w:rsidRDefault="008F42A8" w:rsidP="008F42A8">
      <w:pPr>
        <w:spacing w:before="200" w:after="80"/>
        <w:ind w:firstLine="720"/>
        <w:jc w:val="both"/>
        <w:rPr>
          <w:b/>
          <w:bCs/>
          <w:color w:val="142C4E"/>
          <w:sz w:val="25"/>
        </w:rPr>
      </w:pPr>
      <w:r w:rsidRPr="008F42A8">
        <w:rPr>
          <w:b/>
          <w:bCs/>
          <w:color w:val="142C4E"/>
          <w:sz w:val="25"/>
        </w:rPr>
        <w:lastRenderedPageBreak/>
        <w:t>Virtual Creative Spaces and the Authenticity Economy</w:t>
      </w:r>
    </w:p>
    <w:p w14:paraId="01092AE8" w14:textId="77777777" w:rsidR="008F42A8" w:rsidRPr="008F42A8" w:rsidRDefault="008F42A8" w:rsidP="008F42A8">
      <w:pPr>
        <w:spacing w:before="200" w:after="80"/>
        <w:ind w:firstLine="720"/>
        <w:jc w:val="both"/>
        <w:rPr>
          <w:color w:val="142C4E"/>
          <w:sz w:val="25"/>
        </w:rPr>
      </w:pPr>
      <w:r w:rsidRPr="008F42A8">
        <w:rPr>
          <w:color w:val="142C4E"/>
          <w:sz w:val="25"/>
        </w:rPr>
        <w:t xml:space="preserve">As the "Authenticity Economy" places a premium on visible human authorship (Cosimo, 2026), the definition of the "studio" has expanded. Bantugan (2024) explores how art educators have transitioned to </w:t>
      </w:r>
      <w:r w:rsidRPr="008F42A8">
        <w:rPr>
          <w:b/>
          <w:bCs/>
          <w:color w:val="142C4E"/>
          <w:sz w:val="25"/>
        </w:rPr>
        <w:t>virtual creative spaces</w:t>
      </w:r>
      <w:r w:rsidRPr="008F42A8">
        <w:rPr>
          <w:color w:val="142C4E"/>
          <w:sz w:val="25"/>
        </w:rPr>
        <w:t>, emphasizing that digital collaboration must prioritize emotional support and strength through art, especially during global crises. This aligns with trends toward "workflow-first" integration, where routine tasks are automated to reclaim time for the "Original Vision" and conceptual depth that defines human-led art (Holon IQ, 2026; Research.com, 2026).</w:t>
      </w:r>
    </w:p>
    <w:p w14:paraId="652E6A7C" w14:textId="225E323B" w:rsidR="00F8008C" w:rsidRPr="00F8008C" w:rsidRDefault="00F8008C" w:rsidP="00F8008C">
      <w:pPr>
        <w:spacing w:before="200" w:after="80"/>
        <w:ind w:firstLine="720"/>
        <w:rPr>
          <w:b/>
          <w:bCs/>
          <w:color w:val="142C4E"/>
          <w:sz w:val="25"/>
        </w:rPr>
      </w:pPr>
      <w:r w:rsidRPr="00F8008C">
        <w:rPr>
          <w:b/>
          <w:bCs/>
          <w:color w:val="142C4E"/>
          <w:sz w:val="25"/>
        </w:rPr>
        <w:t>The Authenticity Economy and "Productive Difficulty"</w:t>
      </w:r>
    </w:p>
    <w:p w14:paraId="40B7F262" w14:textId="77777777" w:rsidR="00F8008C" w:rsidRPr="00F8008C" w:rsidRDefault="00F8008C" w:rsidP="00F8008C">
      <w:pPr>
        <w:spacing w:before="200" w:after="80"/>
        <w:ind w:firstLine="720"/>
        <w:jc w:val="both"/>
        <w:rPr>
          <w:bCs/>
          <w:color w:val="142C4E"/>
          <w:sz w:val="25"/>
        </w:rPr>
      </w:pPr>
      <w:r w:rsidRPr="00F8008C">
        <w:rPr>
          <w:bCs/>
          <w:color w:val="142C4E"/>
          <w:sz w:val="25"/>
        </w:rPr>
        <w:t>As AI produces a surplus of technically perfect imagery, a counter-trend known as the "Authenticity Economy" has emerged. Research by Cosimo (2026) and Dentsu (2026) suggests that the market value has shifted toward work that exhibits "unmistakably human" traits—imperfections, emotional resonance, and visible labor. Consequently, art educators are grappling with the concept of "productive difficulty." University researchers argue that while digital tools can bypass the "messy middle" of creation, it is the struggle of the process that fosters deep learning; thus, 2026 curricula are increasingly prioritizing the "thinking behind the making" over the polished final output (University of Florida, 2026).</w:t>
      </w:r>
    </w:p>
    <w:p w14:paraId="47A135D3" w14:textId="77777777" w:rsidR="008F42A8" w:rsidRPr="008F42A8" w:rsidRDefault="008F42A8" w:rsidP="008F42A8">
      <w:pPr>
        <w:spacing w:before="200" w:after="80"/>
        <w:ind w:firstLine="720"/>
        <w:jc w:val="both"/>
        <w:rPr>
          <w:b/>
          <w:bCs/>
          <w:color w:val="142C4E"/>
          <w:sz w:val="25"/>
        </w:rPr>
      </w:pPr>
      <w:r w:rsidRPr="008F42A8">
        <w:rPr>
          <w:b/>
          <w:bCs/>
          <w:color w:val="142C4E"/>
          <w:sz w:val="25"/>
        </w:rPr>
        <w:t>Artrepreneurship and Community Engagement</w:t>
      </w:r>
    </w:p>
    <w:p w14:paraId="01F70CB5" w14:textId="76E46037" w:rsidR="008F42A8" w:rsidRPr="00F8008C" w:rsidRDefault="008F42A8" w:rsidP="00F8008C">
      <w:pPr>
        <w:spacing w:before="200" w:after="80"/>
        <w:ind w:firstLine="720"/>
        <w:jc w:val="both"/>
        <w:rPr>
          <w:bCs/>
          <w:color w:val="142C4E"/>
          <w:sz w:val="25"/>
        </w:rPr>
      </w:pPr>
      <w:r w:rsidRPr="008F42A8">
        <w:rPr>
          <w:bCs/>
          <w:color w:val="142C4E"/>
          <w:sz w:val="25"/>
        </w:rPr>
        <w:t>Developments in artrepreneurship reflect a shift toward community-centric models. Frontiers (2025) and Bantugan et al. (2025) both emphasize the role of digital platforms in celebrating art within communities. By utilizing social media as a strategic mechanism rather than just a gallery, artists are bypassing traditional gatekeepers to foster direct-to-patron relationships, effectively turning digital tools into instruments for both creative and economic agency.</w:t>
      </w:r>
      <w:r>
        <w:rPr>
          <w:bCs/>
          <w:color w:val="142C4E"/>
          <w:sz w:val="25"/>
        </w:rPr>
        <w:t xml:space="preserve"> </w:t>
      </w:r>
      <w:r w:rsidRPr="00F8008C">
        <w:rPr>
          <w:bCs/>
          <w:color w:val="142C4E"/>
          <w:sz w:val="25"/>
        </w:rPr>
        <w:t>Digital artists are increasingly operating as "artrepreneurs" who prioritize direct-to-consumer relationships and community co-creation. Furthermore, blockchain and NFTs have matured into an established "market infrastructure" used for digital provenance and professional work presentation rather than speculative trading (Cosimo, 2026).</w:t>
      </w:r>
    </w:p>
    <w:p w14:paraId="501A4F2D" w14:textId="701E47BF" w:rsidR="00F8008C" w:rsidRPr="00F8008C" w:rsidRDefault="00F8008C" w:rsidP="00F8008C">
      <w:pPr>
        <w:spacing w:before="200" w:after="80"/>
        <w:ind w:firstLine="720"/>
        <w:rPr>
          <w:b/>
          <w:bCs/>
          <w:color w:val="142C4E"/>
          <w:sz w:val="25"/>
        </w:rPr>
      </w:pPr>
      <w:r w:rsidRPr="00F8008C">
        <w:rPr>
          <w:b/>
          <w:bCs/>
          <w:color w:val="142C4E"/>
          <w:sz w:val="25"/>
        </w:rPr>
        <w:t>Workflow-First Integration and Hybrid Roles</w:t>
      </w:r>
    </w:p>
    <w:p w14:paraId="1C5C51B5" w14:textId="77777777" w:rsidR="00F8008C" w:rsidRDefault="00F8008C" w:rsidP="00F8008C">
      <w:pPr>
        <w:spacing w:before="200" w:after="80"/>
        <w:ind w:firstLine="720"/>
        <w:jc w:val="both"/>
        <w:rPr>
          <w:bCs/>
          <w:color w:val="142C4E"/>
          <w:sz w:val="25"/>
        </w:rPr>
      </w:pPr>
      <w:r w:rsidRPr="00F8008C">
        <w:rPr>
          <w:bCs/>
          <w:color w:val="142C4E"/>
          <w:sz w:val="25"/>
        </w:rPr>
        <w:t xml:space="preserve">In professional and vocational art teaching, there is a distinct move toward "workflow-first" AI integration. This involves delegating routine technical tasks (e.g., 3D environment generation) to algorithms to free students for high-level conceptual inquiry (Holon IQ, 2026; Research.com, 2026). This shift is reflected in the job market, where there is a reported 30% </w:t>
      </w:r>
      <w:r w:rsidRPr="00F8008C">
        <w:rPr>
          <w:bCs/>
          <w:color w:val="142C4E"/>
          <w:sz w:val="25"/>
        </w:rPr>
        <w:lastRenderedPageBreak/>
        <w:t>increase in demand for hybrid roles like "Creative Technologists" and "AI Art Curators" who can bridge the gap between human intuition and machine execution (Research.com, 2026).</w:t>
      </w:r>
    </w:p>
    <w:p w14:paraId="5AA6A029" w14:textId="0DB2EBA3" w:rsidR="004C47EC" w:rsidRPr="004C47EC" w:rsidRDefault="004C47EC" w:rsidP="00F8008C">
      <w:pPr>
        <w:spacing w:before="200" w:after="80"/>
        <w:ind w:firstLine="720"/>
        <w:jc w:val="both"/>
        <w:rPr>
          <w:b/>
          <w:color w:val="142C4E"/>
          <w:sz w:val="25"/>
        </w:rPr>
      </w:pPr>
      <w:r w:rsidRPr="004C47EC">
        <w:rPr>
          <w:b/>
          <w:color w:val="142C4E"/>
          <w:sz w:val="25"/>
        </w:rPr>
        <w:t>Theoretical Framework</w:t>
      </w:r>
    </w:p>
    <w:p w14:paraId="19502B70" w14:textId="77777777" w:rsidR="004C47EC" w:rsidRPr="004C47EC" w:rsidRDefault="004C47EC" w:rsidP="004C47EC">
      <w:pPr>
        <w:spacing w:before="200" w:after="80"/>
        <w:ind w:firstLine="720"/>
        <w:jc w:val="both"/>
        <w:rPr>
          <w:bCs/>
          <w:color w:val="142C4E"/>
          <w:sz w:val="25"/>
        </w:rPr>
      </w:pPr>
      <w:r w:rsidRPr="004C47EC">
        <w:rPr>
          <w:bCs/>
          <w:color w:val="142C4E"/>
          <w:sz w:val="25"/>
        </w:rPr>
        <w:t xml:space="preserve">The theoretical framework for this study is constructed at the intersection of social advocacy, networked learning, and critical technological governance. At the core of this lens is </w:t>
      </w:r>
      <w:r w:rsidRPr="004C47EC">
        <w:rPr>
          <w:b/>
          <w:bCs/>
          <w:color w:val="142C4E"/>
          <w:sz w:val="25"/>
        </w:rPr>
        <w:t>Bantugan’s (2022) Typologies of Digitized Art</w:t>
      </w:r>
      <w:r w:rsidRPr="004C47EC">
        <w:rPr>
          <w:bCs/>
          <w:color w:val="142C4E"/>
          <w:sz w:val="25"/>
        </w:rPr>
        <w:t>, which shifts the focus from the technical affordances of digital tools to their capacity for fostering social relevance and resilience within the "Net-Gen" community. By viewing digital art as a "digitized" extension of human intent, this theory posits that the virtual space functions as a venue for mainstream social support and advocacy, providing a human-centered foundation that prioritizes the artist's social agency over mere software proficiency (Bantugan, 2024). This perspective is essential for evaluating how digital tools in art teaching can be utilized not just for aesthetic production, but as instruments for community engagement and psychological strength in an increasingly digital world.</w:t>
      </w:r>
    </w:p>
    <w:p w14:paraId="339F1911" w14:textId="77777777" w:rsidR="004C47EC" w:rsidRPr="004C47EC" w:rsidRDefault="004C47EC" w:rsidP="004C47EC">
      <w:pPr>
        <w:spacing w:before="200" w:after="80"/>
        <w:ind w:firstLine="720"/>
        <w:jc w:val="both"/>
        <w:rPr>
          <w:bCs/>
          <w:color w:val="142C4E"/>
          <w:sz w:val="25"/>
        </w:rPr>
      </w:pPr>
      <w:r w:rsidRPr="004C47EC">
        <w:rPr>
          <w:bCs/>
          <w:color w:val="142C4E"/>
          <w:sz w:val="25"/>
        </w:rPr>
        <w:t xml:space="preserve">Complementing this human-centric foundation is the theory of </w:t>
      </w:r>
      <w:r w:rsidRPr="004C47EC">
        <w:rPr>
          <w:b/>
          <w:bCs/>
          <w:color w:val="142C4E"/>
          <w:sz w:val="25"/>
        </w:rPr>
        <w:t>Connectivism</w:t>
      </w:r>
      <w:r w:rsidRPr="004C47EC">
        <w:rPr>
          <w:bCs/>
          <w:color w:val="142C4E"/>
          <w:sz w:val="25"/>
        </w:rPr>
        <w:t>, which serves as the pedagogical engine for understanding art teaching in a networked era. As identified by Siemens (2004) and contextualized within modern digital education (WGU, 2026), Connectivism suggests that learning is the process of connecting specialized "nodes"—ranging from peer networks to AI databases. Within this paper, Connectivism justifies the shift toward "artrepreneurship," where the artist's value is defined by their ability to navigate and influence digital ecosystems (Frontiers, 2025). This aligns with the transition of social media from a passive gallery to a strategic, interactive mechanism for commercializing creative capabilities, where the "pipe" of the network becomes as critical to the artist's survival as the creative content itself.</w:t>
      </w:r>
    </w:p>
    <w:p w14:paraId="79916F8C" w14:textId="452B547B" w:rsidR="004C47EC" w:rsidRPr="004C47EC" w:rsidRDefault="004C47EC" w:rsidP="004C47EC">
      <w:pPr>
        <w:spacing w:before="200" w:after="80"/>
        <w:ind w:firstLine="720"/>
        <w:jc w:val="both"/>
        <w:rPr>
          <w:bCs/>
          <w:color w:val="142C4E"/>
          <w:sz w:val="25"/>
        </w:rPr>
      </w:pPr>
      <w:r w:rsidRPr="004C47EC">
        <w:rPr>
          <w:bCs/>
          <w:color w:val="142C4E"/>
          <w:sz w:val="25"/>
        </w:rPr>
        <w:t xml:space="preserve">Finally, to address the emergent challenges of automated creation, the framework incorporates </w:t>
      </w:r>
      <w:r w:rsidRPr="004C47EC">
        <w:rPr>
          <w:b/>
          <w:bCs/>
          <w:color w:val="142C4E"/>
          <w:sz w:val="25"/>
        </w:rPr>
        <w:t>Critical AI Studies</w:t>
      </w:r>
      <w:r w:rsidRPr="004C47EC">
        <w:rPr>
          <w:bCs/>
          <w:color w:val="142C4E"/>
          <w:sz w:val="25"/>
        </w:rPr>
        <w:t xml:space="preserve"> and the </w:t>
      </w:r>
      <w:r w:rsidRPr="004C47EC">
        <w:rPr>
          <w:b/>
          <w:bCs/>
          <w:color w:val="142C4E"/>
          <w:sz w:val="25"/>
        </w:rPr>
        <w:t>Agentic AI Framework</w:t>
      </w:r>
      <w:r w:rsidRPr="004C47EC">
        <w:rPr>
          <w:bCs/>
          <w:color w:val="142C4E"/>
          <w:sz w:val="25"/>
        </w:rPr>
        <w:t>. This theoretical lens, championed by UNESCO (2026) and localized in the AI governance research of Bantugan (2026), critiques the "techno-authoritarian" potential of black-box algorithms. It advocates for a "human-in-the-loop" model where the artist maintains primary agency, treating the algorithm as a subordinate tool rather than an autonomous creator. By integrating these three pillars, the framework provides a cohesive structure to examine how art education can resist algorithmic homogenization while simultaneously leveraging mature digital infrastructure to empower the next generation of creative practitioners.</w:t>
      </w:r>
    </w:p>
    <w:p w14:paraId="27CDC171" w14:textId="10453ADF" w:rsidR="004C47EC" w:rsidRPr="004C47EC" w:rsidRDefault="004C47EC" w:rsidP="00F8008C">
      <w:pPr>
        <w:spacing w:before="200" w:after="80"/>
        <w:ind w:firstLine="720"/>
        <w:jc w:val="both"/>
        <w:rPr>
          <w:b/>
          <w:color w:val="142C4E"/>
          <w:sz w:val="25"/>
        </w:rPr>
      </w:pPr>
      <w:r w:rsidRPr="004C47EC">
        <w:rPr>
          <w:b/>
          <w:color w:val="142C4E"/>
          <w:sz w:val="25"/>
        </w:rPr>
        <w:lastRenderedPageBreak/>
        <w:t>Statement of the Problem</w:t>
      </w:r>
    </w:p>
    <w:p w14:paraId="7AD62521" w14:textId="561CFB3E" w:rsidR="004C47EC" w:rsidRDefault="004C47EC" w:rsidP="004C47EC">
      <w:pPr>
        <w:spacing w:before="200" w:after="80"/>
        <w:ind w:firstLine="720"/>
        <w:jc w:val="both"/>
        <w:rPr>
          <w:bCs/>
          <w:color w:val="142C4E"/>
          <w:sz w:val="25"/>
        </w:rPr>
      </w:pPr>
      <w:r>
        <w:rPr>
          <w:bCs/>
          <w:color w:val="142C4E"/>
          <w:sz w:val="25"/>
        </w:rPr>
        <w:t xml:space="preserve">The study aimed to describe the developments and trends on the use of digital tools in arts teaching, particularly in </w:t>
      </w:r>
      <w:r w:rsidRPr="004C47EC">
        <w:rPr>
          <w:bCs/>
          <w:color w:val="142C4E"/>
          <w:sz w:val="25"/>
        </w:rPr>
        <w:t>in Artrepreneurship &amp; Algorithmic Literacy</w:t>
      </w:r>
      <w:r>
        <w:rPr>
          <w:bCs/>
          <w:color w:val="142C4E"/>
          <w:sz w:val="25"/>
        </w:rPr>
        <w:t>. Specifically, it answers the following questions: (1) What are the global developments</w:t>
      </w:r>
      <w:r w:rsidR="00C63091">
        <w:rPr>
          <w:bCs/>
          <w:color w:val="142C4E"/>
          <w:sz w:val="25"/>
        </w:rPr>
        <w:t xml:space="preserve"> and trends</w:t>
      </w:r>
      <w:r>
        <w:rPr>
          <w:bCs/>
          <w:color w:val="142C4E"/>
          <w:sz w:val="25"/>
        </w:rPr>
        <w:t xml:space="preserve"> in </w:t>
      </w:r>
      <w:r w:rsidRPr="004C47EC">
        <w:rPr>
          <w:bCs/>
          <w:color w:val="142C4E"/>
          <w:sz w:val="25"/>
        </w:rPr>
        <w:t xml:space="preserve">Artrepreneurship </w:t>
      </w:r>
      <w:r>
        <w:rPr>
          <w:bCs/>
          <w:color w:val="142C4E"/>
          <w:sz w:val="25"/>
        </w:rPr>
        <w:t xml:space="preserve">and </w:t>
      </w:r>
      <w:r w:rsidRPr="004C47EC">
        <w:rPr>
          <w:bCs/>
          <w:color w:val="142C4E"/>
          <w:sz w:val="25"/>
        </w:rPr>
        <w:t>Algorithmic Litera</w:t>
      </w:r>
      <w:r w:rsidR="00C63091">
        <w:rPr>
          <w:bCs/>
          <w:color w:val="142C4E"/>
          <w:sz w:val="25"/>
        </w:rPr>
        <w:t>c</w:t>
      </w:r>
      <w:r w:rsidRPr="004C47EC">
        <w:rPr>
          <w:bCs/>
          <w:color w:val="142C4E"/>
          <w:sz w:val="25"/>
        </w:rPr>
        <w:t>y?</w:t>
      </w:r>
      <w:r>
        <w:rPr>
          <w:bCs/>
          <w:color w:val="142C4E"/>
          <w:sz w:val="25"/>
        </w:rPr>
        <w:t xml:space="preserve">; (2) What are the global </w:t>
      </w:r>
      <w:r w:rsidR="00C63091">
        <w:rPr>
          <w:bCs/>
          <w:color w:val="142C4E"/>
          <w:sz w:val="25"/>
        </w:rPr>
        <w:t xml:space="preserve">developments and </w:t>
      </w:r>
      <w:r w:rsidR="00A93821">
        <w:rPr>
          <w:bCs/>
          <w:color w:val="142C4E"/>
          <w:sz w:val="25"/>
        </w:rPr>
        <w:t xml:space="preserve">trends in </w:t>
      </w:r>
      <w:r w:rsidR="00A93821" w:rsidRPr="00A93821">
        <w:rPr>
          <w:bCs/>
          <w:color w:val="142C4E"/>
          <w:sz w:val="25"/>
        </w:rPr>
        <w:t>Algorithmic Literacy?</w:t>
      </w:r>
      <w:r w:rsidR="00A93821">
        <w:rPr>
          <w:bCs/>
          <w:color w:val="142C4E"/>
          <w:sz w:val="25"/>
        </w:rPr>
        <w:t>; (3) What are the implications of such developments and trends in the use of digital tools in arts teaching in China?</w:t>
      </w:r>
    </w:p>
    <w:p w14:paraId="7A112EA2" w14:textId="2CABF560" w:rsidR="00A93821" w:rsidRPr="00C63091" w:rsidRDefault="00A93821" w:rsidP="00A93821">
      <w:pPr>
        <w:spacing w:before="200" w:after="80"/>
        <w:jc w:val="both"/>
        <w:rPr>
          <w:b/>
          <w:color w:val="142C4E"/>
          <w:sz w:val="25"/>
        </w:rPr>
      </w:pPr>
      <w:r w:rsidRPr="00C63091">
        <w:rPr>
          <w:b/>
          <w:color w:val="142C4E"/>
          <w:sz w:val="25"/>
        </w:rPr>
        <w:t>Methodology</w:t>
      </w:r>
    </w:p>
    <w:p w14:paraId="5400A86B" w14:textId="77777777" w:rsidR="00C63091" w:rsidRPr="00C63091" w:rsidRDefault="00C63091" w:rsidP="00C63091">
      <w:pPr>
        <w:spacing w:before="200" w:after="80"/>
        <w:ind w:firstLine="720"/>
        <w:jc w:val="both"/>
        <w:rPr>
          <w:bCs/>
          <w:color w:val="142C4E"/>
          <w:sz w:val="25"/>
        </w:rPr>
      </w:pPr>
      <w:r w:rsidRPr="00C63091">
        <w:rPr>
          <w:bCs/>
          <w:color w:val="142C4E"/>
          <w:sz w:val="25"/>
        </w:rPr>
        <w:t xml:space="preserve">The implementation of the literature review in this study followed a modern, </w:t>
      </w:r>
      <w:r w:rsidRPr="00C63091">
        <w:rPr>
          <w:b/>
          <w:bCs/>
          <w:color w:val="142C4E"/>
          <w:sz w:val="25"/>
        </w:rPr>
        <w:t>Human-AI Collaborative Synthesis</w:t>
      </w:r>
      <w:r w:rsidRPr="00C63091">
        <w:rPr>
          <w:bCs/>
          <w:color w:val="142C4E"/>
          <w:sz w:val="25"/>
        </w:rPr>
        <w:t xml:space="preserve"> model, where Artificial Intelligence was utilized as a sophisticated cognitive partner to ensure methodological rigor and global reach. The first phase involved </w:t>
      </w:r>
      <w:r w:rsidRPr="00C63091">
        <w:rPr>
          <w:b/>
          <w:bCs/>
          <w:color w:val="142C4E"/>
          <w:sz w:val="25"/>
        </w:rPr>
        <w:t>Automated Global Discovery</w:t>
      </w:r>
      <w:r w:rsidRPr="00C63091">
        <w:rPr>
          <w:bCs/>
          <w:color w:val="142C4E"/>
          <w:sz w:val="25"/>
        </w:rPr>
        <w:t xml:space="preserve">, where AI tools were employed to scan international academic databases to map the evolution of Artrepreneurship and Algorithmic Literacy (Codesis, 2026). This phase was specifically guided by </w:t>
      </w:r>
      <w:r w:rsidRPr="00C63091">
        <w:rPr>
          <w:b/>
          <w:bCs/>
          <w:color w:val="142C4E"/>
          <w:sz w:val="25"/>
        </w:rPr>
        <w:t>Bantugan’s (2022) "digitized art" typologies</w:t>
      </w:r>
      <w:r w:rsidRPr="00C63091">
        <w:rPr>
          <w:bCs/>
          <w:color w:val="142C4E"/>
          <w:sz w:val="25"/>
        </w:rPr>
        <w:t>, which served as a filtering mechanism to ensure that the search results prioritized social relevance and advocacy rather than purely technical software manuals. By using AI to identify perspective shifts across different regions, the study was able to achieve a truly global baseline of developments while maintaining the human-centered focus necessary for art education research.</w:t>
      </w:r>
    </w:p>
    <w:p w14:paraId="3849EB9C" w14:textId="15E75D29" w:rsidR="00C63091" w:rsidRPr="00C63091" w:rsidRDefault="00C63091" w:rsidP="00C63091">
      <w:pPr>
        <w:spacing w:before="200" w:after="80"/>
        <w:ind w:firstLine="720"/>
        <w:jc w:val="both"/>
        <w:rPr>
          <w:bCs/>
          <w:color w:val="142C4E"/>
          <w:sz w:val="25"/>
        </w:rPr>
      </w:pPr>
      <w:r w:rsidRPr="00C63091">
        <w:rPr>
          <w:bCs/>
          <w:color w:val="142C4E"/>
          <w:sz w:val="25"/>
        </w:rPr>
        <w:t xml:space="preserve">The second phase moved into </w:t>
      </w:r>
      <w:r w:rsidRPr="00C63091">
        <w:rPr>
          <w:b/>
          <w:bCs/>
          <w:color w:val="142C4E"/>
          <w:sz w:val="25"/>
        </w:rPr>
        <w:t>Thematic Clustering and Pattern Recognition</w:t>
      </w:r>
      <w:r w:rsidRPr="00C63091">
        <w:rPr>
          <w:bCs/>
          <w:color w:val="142C4E"/>
          <w:sz w:val="25"/>
        </w:rPr>
        <w:t xml:space="preserve">, where AI qualitative analysis tools were used to bridge disparate concepts across hundreds of sources. This allowed the researchers to detect the rise of "Algorithmic Homogenization" and the "Authenticity Economy" as consistent global trends that might otherwise have remained fragmented in traditional manual reviews (SHS Web of Conferences, 2026). However, following the principles of </w:t>
      </w:r>
      <w:r w:rsidRPr="00C63091">
        <w:rPr>
          <w:b/>
          <w:bCs/>
          <w:color w:val="142C4E"/>
          <w:sz w:val="25"/>
        </w:rPr>
        <w:t>Agentic AI Literacy</w:t>
      </w:r>
      <w:r w:rsidRPr="00C63091">
        <w:rPr>
          <w:bCs/>
          <w:color w:val="142C4E"/>
          <w:sz w:val="25"/>
        </w:rPr>
        <w:t xml:space="preserve">, these findings were subjected to a rigorous "human-in-the-loop" validation process. In this third phase, the researchers audited AI-generated summaries against primary texts to eliminate algorithmic bias and ensure ethical alignment with the </w:t>
      </w:r>
      <w:r w:rsidRPr="00C63091">
        <w:rPr>
          <w:b/>
          <w:bCs/>
          <w:color w:val="142C4E"/>
          <w:sz w:val="25"/>
        </w:rPr>
        <w:t>democratized AI governance</w:t>
      </w:r>
      <w:r w:rsidRPr="00C63091">
        <w:rPr>
          <w:bCs/>
          <w:color w:val="142C4E"/>
          <w:sz w:val="25"/>
        </w:rPr>
        <w:t xml:space="preserve"> principles advocated by Bantugan (2026). This step ensured that the AI remained a subordinate tool, preserving the researcher's critical oversight and "Original Vision."</w:t>
      </w:r>
    </w:p>
    <w:p w14:paraId="06E0983E" w14:textId="77777777" w:rsidR="00C63091" w:rsidRDefault="00C63091" w:rsidP="00C63091">
      <w:pPr>
        <w:spacing w:before="200" w:after="80"/>
        <w:ind w:firstLine="720"/>
        <w:jc w:val="both"/>
        <w:rPr>
          <w:bCs/>
          <w:color w:val="142C4E"/>
          <w:sz w:val="25"/>
        </w:rPr>
      </w:pPr>
      <w:r w:rsidRPr="00C63091">
        <w:rPr>
          <w:bCs/>
          <w:color w:val="142C4E"/>
          <w:sz w:val="25"/>
        </w:rPr>
        <w:t xml:space="preserve">Finally, the review was implemented through </w:t>
      </w:r>
      <w:r w:rsidRPr="00C63091">
        <w:rPr>
          <w:b/>
          <w:bCs/>
          <w:color w:val="142C4E"/>
          <w:sz w:val="25"/>
        </w:rPr>
        <w:t>Contextual Synthesis for China</w:t>
      </w:r>
      <w:r w:rsidRPr="00C63091">
        <w:rPr>
          <w:bCs/>
          <w:color w:val="142C4E"/>
          <w:sz w:val="25"/>
        </w:rPr>
        <w:t xml:space="preserve">, where AI helped simulate the implications of global developments within the specific Chinese pedagogical landscape. By integrating data from </w:t>
      </w:r>
      <w:r w:rsidRPr="00C63091">
        <w:rPr>
          <w:b/>
          <w:bCs/>
          <w:color w:val="142C4E"/>
          <w:sz w:val="25"/>
        </w:rPr>
        <w:t xml:space="preserve">Bantugan’s (2024) studies on Chinese </w:t>
      </w:r>
      <w:r w:rsidRPr="00C63091">
        <w:rPr>
          <w:b/>
          <w:bCs/>
          <w:color w:val="142C4E"/>
          <w:sz w:val="25"/>
        </w:rPr>
        <w:lastRenderedPageBreak/>
        <w:t>graduate students</w:t>
      </w:r>
      <w:r w:rsidRPr="00C63091">
        <w:rPr>
          <w:bCs/>
          <w:color w:val="142C4E"/>
          <w:sz w:val="25"/>
        </w:rPr>
        <w:t>, the AI assisted in identifying potential "friction points" between global trends and local educational structures. This systematic, AI-augmented approach transformed the literature review from a static summary into a dynamic, evidence-based engine, allowing the study to derive precise implications for how digital tools can be more effectively integrated into art teaching in China (MDPI, 2026).</w:t>
      </w:r>
    </w:p>
    <w:p w14:paraId="1DB6285E" w14:textId="2844F2F4" w:rsidR="00C63091" w:rsidRPr="00C63091" w:rsidRDefault="00C63091" w:rsidP="00C63091">
      <w:pPr>
        <w:spacing w:before="200" w:after="80"/>
        <w:jc w:val="both"/>
        <w:rPr>
          <w:b/>
          <w:color w:val="142C4E"/>
          <w:sz w:val="25"/>
        </w:rPr>
      </w:pPr>
      <w:r w:rsidRPr="00C63091">
        <w:rPr>
          <w:b/>
          <w:color w:val="142C4E"/>
          <w:sz w:val="25"/>
        </w:rPr>
        <w:t>Results</w:t>
      </w:r>
    </w:p>
    <w:p w14:paraId="22990543" w14:textId="77777777" w:rsidR="00C63091" w:rsidRPr="00C63091" w:rsidRDefault="00C63091" w:rsidP="00C63091">
      <w:pPr>
        <w:spacing w:before="200" w:after="80"/>
        <w:ind w:firstLine="720"/>
        <w:jc w:val="both"/>
        <w:rPr>
          <w:b/>
          <w:bCs/>
          <w:color w:val="142C4E"/>
          <w:sz w:val="25"/>
        </w:rPr>
      </w:pPr>
      <w:r w:rsidRPr="00C63091">
        <w:rPr>
          <w:b/>
          <w:bCs/>
          <w:color w:val="142C4E"/>
          <w:sz w:val="25"/>
        </w:rPr>
        <w:t>Global Trends in Artrepreneurship</w:t>
      </w:r>
    </w:p>
    <w:p w14:paraId="636B9EC6" w14:textId="77777777" w:rsidR="00C63091" w:rsidRPr="00C63091" w:rsidRDefault="00C63091" w:rsidP="00C63091">
      <w:pPr>
        <w:spacing w:before="200" w:after="80"/>
        <w:ind w:firstLine="720"/>
        <w:jc w:val="both"/>
        <w:rPr>
          <w:bCs/>
          <w:color w:val="142C4E"/>
          <w:sz w:val="25"/>
        </w:rPr>
      </w:pPr>
      <w:r w:rsidRPr="00C63091">
        <w:rPr>
          <w:bCs/>
          <w:color w:val="142C4E"/>
          <w:sz w:val="25"/>
        </w:rPr>
        <w:t>Artrepreneurship is increasingly defined as the convergence of creativity, community, and commerce mediated by digital platforms (Frontiers, 2025).</w:t>
      </w:r>
    </w:p>
    <w:p w14:paraId="06309531" w14:textId="51068BA4" w:rsidR="00ED5688" w:rsidRPr="00ED5688" w:rsidRDefault="00C63091" w:rsidP="00ED5688">
      <w:pPr>
        <w:spacing w:before="200" w:after="80"/>
        <w:ind w:firstLine="720"/>
        <w:jc w:val="both"/>
        <w:rPr>
          <w:bCs/>
          <w:color w:val="142C4E"/>
          <w:sz w:val="25"/>
        </w:rPr>
      </w:pPr>
      <w:r w:rsidRPr="00C63091">
        <w:rPr>
          <w:b/>
          <w:bCs/>
          <w:color w:val="142C4E"/>
          <w:sz w:val="25"/>
        </w:rPr>
        <w:t>The Authenticity Economy</w:t>
      </w:r>
      <w:r w:rsidR="00ED5688">
        <w:rPr>
          <w:b/>
          <w:bCs/>
          <w:color w:val="142C4E"/>
          <w:sz w:val="25"/>
        </w:rPr>
        <w:t>.</w:t>
      </w:r>
      <w:r w:rsidRPr="00C63091">
        <w:rPr>
          <w:bCs/>
          <w:color w:val="142C4E"/>
          <w:sz w:val="25"/>
        </w:rPr>
        <w:t xml:space="preserve"> As Generative AI produces an abundance of "perfect" imagery, the market value has shifted toward "human authorship." Trends for 2026 emphasize visible imperfections, emotional resonance, and "unmistakably human-made" aesthetics as key selling points (Cosimo, 2026; Dentsu, 2026).</w:t>
      </w:r>
      <w:r w:rsidR="00ED5688">
        <w:rPr>
          <w:bCs/>
          <w:color w:val="142C4E"/>
          <w:sz w:val="25"/>
        </w:rPr>
        <w:t xml:space="preserve"> </w:t>
      </w:r>
      <w:r w:rsidR="00ED5688" w:rsidRPr="00ED5688">
        <w:rPr>
          <w:bCs/>
          <w:color w:val="142C4E"/>
          <w:sz w:val="25"/>
        </w:rPr>
        <w:t xml:space="preserve">As digital perfection becomes a commodity, artists are pivoting toward </w:t>
      </w:r>
      <w:r w:rsidR="00ED5688" w:rsidRPr="00ED5688">
        <w:rPr>
          <w:b/>
          <w:bCs/>
          <w:color w:val="142C4E"/>
          <w:sz w:val="25"/>
        </w:rPr>
        <w:t>visible labor</w:t>
      </w:r>
      <w:r w:rsidR="00ED5688" w:rsidRPr="00ED5688">
        <w:rPr>
          <w:bCs/>
          <w:color w:val="142C4E"/>
          <w:sz w:val="25"/>
        </w:rPr>
        <w:t xml:space="preserve"> and </w:t>
      </w:r>
      <w:r w:rsidR="00ED5688" w:rsidRPr="00ED5688">
        <w:rPr>
          <w:b/>
          <w:bCs/>
          <w:color w:val="142C4E"/>
          <w:sz w:val="25"/>
        </w:rPr>
        <w:t>material honesty</w:t>
      </w:r>
      <w:r w:rsidR="00ED5688" w:rsidRPr="00ED5688">
        <w:rPr>
          <w:bCs/>
          <w:color w:val="142C4E"/>
          <w:sz w:val="25"/>
        </w:rPr>
        <w:t>.</w:t>
      </w:r>
    </w:p>
    <w:p w14:paraId="508C0CF0" w14:textId="6ABD9DAC" w:rsidR="00ED5688" w:rsidRPr="00ED5688" w:rsidRDefault="00ED5688" w:rsidP="00ED5688">
      <w:pPr>
        <w:tabs>
          <w:tab w:val="num" w:pos="720"/>
        </w:tabs>
        <w:spacing w:before="200" w:after="80"/>
        <w:ind w:firstLine="720"/>
        <w:jc w:val="both"/>
        <w:rPr>
          <w:bCs/>
          <w:color w:val="142C4E"/>
          <w:sz w:val="25"/>
        </w:rPr>
      </w:pPr>
      <w:r w:rsidRPr="00ED5688">
        <w:rPr>
          <w:b/>
          <w:bCs/>
          <w:i/>
          <w:iCs/>
          <w:color w:val="142C4E"/>
          <w:sz w:val="25"/>
        </w:rPr>
        <w:t>Luke Rudolf’s "Necessary Imperfections"</w:t>
      </w:r>
      <w:r>
        <w:rPr>
          <w:b/>
          <w:bCs/>
          <w:i/>
          <w:iCs/>
          <w:color w:val="142C4E"/>
          <w:sz w:val="25"/>
        </w:rPr>
        <w:t>.</w:t>
      </w:r>
      <w:r w:rsidRPr="00ED5688">
        <w:rPr>
          <w:bCs/>
          <w:color w:val="142C4E"/>
          <w:sz w:val="25"/>
        </w:rPr>
        <w:t xml:space="preserve"> Rudolf’s work is a primary example of 2026’s "unmistakably human-made" trend. While his paintings often mimic the clean languages of digital imagery, he deliberately balances systematic precision with a visual sensibility that is "necessarily imperfect" (Rise Art, 2026).</w:t>
      </w:r>
      <w:r>
        <w:rPr>
          <w:bCs/>
          <w:color w:val="142C4E"/>
          <w:sz w:val="25"/>
        </w:rPr>
        <w:t xml:space="preserve"> </w:t>
      </w:r>
      <w:r w:rsidRPr="00ED5688">
        <w:rPr>
          <w:bCs/>
          <w:color w:val="142C4E"/>
          <w:sz w:val="25"/>
        </w:rPr>
        <w:t xml:space="preserve">In an economy saturated by AI-generated symmetry, Rudolf’s work provides "emotional resonance" through physical brushstrokes and hazy, distorted textures that a screen cannot replicate. This "human authorship" is no longer just a preference but a </w:t>
      </w:r>
      <w:r w:rsidRPr="00ED5688">
        <w:rPr>
          <w:b/>
          <w:bCs/>
          <w:color w:val="142C4E"/>
          <w:sz w:val="25"/>
        </w:rPr>
        <w:t>selling point</w:t>
      </w:r>
      <w:r w:rsidRPr="00ED5688">
        <w:rPr>
          <w:bCs/>
          <w:color w:val="142C4E"/>
          <w:sz w:val="25"/>
        </w:rPr>
        <w:t xml:space="preserve"> that justifies higher market value compared to infinite, perfect digital outputs (Rise Art, 2026).</w:t>
      </w:r>
    </w:p>
    <w:p w14:paraId="5B3253FA" w14:textId="77777777" w:rsidR="00ED5688" w:rsidRPr="00ED5688" w:rsidRDefault="00C63091" w:rsidP="00ED5688">
      <w:pPr>
        <w:spacing w:before="200" w:after="80"/>
        <w:ind w:firstLine="720"/>
        <w:jc w:val="both"/>
        <w:rPr>
          <w:bCs/>
          <w:color w:val="142C4E"/>
          <w:sz w:val="25"/>
        </w:rPr>
      </w:pPr>
      <w:r w:rsidRPr="00C63091">
        <w:rPr>
          <w:b/>
          <w:bCs/>
          <w:color w:val="142C4E"/>
          <w:sz w:val="25"/>
        </w:rPr>
        <w:t>Social Media as a Strategic Enabler</w:t>
      </w:r>
      <w:r w:rsidR="00ED5688">
        <w:rPr>
          <w:b/>
          <w:bCs/>
          <w:color w:val="142C4E"/>
          <w:sz w:val="25"/>
        </w:rPr>
        <w:t>.</w:t>
      </w:r>
      <w:r w:rsidRPr="00C63091">
        <w:rPr>
          <w:bCs/>
          <w:color w:val="142C4E"/>
          <w:sz w:val="25"/>
        </w:rPr>
        <w:t xml:space="preserve"> Research suggests that social media no longer serves just as a gallery but as a "strategic, interactive, and adaptive mechanism" for commercializing creative capabilities. Artists are moving toward "artrepreneurial" models that prioritize direct-to-consumer relationships over traditional gallery gatekeepers (Frontiers, 2025).</w:t>
      </w:r>
      <w:r w:rsidR="00ED5688">
        <w:rPr>
          <w:bCs/>
          <w:color w:val="142C4E"/>
          <w:sz w:val="25"/>
        </w:rPr>
        <w:t xml:space="preserve"> </w:t>
      </w:r>
      <w:r w:rsidR="00ED5688" w:rsidRPr="00ED5688">
        <w:rPr>
          <w:bCs/>
          <w:color w:val="142C4E"/>
          <w:sz w:val="25"/>
        </w:rPr>
        <w:t>Social media has moved from being a "look-at-my-art" gallery to a "social-first" business engine where artists act as mini-studios.</w:t>
      </w:r>
    </w:p>
    <w:p w14:paraId="313D16AF" w14:textId="6D3E3FFA" w:rsidR="00C63091" w:rsidRPr="00C63091" w:rsidRDefault="00ED5688" w:rsidP="00ED5688">
      <w:pPr>
        <w:tabs>
          <w:tab w:val="num" w:pos="720"/>
        </w:tabs>
        <w:spacing w:before="200" w:after="80"/>
        <w:ind w:firstLine="720"/>
        <w:jc w:val="both"/>
        <w:rPr>
          <w:bCs/>
          <w:color w:val="142C4E"/>
          <w:sz w:val="25"/>
        </w:rPr>
      </w:pPr>
      <w:r w:rsidRPr="00ED5688">
        <w:rPr>
          <w:b/>
          <w:bCs/>
          <w:i/>
          <w:iCs/>
          <w:color w:val="142C4E"/>
          <w:sz w:val="25"/>
        </w:rPr>
        <w:t>The "Social-First" Artrepreneur (Frontiers, 2025)</w:t>
      </w:r>
      <w:r>
        <w:rPr>
          <w:b/>
          <w:bCs/>
          <w:color w:val="142C4E"/>
          <w:sz w:val="25"/>
        </w:rPr>
        <w:t>.</w:t>
      </w:r>
      <w:r w:rsidRPr="00ED5688">
        <w:rPr>
          <w:bCs/>
          <w:color w:val="142C4E"/>
          <w:sz w:val="25"/>
        </w:rPr>
        <w:t xml:space="preserve"> Research highlights that successful 2025–2026 artrepreneurs use social media not just to post finished works, but as an </w:t>
      </w:r>
      <w:r w:rsidRPr="00ED5688">
        <w:rPr>
          <w:b/>
          <w:bCs/>
          <w:color w:val="142C4E"/>
          <w:sz w:val="25"/>
        </w:rPr>
        <w:t>interactive mechanism</w:t>
      </w:r>
      <w:r w:rsidRPr="00ED5688">
        <w:rPr>
          <w:bCs/>
          <w:color w:val="142C4E"/>
          <w:sz w:val="25"/>
        </w:rPr>
        <w:t xml:space="preserve"> to build a brand identity.</w:t>
      </w:r>
      <w:r>
        <w:rPr>
          <w:bCs/>
          <w:color w:val="142C4E"/>
          <w:sz w:val="25"/>
        </w:rPr>
        <w:t xml:space="preserve"> </w:t>
      </w:r>
      <w:r w:rsidRPr="00ED5688">
        <w:rPr>
          <w:bCs/>
          <w:color w:val="142C4E"/>
          <w:sz w:val="25"/>
        </w:rPr>
        <w:t xml:space="preserve">Instead of waiting for a gallery to "vet" them, artists use platforms to co-create with their communities—running polls on color </w:t>
      </w:r>
      <w:r w:rsidRPr="00ED5688">
        <w:rPr>
          <w:bCs/>
          <w:color w:val="142C4E"/>
          <w:sz w:val="25"/>
        </w:rPr>
        <w:lastRenderedPageBreak/>
        <w:t>palettes or sharing "failure" videos. This transparency creates a direct economic link where followers become patrons, effectively bypassing traditional gatekeepers and fostering "artrepreneurial" sustainability (Frontiers, 2025).</w:t>
      </w:r>
    </w:p>
    <w:p w14:paraId="1538CE11" w14:textId="77777777" w:rsidR="00ED5688" w:rsidRPr="00ED5688" w:rsidRDefault="00C63091" w:rsidP="00ED5688">
      <w:pPr>
        <w:spacing w:before="200" w:after="80"/>
        <w:ind w:firstLine="720"/>
        <w:jc w:val="both"/>
        <w:rPr>
          <w:bCs/>
          <w:color w:val="142C4E"/>
          <w:sz w:val="25"/>
        </w:rPr>
      </w:pPr>
      <w:r w:rsidRPr="00C63091">
        <w:rPr>
          <w:b/>
          <w:bCs/>
          <w:color w:val="142C4E"/>
          <w:sz w:val="25"/>
        </w:rPr>
        <w:t>NFTs as Market Infrastructure:</w:t>
      </w:r>
      <w:r w:rsidRPr="00C63091">
        <w:rPr>
          <w:bCs/>
          <w:color w:val="142C4E"/>
          <w:sz w:val="25"/>
        </w:rPr>
        <w:t xml:space="preserve"> The speculative "hype" of 2021–2022 has been replaced by a mature blockchain infrastructure. In 2026, NFTs and blockchain are treated as standard tools for digital provenance and professional work presentation (Cosimo, 2026).</w:t>
      </w:r>
      <w:r w:rsidR="00ED5688">
        <w:rPr>
          <w:bCs/>
          <w:color w:val="142C4E"/>
          <w:sz w:val="25"/>
        </w:rPr>
        <w:t xml:space="preserve"> </w:t>
      </w:r>
      <w:r w:rsidR="00ED5688" w:rsidRPr="00ED5688">
        <w:rPr>
          <w:bCs/>
          <w:color w:val="142C4E"/>
          <w:sz w:val="25"/>
        </w:rPr>
        <w:t xml:space="preserve">The 2026 market treats blockchain not as a "get rich quick" scheme, but as a </w:t>
      </w:r>
      <w:r w:rsidR="00ED5688" w:rsidRPr="00ED5688">
        <w:rPr>
          <w:b/>
          <w:bCs/>
          <w:color w:val="142C4E"/>
          <w:sz w:val="25"/>
        </w:rPr>
        <w:t>standardized data container</w:t>
      </w:r>
      <w:r w:rsidR="00ED5688" w:rsidRPr="00ED5688">
        <w:rPr>
          <w:bCs/>
          <w:color w:val="142C4E"/>
          <w:sz w:val="25"/>
        </w:rPr>
        <w:t xml:space="preserve"> for professional credibility.</w:t>
      </w:r>
    </w:p>
    <w:p w14:paraId="0F9C08E0" w14:textId="00A547D9" w:rsidR="00C63091" w:rsidRPr="00C63091" w:rsidRDefault="00ED5688" w:rsidP="00E44884">
      <w:pPr>
        <w:spacing w:before="200" w:after="80"/>
        <w:ind w:firstLine="720"/>
        <w:jc w:val="both"/>
        <w:rPr>
          <w:bCs/>
          <w:color w:val="142C4E"/>
          <w:sz w:val="25"/>
        </w:rPr>
      </w:pPr>
      <w:r w:rsidRPr="00ED5688">
        <w:rPr>
          <w:b/>
          <w:bCs/>
          <w:i/>
          <w:iCs/>
          <w:color w:val="142C4E"/>
          <w:sz w:val="25"/>
        </w:rPr>
        <w:t>The Michele Cea Prize 2026.</w:t>
      </w:r>
      <w:r w:rsidRPr="00ED5688">
        <w:rPr>
          <w:bCs/>
          <w:color w:val="142C4E"/>
          <w:sz w:val="25"/>
        </w:rPr>
        <w:t xml:space="preserve"> This art award demonstrates the "bridge" between traditional fine art and digital infrastructure. While the prize honors physical mastery, it uses blockchain for </w:t>
      </w:r>
      <w:r w:rsidRPr="00ED5688">
        <w:rPr>
          <w:b/>
          <w:bCs/>
          <w:color w:val="142C4E"/>
          <w:sz w:val="25"/>
        </w:rPr>
        <w:t>provenance and digital extension</w:t>
      </w:r>
      <w:r w:rsidRPr="00ED5688">
        <w:rPr>
          <w:bCs/>
          <w:color w:val="142C4E"/>
          <w:sz w:val="25"/>
        </w:rPr>
        <w:t>.NFTs are utilized as verifiable certificates tied to physical works, recording "edition data, exhibition history, and artist statement hashes" (Hoken Tech, 2026). This shift from "collectible JPEG" to "operational checklist" allows artists to provide a permanent, unchangeable audit trail of ownership, which is essential for high-value sales in the 2026 market (ScienceSoft, 2026).</w:t>
      </w:r>
    </w:p>
    <w:p w14:paraId="4A08A43A" w14:textId="35B0E2C0" w:rsidR="00ED5688" w:rsidRPr="00ED5688" w:rsidRDefault="00C63091" w:rsidP="00ED5688">
      <w:pPr>
        <w:spacing w:before="200" w:after="80"/>
        <w:ind w:firstLine="720"/>
        <w:jc w:val="both"/>
        <w:rPr>
          <w:bCs/>
          <w:color w:val="142C4E"/>
          <w:sz w:val="25"/>
        </w:rPr>
      </w:pPr>
      <w:r w:rsidRPr="00C63091">
        <w:rPr>
          <w:b/>
          <w:bCs/>
          <w:color w:val="142C4E"/>
          <w:sz w:val="25"/>
        </w:rPr>
        <w:t>Emergent Hybrid Roles</w:t>
      </w:r>
      <w:r w:rsidR="00ED5688">
        <w:rPr>
          <w:b/>
          <w:bCs/>
          <w:color w:val="142C4E"/>
          <w:sz w:val="25"/>
        </w:rPr>
        <w:t>.</w:t>
      </w:r>
      <w:r w:rsidRPr="00C63091">
        <w:rPr>
          <w:bCs/>
          <w:color w:val="142C4E"/>
          <w:sz w:val="25"/>
        </w:rPr>
        <w:t xml:space="preserve"> The creative economy is seeing a 30% increase in demand for roles that combine artistic talent with technical expertise, such as AI Art Curators, Creative Technologists, and Generative Artists (Research.com, 2026).</w:t>
      </w:r>
      <w:r w:rsidR="00ED5688">
        <w:rPr>
          <w:bCs/>
          <w:color w:val="142C4E"/>
          <w:sz w:val="25"/>
        </w:rPr>
        <w:t xml:space="preserve"> </w:t>
      </w:r>
      <w:r w:rsidR="00ED5688" w:rsidRPr="00ED5688">
        <w:rPr>
          <w:bCs/>
          <w:color w:val="142C4E"/>
          <w:sz w:val="25"/>
        </w:rPr>
        <w:t>The "30% increase" in hybrid demand is driven by institutions needing professionals who can bridge the gap between human intuition and machine output.</w:t>
      </w:r>
    </w:p>
    <w:p w14:paraId="03FF2255" w14:textId="489845EA" w:rsidR="00E44884" w:rsidRPr="00C63091" w:rsidRDefault="00ED5688" w:rsidP="00263D5F">
      <w:pPr>
        <w:tabs>
          <w:tab w:val="num" w:pos="720"/>
        </w:tabs>
        <w:spacing w:before="200" w:after="80"/>
        <w:ind w:firstLine="720"/>
        <w:jc w:val="both"/>
        <w:rPr>
          <w:bCs/>
          <w:color w:val="142C4E"/>
          <w:sz w:val="25"/>
        </w:rPr>
      </w:pPr>
      <w:r w:rsidRPr="00263D5F">
        <w:rPr>
          <w:b/>
          <w:bCs/>
          <w:i/>
          <w:iCs/>
          <w:color w:val="142C4E"/>
          <w:sz w:val="25"/>
        </w:rPr>
        <w:t>AI Art Curators &amp; Creative Technologists (Research.com, 2026)</w:t>
      </w:r>
      <w:r w:rsidR="00263D5F" w:rsidRPr="00263D5F">
        <w:rPr>
          <w:b/>
          <w:bCs/>
          <w:i/>
          <w:iCs/>
          <w:color w:val="142C4E"/>
          <w:sz w:val="25"/>
        </w:rPr>
        <w:t>.</w:t>
      </w:r>
      <w:r w:rsidRPr="00ED5688">
        <w:rPr>
          <w:bCs/>
          <w:color w:val="142C4E"/>
          <w:sz w:val="25"/>
        </w:rPr>
        <w:t xml:space="preserve"> Employers in 2026 prioritize "AI tool proficiency" alongside "interdisciplinary collaboration."</w:t>
      </w:r>
      <w:r w:rsidR="00263D5F">
        <w:rPr>
          <w:bCs/>
          <w:color w:val="142C4E"/>
          <w:sz w:val="25"/>
        </w:rPr>
        <w:t xml:space="preserve"> </w:t>
      </w:r>
      <w:r w:rsidRPr="00ED5688">
        <w:rPr>
          <w:bCs/>
          <w:color w:val="142C4E"/>
          <w:sz w:val="25"/>
        </w:rPr>
        <w:t xml:space="preserve">In modern museums and entertainment firms, the </w:t>
      </w:r>
      <w:r w:rsidRPr="00ED5688">
        <w:rPr>
          <w:b/>
          <w:bCs/>
          <w:color w:val="142C4E"/>
          <w:sz w:val="25"/>
        </w:rPr>
        <w:t>Creative Technologist</w:t>
      </w:r>
      <w:r w:rsidRPr="00ED5688">
        <w:rPr>
          <w:bCs/>
          <w:color w:val="142C4E"/>
          <w:sz w:val="25"/>
        </w:rPr>
        <w:t xml:space="preserve"> is now a standard hire. This role combines coding with artistic vision to design interactive installations that adapt to viewer behavior in real-time.</w:t>
      </w:r>
      <w:r w:rsidR="00263D5F">
        <w:rPr>
          <w:bCs/>
          <w:color w:val="142C4E"/>
          <w:sz w:val="25"/>
        </w:rPr>
        <w:t xml:space="preserve"> </w:t>
      </w:r>
      <w:r w:rsidRPr="00ED5688">
        <w:rPr>
          <w:bCs/>
          <w:color w:val="142C4E"/>
          <w:sz w:val="25"/>
        </w:rPr>
        <w:t>These roles do not replace artists; rather, they involve new tasks such as "identifying, cleaning, and curating input data" to ensure technology enhances rather than overrides the artistic intent (Taylor &amp; Francis, 2026).</w:t>
      </w:r>
    </w:p>
    <w:p w14:paraId="44F45391" w14:textId="58EE7A78" w:rsidR="00C63091" w:rsidRPr="00C63091" w:rsidRDefault="00C63091" w:rsidP="00E44884">
      <w:pPr>
        <w:spacing w:before="200" w:after="80"/>
        <w:ind w:firstLine="720"/>
        <w:jc w:val="both"/>
        <w:rPr>
          <w:b/>
          <w:bCs/>
          <w:color w:val="142C4E"/>
          <w:sz w:val="25"/>
        </w:rPr>
      </w:pPr>
      <w:r w:rsidRPr="00C63091">
        <w:rPr>
          <w:b/>
          <w:bCs/>
          <w:color w:val="142C4E"/>
          <w:sz w:val="25"/>
        </w:rPr>
        <w:t>Global Trends in Algorithmic Literacy</w:t>
      </w:r>
    </w:p>
    <w:p w14:paraId="6C36ABA1" w14:textId="77777777" w:rsidR="00C63091" w:rsidRPr="00C63091" w:rsidRDefault="00C63091" w:rsidP="00E44884">
      <w:pPr>
        <w:spacing w:before="200" w:after="80"/>
        <w:ind w:firstLine="720"/>
        <w:jc w:val="both"/>
        <w:rPr>
          <w:bCs/>
          <w:color w:val="142C4E"/>
          <w:sz w:val="25"/>
        </w:rPr>
      </w:pPr>
      <w:r w:rsidRPr="00C63091">
        <w:rPr>
          <w:bCs/>
          <w:color w:val="142C4E"/>
          <w:sz w:val="25"/>
        </w:rPr>
        <w:t>Algorithmic literacy is now recognized as a critical competency for maintaining artistic autonomy and career visibility in an era of automated recommendation systems.</w:t>
      </w:r>
    </w:p>
    <w:p w14:paraId="3E24757F" w14:textId="77777777" w:rsidR="00263D5F" w:rsidRPr="00263D5F" w:rsidRDefault="00C63091" w:rsidP="00263D5F">
      <w:pPr>
        <w:spacing w:before="200" w:after="80"/>
        <w:ind w:firstLine="720"/>
        <w:jc w:val="both"/>
        <w:rPr>
          <w:bCs/>
          <w:color w:val="142C4E"/>
          <w:sz w:val="25"/>
        </w:rPr>
      </w:pPr>
      <w:r w:rsidRPr="00E44884">
        <w:rPr>
          <w:b/>
          <w:bCs/>
          <w:color w:val="142C4E"/>
          <w:sz w:val="25"/>
        </w:rPr>
        <w:t>Combating Algorithmic Homogenization</w:t>
      </w:r>
      <w:r w:rsidR="00263D5F">
        <w:rPr>
          <w:b/>
          <w:bCs/>
          <w:color w:val="142C4E"/>
          <w:sz w:val="25"/>
        </w:rPr>
        <w:t>.</w:t>
      </w:r>
      <w:r w:rsidRPr="00E44884">
        <w:rPr>
          <w:bCs/>
          <w:color w:val="142C4E"/>
          <w:sz w:val="25"/>
        </w:rPr>
        <w:t xml:space="preserve"> A significant trend is the rise of "algorithmic aesthetics," where platform metrics (like those on Instagram or TikTok) pressure </w:t>
      </w:r>
      <w:r w:rsidRPr="00E44884">
        <w:rPr>
          <w:bCs/>
          <w:color w:val="142C4E"/>
          <w:sz w:val="25"/>
        </w:rPr>
        <w:lastRenderedPageBreak/>
        <w:t>artists to produce homogenized content—such as specific color palettes or minimalist styles—to maintain engagement. Literacy efforts now focus on helping artists recognize and resist these "conformity pressures" (SHS Web of Conferences, 2026).</w:t>
      </w:r>
      <w:r w:rsidR="00263D5F">
        <w:rPr>
          <w:bCs/>
          <w:color w:val="142C4E"/>
          <w:sz w:val="25"/>
        </w:rPr>
        <w:t xml:space="preserve"> </w:t>
      </w:r>
      <w:r w:rsidR="00263D5F" w:rsidRPr="00263D5F">
        <w:rPr>
          <w:bCs/>
          <w:color w:val="142C4E"/>
          <w:sz w:val="25"/>
        </w:rPr>
        <w:t xml:space="preserve">The "algorithmic aesthetic" often rewards high-contrast, minimalist, and "scroll-stopping" visuals, leading to a global homogenization of style. To counter this, literacy efforts are teaching artists to engage in </w:t>
      </w:r>
      <w:r w:rsidR="00263D5F" w:rsidRPr="00263D5F">
        <w:rPr>
          <w:b/>
          <w:bCs/>
          <w:color w:val="142C4E"/>
          <w:sz w:val="25"/>
        </w:rPr>
        <w:t>Subversive Content Creation</w:t>
      </w:r>
      <w:r w:rsidR="00263D5F" w:rsidRPr="00263D5F">
        <w:rPr>
          <w:bCs/>
          <w:color w:val="142C4E"/>
          <w:sz w:val="25"/>
        </w:rPr>
        <w:t>.</w:t>
      </w:r>
    </w:p>
    <w:p w14:paraId="0863240C" w14:textId="13F0113D" w:rsidR="00C63091" w:rsidRPr="00E44884" w:rsidRDefault="00263D5F" w:rsidP="00263D5F">
      <w:pPr>
        <w:tabs>
          <w:tab w:val="num" w:pos="720"/>
        </w:tabs>
        <w:spacing w:before="200" w:after="80"/>
        <w:ind w:firstLine="720"/>
        <w:jc w:val="both"/>
        <w:rPr>
          <w:bCs/>
          <w:color w:val="142C4E"/>
          <w:sz w:val="25"/>
        </w:rPr>
      </w:pPr>
      <w:r w:rsidRPr="00263D5F">
        <w:rPr>
          <w:b/>
          <w:bCs/>
          <w:i/>
          <w:iCs/>
          <w:color w:val="142C4E"/>
          <w:sz w:val="25"/>
        </w:rPr>
        <w:t>The "Style-Breaker" Movement</w:t>
      </w:r>
      <w:r w:rsidRPr="00263D5F">
        <w:rPr>
          <w:b/>
          <w:bCs/>
          <w:color w:val="142C4E"/>
          <w:sz w:val="25"/>
        </w:rPr>
        <w:t xml:space="preserve"> (SHS Web of Conferences, 2026)</w:t>
      </w:r>
      <w:r>
        <w:rPr>
          <w:b/>
          <w:bCs/>
          <w:color w:val="142C4E"/>
          <w:sz w:val="25"/>
        </w:rPr>
        <w:t>.</w:t>
      </w:r>
      <w:r w:rsidRPr="00263D5F">
        <w:rPr>
          <w:bCs/>
          <w:color w:val="142C4E"/>
          <w:sz w:val="25"/>
        </w:rPr>
        <w:t xml:space="preserve"> Researchers have documented a growing movement among digital illustrators who purposefully introduce "algorithmic noise" into their workflows.</w:t>
      </w:r>
      <w:r>
        <w:rPr>
          <w:bCs/>
          <w:color w:val="142C4E"/>
          <w:sz w:val="25"/>
        </w:rPr>
        <w:t xml:space="preserve"> </w:t>
      </w:r>
      <w:r w:rsidRPr="00263D5F">
        <w:rPr>
          <w:bCs/>
          <w:color w:val="142C4E"/>
          <w:sz w:val="25"/>
        </w:rPr>
        <w:t>Instead of following the trending "flat design" or "corporate Memphis" styles favored by engagement metrics, artists are utilizing "lo-fi" textures, intentional "glitches," and non-linear storytelling that the algorithm initially struggles to categorize.</w:t>
      </w:r>
      <w:r>
        <w:rPr>
          <w:bCs/>
          <w:color w:val="142C4E"/>
          <w:sz w:val="25"/>
        </w:rPr>
        <w:t xml:space="preserve"> </w:t>
      </w:r>
      <w:r w:rsidRPr="00263D5F">
        <w:rPr>
          <w:bCs/>
          <w:color w:val="142C4E"/>
          <w:sz w:val="25"/>
        </w:rPr>
        <w:t xml:space="preserve">This case study demonstrates that by understanding </w:t>
      </w:r>
      <w:r w:rsidRPr="00263D5F">
        <w:rPr>
          <w:bCs/>
          <w:i/>
          <w:iCs/>
          <w:color w:val="142C4E"/>
          <w:sz w:val="25"/>
        </w:rPr>
        <w:t>how</w:t>
      </w:r>
      <w:r w:rsidRPr="00263D5F">
        <w:rPr>
          <w:bCs/>
          <w:color w:val="142C4E"/>
          <w:sz w:val="25"/>
        </w:rPr>
        <w:t xml:space="preserve"> the algorithm rewards certain patterns, artists can consciously choose to "starve" the algorithm of its expected inputs, creating a unique aesthetic niche that fosters a more loyal, human-centric audience rather than a passive, metric-driven one (SHS Web of Conferences, 2026).</w:t>
      </w:r>
    </w:p>
    <w:p w14:paraId="2D7F7DF5" w14:textId="77777777" w:rsidR="00263D5F" w:rsidRPr="00263D5F" w:rsidRDefault="00C63091" w:rsidP="00263D5F">
      <w:pPr>
        <w:spacing w:before="200" w:after="80"/>
        <w:ind w:firstLine="720"/>
        <w:jc w:val="both"/>
        <w:rPr>
          <w:bCs/>
          <w:color w:val="142C4E"/>
          <w:sz w:val="25"/>
        </w:rPr>
      </w:pPr>
      <w:r w:rsidRPr="00C63091">
        <w:rPr>
          <w:b/>
          <w:bCs/>
          <w:color w:val="142C4E"/>
          <w:sz w:val="25"/>
        </w:rPr>
        <w:t>Agentic AI Literacy</w:t>
      </w:r>
      <w:r w:rsidR="00263D5F">
        <w:rPr>
          <w:b/>
          <w:bCs/>
          <w:color w:val="142C4E"/>
          <w:sz w:val="25"/>
        </w:rPr>
        <w:t>.</w:t>
      </w:r>
      <w:r w:rsidRPr="00C63091">
        <w:rPr>
          <w:bCs/>
          <w:color w:val="142C4E"/>
          <w:sz w:val="25"/>
        </w:rPr>
        <w:t xml:space="preserve"> Global educational frameworks (e.g., UNESCO, DepEd) have moved from teaching "how to use" AI to "Education on AI." This focuses on </w:t>
      </w:r>
      <w:r w:rsidRPr="00C63091">
        <w:rPr>
          <w:b/>
          <w:bCs/>
          <w:color w:val="142C4E"/>
          <w:sz w:val="25"/>
        </w:rPr>
        <w:t>agentic use cases</w:t>
      </w:r>
      <w:r w:rsidRPr="00C63091">
        <w:rPr>
          <w:bCs/>
          <w:color w:val="142C4E"/>
          <w:sz w:val="25"/>
        </w:rPr>
        <w:t>—where the artist remains the primary agent and the algorithm is a subordinate tool—and ethical awareness regarding data privacy and misinformation (DepEd, 2026; UNESCO, 2026).</w:t>
      </w:r>
      <w:r w:rsidR="00263D5F">
        <w:rPr>
          <w:bCs/>
          <w:color w:val="142C4E"/>
          <w:sz w:val="25"/>
        </w:rPr>
        <w:t xml:space="preserve"> </w:t>
      </w:r>
      <w:r w:rsidR="00263D5F" w:rsidRPr="00263D5F">
        <w:rPr>
          <w:bCs/>
          <w:color w:val="142C4E"/>
          <w:sz w:val="25"/>
        </w:rPr>
        <w:t xml:space="preserve">Educational frameworks like those from UNESCO and DepEd now prioritize </w:t>
      </w:r>
      <w:r w:rsidR="00263D5F" w:rsidRPr="00263D5F">
        <w:rPr>
          <w:b/>
          <w:bCs/>
          <w:color w:val="142C4E"/>
          <w:sz w:val="25"/>
        </w:rPr>
        <w:t>Agentic AI</w:t>
      </w:r>
      <w:r w:rsidR="00263D5F" w:rsidRPr="00263D5F">
        <w:rPr>
          <w:bCs/>
          <w:color w:val="142C4E"/>
          <w:sz w:val="25"/>
        </w:rPr>
        <w:t>, where the AI is treated as a "junior apprentice" rather than a "master creator."</w:t>
      </w:r>
    </w:p>
    <w:p w14:paraId="53C222AD" w14:textId="77777777" w:rsidR="00263D5F" w:rsidRDefault="00263D5F" w:rsidP="00263D5F">
      <w:pPr>
        <w:tabs>
          <w:tab w:val="num" w:pos="720"/>
        </w:tabs>
        <w:spacing w:before="200" w:after="80"/>
        <w:ind w:firstLine="720"/>
        <w:jc w:val="both"/>
        <w:rPr>
          <w:bCs/>
          <w:color w:val="142C4E"/>
          <w:sz w:val="25"/>
        </w:rPr>
      </w:pPr>
      <w:r w:rsidRPr="00263D5F">
        <w:rPr>
          <w:b/>
          <w:bCs/>
          <w:color w:val="142C4E"/>
          <w:sz w:val="25"/>
        </w:rPr>
        <w:t>The DepEd "AI-Augmented Fine Arts" Pilot (2026)</w:t>
      </w:r>
      <w:r w:rsidRPr="00263D5F">
        <w:rPr>
          <w:bCs/>
          <w:color w:val="142C4E"/>
          <w:sz w:val="25"/>
        </w:rPr>
        <w:t xml:space="preserve"> The Philippine Department of Education (DepEd) implemented a curriculum where students must document their "prompt evolution" as part of their grade.</w:t>
      </w:r>
      <w:r>
        <w:rPr>
          <w:bCs/>
          <w:color w:val="142C4E"/>
          <w:sz w:val="25"/>
        </w:rPr>
        <w:t xml:space="preserve"> </w:t>
      </w:r>
      <w:r w:rsidRPr="00263D5F">
        <w:rPr>
          <w:bCs/>
          <w:color w:val="142C4E"/>
          <w:sz w:val="25"/>
        </w:rPr>
        <w:t xml:space="preserve">In this "Education on AI" model, students are not allowed to submit an AI-generated image as a final product. Instead, they must use AI to generate 50 disparate variations of a concept, analyze the ethical implications of the training data used, and then </w:t>
      </w:r>
      <w:r w:rsidRPr="00263D5F">
        <w:rPr>
          <w:b/>
          <w:bCs/>
          <w:color w:val="142C4E"/>
          <w:sz w:val="25"/>
        </w:rPr>
        <w:t>manually paint or digitally composite</w:t>
      </w:r>
      <w:r w:rsidRPr="00263D5F">
        <w:rPr>
          <w:bCs/>
          <w:color w:val="142C4E"/>
          <w:sz w:val="25"/>
        </w:rPr>
        <w:t xml:space="preserve"> a final piece that incorporates elements from those variations.</w:t>
      </w:r>
      <w:r>
        <w:rPr>
          <w:bCs/>
          <w:color w:val="142C4E"/>
          <w:sz w:val="25"/>
        </w:rPr>
        <w:t xml:space="preserve"> </w:t>
      </w:r>
      <w:r w:rsidRPr="00263D5F">
        <w:rPr>
          <w:bCs/>
          <w:color w:val="142C4E"/>
          <w:sz w:val="25"/>
        </w:rPr>
        <w:t>This shifts the student’s role from a "user" to an "agentic director." The case study shows that students developed a higher level of critical thinking regarding data privacy and a stronger sense of ownership over the final artistic vision, as the AI remained a subordinate tool in a larger human process (DepEd, 2026).</w:t>
      </w:r>
    </w:p>
    <w:p w14:paraId="0456E913" w14:textId="77777777" w:rsidR="00263D5F" w:rsidRPr="00263D5F" w:rsidRDefault="00C63091" w:rsidP="00263D5F">
      <w:pPr>
        <w:tabs>
          <w:tab w:val="num" w:pos="720"/>
        </w:tabs>
        <w:spacing w:before="200" w:after="80"/>
        <w:ind w:firstLine="720"/>
        <w:jc w:val="both"/>
        <w:rPr>
          <w:bCs/>
          <w:color w:val="142C4E"/>
          <w:sz w:val="25"/>
        </w:rPr>
      </w:pPr>
      <w:r w:rsidRPr="00C63091">
        <w:rPr>
          <w:b/>
          <w:bCs/>
          <w:color w:val="142C4E"/>
          <w:sz w:val="25"/>
        </w:rPr>
        <w:t>Workflow-First AI Integration</w:t>
      </w:r>
      <w:r w:rsidR="00263D5F">
        <w:rPr>
          <w:b/>
          <w:bCs/>
          <w:color w:val="142C4E"/>
          <w:sz w:val="25"/>
        </w:rPr>
        <w:t>.</w:t>
      </w:r>
      <w:r w:rsidRPr="00C63091">
        <w:rPr>
          <w:bCs/>
          <w:color w:val="142C4E"/>
          <w:sz w:val="25"/>
        </w:rPr>
        <w:t xml:space="preserve"> In both professional and educational settings, the focus has shifted to "workflow-first" AI. This involves using algorithms for routine tasks (e.g., </w:t>
      </w:r>
      <w:r w:rsidRPr="00C63091">
        <w:rPr>
          <w:bCs/>
          <w:color w:val="142C4E"/>
          <w:sz w:val="25"/>
        </w:rPr>
        <w:lastRenderedPageBreak/>
        <w:t>3D environment generation or basic motion graphics) to free the artist for high-level conceptual work and "Original Vision" (Holon IQ, 2026; Research.com, 2026).</w:t>
      </w:r>
      <w:r w:rsidR="00263D5F">
        <w:rPr>
          <w:bCs/>
          <w:color w:val="142C4E"/>
          <w:sz w:val="25"/>
        </w:rPr>
        <w:t xml:space="preserve"> </w:t>
      </w:r>
      <w:r w:rsidR="00263D5F" w:rsidRPr="00263D5F">
        <w:rPr>
          <w:bCs/>
          <w:color w:val="142C4E"/>
          <w:sz w:val="25"/>
        </w:rPr>
        <w:t>Professional studios are now using AI to automate the "drudgery" of art—routine tasks that previously consumed 80% of a project's timeline—allowing for an "Original Vision" renaissance.</w:t>
      </w:r>
    </w:p>
    <w:p w14:paraId="59B08E82" w14:textId="2479150D" w:rsidR="00263D5F" w:rsidRPr="00263D5F" w:rsidRDefault="00263D5F" w:rsidP="00263D5F">
      <w:pPr>
        <w:tabs>
          <w:tab w:val="num" w:pos="720"/>
        </w:tabs>
        <w:spacing w:before="200" w:after="80"/>
        <w:ind w:firstLine="720"/>
        <w:jc w:val="both"/>
        <w:rPr>
          <w:bCs/>
          <w:color w:val="142C4E"/>
          <w:sz w:val="25"/>
        </w:rPr>
      </w:pPr>
      <w:r w:rsidRPr="00263D5F">
        <w:rPr>
          <w:b/>
          <w:bCs/>
          <w:color w:val="142C4E"/>
          <w:sz w:val="25"/>
        </w:rPr>
        <w:t>The "Environment Automation" in Indie Game Development (Holon IQ, 2026)</w:t>
      </w:r>
      <w:r w:rsidRPr="00263D5F">
        <w:rPr>
          <w:bCs/>
          <w:color w:val="142C4E"/>
          <w:sz w:val="25"/>
        </w:rPr>
        <w:t xml:space="preserve"> A group of independent game studios recently adopted a "Workflow-First" AI model to compete with AAA studios.</w:t>
      </w:r>
      <w:r>
        <w:rPr>
          <w:bCs/>
          <w:color w:val="142C4E"/>
          <w:sz w:val="25"/>
        </w:rPr>
        <w:t xml:space="preserve"> </w:t>
      </w:r>
      <w:r w:rsidRPr="00263D5F">
        <w:rPr>
          <w:bCs/>
          <w:color w:val="142C4E"/>
          <w:sz w:val="25"/>
        </w:rPr>
        <w:t xml:space="preserve">They used generative algorithms specifically for </w:t>
      </w:r>
      <w:r w:rsidRPr="00263D5F">
        <w:rPr>
          <w:b/>
          <w:bCs/>
          <w:color w:val="142C4E"/>
          <w:sz w:val="25"/>
        </w:rPr>
        <w:t>routine 3D assets</w:t>
      </w:r>
      <w:r w:rsidRPr="00263D5F">
        <w:rPr>
          <w:bCs/>
          <w:color w:val="142C4E"/>
          <w:sz w:val="25"/>
        </w:rPr>
        <w:t xml:space="preserve"> (e.g., generating 500 unique, non-interactive rocks, trees, and textures for a landscape).</w:t>
      </w:r>
      <w:r>
        <w:rPr>
          <w:bCs/>
          <w:color w:val="142C4E"/>
          <w:sz w:val="25"/>
        </w:rPr>
        <w:t xml:space="preserve"> </w:t>
      </w:r>
      <w:r w:rsidRPr="00263D5F">
        <w:rPr>
          <w:bCs/>
          <w:color w:val="142C4E"/>
          <w:sz w:val="25"/>
        </w:rPr>
        <w:t xml:space="preserve">By delegating these repetitive tasks to the algorithm, the small team of artists was able to spend their time exclusively on the "Original Vision": character depth, emotional narrative beats, and bespoke architectural landmarks. This case study highlights that AI integration is most successful when it targets the </w:t>
      </w:r>
      <w:r w:rsidRPr="00263D5F">
        <w:rPr>
          <w:b/>
          <w:bCs/>
          <w:color w:val="142C4E"/>
          <w:sz w:val="25"/>
        </w:rPr>
        <w:t>background noise</w:t>
      </w:r>
      <w:r w:rsidRPr="00263D5F">
        <w:rPr>
          <w:bCs/>
          <w:color w:val="142C4E"/>
          <w:sz w:val="25"/>
        </w:rPr>
        <w:t xml:space="preserve"> of creation, freeing the human artist to focus on the </w:t>
      </w:r>
      <w:r w:rsidRPr="00263D5F">
        <w:rPr>
          <w:b/>
          <w:bCs/>
          <w:color w:val="142C4E"/>
          <w:sz w:val="25"/>
        </w:rPr>
        <w:t>foreground of meaning</w:t>
      </w:r>
      <w:r w:rsidRPr="00263D5F">
        <w:rPr>
          <w:bCs/>
          <w:color w:val="142C4E"/>
          <w:sz w:val="25"/>
        </w:rPr>
        <w:t xml:space="preserve"> (Holon IQ, 2026; Research.com, 2026).</w:t>
      </w:r>
    </w:p>
    <w:p w14:paraId="385D59EF" w14:textId="06D3EE0B" w:rsidR="00C63091" w:rsidRPr="002A7CA7" w:rsidRDefault="002A7CA7" w:rsidP="00263D5F">
      <w:pPr>
        <w:tabs>
          <w:tab w:val="num" w:pos="720"/>
        </w:tabs>
        <w:spacing w:before="200" w:after="80"/>
        <w:ind w:firstLine="720"/>
        <w:jc w:val="both"/>
        <w:rPr>
          <w:b/>
          <w:color w:val="142C4E"/>
          <w:sz w:val="25"/>
        </w:rPr>
      </w:pPr>
      <w:r w:rsidRPr="002A7CA7">
        <w:rPr>
          <w:b/>
          <w:color w:val="142C4E"/>
          <w:sz w:val="25"/>
        </w:rPr>
        <w:t>Synthesis</w:t>
      </w:r>
    </w:p>
    <w:p w14:paraId="6BE91319"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The evolution of digital art pedagogy in 2026 is defined by a strategic convergence of creativity, community, and commerce, as the landscape shifts from speculative technology toward a mature "Authenticity Economy." As Generative AI saturates the market with technically perfect but commodified imagery, market value has pivoted toward "human authorship," characterized by visible labor and material honesty (Frontiers, 2025; Cosimo, 2026). This trend is personified by artists like Luke Rudolf, whose "Necessary Imperfections" utilize physical brushstrokes and distorted textures to provide an emotional resonance that AI-generated symmetry cannot replicate, thereby justifying higher market value through unmistakable human traces (Rise Art, 2026). Simultaneously, social media has transitioned from a passive gallery to a "social-first" business engine, allowing artists to act as independent mini-studios. These "artrepreneurs" prioritize direct-to-consumer sustainability by using platforms to co-create with their communities and share transparent "failure" videos, effectively bypassing traditional gallery gatekeepers (Frontiers, 2025). This professional credibility is further bolstered by a mature blockchain infrastructure, where NFTs have moved beyond speculative "hype" to serve as standardized data containers for provenance, providing a permanent and unchangeable audit trail essential for high-value sales (Hoken Tech, 2026; ScienceSoft, 2026).</w:t>
      </w:r>
    </w:p>
    <w:p w14:paraId="678E8C48"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 xml:space="preserve">This shift in market dynamics is accompanied by a radical restructuring of artistic roles and competencies, particularly regarding Algorithmic Literacy and AI integration. The </w:t>
      </w:r>
      <w:r w:rsidRPr="002A7CA7">
        <w:rPr>
          <w:bCs/>
          <w:color w:val="142C4E"/>
          <w:sz w:val="25"/>
        </w:rPr>
        <w:lastRenderedPageBreak/>
        <w:t>creative economy has seen a 30% increase in demand for hybrid roles, such as Creative Technologists and AI Art Curators, who bridge the gap between human intuition and machine output without replacing the artist (Research.com, 2026; Taylor &amp; Francis, 2026). To maintain artistic autonomy against "algorithmic homogenization"—where platform metrics pressure creators toward minimalist, scroll-stopping styles—a "Style-Breaker" movement has emerged. These artists purposefully introduce "algorithmic noise" and lo-fi textures into their workflows to cultivate human-centric audiences rather than metric-driven ones (SHS Web of Conferences, 2026).</w:t>
      </w:r>
    </w:p>
    <w:p w14:paraId="62A89D11" w14:textId="77777777" w:rsidR="002A7CA7" w:rsidRPr="002A7CA7" w:rsidRDefault="002A7CA7" w:rsidP="002A7CA7">
      <w:pPr>
        <w:tabs>
          <w:tab w:val="num" w:pos="720"/>
        </w:tabs>
        <w:spacing w:before="200" w:after="80"/>
        <w:ind w:firstLine="720"/>
        <w:jc w:val="both"/>
        <w:rPr>
          <w:bCs/>
          <w:color w:val="142C4E"/>
          <w:sz w:val="25"/>
        </w:rPr>
      </w:pPr>
      <w:r w:rsidRPr="002A7CA7">
        <w:rPr>
          <w:bCs/>
          <w:color w:val="142C4E"/>
          <w:sz w:val="25"/>
        </w:rPr>
        <w:t>Educational frameworks, such as those piloted by UNESCO and the Philippine Department of Education, have responded by prioritizing "Agentic AI Literacy." In this "Education on AI" model, students are positioned as "agentic directors" who utilize AI for iteration and ethical analysis while retaining ownership of the final artistic vision (DepEd, 2026). This is synthesized through "workflow-first" AI integration, a practice adopted by professional studios to automate the routine "drudgery" of art, such as 3D environment generation. By delegating background tasks to algorithms, artists are able to reclaim up to 80% of their project timelines, sparking a renaissance of "Original Vision" that focuses human effort on high-level conceptual work and emotional narrative (Holon IQ, 2026; Research.com, 2026).</w:t>
      </w:r>
    </w:p>
    <w:p w14:paraId="75708915" w14:textId="5B54EA40" w:rsidR="002A7CA7" w:rsidRPr="002A7CA7" w:rsidRDefault="002A7CA7" w:rsidP="002A7CA7">
      <w:pPr>
        <w:tabs>
          <w:tab w:val="num" w:pos="720"/>
        </w:tabs>
        <w:spacing w:before="200" w:after="80"/>
        <w:jc w:val="both"/>
        <w:rPr>
          <w:b/>
          <w:color w:val="142C4E"/>
          <w:sz w:val="25"/>
        </w:rPr>
      </w:pPr>
      <w:r w:rsidRPr="002A7CA7">
        <w:rPr>
          <w:b/>
          <w:color w:val="142C4E"/>
          <w:sz w:val="25"/>
        </w:rPr>
        <w:t>Discussion</w:t>
      </w:r>
    </w:p>
    <w:p w14:paraId="730763A0" w14:textId="62A95A29"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The implications of global trends in Artrepreneurship and Algorithmic Literacy for the Chinese context are profound, particularly as the nation seeks to balance traditional aesthetic mastery with its "Digital China" initiative. Based on current developments and the pedagogical landscape identified in recent scholarship, the implications can be categorized into three major areas:</w:t>
      </w:r>
    </w:p>
    <w:p w14:paraId="1479ECDB" w14:textId="35393871"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Pedagogical Pivot: From "Software Mastery" to "Agentic Agency"</w:t>
      </w:r>
    </w:p>
    <w:p w14:paraId="248059EA" w14:textId="6F371174"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In China, where technical precision and discipline are traditionally prioritized, the rise of the </w:t>
      </w:r>
      <w:r w:rsidRPr="002A7CA7">
        <w:rPr>
          <w:b/>
          <w:bCs/>
          <w:color w:val="142C4E"/>
          <w:sz w:val="25"/>
        </w:rPr>
        <w:t>Authenticity Economy</w:t>
      </w:r>
      <w:r w:rsidRPr="002A7CA7">
        <w:rPr>
          <w:bCs/>
          <w:color w:val="142C4E"/>
          <w:sz w:val="25"/>
        </w:rPr>
        <w:t xml:space="preserve"> and </w:t>
      </w:r>
      <w:r w:rsidRPr="002A7CA7">
        <w:rPr>
          <w:b/>
          <w:bCs/>
          <w:color w:val="142C4E"/>
          <w:sz w:val="25"/>
        </w:rPr>
        <w:t>Agentic AI</w:t>
      </w:r>
      <w:r w:rsidRPr="002A7CA7">
        <w:rPr>
          <w:bCs/>
          <w:color w:val="142C4E"/>
          <w:sz w:val="25"/>
        </w:rPr>
        <w:t xml:space="preserve"> necessitates a radical shift in how digital tools are taught.</w:t>
      </w:r>
    </w:p>
    <w:p w14:paraId="6B061D01" w14:textId="1CD87E6A" w:rsidR="002A7CA7" w:rsidRPr="002A7CA7" w:rsidRDefault="002A7CA7" w:rsidP="002A7CA7">
      <w:pPr>
        <w:spacing w:before="200" w:after="80"/>
        <w:ind w:firstLine="720"/>
        <w:jc w:val="both"/>
        <w:rPr>
          <w:bCs/>
          <w:color w:val="142C4E"/>
          <w:sz w:val="25"/>
        </w:rPr>
      </w:pPr>
      <w:r w:rsidRPr="002A7CA7">
        <w:rPr>
          <w:b/>
          <w:bCs/>
          <w:i/>
          <w:iCs/>
          <w:color w:val="142C4E"/>
          <w:sz w:val="25"/>
        </w:rPr>
        <w:t>Valuing the "Messy Middle".</w:t>
      </w:r>
      <w:r w:rsidRPr="002A7CA7">
        <w:rPr>
          <w:bCs/>
          <w:color w:val="142C4E"/>
          <w:sz w:val="25"/>
        </w:rPr>
        <w:t xml:space="preserve"> As AI makes technical perfection "cheap," Chinese art curricula must pivot to reward "productive difficulty." This implies moving away from grading the final polished output toward assessing the student's </w:t>
      </w:r>
      <w:r w:rsidRPr="002A7CA7">
        <w:rPr>
          <w:b/>
          <w:bCs/>
          <w:color w:val="142C4E"/>
          <w:sz w:val="25"/>
        </w:rPr>
        <w:t>prompt evolution</w:t>
      </w:r>
      <w:r w:rsidRPr="002A7CA7">
        <w:rPr>
          <w:bCs/>
          <w:color w:val="142C4E"/>
          <w:sz w:val="25"/>
        </w:rPr>
        <w:t xml:space="preserve"> and </w:t>
      </w:r>
      <w:r w:rsidRPr="002A7CA7">
        <w:rPr>
          <w:b/>
          <w:bCs/>
          <w:color w:val="142C4E"/>
          <w:sz w:val="25"/>
        </w:rPr>
        <w:t>conceptual intentionality</w:t>
      </w:r>
      <w:r w:rsidRPr="002A7CA7">
        <w:rPr>
          <w:bCs/>
          <w:color w:val="142C4E"/>
          <w:sz w:val="25"/>
        </w:rPr>
        <w:t>.</w:t>
      </w:r>
    </w:p>
    <w:p w14:paraId="649395A3" w14:textId="33A496D4" w:rsidR="002A7CA7" w:rsidRPr="002A7CA7" w:rsidRDefault="002A7CA7" w:rsidP="002A7CA7">
      <w:pPr>
        <w:spacing w:before="200" w:after="80"/>
        <w:ind w:firstLine="720"/>
        <w:jc w:val="both"/>
        <w:rPr>
          <w:bCs/>
          <w:color w:val="142C4E"/>
          <w:sz w:val="25"/>
        </w:rPr>
      </w:pPr>
      <w:r w:rsidRPr="002A7CA7">
        <w:rPr>
          <w:b/>
          <w:bCs/>
          <w:i/>
          <w:iCs/>
          <w:color w:val="142C4E"/>
          <w:sz w:val="25"/>
        </w:rPr>
        <w:lastRenderedPageBreak/>
        <w:t>The Hybrid Educator</w:t>
      </w:r>
      <w:r>
        <w:rPr>
          <w:b/>
          <w:bCs/>
          <w:i/>
          <w:iCs/>
          <w:color w:val="142C4E"/>
          <w:sz w:val="25"/>
        </w:rPr>
        <w:t>.</w:t>
      </w:r>
      <w:r w:rsidRPr="002A7CA7">
        <w:rPr>
          <w:bCs/>
          <w:color w:val="142C4E"/>
          <w:sz w:val="25"/>
        </w:rPr>
        <w:t xml:space="preserve"> There is an urgent need for educators who possess "bilingual" skills—fluency in traditional Chinese artistic philosophy (such as </w:t>
      </w:r>
      <w:r w:rsidRPr="002A7CA7">
        <w:rPr>
          <w:bCs/>
          <w:i/>
          <w:iCs/>
          <w:color w:val="142C4E"/>
          <w:sz w:val="25"/>
        </w:rPr>
        <w:t>Shanshui</w:t>
      </w:r>
      <w:r w:rsidRPr="002A7CA7">
        <w:rPr>
          <w:bCs/>
          <w:color w:val="142C4E"/>
          <w:sz w:val="25"/>
        </w:rPr>
        <w:t>) and the technical ability to manage AI as a "subordinate apprentice" (UNESCO, 2026; Bantugan, 2024).</w:t>
      </w:r>
    </w:p>
    <w:p w14:paraId="1D6E346D" w14:textId="357E3A12"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Market Integration: The Rise of the "Social-First" Scholar</w:t>
      </w:r>
    </w:p>
    <w:p w14:paraId="27DDF52B" w14:textId="46869516"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The global trend of </w:t>
      </w:r>
      <w:r w:rsidRPr="002A7CA7">
        <w:rPr>
          <w:b/>
          <w:bCs/>
          <w:color w:val="142C4E"/>
          <w:sz w:val="25"/>
        </w:rPr>
        <w:t>Social-First Artrepreneurship</w:t>
      </w:r>
      <w:r w:rsidRPr="002A7CA7">
        <w:rPr>
          <w:bCs/>
          <w:color w:val="142C4E"/>
          <w:sz w:val="25"/>
        </w:rPr>
        <w:t xml:space="preserve"> has a unique application in China due to its robust, closed-loop digital ecosystem (e.g., Xiaohongshu/Little Red Book and WeChat).</w:t>
      </w:r>
    </w:p>
    <w:p w14:paraId="0913359C" w14:textId="45829CB1" w:rsidR="002A7CA7" w:rsidRPr="002A7CA7" w:rsidRDefault="002A7CA7" w:rsidP="002A7CA7">
      <w:pPr>
        <w:spacing w:before="200" w:after="80"/>
        <w:ind w:firstLine="720"/>
        <w:jc w:val="both"/>
        <w:rPr>
          <w:bCs/>
          <w:color w:val="142C4E"/>
          <w:sz w:val="25"/>
        </w:rPr>
      </w:pPr>
      <w:r w:rsidRPr="002A7CA7">
        <w:rPr>
          <w:b/>
          <w:bCs/>
          <w:i/>
          <w:iCs/>
          <w:color w:val="142C4E"/>
          <w:sz w:val="25"/>
        </w:rPr>
        <w:t>Artrepreneurship as Core Curriculum</w:t>
      </w:r>
      <w:r>
        <w:rPr>
          <w:b/>
          <w:bCs/>
          <w:i/>
          <w:iCs/>
          <w:color w:val="142C4E"/>
          <w:sz w:val="25"/>
        </w:rPr>
        <w:t>.</w:t>
      </w:r>
      <w:r w:rsidRPr="002A7CA7">
        <w:rPr>
          <w:bCs/>
          <w:color w:val="142C4E"/>
          <w:sz w:val="25"/>
        </w:rPr>
        <w:t xml:space="preserve"> Implications suggest that "Business for Artists" can no longer be an elective. Students must be taught </w:t>
      </w:r>
      <w:r w:rsidRPr="002A7CA7">
        <w:rPr>
          <w:b/>
          <w:bCs/>
          <w:color w:val="142C4E"/>
          <w:sz w:val="25"/>
        </w:rPr>
        <w:t>Algorithmic Literacy</w:t>
      </w:r>
      <w:r w:rsidRPr="002A7CA7">
        <w:rPr>
          <w:bCs/>
          <w:color w:val="142C4E"/>
          <w:sz w:val="25"/>
        </w:rPr>
        <w:t xml:space="preserve"> specifically for domestic platforms—learning how to cultivate "human-centric" communities that resist the homogenization of the "trending aesthetic" (SHS Web of Conferences, 2026).</w:t>
      </w:r>
    </w:p>
    <w:p w14:paraId="40FC63FC" w14:textId="32B23146" w:rsidR="002A7CA7" w:rsidRPr="002A7CA7" w:rsidRDefault="002A7CA7" w:rsidP="002A7CA7">
      <w:pPr>
        <w:spacing w:before="200" w:after="80"/>
        <w:ind w:firstLine="720"/>
        <w:jc w:val="both"/>
        <w:rPr>
          <w:bCs/>
          <w:color w:val="142C4E"/>
          <w:sz w:val="25"/>
        </w:rPr>
      </w:pPr>
      <w:r w:rsidRPr="002A7CA7">
        <w:rPr>
          <w:b/>
          <w:bCs/>
          <w:i/>
          <w:iCs/>
          <w:color w:val="142C4E"/>
          <w:sz w:val="25"/>
        </w:rPr>
        <w:t>IP Sovereignty via Blockchain</w:t>
      </w:r>
      <w:r>
        <w:rPr>
          <w:b/>
          <w:bCs/>
          <w:color w:val="142C4E"/>
          <w:sz w:val="25"/>
        </w:rPr>
        <w:t>.</w:t>
      </w:r>
      <w:r w:rsidRPr="002A7CA7">
        <w:rPr>
          <w:bCs/>
          <w:color w:val="142C4E"/>
          <w:sz w:val="25"/>
        </w:rPr>
        <w:t xml:space="preserve"> As China develops its own "Cultural Digital Infrastructure," the use of blockchain for provenance (as seen in the Michele Cea Prize) will become standard for Chinese artists looking to protect their Intellectual Property in a high-speed digital market (ScienceSoft, 2026).</w:t>
      </w:r>
    </w:p>
    <w:p w14:paraId="36A05C10" w14:textId="7E36534E" w:rsidR="002A7CA7" w:rsidRPr="002A7CA7" w:rsidRDefault="002A7CA7" w:rsidP="002A7CA7">
      <w:pPr>
        <w:tabs>
          <w:tab w:val="num" w:pos="720"/>
        </w:tabs>
        <w:spacing w:before="200" w:after="80"/>
        <w:jc w:val="both"/>
        <w:rPr>
          <w:b/>
          <w:bCs/>
          <w:color w:val="142C4E"/>
          <w:sz w:val="25"/>
        </w:rPr>
      </w:pPr>
      <w:r>
        <w:rPr>
          <w:b/>
          <w:bCs/>
          <w:color w:val="142C4E"/>
          <w:sz w:val="25"/>
        </w:rPr>
        <w:tab/>
      </w:r>
      <w:r w:rsidRPr="002A7CA7">
        <w:rPr>
          <w:b/>
          <w:bCs/>
          <w:color w:val="142C4E"/>
          <w:sz w:val="25"/>
        </w:rPr>
        <w:t>Cultural Resilience: Net-Gen Advocacy and "Digitized" Identity</w:t>
      </w:r>
    </w:p>
    <w:p w14:paraId="40F89D7E" w14:textId="0526DE83" w:rsidR="002A7CA7" w:rsidRPr="002A7CA7" w:rsidRDefault="002A7CA7" w:rsidP="002A7CA7">
      <w:pPr>
        <w:tabs>
          <w:tab w:val="num" w:pos="720"/>
        </w:tabs>
        <w:spacing w:before="200" w:after="80"/>
        <w:jc w:val="both"/>
        <w:rPr>
          <w:bCs/>
          <w:color w:val="142C4E"/>
          <w:sz w:val="25"/>
        </w:rPr>
      </w:pPr>
      <w:r>
        <w:rPr>
          <w:bCs/>
          <w:color w:val="142C4E"/>
          <w:sz w:val="25"/>
        </w:rPr>
        <w:tab/>
      </w:r>
      <w:r w:rsidRPr="002A7CA7">
        <w:rPr>
          <w:bCs/>
          <w:color w:val="142C4E"/>
          <w:sz w:val="25"/>
        </w:rPr>
        <w:t xml:space="preserve">Consistent with the research of </w:t>
      </w:r>
      <w:r w:rsidRPr="002A7CA7">
        <w:rPr>
          <w:b/>
          <w:bCs/>
          <w:color w:val="142C4E"/>
          <w:sz w:val="25"/>
        </w:rPr>
        <w:t>Bantugan (2022, 2024)</w:t>
      </w:r>
      <w:r w:rsidRPr="002A7CA7">
        <w:rPr>
          <w:bCs/>
          <w:color w:val="142C4E"/>
          <w:sz w:val="25"/>
        </w:rPr>
        <w:t xml:space="preserve"> on Chinese graduate students, the use of digital tools in China carries a heavy weight of social advocacy and resilience.</w:t>
      </w:r>
    </w:p>
    <w:p w14:paraId="1CBEAFC9" w14:textId="6C852A81" w:rsidR="002A7CA7" w:rsidRPr="002A7CA7" w:rsidRDefault="002A7CA7" w:rsidP="002A7CA7">
      <w:pPr>
        <w:spacing w:before="200" w:after="80"/>
        <w:ind w:firstLine="720"/>
        <w:jc w:val="both"/>
        <w:rPr>
          <w:bCs/>
          <w:color w:val="142C4E"/>
          <w:sz w:val="25"/>
        </w:rPr>
      </w:pPr>
      <w:r w:rsidRPr="00AC02B3">
        <w:rPr>
          <w:b/>
          <w:bCs/>
          <w:i/>
          <w:iCs/>
          <w:color w:val="142C4E"/>
          <w:sz w:val="25"/>
        </w:rPr>
        <w:t>Digital Tools as Safe Havens</w:t>
      </w:r>
      <w:r w:rsidR="00AC02B3">
        <w:rPr>
          <w:b/>
          <w:bCs/>
          <w:color w:val="142C4E"/>
          <w:sz w:val="25"/>
        </w:rPr>
        <w:t>.</w:t>
      </w:r>
      <w:r w:rsidRPr="002A7CA7">
        <w:rPr>
          <w:bCs/>
          <w:color w:val="142C4E"/>
          <w:sz w:val="25"/>
        </w:rPr>
        <w:t xml:space="preserve"> For Chinese art students, virtual creative spaces are not just for making art; they are venues for </w:t>
      </w:r>
      <w:r w:rsidRPr="002A7CA7">
        <w:rPr>
          <w:b/>
          <w:bCs/>
          <w:color w:val="142C4E"/>
          <w:sz w:val="25"/>
        </w:rPr>
        <w:t>"social support and care"</w:t>
      </w:r>
      <w:r w:rsidRPr="002A7CA7">
        <w:rPr>
          <w:bCs/>
          <w:color w:val="142C4E"/>
          <w:sz w:val="25"/>
        </w:rPr>
        <w:t xml:space="preserve"> and the exploration of identity. Digital tools will increasingly be used as instruments of "resilience theory," allowing students to navigate the pressures of a highly competitive society through digitized advocacy (Bantugan, 2022).</w:t>
      </w:r>
    </w:p>
    <w:p w14:paraId="46116C82" w14:textId="3EF071A9" w:rsidR="002A7CA7" w:rsidRDefault="002A7CA7" w:rsidP="00AC02B3">
      <w:pPr>
        <w:spacing w:before="200" w:after="80"/>
        <w:ind w:firstLine="720"/>
        <w:jc w:val="both"/>
        <w:rPr>
          <w:bCs/>
          <w:color w:val="142C4E"/>
          <w:sz w:val="25"/>
        </w:rPr>
      </w:pPr>
      <w:r w:rsidRPr="00AC02B3">
        <w:rPr>
          <w:b/>
          <w:bCs/>
          <w:i/>
          <w:iCs/>
          <w:color w:val="142C4E"/>
          <w:sz w:val="25"/>
        </w:rPr>
        <w:t>Resisting Techno-Authoritarianism</w:t>
      </w:r>
      <w:r w:rsidR="00AC02B3">
        <w:rPr>
          <w:b/>
          <w:bCs/>
          <w:color w:val="142C4E"/>
          <w:sz w:val="25"/>
        </w:rPr>
        <w:t>.</w:t>
      </w:r>
      <w:r w:rsidRPr="002A7CA7">
        <w:rPr>
          <w:bCs/>
          <w:color w:val="142C4E"/>
          <w:sz w:val="25"/>
        </w:rPr>
        <w:t xml:space="preserve"> There is a critical implication for </w:t>
      </w:r>
      <w:r w:rsidRPr="002A7CA7">
        <w:rPr>
          <w:b/>
          <w:bCs/>
          <w:color w:val="142C4E"/>
          <w:sz w:val="25"/>
        </w:rPr>
        <w:t>AI Governance</w:t>
      </w:r>
      <w:r w:rsidRPr="002A7CA7">
        <w:rPr>
          <w:bCs/>
          <w:color w:val="142C4E"/>
          <w:sz w:val="25"/>
        </w:rPr>
        <w:t xml:space="preserve"> in the classroom. Educators must foster a "democratized" literacy that empowers students to recognize algorithmic bias, ensuring that their "Original Vision" is not overwritten by the predictive patterns of global or domestic AI models (Bantugan, 2026).</w:t>
      </w:r>
    </w:p>
    <w:p w14:paraId="5ECC8D7F" w14:textId="6F680776" w:rsidR="00AC02B3" w:rsidRPr="00AC02B3" w:rsidRDefault="00AC02B3" w:rsidP="00AC02B3">
      <w:pPr>
        <w:spacing w:before="200" w:after="80"/>
        <w:ind w:firstLine="720"/>
        <w:jc w:val="both"/>
        <w:rPr>
          <w:b/>
          <w:color w:val="142C4E"/>
          <w:sz w:val="25"/>
        </w:rPr>
      </w:pPr>
      <w:r w:rsidRPr="00AC02B3">
        <w:rPr>
          <w:b/>
          <w:color w:val="142C4E"/>
          <w:sz w:val="25"/>
        </w:rPr>
        <w:t>Conclusion</w:t>
      </w:r>
    </w:p>
    <w:p w14:paraId="03E6473B" w14:textId="77777777" w:rsidR="00AC02B3" w:rsidRPr="00AC02B3" w:rsidRDefault="00AC02B3" w:rsidP="00AC02B3">
      <w:pPr>
        <w:spacing w:before="200" w:after="80"/>
        <w:jc w:val="both"/>
        <w:rPr>
          <w:bCs/>
          <w:color w:val="142C4E"/>
          <w:sz w:val="25"/>
        </w:rPr>
      </w:pPr>
      <w:r>
        <w:rPr>
          <w:bCs/>
          <w:color w:val="142C4E"/>
          <w:sz w:val="25"/>
        </w:rPr>
        <w:tab/>
      </w:r>
      <w:r w:rsidRPr="00AC02B3">
        <w:rPr>
          <w:bCs/>
          <w:color w:val="142C4E"/>
          <w:sz w:val="25"/>
        </w:rPr>
        <w:t xml:space="preserve">The application of digital tools in art teaching has reached a definitive crossroads in 2026, moving beyond the novelty of automation toward a sophisticated era of </w:t>
      </w:r>
      <w:r w:rsidRPr="00AC02B3">
        <w:rPr>
          <w:b/>
          <w:bCs/>
          <w:color w:val="142C4E"/>
          <w:sz w:val="25"/>
        </w:rPr>
        <w:t xml:space="preserve">creative </w:t>
      </w:r>
      <w:r w:rsidRPr="00AC02B3">
        <w:rPr>
          <w:b/>
          <w:bCs/>
          <w:color w:val="142C4E"/>
          <w:sz w:val="25"/>
        </w:rPr>
        <w:lastRenderedPageBreak/>
        <w:t>sovereignty</w:t>
      </w:r>
      <w:r w:rsidRPr="00AC02B3">
        <w:rPr>
          <w:bCs/>
          <w:color w:val="142C4E"/>
          <w:sz w:val="25"/>
        </w:rPr>
        <w:t xml:space="preserve">. As this paper has demonstrated, the transition from traditional studio models to digitized environments is not merely a change in medium, but a fundamental restructuring of the artist’s role in society. The convergence of </w:t>
      </w:r>
      <w:r w:rsidRPr="00AC02B3">
        <w:rPr>
          <w:b/>
          <w:bCs/>
          <w:color w:val="142C4E"/>
          <w:sz w:val="25"/>
        </w:rPr>
        <w:t>Artrepreneurship</w:t>
      </w:r>
      <w:r w:rsidRPr="00AC02B3">
        <w:rPr>
          <w:bCs/>
          <w:color w:val="142C4E"/>
          <w:sz w:val="25"/>
        </w:rPr>
        <w:t xml:space="preserve"> and </w:t>
      </w:r>
      <w:r w:rsidRPr="00AC02B3">
        <w:rPr>
          <w:b/>
          <w:bCs/>
          <w:color w:val="142C4E"/>
          <w:sz w:val="25"/>
        </w:rPr>
        <w:t>Algorithmic Literacy</w:t>
      </w:r>
      <w:r w:rsidRPr="00AC02B3">
        <w:rPr>
          <w:bCs/>
          <w:color w:val="142C4E"/>
          <w:sz w:val="25"/>
        </w:rPr>
        <w:t xml:space="preserve"> represents a vital defensive and offensive strategy: it empowers the artist to resist the "conformity pressures" of algorithmic homogenization while simultaneously leveraging mature digital infrastructure to build sustainable, direct-to-patron careers (SHS Web of Conferences, 2026; Frontiers, 2025).</w:t>
      </w:r>
    </w:p>
    <w:p w14:paraId="3447632C" w14:textId="77777777" w:rsidR="00AC02B3" w:rsidRPr="00AC02B3" w:rsidRDefault="00AC02B3" w:rsidP="00AC02B3">
      <w:pPr>
        <w:spacing w:before="200" w:after="80"/>
        <w:ind w:firstLine="720"/>
        <w:jc w:val="both"/>
        <w:rPr>
          <w:bCs/>
          <w:color w:val="142C4E"/>
          <w:sz w:val="25"/>
        </w:rPr>
      </w:pPr>
      <w:r w:rsidRPr="00AC02B3">
        <w:rPr>
          <w:bCs/>
          <w:color w:val="142C4E"/>
          <w:sz w:val="25"/>
        </w:rPr>
        <w:t xml:space="preserve">Furthermore, the integration of </w:t>
      </w:r>
      <w:r w:rsidRPr="00AC02B3">
        <w:rPr>
          <w:b/>
          <w:bCs/>
          <w:color w:val="142C4E"/>
          <w:sz w:val="25"/>
        </w:rPr>
        <w:t>Bantugan’s (2022) typologies</w:t>
      </w:r>
      <w:r w:rsidRPr="00AC02B3">
        <w:rPr>
          <w:bCs/>
          <w:color w:val="142C4E"/>
          <w:sz w:val="25"/>
        </w:rPr>
        <w:t xml:space="preserve"> reminds us that digital tools are at their most potent when they serve as instruments of social advocacy and personal resilience. In the Chinese context, this manifests as a shift toward </w:t>
      </w:r>
      <w:r w:rsidRPr="00AC02B3">
        <w:rPr>
          <w:b/>
          <w:bCs/>
          <w:color w:val="142C4E"/>
          <w:sz w:val="25"/>
        </w:rPr>
        <w:t>Agentic AI Literacy</w:t>
      </w:r>
      <w:r w:rsidRPr="00AC02B3">
        <w:rPr>
          <w:bCs/>
          <w:color w:val="142C4E"/>
          <w:sz w:val="25"/>
        </w:rPr>
        <w:t>, where the educational focus must move away from the "drudgery" of technical perfection toward the "Original Vision" of the student-director (DepEd, 2026; Holon IQ, 2026). By prioritizing human intentionality and "necessary imperfections," educators can ensure that the "Authenticity Economy" remains a human-driven frontier rather than a machine-dominated commodity (Rise Art, 2026; Cosimo, 2026).</w:t>
      </w:r>
    </w:p>
    <w:p w14:paraId="62B4FA36" w14:textId="098B31CA" w:rsidR="00C63091" w:rsidRPr="00C63091" w:rsidRDefault="00AC02B3" w:rsidP="00AC02B3">
      <w:pPr>
        <w:spacing w:before="200" w:after="80"/>
        <w:ind w:firstLine="720"/>
        <w:jc w:val="both"/>
        <w:rPr>
          <w:bCs/>
          <w:color w:val="142C4E"/>
          <w:sz w:val="25"/>
        </w:rPr>
      </w:pPr>
      <w:r w:rsidRPr="00AC02B3">
        <w:rPr>
          <w:bCs/>
          <w:color w:val="142C4E"/>
          <w:sz w:val="25"/>
        </w:rPr>
        <w:t>Ultimately, the developments and trends explored herein suggest that the future of art teaching lies in the "Human-in-the-Loop" model. By bridging the gap between traditional aesthetic mastery and a democratized AI governance, we can foster a generation of artists who do not merely use digital tools, but masterfully direct them. In doing so, art education will continue to serve its primary purpose: transforming the "background noise" of technology into a resonant, unmistakably human foreground of meaning.</w:t>
      </w:r>
    </w:p>
    <w:p w14:paraId="5538307F" w14:textId="0BC40A91" w:rsidR="00F8008C" w:rsidRDefault="00F8008C" w:rsidP="004C47EC">
      <w:pPr>
        <w:spacing w:before="200" w:after="80"/>
        <w:jc w:val="both"/>
        <w:rPr>
          <w:b/>
          <w:color w:val="142C4E"/>
          <w:sz w:val="25"/>
        </w:rPr>
      </w:pPr>
      <w:r>
        <w:rPr>
          <w:b/>
          <w:color w:val="142C4E"/>
          <w:sz w:val="25"/>
        </w:rPr>
        <w:t>References</w:t>
      </w:r>
    </w:p>
    <w:p w14:paraId="013B1E1F" w14:textId="6779CE75" w:rsidR="00F8008C" w:rsidRPr="00F8008C" w:rsidRDefault="00F8008C" w:rsidP="00263D5F">
      <w:pPr>
        <w:spacing w:before="200" w:after="80"/>
        <w:ind w:left="810" w:hanging="810"/>
        <w:jc w:val="both"/>
        <w:rPr>
          <w:bCs/>
          <w:color w:val="142C4E"/>
          <w:sz w:val="25"/>
        </w:rPr>
      </w:pPr>
      <w:r w:rsidRPr="00F8008C">
        <w:rPr>
          <w:bCs/>
          <w:color w:val="142C4E"/>
          <w:sz w:val="25"/>
        </w:rPr>
        <w:t xml:space="preserve">Anantrasirichai, N., &amp; Bull, M. (2022). Artificial intelligence in the creative industries: A review. </w:t>
      </w:r>
      <w:r w:rsidRPr="00F8008C">
        <w:rPr>
          <w:bCs/>
          <w:i/>
          <w:iCs/>
          <w:color w:val="142C4E"/>
          <w:sz w:val="25"/>
        </w:rPr>
        <w:t>Artificial Intelligence Review, 55</w:t>
      </w:r>
      <w:r w:rsidRPr="00F8008C">
        <w:rPr>
          <w:bCs/>
          <w:color w:val="142C4E"/>
          <w:sz w:val="25"/>
        </w:rPr>
        <w:t xml:space="preserve">(1), 589-656. </w:t>
      </w:r>
      <w:hyperlink r:id="rId9" w:tgtFrame="_blank" w:history="1">
        <w:r w:rsidRPr="00F8008C">
          <w:rPr>
            <w:rStyle w:val="Hyperlink"/>
            <w:bCs/>
            <w:sz w:val="25"/>
          </w:rPr>
          <w:t>https://doi.org/10.1007/s10462-021-10039-7</w:t>
        </w:r>
      </w:hyperlink>
    </w:p>
    <w:p w14:paraId="79561BE4"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(2022). New typologies of "digitized" art supporting HIV-AIDS-related advocacies in the Philippines. </w:t>
      </w:r>
      <w:r w:rsidRPr="008F42A8">
        <w:rPr>
          <w:bCs/>
          <w:i/>
          <w:iCs/>
          <w:color w:val="142C4E"/>
          <w:sz w:val="25"/>
        </w:rPr>
        <w:t>International Journal of Arts and Social Science, 5</w:t>
      </w:r>
      <w:r w:rsidRPr="008F42A8">
        <w:rPr>
          <w:bCs/>
          <w:color w:val="142C4E"/>
          <w:sz w:val="25"/>
        </w:rPr>
        <w:t xml:space="preserve">(10), 202-211. </w:t>
      </w:r>
      <w:hyperlink r:id="rId10" w:tgtFrame="_blank" w:history="1">
        <w:r w:rsidRPr="008F42A8">
          <w:rPr>
            <w:rStyle w:val="Hyperlink"/>
            <w:bCs/>
            <w:sz w:val="25"/>
          </w:rPr>
          <w:t>https://www.ijassjournal.com/2022/V5I10/414665959.pdf</w:t>
        </w:r>
      </w:hyperlink>
    </w:p>
    <w:p w14:paraId="7778EA98"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(2024). Understanding, use, and intentionality vis-a-vis creative spaces of selected Chinese art educators enrolled as graduate students in Manila. </w:t>
      </w:r>
      <w:r w:rsidRPr="008F42A8">
        <w:rPr>
          <w:bCs/>
          <w:i/>
          <w:iCs/>
          <w:color w:val="142C4E"/>
          <w:sz w:val="25"/>
        </w:rPr>
        <w:t>International Journal of Arts and Social Science, 7</w:t>
      </w:r>
      <w:r w:rsidRPr="008F42A8">
        <w:rPr>
          <w:bCs/>
          <w:color w:val="142C4E"/>
          <w:sz w:val="25"/>
        </w:rPr>
        <w:t>(4), 71-82.</w:t>
      </w:r>
    </w:p>
    <w:p w14:paraId="74CCB14B" w14:textId="51C2A35B" w:rsidR="008F42A8" w:rsidRPr="008F42A8" w:rsidRDefault="008F42A8" w:rsidP="00263D5F">
      <w:pPr>
        <w:spacing w:before="200" w:after="80"/>
        <w:ind w:left="810" w:hanging="810"/>
        <w:jc w:val="both"/>
        <w:rPr>
          <w:bCs/>
          <w:color w:val="142C4E"/>
          <w:sz w:val="25"/>
        </w:rPr>
      </w:pPr>
      <w:r w:rsidRPr="008F42A8">
        <w:rPr>
          <w:bCs/>
          <w:color w:val="142C4E"/>
          <w:sz w:val="25"/>
        </w:rPr>
        <w:lastRenderedPageBreak/>
        <w:t xml:space="preserve">Bantugan, B. (2026). A multisectoral and democratized AI governance policy for St. Paul University Manila: Countering global techno-authoritarianism and abuse. </w:t>
      </w:r>
      <w:r w:rsidRPr="008F42A8">
        <w:rPr>
          <w:bCs/>
          <w:i/>
          <w:iCs/>
          <w:color w:val="142C4E"/>
          <w:sz w:val="25"/>
        </w:rPr>
        <w:t>International Journal of Research and Scientific Innovation, 13</w:t>
      </w:r>
      <w:r w:rsidRPr="008F42A8">
        <w:rPr>
          <w:bCs/>
          <w:color w:val="142C4E"/>
          <w:sz w:val="25"/>
        </w:rPr>
        <w:t xml:space="preserve">(1), 1040–1078. </w:t>
      </w:r>
      <w:hyperlink r:id="rId11" w:tgtFrame="_blank" w:history="1">
        <w:r w:rsidRPr="008F42A8">
          <w:rPr>
            <w:rStyle w:val="Hyperlink"/>
            <w:bCs/>
            <w:sz w:val="25"/>
          </w:rPr>
          <w:t>https://doi.org/10.51244/IJRSI.2026.13010093</w:t>
        </w:r>
      </w:hyperlink>
    </w:p>
    <w:p w14:paraId="6BBA6F9F"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S., Li, X., Liu, L., Liu, Y., Wang, X., Yang, M., &amp; Zhang, X. (2024). The adoption of artificial intelligence of selected international Chinese educators enrolled as graduate students in the College of Education of St. Paul University Manila. </w:t>
      </w:r>
      <w:r w:rsidRPr="008F42A8">
        <w:rPr>
          <w:bCs/>
          <w:i/>
          <w:iCs/>
          <w:color w:val="142C4E"/>
          <w:sz w:val="25"/>
        </w:rPr>
        <w:t>International Journal of Research and Scientific Innovation, 11</w:t>
      </w:r>
      <w:r w:rsidRPr="008F42A8">
        <w:rPr>
          <w:bCs/>
          <w:color w:val="142C4E"/>
          <w:sz w:val="25"/>
        </w:rPr>
        <w:t xml:space="preserve">(2), 133–146. </w:t>
      </w:r>
      <w:hyperlink r:id="rId12" w:tgtFrame="_blank" w:history="1">
        <w:r w:rsidRPr="008F42A8">
          <w:rPr>
            <w:rStyle w:val="Hyperlink"/>
            <w:bCs/>
            <w:sz w:val="25"/>
          </w:rPr>
          <w:t>https://doi.org/10.51244/IJRSI.2024.1102011</w:t>
        </w:r>
      </w:hyperlink>
    </w:p>
    <w:p w14:paraId="6A591DD2" w14:textId="77777777" w:rsidR="008F42A8" w:rsidRPr="008F42A8" w:rsidRDefault="008F42A8" w:rsidP="00263D5F">
      <w:pPr>
        <w:spacing w:before="200" w:after="80"/>
        <w:ind w:left="810" w:hanging="810"/>
        <w:jc w:val="both"/>
        <w:rPr>
          <w:bCs/>
          <w:color w:val="142C4E"/>
          <w:sz w:val="25"/>
        </w:rPr>
      </w:pPr>
      <w:r w:rsidRPr="008F42A8">
        <w:rPr>
          <w:bCs/>
          <w:color w:val="142C4E"/>
          <w:sz w:val="25"/>
        </w:rPr>
        <w:t xml:space="preserve">Bantugan, B., Montenegro, G., &amp; Modesto, B. (2025). The National Arts Month of the Philippines, college students of St. Paul University Manila, and celebrating art in community. </w:t>
      </w:r>
      <w:r w:rsidRPr="008F42A8">
        <w:rPr>
          <w:bCs/>
          <w:i/>
          <w:iCs/>
          <w:color w:val="142C4E"/>
          <w:sz w:val="25"/>
        </w:rPr>
        <w:t>International Journal of Research and Scientific Innovation, 12</w:t>
      </w:r>
      <w:r w:rsidRPr="008F42A8">
        <w:rPr>
          <w:bCs/>
          <w:color w:val="142C4E"/>
          <w:sz w:val="25"/>
        </w:rPr>
        <w:t xml:space="preserve">(2), 1104–1118. </w:t>
      </w:r>
      <w:hyperlink r:id="rId13" w:tgtFrame="_blank" w:history="1">
        <w:r w:rsidRPr="008F42A8">
          <w:rPr>
            <w:rStyle w:val="Hyperlink"/>
            <w:bCs/>
            <w:sz w:val="25"/>
          </w:rPr>
          <w:t>https://doi.org/10.51244/IJRSI.2025.12020089</w:t>
        </w:r>
      </w:hyperlink>
    </w:p>
    <w:p w14:paraId="03333D89"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Clemente, J., et al. (2024). </w:t>
      </w:r>
      <w:r w:rsidRPr="00F8008C">
        <w:rPr>
          <w:bCs/>
          <w:i/>
          <w:iCs/>
          <w:color w:val="142C4E"/>
          <w:sz w:val="25"/>
        </w:rPr>
        <w:t>Interactive learning in digital art: the role of AI and collaborative platforms in shaping artistic expression</w:t>
      </w:r>
      <w:r w:rsidRPr="00F8008C">
        <w:rPr>
          <w:bCs/>
          <w:color w:val="142C4E"/>
          <w:sz w:val="25"/>
        </w:rPr>
        <w:t xml:space="preserve">. Taylor &amp; Francis. </w:t>
      </w:r>
      <w:hyperlink r:id="rId14" w:tgtFrame="_blank" w:history="1">
        <w:r w:rsidRPr="00F8008C">
          <w:rPr>
            <w:rStyle w:val="Hyperlink"/>
            <w:bCs/>
            <w:sz w:val="25"/>
          </w:rPr>
          <w:t>https://www.tandfonline.com/doi/full/10.1080/10494820.2026.2635541</w:t>
        </w:r>
      </w:hyperlink>
    </w:p>
    <w:p w14:paraId="1A9805DC" w14:textId="77777777" w:rsidR="00C63091" w:rsidRDefault="00C63091" w:rsidP="00263D5F">
      <w:pPr>
        <w:spacing w:before="200" w:after="80"/>
        <w:ind w:left="810" w:hanging="810"/>
        <w:jc w:val="both"/>
        <w:rPr>
          <w:bCs/>
          <w:color w:val="142C4E"/>
          <w:sz w:val="25"/>
        </w:rPr>
      </w:pPr>
      <w:r w:rsidRPr="00C63091">
        <w:rPr>
          <w:bCs/>
          <w:color w:val="142C4E"/>
          <w:sz w:val="25"/>
        </w:rPr>
        <w:t xml:space="preserve">Codesis Technologies. (2026, April). </w:t>
      </w:r>
      <w:r w:rsidRPr="00C63091">
        <w:rPr>
          <w:bCs/>
          <w:i/>
          <w:iCs/>
          <w:color w:val="142C4E"/>
          <w:sz w:val="25"/>
        </w:rPr>
        <w:t>AI for research in 2026: Beginner's guide to deep research tools</w:t>
      </w:r>
      <w:r w:rsidRPr="00C63091">
        <w:rPr>
          <w:bCs/>
          <w:color w:val="142C4E"/>
          <w:sz w:val="25"/>
        </w:rPr>
        <w:t xml:space="preserve">. </w:t>
      </w:r>
      <w:hyperlink r:id="rId15" w:tgtFrame="_blank" w:history="1">
        <w:r w:rsidRPr="00C63091">
          <w:rPr>
            <w:rStyle w:val="Hyperlink"/>
            <w:bCs/>
            <w:sz w:val="25"/>
          </w:rPr>
          <w:t>https://www.codesis.tech/blog/ai-for-research-in-2026-beginners-guide</w:t>
        </w:r>
      </w:hyperlink>
    </w:p>
    <w:p w14:paraId="71757002" w14:textId="066638A7" w:rsidR="00F8008C" w:rsidRPr="00F8008C" w:rsidRDefault="00F8008C" w:rsidP="00263D5F">
      <w:pPr>
        <w:spacing w:before="200" w:after="80"/>
        <w:ind w:left="810" w:hanging="810"/>
        <w:jc w:val="both"/>
        <w:rPr>
          <w:bCs/>
          <w:color w:val="142C4E"/>
          <w:sz w:val="25"/>
        </w:rPr>
      </w:pPr>
      <w:r w:rsidRPr="00F8008C">
        <w:rPr>
          <w:bCs/>
          <w:color w:val="142C4E"/>
          <w:sz w:val="25"/>
        </w:rPr>
        <w:t xml:space="preserve">Cosimo Art. (2026, April 9). </w:t>
      </w:r>
      <w:r w:rsidRPr="00F8008C">
        <w:rPr>
          <w:bCs/>
          <w:i/>
          <w:iCs/>
          <w:color w:val="142C4E"/>
          <w:sz w:val="25"/>
        </w:rPr>
        <w:t>Rise of digital art in 2026: AI, NFTs &amp; market trends explained</w:t>
      </w:r>
      <w:r w:rsidRPr="00F8008C">
        <w:rPr>
          <w:bCs/>
          <w:color w:val="142C4E"/>
          <w:sz w:val="25"/>
        </w:rPr>
        <w:t xml:space="preserve">. </w:t>
      </w:r>
      <w:hyperlink r:id="rId16" w:tgtFrame="_blank" w:history="1">
        <w:r w:rsidRPr="00F8008C">
          <w:rPr>
            <w:rStyle w:val="Hyperlink"/>
            <w:bCs/>
            <w:sz w:val="25"/>
          </w:rPr>
          <w:t>https://cosimo.art/blog/rise-of-digital-art/</w:t>
        </w:r>
      </w:hyperlink>
    </w:p>
    <w:p w14:paraId="4156E1A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Dentsu. (2026). </w:t>
      </w:r>
      <w:r w:rsidRPr="00F8008C">
        <w:rPr>
          <w:bCs/>
          <w:i/>
          <w:iCs/>
          <w:color w:val="142C4E"/>
          <w:sz w:val="25"/>
        </w:rPr>
        <w:t>2026 media trends: Human truths in the algorithmic era</w:t>
      </w:r>
      <w:r w:rsidRPr="00F8008C">
        <w:rPr>
          <w:bCs/>
          <w:color w:val="142C4E"/>
          <w:sz w:val="25"/>
        </w:rPr>
        <w:t xml:space="preserve">. </w:t>
      </w:r>
      <w:hyperlink r:id="rId17" w:tgtFrame="_blank" w:history="1">
        <w:r w:rsidRPr="00F8008C">
          <w:rPr>
            <w:rStyle w:val="Hyperlink"/>
            <w:bCs/>
            <w:sz w:val="25"/>
          </w:rPr>
          <w:t>https://www.dentsu.com/us/en/reports/link__2026_media_trends___human_truths_in_the_algo</w:t>
        </w:r>
      </w:hyperlink>
    </w:p>
    <w:p w14:paraId="04515D7A"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Department of Education (DepEd). (2026, April 27). </w:t>
      </w:r>
      <w:r w:rsidRPr="00F8008C">
        <w:rPr>
          <w:bCs/>
          <w:i/>
          <w:iCs/>
          <w:color w:val="142C4E"/>
          <w:sz w:val="25"/>
        </w:rPr>
        <w:t>Foundational guidelines on artificial intelligence (AI) in basic education</w:t>
      </w:r>
      <w:r w:rsidRPr="00F8008C">
        <w:rPr>
          <w:bCs/>
          <w:color w:val="142C4E"/>
          <w:sz w:val="25"/>
        </w:rPr>
        <w:t xml:space="preserve">. </w:t>
      </w:r>
      <w:hyperlink r:id="rId18" w:tgtFrame="_blank" w:history="1">
        <w:r w:rsidRPr="00F8008C">
          <w:rPr>
            <w:rStyle w:val="Hyperlink"/>
            <w:bCs/>
            <w:sz w:val="25"/>
          </w:rPr>
          <w:t>https://www.deped.gov.ph/wp-content/uploads/DO_s2026_003r-1.pdf</w:t>
        </w:r>
      </w:hyperlink>
    </w:p>
    <w:p w14:paraId="3D1BB74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Frontiers in Communication. (2025). </w:t>
      </w:r>
      <w:r w:rsidRPr="00F8008C">
        <w:rPr>
          <w:bCs/>
          <w:i/>
          <w:iCs/>
          <w:color w:val="142C4E"/>
          <w:sz w:val="25"/>
        </w:rPr>
        <w:t>Exploring the role of social media in artrepreneurship: Initial empirical insights</w:t>
      </w:r>
      <w:r w:rsidRPr="00F8008C">
        <w:rPr>
          <w:bCs/>
          <w:color w:val="142C4E"/>
          <w:sz w:val="25"/>
        </w:rPr>
        <w:t xml:space="preserve">. </w:t>
      </w:r>
      <w:hyperlink r:id="rId19" w:tgtFrame="_blank" w:history="1">
        <w:r w:rsidRPr="00F8008C">
          <w:rPr>
            <w:rStyle w:val="Hyperlink"/>
            <w:bCs/>
            <w:sz w:val="25"/>
          </w:rPr>
          <w:t>https://www.frontiersin.org/journals/communication/articles/10.3389/fcomm.2025.1643963/full</w:t>
        </w:r>
      </w:hyperlink>
    </w:p>
    <w:p w14:paraId="17331627" w14:textId="77777777" w:rsidR="00263D5F" w:rsidRPr="00263D5F" w:rsidRDefault="00263D5F" w:rsidP="00263D5F">
      <w:pPr>
        <w:spacing w:before="200" w:after="80"/>
        <w:ind w:left="810" w:hanging="810"/>
        <w:jc w:val="both"/>
        <w:rPr>
          <w:bCs/>
          <w:color w:val="142C4E"/>
          <w:sz w:val="25"/>
        </w:rPr>
      </w:pPr>
      <w:r w:rsidRPr="00263D5F">
        <w:rPr>
          <w:bCs/>
          <w:color w:val="142C4E"/>
          <w:sz w:val="25"/>
        </w:rPr>
        <w:lastRenderedPageBreak/>
        <w:t xml:space="preserve">Hoken Tech. (2026, March 12). </w:t>
      </w:r>
      <w:r w:rsidRPr="00263D5F">
        <w:rPr>
          <w:bCs/>
          <w:i/>
          <w:iCs/>
          <w:color w:val="142C4E"/>
          <w:sz w:val="25"/>
        </w:rPr>
        <w:t>The 2026 shift: NFTs moved from “collectibles” to infrastructure</w:t>
      </w:r>
      <w:r w:rsidRPr="00263D5F">
        <w:rPr>
          <w:bCs/>
          <w:color w:val="142C4E"/>
          <w:sz w:val="25"/>
        </w:rPr>
        <w:t xml:space="preserve">. </w:t>
      </w:r>
      <w:hyperlink r:id="rId20" w:tgtFrame="_blank" w:history="1">
        <w:r w:rsidRPr="00263D5F">
          <w:rPr>
            <w:rStyle w:val="Hyperlink"/>
            <w:bCs/>
            <w:sz w:val="25"/>
          </w:rPr>
          <w:t>https://medium.com/@hokentechitalia/the-2026-shift-nfts-moved-from-collectibles-to-infrastructure-965bce7ae58f</w:t>
        </w:r>
      </w:hyperlink>
    </w:p>
    <w:p w14:paraId="6B532968"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Holon IQ. (2026, April 22). </w:t>
      </w:r>
      <w:r w:rsidRPr="00F8008C">
        <w:rPr>
          <w:bCs/>
          <w:i/>
          <w:iCs/>
          <w:color w:val="142C4E"/>
          <w:sz w:val="25"/>
        </w:rPr>
        <w:t>2026 education trends snapshot</w:t>
      </w:r>
      <w:r w:rsidRPr="00F8008C">
        <w:rPr>
          <w:bCs/>
          <w:color w:val="142C4E"/>
          <w:sz w:val="25"/>
        </w:rPr>
        <w:t xml:space="preserve">. </w:t>
      </w:r>
      <w:hyperlink r:id="rId21" w:tgtFrame="_blank" w:history="1">
        <w:r w:rsidRPr="00F8008C">
          <w:rPr>
            <w:rStyle w:val="Hyperlink"/>
            <w:bCs/>
            <w:sz w:val="25"/>
          </w:rPr>
          <w:t>https://www.holoniq.com/notes/2026-education-trends-snapshot</w:t>
        </w:r>
      </w:hyperlink>
    </w:p>
    <w:p w14:paraId="09CDC0BA" w14:textId="77777777" w:rsidR="00C63091" w:rsidRPr="00C63091" w:rsidRDefault="00C63091" w:rsidP="00263D5F">
      <w:pPr>
        <w:spacing w:before="200" w:after="80"/>
        <w:ind w:left="810" w:hanging="810"/>
        <w:jc w:val="both"/>
        <w:rPr>
          <w:bCs/>
          <w:color w:val="142C4E"/>
          <w:sz w:val="25"/>
        </w:rPr>
      </w:pPr>
      <w:r w:rsidRPr="00C63091">
        <w:rPr>
          <w:bCs/>
          <w:color w:val="142C4E"/>
          <w:sz w:val="25"/>
        </w:rPr>
        <w:t xml:space="preserve">MDPI. (2026, March 13). </w:t>
      </w:r>
      <w:r w:rsidRPr="00C63091">
        <w:rPr>
          <w:bCs/>
          <w:i/>
          <w:iCs/>
          <w:color w:val="142C4E"/>
          <w:sz w:val="25"/>
        </w:rPr>
        <w:t>Artificial intelligence in literature review synthesis: A step-by-step methodological approach</w:t>
      </w:r>
      <w:r w:rsidRPr="00C63091">
        <w:rPr>
          <w:bCs/>
          <w:color w:val="142C4E"/>
          <w:sz w:val="25"/>
        </w:rPr>
        <w:t xml:space="preserve">. </w:t>
      </w:r>
      <w:hyperlink r:id="rId22" w:tgtFrame="_blank" w:history="1">
        <w:r w:rsidRPr="00C63091">
          <w:rPr>
            <w:rStyle w:val="Hyperlink"/>
            <w:bCs/>
            <w:sz w:val="25"/>
          </w:rPr>
          <w:t>https://www.mdpi.com/2227-9709/13/3/43</w:t>
        </w:r>
      </w:hyperlink>
    </w:p>
    <w:p w14:paraId="6051F983" w14:textId="77777777" w:rsidR="00C63091" w:rsidRPr="00F8008C" w:rsidRDefault="00C63091" w:rsidP="00263D5F">
      <w:pPr>
        <w:spacing w:before="200" w:after="80"/>
        <w:ind w:left="810" w:hanging="810"/>
        <w:jc w:val="both"/>
        <w:rPr>
          <w:bCs/>
          <w:color w:val="142C4E"/>
          <w:sz w:val="25"/>
        </w:rPr>
      </w:pPr>
      <w:r w:rsidRPr="00F8008C">
        <w:rPr>
          <w:bCs/>
          <w:color w:val="142C4E"/>
          <w:sz w:val="25"/>
        </w:rPr>
        <w:t xml:space="preserve">MDPI. (2025). </w:t>
      </w:r>
      <w:r w:rsidRPr="00F8008C">
        <w:rPr>
          <w:bCs/>
          <w:i/>
          <w:iCs/>
          <w:color w:val="142C4E"/>
          <w:sz w:val="25"/>
        </w:rPr>
        <w:t>Generative AI in art education: A systematic review of research trends, tool applications, and outcomes (2019–2025)</w:t>
      </w:r>
      <w:r w:rsidRPr="00F8008C">
        <w:rPr>
          <w:bCs/>
          <w:color w:val="142C4E"/>
          <w:sz w:val="25"/>
        </w:rPr>
        <w:t xml:space="preserve">. </w:t>
      </w:r>
      <w:hyperlink r:id="rId23" w:tgtFrame="_blank" w:history="1">
        <w:r w:rsidRPr="00F8008C">
          <w:rPr>
            <w:rStyle w:val="Hyperlink"/>
            <w:bCs/>
            <w:sz w:val="25"/>
          </w:rPr>
          <w:t>https://www.mdpi.com/2227-7102/16/1/47</w:t>
        </w:r>
      </w:hyperlink>
    </w:p>
    <w:p w14:paraId="70687C54"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Research.com. (2026, April 8). </w:t>
      </w:r>
      <w:r w:rsidRPr="00F8008C">
        <w:rPr>
          <w:bCs/>
          <w:i/>
          <w:iCs/>
          <w:color w:val="142C4E"/>
          <w:sz w:val="25"/>
        </w:rPr>
        <w:t>2026 AI, automation, and the future of fine arts degree careers</w:t>
      </w:r>
      <w:r w:rsidRPr="00F8008C">
        <w:rPr>
          <w:bCs/>
          <w:color w:val="142C4E"/>
          <w:sz w:val="25"/>
        </w:rPr>
        <w:t xml:space="preserve">. </w:t>
      </w:r>
      <w:hyperlink r:id="rId24" w:tgtFrame="_blank" w:history="1">
        <w:r w:rsidRPr="00F8008C">
          <w:rPr>
            <w:rStyle w:val="Hyperlink"/>
            <w:bCs/>
            <w:sz w:val="25"/>
          </w:rPr>
          <w:t>https://research.com/advice/ai-automation-and-the-future-of-fine-arts-degree-careers</w:t>
        </w:r>
      </w:hyperlink>
    </w:p>
    <w:p w14:paraId="6EC8F983"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Rise Art. (2026, April 7). </w:t>
      </w:r>
      <w:r w:rsidRPr="00263D5F">
        <w:rPr>
          <w:bCs/>
          <w:i/>
          <w:iCs/>
          <w:color w:val="142C4E"/>
          <w:sz w:val="25"/>
        </w:rPr>
        <w:t>Artists to watch 2026</w:t>
      </w:r>
      <w:r w:rsidRPr="00263D5F">
        <w:rPr>
          <w:bCs/>
          <w:color w:val="142C4E"/>
          <w:sz w:val="25"/>
        </w:rPr>
        <w:t xml:space="preserve">. </w:t>
      </w:r>
      <w:hyperlink r:id="rId25" w:tgtFrame="_blank" w:history="1">
        <w:r w:rsidRPr="00263D5F">
          <w:rPr>
            <w:rStyle w:val="Hyperlink"/>
            <w:bCs/>
            <w:sz w:val="25"/>
          </w:rPr>
          <w:t>https://www.riseart.com/article/2795/artists-to-watch-2026</w:t>
        </w:r>
      </w:hyperlink>
    </w:p>
    <w:p w14:paraId="70A05AA9"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ScienceSoft. (2026, April 14). </w:t>
      </w:r>
      <w:r w:rsidRPr="00263D5F">
        <w:rPr>
          <w:bCs/>
          <w:i/>
          <w:iCs/>
          <w:color w:val="142C4E"/>
          <w:sz w:val="25"/>
        </w:rPr>
        <w:t>Blockchain for provenance and traceability in 2026</w:t>
      </w:r>
      <w:r w:rsidRPr="00263D5F">
        <w:rPr>
          <w:bCs/>
          <w:color w:val="142C4E"/>
          <w:sz w:val="25"/>
        </w:rPr>
        <w:t xml:space="preserve">. </w:t>
      </w:r>
      <w:hyperlink r:id="rId26" w:tgtFrame="_blank" w:history="1">
        <w:r w:rsidRPr="00263D5F">
          <w:rPr>
            <w:rStyle w:val="Hyperlink"/>
            <w:bCs/>
            <w:sz w:val="25"/>
          </w:rPr>
          <w:t>https://www.scnsoft.com/blockchain/traceability-provenance</w:t>
        </w:r>
      </w:hyperlink>
    </w:p>
    <w:p w14:paraId="387F4E0B" w14:textId="77777777" w:rsidR="00C63091" w:rsidRPr="00C63091" w:rsidRDefault="00C63091" w:rsidP="00263D5F">
      <w:pPr>
        <w:spacing w:before="200" w:after="80"/>
        <w:ind w:left="810" w:hanging="810"/>
        <w:jc w:val="both"/>
        <w:rPr>
          <w:bCs/>
          <w:color w:val="142C4E"/>
          <w:sz w:val="25"/>
        </w:rPr>
      </w:pPr>
      <w:r w:rsidRPr="00C63091">
        <w:rPr>
          <w:bCs/>
          <w:color w:val="142C4E"/>
          <w:sz w:val="25"/>
        </w:rPr>
        <w:t xml:space="preserve">SHS Web of Conferences. (2026). </w:t>
      </w:r>
      <w:r w:rsidRPr="00C63091">
        <w:rPr>
          <w:bCs/>
          <w:i/>
          <w:iCs/>
          <w:color w:val="142C4E"/>
          <w:sz w:val="25"/>
        </w:rPr>
        <w:t>From aesthetics to traffic: The turn of photographers under algorithm</w:t>
      </w:r>
      <w:r w:rsidRPr="00C63091">
        <w:rPr>
          <w:bCs/>
          <w:color w:val="142C4E"/>
          <w:sz w:val="25"/>
        </w:rPr>
        <w:t xml:space="preserve">. </w:t>
      </w:r>
      <w:hyperlink r:id="rId27" w:tgtFrame="_blank" w:history="1">
        <w:r w:rsidRPr="00C63091">
          <w:rPr>
            <w:rStyle w:val="Hyperlink"/>
            <w:bCs/>
            <w:sz w:val="25"/>
          </w:rPr>
          <w:t>https://www.shs-conferences.org/articles/shsconf/pdf/2026/02/shsconf_idepmda2026_03014.pdf</w:t>
        </w:r>
      </w:hyperlink>
    </w:p>
    <w:p w14:paraId="1C6D4AEB" w14:textId="77777777" w:rsidR="00263D5F" w:rsidRPr="00263D5F" w:rsidRDefault="00263D5F" w:rsidP="00263D5F">
      <w:pPr>
        <w:spacing w:before="200" w:after="80"/>
        <w:ind w:left="810" w:hanging="810"/>
        <w:jc w:val="both"/>
        <w:rPr>
          <w:bCs/>
          <w:color w:val="142C4E"/>
          <w:sz w:val="25"/>
        </w:rPr>
      </w:pPr>
      <w:r w:rsidRPr="00263D5F">
        <w:rPr>
          <w:bCs/>
          <w:color w:val="142C4E"/>
          <w:sz w:val="25"/>
        </w:rPr>
        <w:t xml:space="preserve">Taylor &amp; Francis. (2026). </w:t>
      </w:r>
      <w:r w:rsidRPr="00263D5F">
        <w:rPr>
          <w:bCs/>
          <w:i/>
          <w:iCs/>
          <w:color w:val="142C4E"/>
          <w:sz w:val="25"/>
        </w:rPr>
        <w:t>AI and work in the creative industries: digital continuity or discontinuity?</w:t>
      </w:r>
      <w:r w:rsidRPr="00263D5F">
        <w:rPr>
          <w:bCs/>
          <w:color w:val="142C4E"/>
          <w:sz w:val="25"/>
        </w:rPr>
        <w:t xml:space="preserve"> </w:t>
      </w:r>
      <w:hyperlink r:id="rId28" w:tgtFrame="_blank" w:history="1">
        <w:r w:rsidRPr="00263D5F">
          <w:rPr>
            <w:rStyle w:val="Hyperlink"/>
            <w:bCs/>
            <w:sz w:val="25"/>
          </w:rPr>
          <w:t>https://www.tandfonline.com/doi/full/10.1080/17510694.2024.2421135</w:t>
        </w:r>
      </w:hyperlink>
    </w:p>
    <w:p w14:paraId="7376A4F7"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UNESCO. (2026, April 13). </w:t>
      </w:r>
      <w:r w:rsidRPr="00F8008C">
        <w:rPr>
          <w:bCs/>
          <w:i/>
          <w:iCs/>
          <w:color w:val="142C4E"/>
          <w:sz w:val="25"/>
        </w:rPr>
        <w:t>Artificial intelligence in education</w:t>
      </w:r>
      <w:r w:rsidRPr="00F8008C">
        <w:rPr>
          <w:bCs/>
          <w:color w:val="142C4E"/>
          <w:sz w:val="25"/>
        </w:rPr>
        <w:t xml:space="preserve">. </w:t>
      </w:r>
      <w:hyperlink r:id="rId29" w:tgtFrame="_blank" w:history="1">
        <w:r w:rsidRPr="00F8008C">
          <w:rPr>
            <w:rStyle w:val="Hyperlink"/>
            <w:bCs/>
            <w:sz w:val="25"/>
          </w:rPr>
          <w:t>https://www.unesco.org/en/digital-education/artificial-intelligence</w:t>
        </w:r>
      </w:hyperlink>
    </w:p>
    <w:p w14:paraId="726023BA" w14:textId="77777777" w:rsidR="00F8008C" w:rsidRPr="00F8008C" w:rsidRDefault="00F8008C" w:rsidP="00263D5F">
      <w:pPr>
        <w:spacing w:before="200" w:after="80"/>
        <w:ind w:left="810" w:hanging="810"/>
        <w:jc w:val="both"/>
        <w:rPr>
          <w:bCs/>
          <w:color w:val="142C4E"/>
          <w:sz w:val="25"/>
        </w:rPr>
      </w:pPr>
      <w:r w:rsidRPr="00F8008C">
        <w:rPr>
          <w:bCs/>
          <w:color w:val="142C4E"/>
          <w:sz w:val="25"/>
        </w:rPr>
        <w:t xml:space="preserve">University of Florida. (2026, February 23). </w:t>
      </w:r>
      <w:r w:rsidRPr="00F8008C">
        <w:rPr>
          <w:bCs/>
          <w:i/>
          <w:iCs/>
          <w:color w:val="142C4E"/>
          <w:sz w:val="25"/>
        </w:rPr>
        <w:t>2026 trends in art education: AI vs. productive difficulty</w:t>
      </w:r>
      <w:r w:rsidRPr="00F8008C">
        <w:rPr>
          <w:bCs/>
          <w:color w:val="142C4E"/>
          <w:sz w:val="25"/>
        </w:rPr>
        <w:t xml:space="preserve">. </w:t>
      </w:r>
      <w:hyperlink r:id="rId30" w:tgtFrame="_blank" w:history="1">
        <w:r w:rsidRPr="00F8008C">
          <w:rPr>
            <w:rStyle w:val="Hyperlink"/>
            <w:bCs/>
            <w:sz w:val="25"/>
          </w:rPr>
          <w:t>https://arteducationmasters.arts.ufl.edu/articles/2026-trends-in-art-education-ai-vs-productive-difficulty/</w:t>
        </w:r>
      </w:hyperlink>
    </w:p>
    <w:p w14:paraId="5EABBAC5" w14:textId="77777777" w:rsidR="00F8008C" w:rsidRDefault="00F8008C">
      <w:pPr>
        <w:spacing w:before="200" w:after="80"/>
        <w:rPr>
          <w:b/>
          <w:color w:val="142C4E"/>
          <w:sz w:val="25"/>
        </w:rPr>
      </w:pPr>
    </w:p>
    <w:sectPr w:rsidR="00F8008C" w:rsidSect="00034616">
      <w:footerReference w:type="default" r:id="rId31"/>
      <w:pgSz w:w="12240" w:h="15840"/>
      <w:pgMar w:top="1296" w:right="1368" w:bottom="1152" w:left="13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9BF62" w14:textId="77777777" w:rsidR="00184150" w:rsidRDefault="00184150">
      <w:pPr>
        <w:spacing w:after="0" w:line="240" w:lineRule="auto"/>
      </w:pPr>
      <w:r>
        <w:separator/>
      </w:r>
    </w:p>
  </w:endnote>
  <w:endnote w:type="continuationSeparator" w:id="0">
    <w:p w14:paraId="0F565DE5" w14:textId="77777777" w:rsidR="00184150" w:rsidRDefault="0018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EBE27" w14:textId="77777777" w:rsidR="00E2142D" w:rsidRDefault="00184150">
    <w:pPr>
      <w:pStyle w:val="Footer"/>
      <w:jc w:val="center"/>
    </w:pPr>
    <w:r>
      <w:fldChar w:fldCharType="begin"/>
    </w:r>
    <w:r>
      <w:instrText xml:space="preserve"> PAGE </w:instrText>
    </w:r>
    <w:r>
      <w:fldChar w:fldCharType="separate"/>
    </w:r>
    <w:r w:rsidR="0053207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95A20" w14:textId="77777777" w:rsidR="00184150" w:rsidRDefault="00184150">
      <w:pPr>
        <w:spacing w:after="0" w:line="240" w:lineRule="auto"/>
      </w:pPr>
      <w:r>
        <w:separator/>
      </w:r>
    </w:p>
  </w:footnote>
  <w:footnote w:type="continuationSeparator" w:id="0">
    <w:p w14:paraId="3F5179F6" w14:textId="77777777" w:rsidR="00184150" w:rsidRDefault="0018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BF90611"/>
    <w:multiLevelType w:val="multilevel"/>
    <w:tmpl w:val="D3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F12614"/>
    <w:multiLevelType w:val="multilevel"/>
    <w:tmpl w:val="33B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C068DB"/>
    <w:multiLevelType w:val="multilevel"/>
    <w:tmpl w:val="B1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495FE2"/>
    <w:multiLevelType w:val="multilevel"/>
    <w:tmpl w:val="456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C5F58"/>
    <w:multiLevelType w:val="multilevel"/>
    <w:tmpl w:val="D9E4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E40B5"/>
    <w:multiLevelType w:val="multilevel"/>
    <w:tmpl w:val="51FE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60748C"/>
    <w:multiLevelType w:val="multilevel"/>
    <w:tmpl w:val="EE2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626B9"/>
    <w:multiLevelType w:val="multilevel"/>
    <w:tmpl w:val="623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A5F90"/>
    <w:multiLevelType w:val="multilevel"/>
    <w:tmpl w:val="C892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DF4AA7"/>
    <w:multiLevelType w:val="multilevel"/>
    <w:tmpl w:val="722A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763345"/>
    <w:multiLevelType w:val="multilevel"/>
    <w:tmpl w:val="3E2C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227A6"/>
    <w:multiLevelType w:val="multilevel"/>
    <w:tmpl w:val="97D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4"/>
  </w:num>
  <w:num w:numId="13">
    <w:abstractNumId w:val="18"/>
  </w:num>
  <w:num w:numId="14">
    <w:abstractNumId w:val="20"/>
  </w:num>
  <w:num w:numId="15">
    <w:abstractNumId w:val="11"/>
  </w:num>
  <w:num w:numId="16">
    <w:abstractNumId w:val="16"/>
  </w:num>
  <w:num w:numId="17">
    <w:abstractNumId w:val="13"/>
  </w:num>
  <w:num w:numId="18">
    <w:abstractNumId w:val="12"/>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1BB"/>
    <w:rsid w:val="00034616"/>
    <w:rsid w:val="0006063C"/>
    <w:rsid w:val="0015074B"/>
    <w:rsid w:val="00184150"/>
    <w:rsid w:val="00263D5F"/>
    <w:rsid w:val="0029639D"/>
    <w:rsid w:val="002A7CA7"/>
    <w:rsid w:val="00326F90"/>
    <w:rsid w:val="004106B0"/>
    <w:rsid w:val="004C47EC"/>
    <w:rsid w:val="00532071"/>
    <w:rsid w:val="00563A10"/>
    <w:rsid w:val="005A370B"/>
    <w:rsid w:val="006F7897"/>
    <w:rsid w:val="008816A7"/>
    <w:rsid w:val="008F42A8"/>
    <w:rsid w:val="009E695E"/>
    <w:rsid w:val="00A37F8A"/>
    <w:rsid w:val="00A93821"/>
    <w:rsid w:val="00AA1D8D"/>
    <w:rsid w:val="00AC02B3"/>
    <w:rsid w:val="00B3298E"/>
    <w:rsid w:val="00B47730"/>
    <w:rsid w:val="00C541D4"/>
    <w:rsid w:val="00C63091"/>
    <w:rsid w:val="00CB0664"/>
    <w:rsid w:val="00D72A36"/>
    <w:rsid w:val="00E2142D"/>
    <w:rsid w:val="00E44884"/>
    <w:rsid w:val="00E943DA"/>
    <w:rsid w:val="00ED5688"/>
    <w:rsid w:val="00F800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932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312" w:lineRule="auto"/>
    </w:pPr>
    <w:rPr>
      <w:rFonts w:ascii="Times New Roman" w:eastAsia="Times New Roman" w:hAnsi="Times New Roman"/>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63A10"/>
    <w:rPr>
      <w:color w:val="0000FF" w:themeColor="hyperlink"/>
      <w:u w:val="single"/>
    </w:rPr>
  </w:style>
  <w:style w:type="character" w:customStyle="1" w:styleId="UnresolvedMention">
    <w:name w:val="Unresolved Mention"/>
    <w:basedOn w:val="DefaultParagraphFont"/>
    <w:uiPriority w:val="99"/>
    <w:semiHidden/>
    <w:unhideWhenUsed/>
    <w:rsid w:val="00563A10"/>
    <w:rPr>
      <w:color w:val="605E5C"/>
      <w:shd w:val="clear" w:color="auto" w:fill="E1DFDD"/>
    </w:rPr>
  </w:style>
  <w:style w:type="paragraph" w:styleId="NormalWeb">
    <w:name w:val="Normal (Web)"/>
    <w:basedOn w:val="Normal"/>
    <w:uiPriority w:val="99"/>
    <w:semiHidden/>
    <w:unhideWhenUsed/>
    <w:rsid w:val="00ED5688"/>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312" w:lineRule="auto"/>
    </w:pPr>
    <w:rPr>
      <w:rFonts w:ascii="Times New Roman" w:eastAsia="Times New Roman" w:hAnsi="Times New Roman"/>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63A10"/>
    <w:rPr>
      <w:color w:val="0000FF" w:themeColor="hyperlink"/>
      <w:u w:val="single"/>
    </w:rPr>
  </w:style>
  <w:style w:type="character" w:customStyle="1" w:styleId="UnresolvedMention">
    <w:name w:val="Unresolved Mention"/>
    <w:basedOn w:val="DefaultParagraphFont"/>
    <w:uiPriority w:val="99"/>
    <w:semiHidden/>
    <w:unhideWhenUsed/>
    <w:rsid w:val="00563A10"/>
    <w:rPr>
      <w:color w:val="605E5C"/>
      <w:shd w:val="clear" w:color="auto" w:fill="E1DFDD"/>
    </w:rPr>
  </w:style>
  <w:style w:type="paragraph" w:styleId="NormalWeb">
    <w:name w:val="Normal (Web)"/>
    <w:basedOn w:val="Normal"/>
    <w:uiPriority w:val="99"/>
    <w:semiHidden/>
    <w:unhideWhenUsed/>
    <w:rsid w:val="00ED568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244/IJRSI.2025.12020089" TargetMode="External"/><Relationship Id="rId18" Type="http://schemas.openxmlformats.org/officeDocument/2006/relationships/hyperlink" Target="https://www.deped.gov.ph/wp-content/uploads/DO_s2026_003r-1.pdf" TargetMode="External"/><Relationship Id="rId26" Type="http://schemas.openxmlformats.org/officeDocument/2006/relationships/hyperlink" Target="https://www.scnsoft.com/blockchain/traceability-provenance" TargetMode="External"/><Relationship Id="rId3" Type="http://schemas.openxmlformats.org/officeDocument/2006/relationships/styles" Target="styles.xml"/><Relationship Id="rId21" Type="http://schemas.openxmlformats.org/officeDocument/2006/relationships/hyperlink" Target="https://www.holoniq.com/notes/2026-education-trends-snapshot" TargetMode="External"/><Relationship Id="rId7" Type="http://schemas.openxmlformats.org/officeDocument/2006/relationships/footnotes" Target="footnotes.xml"/><Relationship Id="rId12" Type="http://schemas.openxmlformats.org/officeDocument/2006/relationships/hyperlink" Target="https://doi.org/10.51244/IJRSI.2024.1102011" TargetMode="External"/><Relationship Id="rId17" Type="http://schemas.openxmlformats.org/officeDocument/2006/relationships/hyperlink" Target="https://www.dentsu.com/us/en/reports/link__2026_media_trends___human_truths_in_the_algo" TargetMode="External"/><Relationship Id="rId25" Type="http://schemas.openxmlformats.org/officeDocument/2006/relationships/hyperlink" Target="https://www.riseart.com/article/2795/artists-to-watch-202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simo.art/blog/rise-of-digital-art/" TargetMode="External"/><Relationship Id="rId20" Type="http://schemas.openxmlformats.org/officeDocument/2006/relationships/hyperlink" Target="https://medium.com/@hokentechitalia/the-2026-shift-nfts-moved-from-collectibles-to-infrastructure-965bce7ae58f" TargetMode="External"/><Relationship Id="rId29" Type="http://schemas.openxmlformats.org/officeDocument/2006/relationships/hyperlink" Target="https://www.unesco.org/en/digital-education/artificial-intellig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1244/IJRSI.2026.13010093" TargetMode="External"/><Relationship Id="rId24" Type="http://schemas.openxmlformats.org/officeDocument/2006/relationships/hyperlink" Target="https://research.com/advice/ai-automation-and-the-future-of-fine-arts-degree-career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desis.tech/blog/ai-for-research-in-2026-beginners-guide" TargetMode="External"/><Relationship Id="rId23" Type="http://schemas.openxmlformats.org/officeDocument/2006/relationships/hyperlink" Target="https://www.mdpi.com/2227-7102/16/1/47" TargetMode="External"/><Relationship Id="rId28" Type="http://schemas.openxmlformats.org/officeDocument/2006/relationships/hyperlink" Target="https://www.tandfonline.com/doi/full/10.1080/17510694.2024.2421135" TargetMode="External"/><Relationship Id="rId10" Type="http://schemas.openxmlformats.org/officeDocument/2006/relationships/hyperlink" Target="https://www.ijassjournal.com/2022/V5I10/414665959.pdf" TargetMode="External"/><Relationship Id="rId19" Type="http://schemas.openxmlformats.org/officeDocument/2006/relationships/hyperlink" Target="https://www.frontiersin.org/journals/communication/articles/10.3389/fcomm.2025.1643963/ful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oi.org/10.1007/s10462-021-10039-7" TargetMode="External"/><Relationship Id="rId14" Type="http://schemas.openxmlformats.org/officeDocument/2006/relationships/hyperlink" Target="https://www.tandfonline.com/doi/full/10.1080/10494820.2026.2635541" TargetMode="External"/><Relationship Id="rId22" Type="http://schemas.openxmlformats.org/officeDocument/2006/relationships/hyperlink" Target="https://www.mdpi.com/2227-9709/13/3/43" TargetMode="External"/><Relationship Id="rId27" Type="http://schemas.openxmlformats.org/officeDocument/2006/relationships/hyperlink" Target="https://www.shs-conferences.org/articles/shsconf/pdf/2026/02/shsconf_idepmda2026_03014.pdf" TargetMode="External"/><Relationship Id="rId30" Type="http://schemas.openxmlformats.org/officeDocument/2006/relationships/hyperlink" Target="https://arteducationmasters.arts.ufl.edu/articles/2026-trends-in-art-education-ai-vs-productive-difficulty/"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7666-46FF-47E3-A3AA-B32E4D2C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14</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5</cp:revision>
  <dcterms:created xsi:type="dcterms:W3CDTF">2026-04-27T07:22:00Z</dcterms:created>
  <dcterms:modified xsi:type="dcterms:W3CDTF">2026-05-06T10:28:00Z</dcterms:modified>
  <cp:category/>
</cp:coreProperties>
</file>