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B2F2C" w14:textId="62235B08" w:rsidR="00B347AC" w:rsidRDefault="00B347AC" w:rsidP="000B190B">
      <w:pPr>
        <w:shd w:val="clear" w:color="auto" w:fill="FFFFFF"/>
        <w:spacing w:before="240" w:line="240" w:lineRule="auto"/>
        <w:jc w:val="center"/>
        <w:outlineLvl w:val="0"/>
        <w:rPr>
          <w:rFonts w:ascii="Times New Roman" w:eastAsia="Times New Roman" w:hAnsi="Times New Roman" w:cs="Times New Roman"/>
          <w:b/>
          <w:bCs/>
          <w:color w:val="0F1115"/>
          <w:kern w:val="36"/>
          <w:sz w:val="36"/>
          <w:szCs w:val="36"/>
        </w:rPr>
      </w:pPr>
      <w:r w:rsidRPr="00B347AC">
        <w:rPr>
          <w:rFonts w:ascii="Times New Roman" w:eastAsia="Times New Roman" w:hAnsi="Times New Roman" w:cs="Times New Roman"/>
          <w:b/>
          <w:bCs/>
          <w:color w:val="0F1115"/>
          <w:kern w:val="36"/>
          <w:sz w:val="36"/>
          <w:szCs w:val="36"/>
        </w:rPr>
        <w:t>ISO/IEC 17025-Compliant Calibration of Biomedical Equipment: Frameworks, Methods, and Measurement Uncertainty Assessment</w:t>
      </w:r>
    </w:p>
    <w:p w14:paraId="68CD7277" w14:textId="55792DBA" w:rsidR="00B347AC" w:rsidRPr="00B347AC" w:rsidRDefault="00384D83"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bookmarkStart w:id="0" w:name="_GoBack"/>
      <w:bookmarkEnd w:id="0"/>
      <w:r w:rsidRPr="00384D83">
        <w:rPr>
          <w:rFonts w:ascii="Times New Roman" w:eastAsia="Times New Roman" w:hAnsi="Times New Roman" w:cs="Times New Roman"/>
          <w:b/>
          <w:bCs/>
          <w:color w:val="0F1115"/>
          <w:sz w:val="28"/>
          <w:szCs w:val="28"/>
        </w:rPr>
        <w:t>ABSTRACT</w:t>
      </w:r>
    </w:p>
    <w:p w14:paraId="1841CCEC" w14:textId="77777777" w:rsidR="00847644" w:rsidRPr="00847644" w:rsidRDefault="00847644" w:rsidP="000B190B">
      <w:pPr>
        <w:shd w:val="clear" w:color="auto" w:fill="FFFFFF"/>
        <w:spacing w:before="240" w:line="240" w:lineRule="auto"/>
        <w:jc w:val="both"/>
        <w:rPr>
          <w:rStyle w:val="cursor-pointer"/>
          <w:rFonts w:ascii="Times New Roman" w:hAnsi="Times New Roman" w:cs="Times New Roman"/>
          <w:sz w:val="24"/>
          <w:szCs w:val="24"/>
        </w:rPr>
      </w:pPr>
      <w:r w:rsidRPr="00847644">
        <w:rPr>
          <w:rStyle w:val="cursor-pointer"/>
          <w:rFonts w:ascii="Times New Roman" w:hAnsi="Times New Roman" w:cs="Times New Roman"/>
          <w:sz w:val="24"/>
          <w:szCs w:val="24"/>
        </w:rPr>
        <w:t>Modern healthcare would not be possible without the use of biomedical equipment, which is crucial in supporting diagnosis, therapy, monitoring of patients, and life-sustaining processes.</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Clinical devices like ventilators, infusion pumps, defibrillators, patient monitors, ECG systems, thermometers, and laboratory instruments directly relate to the clinical decision-making and delivery of treatment.</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Thus, they necessitate regular calibration and frequent validation of these instruments to maintain reliability, safety, accuracy and consistent performance over the entire life of the instrument.</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Any inaccuracy in measuring or in performance of functions can result into wrong diagnosis, ineffective treatment or a greater risk to patient safety.</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The ISO/IEC 17025 standard of competence of testing and calibration laboratories offers a robust and internationally recognized framework of ensuring technically valid, traceable and reliable results of calibration [1].</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It provides rules of lab competence, unbiasedness, traceability of measurements, validation of methods, qualification of personnel, control of the environment and quality management systems.</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 xml:space="preserve">By adhering to this </w:t>
      </w:r>
      <w:proofErr w:type="gramStart"/>
      <w:r w:rsidRPr="00847644">
        <w:rPr>
          <w:rStyle w:val="cursor-pointer"/>
          <w:rFonts w:ascii="Times New Roman" w:hAnsi="Times New Roman" w:cs="Times New Roman"/>
          <w:sz w:val="24"/>
          <w:szCs w:val="24"/>
        </w:rPr>
        <w:t>standard</w:t>
      </w:r>
      <w:proofErr w:type="gramEnd"/>
      <w:r w:rsidRPr="00847644">
        <w:rPr>
          <w:rStyle w:val="cursor-pointer"/>
          <w:rFonts w:ascii="Times New Roman" w:hAnsi="Times New Roman" w:cs="Times New Roman"/>
          <w:sz w:val="24"/>
          <w:szCs w:val="24"/>
        </w:rPr>
        <w:t>, biomedical calibration labs are able to maintain high standards of technical accuracy, and to express a degree of confidence in their results.</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 xml:space="preserve">The paper provides a critical review of ISO/IEC 17025-conforming calibration practices of biomedical equipment, including quality system, metrological traceability, </w:t>
      </w:r>
      <w:proofErr w:type="gramStart"/>
      <w:r w:rsidRPr="00847644">
        <w:rPr>
          <w:rStyle w:val="cursor-pointer"/>
          <w:rFonts w:ascii="Times New Roman" w:hAnsi="Times New Roman" w:cs="Times New Roman"/>
          <w:sz w:val="24"/>
          <w:szCs w:val="24"/>
        </w:rPr>
        <w:t>estimation</w:t>
      </w:r>
      <w:proofErr w:type="gramEnd"/>
      <w:r w:rsidRPr="00847644">
        <w:rPr>
          <w:rStyle w:val="cursor-pointer"/>
          <w:rFonts w:ascii="Times New Roman" w:hAnsi="Times New Roman" w:cs="Times New Roman"/>
          <w:sz w:val="24"/>
          <w:szCs w:val="24"/>
        </w:rPr>
        <w:t xml:space="preserve"> of uncertainty, risk-based calibration timeframes, documentation control, personnel competence, and internal quality assurance.</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It also talks about calibration methodology of commonly used biomedical devices such as patient monitors, infusion pumps, defibrillators, electrosurgical units, ventilators, thermometers, sphygmomanometers, pulse oximeters, ECG systems, and weighing scales.</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Particular attention is paid to evaluation of the uncertainty of measurements, environmental factors, and rules to evaluate conformity.</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Moreover, the paper examines some of the major issues that healthcare facilities and labs in developing nations face, including the lack of strong chains of traceability, trained staff, regulatory control, and reliance on non-accredited service providers [2].</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Lastly, practical recommendations are made to the hospitals, regulators and laboratories to have sustainable biomedical metrology systems in accordance with the ISO/IEC 17025 requirements.</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The paper concludes that systematic calibration within a certified structure is a significant intervention to improve patient safety, clinical confidence, regulatory compliance, operational efficiency, and overall healthcare outcomes.</w:t>
      </w:r>
    </w:p>
    <w:p w14:paraId="4B8D4926" w14:textId="6634F256" w:rsidR="008676EA" w:rsidRPr="003049EB" w:rsidRDefault="008676EA" w:rsidP="000B190B">
      <w:pPr>
        <w:shd w:val="clear" w:color="auto" w:fill="FFFFFF"/>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t>Keywords:</w:t>
      </w:r>
      <w:r w:rsidRPr="003049EB">
        <w:rPr>
          <w:rFonts w:ascii="Times New Roman" w:hAnsi="Times New Roman" w:cs="Times New Roman"/>
          <w:sz w:val="24"/>
          <w:szCs w:val="24"/>
        </w:rPr>
        <w:t xml:space="preserve"> Biomedical equipment, ISO/IEC 17025, calibration, measurement uncertainty, healthcare metrology, patient safety, accreditation.</w:t>
      </w:r>
    </w:p>
    <w:p w14:paraId="5480868E" w14:textId="0564C180" w:rsidR="00B347AC" w:rsidRPr="00B347AC" w:rsidRDefault="00847644" w:rsidP="000B190B">
      <w:pPr>
        <w:shd w:val="clear" w:color="auto" w:fill="FFFFFF"/>
        <w:spacing w:before="240" w:line="240" w:lineRule="auto"/>
        <w:jc w:val="both"/>
        <w:rPr>
          <w:rFonts w:ascii="Times New Roman" w:hAnsi="Times New Roman" w:cs="Times New Roman"/>
          <w:sz w:val="28"/>
          <w:szCs w:val="28"/>
        </w:rPr>
      </w:pPr>
      <w:r w:rsidRPr="00B347AC">
        <w:rPr>
          <w:rFonts w:ascii="Times New Roman" w:eastAsia="Times New Roman" w:hAnsi="Times New Roman" w:cs="Times New Roman"/>
          <w:b/>
          <w:bCs/>
          <w:color w:val="0F1115"/>
          <w:sz w:val="28"/>
          <w:szCs w:val="28"/>
        </w:rPr>
        <w:t>INTRODUCTION</w:t>
      </w:r>
    </w:p>
    <w:p w14:paraId="74FF4429" w14:textId="4915AE2B" w:rsidR="008676EA" w:rsidRPr="003049EB" w:rsidRDefault="008676EA" w:rsidP="000B190B">
      <w:pPr>
        <w:shd w:val="clear" w:color="auto" w:fill="FFFFFF"/>
        <w:spacing w:before="240" w:line="240" w:lineRule="auto"/>
        <w:jc w:val="both"/>
        <w:outlineLvl w:val="1"/>
        <w:rPr>
          <w:rStyle w:val="cursor-pointer"/>
          <w:rFonts w:ascii="Times New Roman" w:hAnsi="Times New Roman" w:cs="Times New Roman"/>
          <w:sz w:val="24"/>
          <w:szCs w:val="24"/>
        </w:rPr>
      </w:pPr>
      <w:r w:rsidRPr="003049EB">
        <w:rPr>
          <w:rStyle w:val="cursor-pointer"/>
          <w:rFonts w:ascii="Times New Roman" w:hAnsi="Times New Roman" w:cs="Times New Roman"/>
          <w:sz w:val="24"/>
          <w:szCs w:val="24"/>
        </w:rPr>
        <w:t>A broad family of instruments employed in prevention, diagnosis, monitoring, treatment and rehabilitation make up biomedical equipment.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Examples are electrocardiographs, ventilators, infusion pumps, patient monitors, X-ray systems, ultrasound scanners, incubators, laboratory analyzers and surgical equipment [3].</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These tools create or regulate the quantifiable variables like pressure, flow, temperature, voltage, current, time, mass, oxygen concentration, and radiation dose.</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Any bias or inaccuracy in these parameters could jeopardize patient safety and clinical decision-making.</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World Health Organization (WHO) suggested that as many as half of medical devices in low- and middle-income nations were out-of-service or misused, frequently due to lack of calibration and maintenance [4].</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set of operations that determine the relationship between the values that an instrument indicates and the reference standards of the specified conditions is the calibration [5].</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Calibration is used in healthcare settings to ensure that all equipment is used within the manufacturer specifications and within the clinically acceptable tolerances.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As an example, a malfunctioning infusion pump can under dose medication (which can cause a therapeutic failure) or overdose (which can cause toxicity) and a faulty defibrillator may not provide the necessary energy to the patient during a resuscitation attempt, which can directly affect the survival rates [6].</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ISO/IEC 17025:2017 outlines the general provisions of competence, impartiality, and consistency in the working of laboratories.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It is applicable to any organizations that carry out calibration or testing irrespective of its size.</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 xml:space="preserve">Accredited laboratories that comply with ISO/IEC </w:t>
      </w:r>
      <w:r w:rsidRPr="003049EB">
        <w:rPr>
          <w:rStyle w:val="cursor-pointer"/>
          <w:rFonts w:ascii="Times New Roman" w:hAnsi="Times New Roman" w:cs="Times New Roman"/>
          <w:sz w:val="24"/>
          <w:szCs w:val="24"/>
        </w:rPr>
        <w:lastRenderedPageBreak/>
        <w:t>17025 are competent in technical aspects, have validated methods, traceable measurements, competent personnel, and effective quality management systems [1].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use of ISO/IEC 17025 in the biomedical equipment calibration is gaining prominence due to the increasing healthcare technology, regulatory requirements and risk management requirements as stipulated in ISO 14971 [7].</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Hospitals are anticipated to have trustworthy equipment fleets, minimi</w:t>
      </w:r>
      <w:r w:rsidR="00847644">
        <w:rPr>
          <w:rStyle w:val="cursor-pointer"/>
          <w:rFonts w:ascii="Times New Roman" w:hAnsi="Times New Roman" w:cs="Times New Roman"/>
          <w:sz w:val="24"/>
          <w:szCs w:val="24"/>
        </w:rPr>
        <w:t>z</w:t>
      </w:r>
      <w:r w:rsidRPr="003049EB">
        <w:rPr>
          <w:rStyle w:val="cursor-pointer"/>
          <w:rFonts w:ascii="Times New Roman" w:hAnsi="Times New Roman" w:cs="Times New Roman"/>
          <w:sz w:val="24"/>
          <w:szCs w:val="24"/>
        </w:rPr>
        <w:t>e downtime, and exhibit maintenance efficacy to the accreditation organi</w:t>
      </w:r>
      <w:r w:rsidR="00847644">
        <w:rPr>
          <w:rStyle w:val="cursor-pointer"/>
          <w:rFonts w:ascii="Times New Roman" w:hAnsi="Times New Roman" w:cs="Times New Roman"/>
          <w:sz w:val="24"/>
          <w:szCs w:val="24"/>
        </w:rPr>
        <w:t>z</w:t>
      </w:r>
      <w:r w:rsidRPr="003049EB">
        <w:rPr>
          <w:rStyle w:val="cursor-pointer"/>
          <w:rFonts w:ascii="Times New Roman" w:hAnsi="Times New Roman" w:cs="Times New Roman"/>
          <w:sz w:val="24"/>
          <w:szCs w:val="24"/>
        </w:rPr>
        <w:t>ations like the Joint Commission and JCI [8].</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This paper is a review of the principles, implementation strategies, technical procedures and benefits of ISO/IEC 17025-compliant calibration of biomedical equipment.</w:t>
      </w:r>
    </w:p>
    <w:p w14:paraId="1C26DFE1" w14:textId="01214922" w:rsidR="00B347AC" w:rsidRPr="00B347AC" w:rsidRDefault="00B347AC" w:rsidP="000B190B">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B347AC">
        <w:rPr>
          <w:rFonts w:ascii="Times New Roman" w:eastAsia="Times New Roman" w:hAnsi="Times New Roman" w:cs="Times New Roman"/>
          <w:b/>
          <w:bCs/>
          <w:color w:val="0F1115"/>
          <w:sz w:val="24"/>
          <w:szCs w:val="24"/>
        </w:rPr>
        <w:t>2. Overview of ISO/IEC 17025:2017</w:t>
      </w:r>
    </w:p>
    <w:p w14:paraId="535A3329" w14:textId="7FA16B13" w:rsidR="008676EA" w:rsidRPr="003049EB" w:rsidRDefault="008676EA"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The ISO/IEC 17025:2017 has five large clauses that include General requirements, Structural requirements, Resource requirements, Process requirements, and Management system requirements [1].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Figure 1 shows the hierarchy of structures of ISO/IEC 17025:2017 requirements regarding biomedical calibration laboratories.</w:t>
      </w:r>
      <w:r w:rsidRPr="003049EB">
        <w:rPr>
          <w:rFonts w:ascii="Times New Roman" w:hAnsi="Times New Roman" w:cs="Times New Roman"/>
          <w:sz w:val="24"/>
          <w:szCs w:val="24"/>
        </w:rPr>
        <w:t xml:space="preserve"> </w:t>
      </w:r>
    </w:p>
    <w:p w14:paraId="31E83487" w14:textId="24584716" w:rsidR="008676EA" w:rsidRPr="003049EB" w:rsidRDefault="008676EA" w:rsidP="000B190B">
      <w:pPr>
        <w:pStyle w:val="NormalWeb"/>
        <w:spacing w:before="240" w:beforeAutospacing="0" w:after="160" w:afterAutospacing="0"/>
        <w:jc w:val="both"/>
      </w:pPr>
      <w:r w:rsidRPr="003049EB">
        <w:rPr>
          <w:noProof/>
          <w:lang w:val="en-IN" w:eastAsia="en-IN"/>
        </w:rPr>
        <w:drawing>
          <wp:inline distT="0" distB="0" distL="0" distR="0" wp14:anchorId="15E29E86" wp14:editId="203F12B6">
            <wp:extent cx="6866626" cy="3864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5613" cy="3869668"/>
                    </a:xfrm>
                    <a:prstGeom prst="rect">
                      <a:avLst/>
                    </a:prstGeom>
                    <a:noFill/>
                    <a:ln>
                      <a:noFill/>
                    </a:ln>
                  </pic:spPr>
                </pic:pic>
              </a:graphicData>
            </a:graphic>
          </wp:inline>
        </w:drawing>
      </w:r>
    </w:p>
    <w:p w14:paraId="5B9DB38D" w14:textId="112B2B5A" w:rsidR="008676EA" w:rsidRPr="00B347AC" w:rsidRDefault="008676EA"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Figure 1: ISO/IEC 17025:2017 Hierarchical Structure of Biomedical Calibration laboratories.</w:t>
      </w:r>
    </w:p>
    <w:p w14:paraId="157F7616" w14:textId="5ED2DBF9" w:rsidR="00F5428D" w:rsidRPr="003049EB" w:rsidRDefault="00F5428D" w:rsidP="000B190B">
      <w:pPr>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t>General Requirement</w:t>
      </w:r>
      <w:r w:rsidR="00847644" w:rsidRPr="00847644">
        <w:rPr>
          <w:rFonts w:ascii="Times New Roman" w:hAnsi="Times New Roman" w:cs="Times New Roman"/>
          <w:b/>
          <w:bCs/>
          <w:sz w:val="24"/>
          <w:szCs w:val="24"/>
        </w:rPr>
        <w:t>:</w:t>
      </w:r>
      <w:r w:rsidR="00847644">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laboratory should be able to guarantee impartiality and confidentiality.</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 xml:space="preserve">The biomedical calibration data can have an impact on procurement, warranty claims, litigation and regulatory actions hence independence and confidentiality </w:t>
      </w:r>
      <w:r w:rsidR="00405B6B" w:rsidRPr="003049EB">
        <w:rPr>
          <w:rStyle w:val="cursor-pointer"/>
          <w:rFonts w:ascii="Times New Roman" w:hAnsi="Times New Roman" w:cs="Times New Roman"/>
          <w:sz w:val="24"/>
          <w:szCs w:val="24"/>
        </w:rPr>
        <w:t>are</w:t>
      </w:r>
      <w:r w:rsidRPr="003049EB">
        <w:rPr>
          <w:rStyle w:val="cursor-pointer"/>
          <w:rFonts w:ascii="Times New Roman" w:hAnsi="Times New Roman" w:cs="Times New Roman"/>
          <w:sz w:val="24"/>
          <w:szCs w:val="24"/>
        </w:rPr>
        <w:t xml:space="preserve"> necessary.</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standard mandates the identification of risks and mitigation of the risks to impartiality [1].</w:t>
      </w:r>
      <w:r w:rsidRPr="003049EB">
        <w:rPr>
          <w:rFonts w:ascii="Times New Roman" w:hAnsi="Times New Roman" w:cs="Times New Roman"/>
          <w:sz w:val="24"/>
          <w:szCs w:val="24"/>
        </w:rPr>
        <w:t xml:space="preserve"> </w:t>
      </w:r>
    </w:p>
    <w:p w14:paraId="6C8B31E7" w14:textId="52AFBB6F" w:rsidR="00F5428D" w:rsidRPr="003049EB" w:rsidRDefault="00F5428D" w:rsidP="000B190B">
      <w:pPr>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t>Structural Requirements</w:t>
      </w:r>
      <w:r w:rsidR="00847644" w:rsidRPr="00847644">
        <w:rPr>
          <w:rStyle w:val="cursor-pointer"/>
          <w:b/>
          <w:bCs/>
        </w:rPr>
        <w:t>:</w:t>
      </w:r>
      <w:r w:rsidRPr="00847644">
        <w:rPr>
          <w:rStyle w:val="cursor-pointer"/>
        </w:rPr>
        <w:t xml:space="preserve"> </w:t>
      </w:r>
      <w:r w:rsidRPr="003049EB">
        <w:rPr>
          <w:rStyle w:val="cursor-pointer"/>
          <w:rFonts w:ascii="Times New Roman" w:hAnsi="Times New Roman" w:cs="Times New Roman"/>
          <w:sz w:val="24"/>
          <w:szCs w:val="24"/>
        </w:rPr>
        <w:t>Laboratory should establish legal identity, management, authority and responsibilities.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Hospitals with in-house calibration units ought to have clear governance, frequently in line with structures of the clinical engineering department [9].</w:t>
      </w:r>
      <w:r w:rsidRPr="003049EB">
        <w:rPr>
          <w:rFonts w:ascii="Times New Roman" w:hAnsi="Times New Roman" w:cs="Times New Roman"/>
          <w:sz w:val="24"/>
          <w:szCs w:val="24"/>
        </w:rPr>
        <w:t xml:space="preserve"> </w:t>
      </w:r>
    </w:p>
    <w:p w14:paraId="6299EB46" w14:textId="04FB15A4" w:rsidR="00F5428D" w:rsidRPr="003049EB" w:rsidRDefault="00F5428D" w:rsidP="000B190B">
      <w:pPr>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t>Resource Requirements</w:t>
      </w:r>
      <w:r w:rsidR="00847644">
        <w:rP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Resources are in the form of competent personnel, appropriate facilities, calibrated standards, software, environmental control and external services.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clause 6.3 deals in particular with the facilities and environmental conditions, which are very critical in the biomedical calibrations [1].</w:t>
      </w:r>
      <w:r w:rsidRPr="003049EB">
        <w:rPr>
          <w:rFonts w:ascii="Times New Roman" w:hAnsi="Times New Roman" w:cs="Times New Roman"/>
          <w:sz w:val="24"/>
          <w:szCs w:val="24"/>
        </w:rPr>
        <w:t xml:space="preserve"> </w:t>
      </w:r>
    </w:p>
    <w:p w14:paraId="53E342CF" w14:textId="76482C00" w:rsidR="00F5428D" w:rsidRPr="003049EB" w:rsidRDefault="00F5428D" w:rsidP="000B190B">
      <w:pPr>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t>Process Requirements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 xml:space="preserve">These include contract review, method selection, sampling (where applicable), handling items, technical records, uncertainty, </w:t>
      </w:r>
      <w:proofErr w:type="gramStart"/>
      <w:r w:rsidRPr="003049EB">
        <w:rPr>
          <w:rStyle w:val="cursor-pointer"/>
          <w:rFonts w:ascii="Times New Roman" w:hAnsi="Times New Roman" w:cs="Times New Roman"/>
          <w:sz w:val="24"/>
          <w:szCs w:val="24"/>
        </w:rPr>
        <w:t>validity</w:t>
      </w:r>
      <w:proofErr w:type="gramEnd"/>
      <w:r w:rsidRPr="003049EB">
        <w:rPr>
          <w:rStyle w:val="cursor-pointer"/>
          <w:rFonts w:ascii="Times New Roman" w:hAnsi="Times New Roman" w:cs="Times New Roman"/>
          <w:sz w:val="24"/>
          <w:szCs w:val="24"/>
        </w:rPr>
        <w:t xml:space="preserve"> of results, reporting, complaints and non-conforming work.</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necessity of measuring the uncertainty of the measurements is explained in clause 7.6 [1].</w:t>
      </w:r>
      <w:r w:rsidRPr="003049EB">
        <w:rPr>
          <w:rFonts w:ascii="Times New Roman" w:hAnsi="Times New Roman" w:cs="Times New Roman"/>
          <w:sz w:val="24"/>
          <w:szCs w:val="24"/>
        </w:rPr>
        <w:t xml:space="preserve"> </w:t>
      </w:r>
    </w:p>
    <w:p w14:paraId="4EEAC32C" w14:textId="58F13DD3" w:rsidR="00F5428D" w:rsidRPr="003049EB" w:rsidRDefault="00F5428D" w:rsidP="000B190B">
      <w:pPr>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lastRenderedPageBreak/>
        <w:t>Management System</w:t>
      </w:r>
      <w:r w:rsidRPr="003049EB">
        <w:rPr>
          <w:rFonts w:ascii="Times New Roman" w:hAnsi="Times New Roman" w:cs="Times New Roman"/>
          <w:sz w:val="24"/>
          <w:szCs w:val="24"/>
        </w:rPr>
        <w:t xml:space="preserve"> Requirements </w:t>
      </w:r>
      <w:r w:rsidRPr="003049EB">
        <w:rPr>
          <w:rStyle w:val="cursor-pointer"/>
          <w:rFonts w:ascii="Times New Roman" w:hAnsi="Times New Roman" w:cs="Times New Roman"/>
          <w:sz w:val="24"/>
          <w:szCs w:val="24"/>
        </w:rPr>
        <w:t>They need internal audits, corrective actions, risk management (in line with ISO 14971 [7]) and document control, management review and Continuous Improvement.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There are two options (Option A and B) available to the laboratories: (A) based on ISO 9001 principles; and (B) integrated with the existing ISO 9001 system [1].</w:t>
      </w:r>
      <w:r w:rsidRPr="003049EB">
        <w:rPr>
          <w:rFonts w:ascii="Times New Roman" w:hAnsi="Times New Roman" w:cs="Times New Roman"/>
          <w:sz w:val="24"/>
          <w:szCs w:val="24"/>
        </w:rPr>
        <w:t xml:space="preserve"> </w:t>
      </w:r>
    </w:p>
    <w:p w14:paraId="22E79C7A" w14:textId="02925166" w:rsidR="00847644" w:rsidRPr="00847644" w:rsidRDefault="00847644" w:rsidP="000B190B">
      <w:pPr>
        <w:spacing w:before="240" w:line="240" w:lineRule="auto"/>
        <w:jc w:val="both"/>
        <w:rPr>
          <w:rFonts w:ascii="Times New Roman" w:hAnsi="Times New Roman" w:cs="Times New Roman"/>
          <w:b/>
          <w:bCs/>
          <w:sz w:val="28"/>
          <w:szCs w:val="28"/>
        </w:rPr>
      </w:pPr>
      <w:r w:rsidRPr="00847644">
        <w:rPr>
          <w:rStyle w:val="cursor-pointer"/>
          <w:rFonts w:ascii="Times New Roman" w:hAnsi="Times New Roman" w:cs="Times New Roman"/>
          <w:b/>
          <w:bCs/>
          <w:sz w:val="28"/>
          <w:szCs w:val="28"/>
        </w:rPr>
        <w:t>SIGNIFICANCE OF CALIBRATION IN HEALTHCARE</w:t>
      </w:r>
    </w:p>
    <w:p w14:paraId="14CE992F" w14:textId="6FA35495" w:rsidR="00F5428D" w:rsidRPr="003049EB" w:rsidRDefault="00F5428D"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Calibration has a direct effect on diagnostic accuracy, treatment effectiveness, patient safety, equipment lifespan, regulatory compliance, cost control and reputation of healthcare institutions [10].</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Table 1 summarizes the clinical consequences of error in calibration of typical biomedical equipment.</w:t>
      </w:r>
      <w:r w:rsidRPr="003049EB">
        <w:rPr>
          <w:rFonts w:ascii="Times New Roman" w:hAnsi="Times New Roman" w:cs="Times New Roman"/>
          <w:sz w:val="24"/>
          <w:szCs w:val="24"/>
        </w:rPr>
        <w:t xml:space="preserve"> </w:t>
      </w:r>
    </w:p>
    <w:p w14:paraId="30C4AD1B" w14:textId="421AAF94" w:rsidR="00B347AC" w:rsidRPr="00B347AC" w:rsidRDefault="00F5428D" w:rsidP="000B190B">
      <w:pPr>
        <w:shd w:val="clear" w:color="auto" w:fill="FFFFFF"/>
        <w:spacing w:before="240" w:line="240" w:lineRule="auto"/>
        <w:jc w:val="both"/>
        <w:rPr>
          <w:rFonts w:ascii="Times New Roman" w:eastAsia="Times New Roman" w:hAnsi="Times New Roman" w:cs="Times New Roman"/>
          <w:color w:val="0F1115"/>
          <w:sz w:val="24"/>
          <w:szCs w:val="24"/>
        </w:rPr>
      </w:pPr>
      <w:proofErr w:type="gramStart"/>
      <w:r w:rsidRPr="003049EB">
        <w:rPr>
          <w:rStyle w:val="cursor-pointer"/>
          <w:rFonts w:ascii="Times New Roman" w:hAnsi="Times New Roman" w:cs="Times New Roman"/>
          <w:sz w:val="24"/>
          <w:szCs w:val="24"/>
        </w:rPr>
        <w:t>Table 1: Clinical Effect of Biomedical equipment calibration error.</w:t>
      </w:r>
      <w:proofErr w:type="gramEnd"/>
    </w:p>
    <w:tbl>
      <w:tblPr>
        <w:tblW w:w="0" w:type="auto"/>
        <w:tblLayout w:type="fixed"/>
        <w:tblCellMar>
          <w:top w:w="15" w:type="dxa"/>
          <w:left w:w="15" w:type="dxa"/>
          <w:bottom w:w="15" w:type="dxa"/>
          <w:right w:w="15" w:type="dxa"/>
        </w:tblCellMar>
        <w:tblLook w:val="04A0" w:firstRow="1" w:lastRow="0" w:firstColumn="1" w:lastColumn="0" w:noHBand="0" w:noVBand="1"/>
      </w:tblPr>
      <w:tblGrid>
        <w:gridCol w:w="1710"/>
        <w:gridCol w:w="1710"/>
        <w:gridCol w:w="1800"/>
        <w:gridCol w:w="3330"/>
        <w:gridCol w:w="2149"/>
      </w:tblGrid>
      <w:tr w:rsidR="00847644" w:rsidRPr="00B347AC" w14:paraId="7CEDA0C7" w14:textId="77777777" w:rsidTr="004D7425">
        <w:trPr>
          <w:cantSplit/>
          <w:trHeight w:val="20"/>
        </w:trPr>
        <w:tc>
          <w:tcPr>
            <w:tcW w:w="1710" w:type="dxa"/>
            <w:tcBorders>
              <w:top w:val="nil"/>
            </w:tcBorders>
            <w:tcMar>
              <w:top w:w="150" w:type="dxa"/>
              <w:left w:w="0" w:type="dxa"/>
              <w:bottom w:w="150" w:type="dxa"/>
              <w:right w:w="240" w:type="dxa"/>
            </w:tcMar>
            <w:vAlign w:val="center"/>
            <w:hideMark/>
          </w:tcPr>
          <w:p w14:paraId="24D15948" w14:textId="77777777" w:rsidR="00B347AC" w:rsidRDefault="00B347AC" w:rsidP="00855564">
            <w:pPr>
              <w:spacing w:after="0" w:line="240" w:lineRule="auto"/>
              <w:ind w:left="90"/>
              <w:jc w:val="center"/>
              <w:rPr>
                <w:rFonts w:ascii="Times New Roman" w:eastAsia="Times New Roman" w:hAnsi="Times New Roman" w:cs="Times New Roman"/>
                <w:b/>
                <w:bCs/>
                <w:sz w:val="24"/>
                <w:szCs w:val="24"/>
              </w:rPr>
            </w:pPr>
            <w:r w:rsidRPr="00B347AC">
              <w:rPr>
                <w:rFonts w:ascii="Times New Roman" w:eastAsia="Times New Roman" w:hAnsi="Times New Roman" w:cs="Times New Roman"/>
                <w:b/>
                <w:bCs/>
                <w:sz w:val="24"/>
                <w:szCs w:val="24"/>
              </w:rPr>
              <w:t>Device Type</w:t>
            </w:r>
          </w:p>
          <w:p w14:paraId="0431BA02" w14:textId="737684CB" w:rsidR="00855564" w:rsidRPr="00B347AC" w:rsidRDefault="00855564" w:rsidP="00855564">
            <w:pPr>
              <w:spacing w:after="0" w:line="240" w:lineRule="auto"/>
              <w:ind w:left="90"/>
              <w:jc w:val="center"/>
              <w:rPr>
                <w:rFonts w:ascii="Times New Roman" w:eastAsia="Times New Roman" w:hAnsi="Times New Roman" w:cs="Times New Roman"/>
                <w:b/>
                <w:bCs/>
                <w:sz w:val="24"/>
                <w:szCs w:val="24"/>
              </w:rPr>
            </w:pPr>
          </w:p>
        </w:tc>
        <w:tc>
          <w:tcPr>
            <w:tcW w:w="1710" w:type="dxa"/>
            <w:tcBorders>
              <w:top w:val="nil"/>
            </w:tcBorders>
            <w:tcMar>
              <w:top w:w="150" w:type="dxa"/>
              <w:left w:w="240" w:type="dxa"/>
              <w:bottom w:w="150" w:type="dxa"/>
              <w:right w:w="240" w:type="dxa"/>
            </w:tcMar>
            <w:vAlign w:val="center"/>
            <w:hideMark/>
          </w:tcPr>
          <w:p w14:paraId="02B98000" w14:textId="77777777" w:rsidR="00B347AC" w:rsidRPr="00B347AC" w:rsidRDefault="00B347AC" w:rsidP="00855564">
            <w:pPr>
              <w:spacing w:after="0" w:line="240" w:lineRule="auto"/>
              <w:jc w:val="center"/>
              <w:rPr>
                <w:rFonts w:ascii="Times New Roman" w:eastAsia="Times New Roman" w:hAnsi="Times New Roman" w:cs="Times New Roman"/>
                <w:b/>
                <w:bCs/>
                <w:sz w:val="24"/>
                <w:szCs w:val="24"/>
              </w:rPr>
            </w:pPr>
            <w:r w:rsidRPr="00B347AC">
              <w:rPr>
                <w:rFonts w:ascii="Times New Roman" w:eastAsia="Times New Roman" w:hAnsi="Times New Roman" w:cs="Times New Roman"/>
                <w:b/>
                <w:bCs/>
                <w:sz w:val="24"/>
                <w:szCs w:val="24"/>
              </w:rPr>
              <w:t>Parameter</w:t>
            </w:r>
          </w:p>
        </w:tc>
        <w:tc>
          <w:tcPr>
            <w:tcW w:w="1800" w:type="dxa"/>
            <w:tcBorders>
              <w:top w:val="nil"/>
            </w:tcBorders>
            <w:tcMar>
              <w:top w:w="150" w:type="dxa"/>
              <w:left w:w="240" w:type="dxa"/>
              <w:bottom w:w="150" w:type="dxa"/>
              <w:right w:w="240" w:type="dxa"/>
            </w:tcMar>
            <w:vAlign w:val="center"/>
            <w:hideMark/>
          </w:tcPr>
          <w:p w14:paraId="217025FE" w14:textId="77777777" w:rsidR="00B347AC" w:rsidRPr="00B347AC" w:rsidRDefault="00B347AC" w:rsidP="00855564">
            <w:pPr>
              <w:spacing w:after="0" w:line="240" w:lineRule="auto"/>
              <w:jc w:val="center"/>
              <w:rPr>
                <w:rFonts w:ascii="Times New Roman" w:eastAsia="Times New Roman" w:hAnsi="Times New Roman" w:cs="Times New Roman"/>
                <w:b/>
                <w:bCs/>
                <w:sz w:val="24"/>
                <w:szCs w:val="24"/>
              </w:rPr>
            </w:pPr>
            <w:r w:rsidRPr="00B347AC">
              <w:rPr>
                <w:rFonts w:ascii="Times New Roman" w:eastAsia="Times New Roman" w:hAnsi="Times New Roman" w:cs="Times New Roman"/>
                <w:b/>
                <w:bCs/>
                <w:sz w:val="24"/>
                <w:szCs w:val="24"/>
              </w:rPr>
              <w:t>Typical Tolerance</w:t>
            </w:r>
          </w:p>
        </w:tc>
        <w:tc>
          <w:tcPr>
            <w:tcW w:w="3330" w:type="dxa"/>
            <w:tcBorders>
              <w:top w:val="nil"/>
            </w:tcBorders>
            <w:tcMar>
              <w:top w:w="150" w:type="dxa"/>
              <w:left w:w="240" w:type="dxa"/>
              <w:bottom w:w="150" w:type="dxa"/>
              <w:right w:w="240" w:type="dxa"/>
            </w:tcMar>
            <w:vAlign w:val="center"/>
            <w:hideMark/>
          </w:tcPr>
          <w:p w14:paraId="666E3845" w14:textId="70C286E6" w:rsidR="00B347AC" w:rsidRPr="00B347AC" w:rsidRDefault="00B347AC" w:rsidP="00855564">
            <w:pPr>
              <w:spacing w:after="0" w:line="240" w:lineRule="auto"/>
              <w:jc w:val="center"/>
              <w:rPr>
                <w:rFonts w:ascii="Times New Roman" w:eastAsia="Times New Roman" w:hAnsi="Times New Roman" w:cs="Times New Roman"/>
                <w:b/>
                <w:bCs/>
                <w:sz w:val="24"/>
                <w:szCs w:val="24"/>
              </w:rPr>
            </w:pPr>
            <w:r w:rsidRPr="00B347AC">
              <w:rPr>
                <w:rFonts w:ascii="Times New Roman" w:eastAsia="Times New Roman" w:hAnsi="Times New Roman" w:cs="Times New Roman"/>
                <w:b/>
                <w:bCs/>
                <w:sz w:val="24"/>
                <w:szCs w:val="24"/>
              </w:rPr>
              <w:t>Consequence of Undetected</w:t>
            </w:r>
            <w:r w:rsidR="00855564">
              <w:rPr>
                <w:rFonts w:ascii="Times New Roman" w:eastAsia="Times New Roman" w:hAnsi="Times New Roman" w:cs="Times New Roman"/>
                <w:b/>
                <w:bCs/>
                <w:sz w:val="24"/>
                <w:szCs w:val="24"/>
              </w:rPr>
              <w:t xml:space="preserve"> </w:t>
            </w:r>
            <w:r w:rsidRPr="00B347AC">
              <w:rPr>
                <w:rFonts w:ascii="Times New Roman" w:eastAsia="Times New Roman" w:hAnsi="Times New Roman" w:cs="Times New Roman"/>
                <w:b/>
                <w:bCs/>
                <w:sz w:val="24"/>
                <w:szCs w:val="24"/>
              </w:rPr>
              <w:t>Error</w:t>
            </w:r>
          </w:p>
        </w:tc>
        <w:tc>
          <w:tcPr>
            <w:tcW w:w="2149" w:type="dxa"/>
            <w:tcBorders>
              <w:top w:val="nil"/>
            </w:tcBorders>
            <w:tcMar>
              <w:top w:w="150" w:type="dxa"/>
              <w:left w:w="240" w:type="dxa"/>
              <w:bottom w:w="150" w:type="dxa"/>
              <w:right w:w="240" w:type="dxa"/>
            </w:tcMar>
            <w:vAlign w:val="center"/>
            <w:hideMark/>
          </w:tcPr>
          <w:p w14:paraId="2D71AC59" w14:textId="77777777" w:rsidR="00B347AC" w:rsidRPr="00B347AC" w:rsidRDefault="00B347AC" w:rsidP="00855564">
            <w:pPr>
              <w:spacing w:after="0" w:line="240" w:lineRule="auto"/>
              <w:jc w:val="center"/>
              <w:rPr>
                <w:rFonts w:ascii="Times New Roman" w:eastAsia="Times New Roman" w:hAnsi="Times New Roman" w:cs="Times New Roman"/>
                <w:b/>
                <w:bCs/>
                <w:sz w:val="24"/>
                <w:szCs w:val="24"/>
              </w:rPr>
            </w:pPr>
            <w:r w:rsidRPr="00B347AC">
              <w:rPr>
                <w:rFonts w:ascii="Times New Roman" w:eastAsia="Times New Roman" w:hAnsi="Times New Roman" w:cs="Times New Roman"/>
                <w:b/>
                <w:bCs/>
                <w:sz w:val="24"/>
                <w:szCs w:val="24"/>
              </w:rPr>
              <w:t>Relevant Standard</w:t>
            </w:r>
          </w:p>
        </w:tc>
      </w:tr>
      <w:tr w:rsidR="00847644" w:rsidRPr="00B347AC" w14:paraId="76BB0FAC" w14:textId="77777777" w:rsidTr="004D7425">
        <w:trPr>
          <w:cantSplit/>
          <w:trHeight w:val="20"/>
        </w:trPr>
        <w:tc>
          <w:tcPr>
            <w:tcW w:w="1710" w:type="dxa"/>
            <w:tcMar>
              <w:top w:w="150" w:type="dxa"/>
              <w:left w:w="0" w:type="dxa"/>
              <w:bottom w:w="150" w:type="dxa"/>
              <w:right w:w="240" w:type="dxa"/>
            </w:tcMar>
            <w:vAlign w:val="center"/>
            <w:hideMark/>
          </w:tcPr>
          <w:p w14:paraId="433DF950"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Infusion pump</w:t>
            </w:r>
          </w:p>
        </w:tc>
        <w:tc>
          <w:tcPr>
            <w:tcW w:w="1710" w:type="dxa"/>
            <w:tcMar>
              <w:top w:w="150" w:type="dxa"/>
              <w:left w:w="240" w:type="dxa"/>
              <w:bottom w:w="150" w:type="dxa"/>
              <w:right w:w="240" w:type="dxa"/>
            </w:tcMar>
            <w:vAlign w:val="center"/>
            <w:hideMark/>
          </w:tcPr>
          <w:p w14:paraId="3B925831"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Flow rate</w:t>
            </w:r>
          </w:p>
        </w:tc>
        <w:tc>
          <w:tcPr>
            <w:tcW w:w="1800" w:type="dxa"/>
            <w:tcMar>
              <w:top w:w="150" w:type="dxa"/>
              <w:left w:w="240" w:type="dxa"/>
              <w:bottom w:w="150" w:type="dxa"/>
              <w:right w:w="240" w:type="dxa"/>
            </w:tcMar>
            <w:vAlign w:val="center"/>
            <w:hideMark/>
          </w:tcPr>
          <w:p w14:paraId="784E1961"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±5%</w:t>
            </w:r>
          </w:p>
        </w:tc>
        <w:tc>
          <w:tcPr>
            <w:tcW w:w="3330" w:type="dxa"/>
            <w:tcMar>
              <w:top w:w="150" w:type="dxa"/>
              <w:left w:w="240" w:type="dxa"/>
              <w:bottom w:w="150" w:type="dxa"/>
              <w:right w:w="240" w:type="dxa"/>
            </w:tcMar>
            <w:vAlign w:val="center"/>
            <w:hideMark/>
          </w:tcPr>
          <w:p w14:paraId="67308650"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Underdose (therapeutic failure) or overdose (toxicity)</w:t>
            </w:r>
          </w:p>
        </w:tc>
        <w:tc>
          <w:tcPr>
            <w:tcW w:w="2149" w:type="dxa"/>
            <w:tcMar>
              <w:top w:w="150" w:type="dxa"/>
              <w:left w:w="240" w:type="dxa"/>
              <w:bottom w:w="150" w:type="dxa"/>
              <w:right w:w="0" w:type="dxa"/>
            </w:tcMar>
            <w:vAlign w:val="center"/>
            <w:hideMark/>
          </w:tcPr>
          <w:p w14:paraId="4B9D9071"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60601-2-24 [19]</w:t>
            </w:r>
          </w:p>
        </w:tc>
      </w:tr>
      <w:tr w:rsidR="00847644" w:rsidRPr="00B347AC" w14:paraId="328943E5" w14:textId="77777777" w:rsidTr="004D7425">
        <w:trPr>
          <w:cantSplit/>
          <w:trHeight w:val="20"/>
        </w:trPr>
        <w:tc>
          <w:tcPr>
            <w:tcW w:w="1710" w:type="dxa"/>
            <w:tcMar>
              <w:top w:w="150" w:type="dxa"/>
              <w:left w:w="0" w:type="dxa"/>
              <w:bottom w:w="150" w:type="dxa"/>
              <w:right w:w="240" w:type="dxa"/>
            </w:tcMar>
            <w:vAlign w:val="center"/>
            <w:hideMark/>
          </w:tcPr>
          <w:p w14:paraId="01552469"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Defibrillator</w:t>
            </w:r>
          </w:p>
        </w:tc>
        <w:tc>
          <w:tcPr>
            <w:tcW w:w="1710" w:type="dxa"/>
            <w:tcMar>
              <w:top w:w="150" w:type="dxa"/>
              <w:left w:w="240" w:type="dxa"/>
              <w:bottom w:w="150" w:type="dxa"/>
              <w:right w:w="240" w:type="dxa"/>
            </w:tcMar>
            <w:vAlign w:val="center"/>
            <w:hideMark/>
          </w:tcPr>
          <w:p w14:paraId="3A628B6A"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Energy</w:t>
            </w:r>
          </w:p>
        </w:tc>
        <w:tc>
          <w:tcPr>
            <w:tcW w:w="1800" w:type="dxa"/>
            <w:tcMar>
              <w:top w:w="150" w:type="dxa"/>
              <w:left w:w="240" w:type="dxa"/>
              <w:bottom w:w="150" w:type="dxa"/>
              <w:right w:w="240" w:type="dxa"/>
            </w:tcMar>
            <w:vAlign w:val="center"/>
            <w:hideMark/>
          </w:tcPr>
          <w:p w14:paraId="718B2EFB"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±15% or ±4 J</w:t>
            </w:r>
          </w:p>
        </w:tc>
        <w:tc>
          <w:tcPr>
            <w:tcW w:w="3330" w:type="dxa"/>
            <w:tcMar>
              <w:top w:w="150" w:type="dxa"/>
              <w:left w:w="240" w:type="dxa"/>
              <w:bottom w:w="150" w:type="dxa"/>
              <w:right w:w="240" w:type="dxa"/>
            </w:tcMar>
            <w:vAlign w:val="center"/>
            <w:hideMark/>
          </w:tcPr>
          <w:p w14:paraId="039657D0"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Failed resuscitation, myocardial damage</w:t>
            </w:r>
          </w:p>
        </w:tc>
        <w:tc>
          <w:tcPr>
            <w:tcW w:w="2149" w:type="dxa"/>
            <w:tcMar>
              <w:top w:w="150" w:type="dxa"/>
              <w:left w:w="240" w:type="dxa"/>
              <w:bottom w:w="150" w:type="dxa"/>
              <w:right w:w="0" w:type="dxa"/>
            </w:tcMar>
            <w:vAlign w:val="center"/>
            <w:hideMark/>
          </w:tcPr>
          <w:p w14:paraId="39B36728"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60601-2-4 [13]</w:t>
            </w:r>
          </w:p>
        </w:tc>
      </w:tr>
      <w:tr w:rsidR="00847644" w:rsidRPr="00B347AC" w14:paraId="222A777F" w14:textId="77777777" w:rsidTr="004D7425">
        <w:trPr>
          <w:cantSplit/>
          <w:trHeight w:val="20"/>
        </w:trPr>
        <w:tc>
          <w:tcPr>
            <w:tcW w:w="1710" w:type="dxa"/>
            <w:tcMar>
              <w:top w:w="150" w:type="dxa"/>
              <w:left w:w="0" w:type="dxa"/>
              <w:bottom w:w="150" w:type="dxa"/>
              <w:right w:w="240" w:type="dxa"/>
            </w:tcMar>
            <w:vAlign w:val="center"/>
            <w:hideMark/>
          </w:tcPr>
          <w:p w14:paraId="56FE8447"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Ventilator</w:t>
            </w:r>
          </w:p>
        </w:tc>
        <w:tc>
          <w:tcPr>
            <w:tcW w:w="1710" w:type="dxa"/>
            <w:tcMar>
              <w:top w:w="150" w:type="dxa"/>
              <w:left w:w="240" w:type="dxa"/>
              <w:bottom w:w="150" w:type="dxa"/>
              <w:right w:w="240" w:type="dxa"/>
            </w:tcMar>
            <w:vAlign w:val="center"/>
            <w:hideMark/>
          </w:tcPr>
          <w:p w14:paraId="7D257AB2"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Tidal volume</w:t>
            </w:r>
          </w:p>
        </w:tc>
        <w:tc>
          <w:tcPr>
            <w:tcW w:w="1800" w:type="dxa"/>
            <w:tcMar>
              <w:top w:w="150" w:type="dxa"/>
              <w:left w:w="240" w:type="dxa"/>
              <w:bottom w:w="150" w:type="dxa"/>
              <w:right w:w="240" w:type="dxa"/>
            </w:tcMar>
            <w:vAlign w:val="center"/>
            <w:hideMark/>
          </w:tcPr>
          <w:p w14:paraId="21E0F5E1"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3330" w:type="dxa"/>
            <w:tcMar>
              <w:top w:w="150" w:type="dxa"/>
              <w:left w:w="240" w:type="dxa"/>
              <w:bottom w:w="150" w:type="dxa"/>
              <w:right w:w="240" w:type="dxa"/>
            </w:tcMar>
            <w:vAlign w:val="center"/>
            <w:hideMark/>
          </w:tcPr>
          <w:p w14:paraId="4E456BEA"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Hypoventilation (brain injury) or barotrauma</w:t>
            </w:r>
          </w:p>
        </w:tc>
        <w:tc>
          <w:tcPr>
            <w:tcW w:w="2149" w:type="dxa"/>
            <w:tcMar>
              <w:top w:w="150" w:type="dxa"/>
              <w:left w:w="240" w:type="dxa"/>
              <w:bottom w:w="150" w:type="dxa"/>
              <w:right w:w="0" w:type="dxa"/>
            </w:tcMar>
            <w:vAlign w:val="center"/>
            <w:hideMark/>
          </w:tcPr>
          <w:p w14:paraId="5849CC2B"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 80601-2-12 [12]</w:t>
            </w:r>
          </w:p>
        </w:tc>
      </w:tr>
      <w:tr w:rsidR="00847644" w:rsidRPr="00B347AC" w14:paraId="21ADA3D3" w14:textId="77777777" w:rsidTr="004D7425">
        <w:trPr>
          <w:cantSplit/>
          <w:trHeight w:val="20"/>
        </w:trPr>
        <w:tc>
          <w:tcPr>
            <w:tcW w:w="1710" w:type="dxa"/>
            <w:tcMar>
              <w:top w:w="150" w:type="dxa"/>
              <w:left w:w="0" w:type="dxa"/>
              <w:bottom w:w="150" w:type="dxa"/>
              <w:right w:w="240" w:type="dxa"/>
            </w:tcMar>
            <w:vAlign w:val="center"/>
            <w:hideMark/>
          </w:tcPr>
          <w:p w14:paraId="52370FDD"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Patient monitor (NIBP)</w:t>
            </w:r>
          </w:p>
        </w:tc>
        <w:tc>
          <w:tcPr>
            <w:tcW w:w="1710" w:type="dxa"/>
            <w:tcMar>
              <w:top w:w="150" w:type="dxa"/>
              <w:left w:w="240" w:type="dxa"/>
              <w:bottom w:w="150" w:type="dxa"/>
              <w:right w:w="240" w:type="dxa"/>
            </w:tcMar>
            <w:vAlign w:val="center"/>
            <w:hideMark/>
          </w:tcPr>
          <w:p w14:paraId="25686B20"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Pressure</w:t>
            </w:r>
          </w:p>
        </w:tc>
        <w:tc>
          <w:tcPr>
            <w:tcW w:w="1800" w:type="dxa"/>
            <w:tcMar>
              <w:top w:w="150" w:type="dxa"/>
              <w:left w:w="240" w:type="dxa"/>
              <w:bottom w:w="150" w:type="dxa"/>
              <w:right w:w="240" w:type="dxa"/>
            </w:tcMar>
            <w:vAlign w:val="center"/>
            <w:hideMark/>
          </w:tcPr>
          <w:p w14:paraId="31E27C4C"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±3 mmHg or ±5%</w:t>
            </w:r>
          </w:p>
        </w:tc>
        <w:tc>
          <w:tcPr>
            <w:tcW w:w="3330" w:type="dxa"/>
            <w:tcMar>
              <w:top w:w="150" w:type="dxa"/>
              <w:left w:w="240" w:type="dxa"/>
              <w:bottom w:w="150" w:type="dxa"/>
              <w:right w:w="240" w:type="dxa"/>
            </w:tcMar>
            <w:vAlign w:val="center"/>
            <w:hideMark/>
          </w:tcPr>
          <w:p w14:paraId="58C748FF"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Missed hypertension/hypotension, wrong treatment</w:t>
            </w:r>
          </w:p>
        </w:tc>
        <w:tc>
          <w:tcPr>
            <w:tcW w:w="2149" w:type="dxa"/>
            <w:tcMar>
              <w:top w:w="150" w:type="dxa"/>
              <w:left w:w="240" w:type="dxa"/>
              <w:bottom w:w="150" w:type="dxa"/>
              <w:right w:w="0" w:type="dxa"/>
            </w:tcMar>
            <w:vAlign w:val="center"/>
            <w:hideMark/>
          </w:tcPr>
          <w:p w14:paraId="70485339"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60601-2-49 [40]</w:t>
            </w:r>
          </w:p>
        </w:tc>
      </w:tr>
      <w:tr w:rsidR="00847644" w:rsidRPr="00B347AC" w14:paraId="158CDDDF" w14:textId="77777777" w:rsidTr="004D7425">
        <w:trPr>
          <w:cantSplit/>
          <w:trHeight w:val="20"/>
        </w:trPr>
        <w:tc>
          <w:tcPr>
            <w:tcW w:w="1710" w:type="dxa"/>
            <w:tcMar>
              <w:top w:w="150" w:type="dxa"/>
              <w:left w:w="0" w:type="dxa"/>
              <w:bottom w:w="150" w:type="dxa"/>
              <w:right w:w="240" w:type="dxa"/>
            </w:tcMar>
            <w:vAlign w:val="center"/>
            <w:hideMark/>
          </w:tcPr>
          <w:p w14:paraId="1D72A1B5"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Thermometer</w:t>
            </w:r>
          </w:p>
        </w:tc>
        <w:tc>
          <w:tcPr>
            <w:tcW w:w="1710" w:type="dxa"/>
            <w:tcMar>
              <w:top w:w="150" w:type="dxa"/>
              <w:left w:w="240" w:type="dxa"/>
              <w:bottom w:w="150" w:type="dxa"/>
              <w:right w:w="240" w:type="dxa"/>
            </w:tcMar>
            <w:vAlign w:val="center"/>
            <w:hideMark/>
          </w:tcPr>
          <w:p w14:paraId="51B25E3E"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Temperature</w:t>
            </w:r>
          </w:p>
        </w:tc>
        <w:tc>
          <w:tcPr>
            <w:tcW w:w="1800" w:type="dxa"/>
            <w:tcMar>
              <w:top w:w="150" w:type="dxa"/>
              <w:left w:w="240" w:type="dxa"/>
              <w:bottom w:w="150" w:type="dxa"/>
              <w:right w:w="240" w:type="dxa"/>
            </w:tcMar>
            <w:vAlign w:val="center"/>
            <w:hideMark/>
          </w:tcPr>
          <w:p w14:paraId="42D640EC"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±0.1°C (clinical)</w:t>
            </w:r>
          </w:p>
        </w:tc>
        <w:tc>
          <w:tcPr>
            <w:tcW w:w="3330" w:type="dxa"/>
            <w:tcMar>
              <w:top w:w="150" w:type="dxa"/>
              <w:left w:w="240" w:type="dxa"/>
              <w:bottom w:w="150" w:type="dxa"/>
              <w:right w:w="240" w:type="dxa"/>
            </w:tcMar>
            <w:vAlign w:val="center"/>
            <w:hideMark/>
          </w:tcPr>
          <w:p w14:paraId="308573C1"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Missed fever, incorrect neonatal incubator settings</w:t>
            </w:r>
          </w:p>
        </w:tc>
        <w:tc>
          <w:tcPr>
            <w:tcW w:w="2149" w:type="dxa"/>
            <w:tcMar>
              <w:top w:w="150" w:type="dxa"/>
              <w:left w:w="240" w:type="dxa"/>
              <w:bottom w:w="150" w:type="dxa"/>
              <w:right w:w="0" w:type="dxa"/>
            </w:tcMar>
            <w:vAlign w:val="center"/>
            <w:hideMark/>
          </w:tcPr>
          <w:p w14:paraId="0AB67AAC"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ASTM E2877 [38]</w:t>
            </w:r>
          </w:p>
        </w:tc>
      </w:tr>
      <w:tr w:rsidR="00847644" w:rsidRPr="00B347AC" w14:paraId="137DF7EE" w14:textId="77777777" w:rsidTr="004D7425">
        <w:trPr>
          <w:cantSplit/>
          <w:trHeight w:val="20"/>
        </w:trPr>
        <w:tc>
          <w:tcPr>
            <w:tcW w:w="1710" w:type="dxa"/>
            <w:tcMar>
              <w:top w:w="150" w:type="dxa"/>
              <w:left w:w="0" w:type="dxa"/>
              <w:bottom w:w="150" w:type="dxa"/>
              <w:right w:w="240" w:type="dxa"/>
            </w:tcMar>
            <w:vAlign w:val="center"/>
            <w:hideMark/>
          </w:tcPr>
          <w:p w14:paraId="58286F21"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Electrosurgical unit</w:t>
            </w:r>
          </w:p>
        </w:tc>
        <w:tc>
          <w:tcPr>
            <w:tcW w:w="1710" w:type="dxa"/>
            <w:tcMar>
              <w:top w:w="150" w:type="dxa"/>
              <w:left w:w="240" w:type="dxa"/>
              <w:bottom w:w="150" w:type="dxa"/>
              <w:right w:w="240" w:type="dxa"/>
            </w:tcMar>
            <w:vAlign w:val="center"/>
            <w:hideMark/>
          </w:tcPr>
          <w:p w14:paraId="223C2AE5"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Output power</w:t>
            </w:r>
          </w:p>
        </w:tc>
        <w:tc>
          <w:tcPr>
            <w:tcW w:w="1800" w:type="dxa"/>
            <w:tcMar>
              <w:top w:w="150" w:type="dxa"/>
              <w:left w:w="240" w:type="dxa"/>
              <w:bottom w:w="150" w:type="dxa"/>
              <w:right w:w="240" w:type="dxa"/>
            </w:tcMar>
            <w:vAlign w:val="center"/>
            <w:hideMark/>
          </w:tcPr>
          <w:p w14:paraId="794647DD"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±20%</w:t>
            </w:r>
          </w:p>
        </w:tc>
        <w:tc>
          <w:tcPr>
            <w:tcW w:w="3330" w:type="dxa"/>
            <w:tcMar>
              <w:top w:w="150" w:type="dxa"/>
              <w:left w:w="240" w:type="dxa"/>
              <w:bottom w:w="150" w:type="dxa"/>
              <w:right w:w="240" w:type="dxa"/>
            </w:tcMar>
            <w:vAlign w:val="center"/>
            <w:hideMark/>
          </w:tcPr>
          <w:p w14:paraId="183FDDBA"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Ineffective cutting/burning, patient burns</w:t>
            </w:r>
          </w:p>
        </w:tc>
        <w:tc>
          <w:tcPr>
            <w:tcW w:w="2149" w:type="dxa"/>
            <w:tcMar>
              <w:top w:w="150" w:type="dxa"/>
              <w:left w:w="240" w:type="dxa"/>
              <w:bottom w:w="150" w:type="dxa"/>
              <w:right w:w="0" w:type="dxa"/>
            </w:tcMar>
            <w:vAlign w:val="center"/>
            <w:hideMark/>
          </w:tcPr>
          <w:p w14:paraId="6529E689"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60601-2-2 [21]</w:t>
            </w:r>
          </w:p>
        </w:tc>
      </w:tr>
      <w:tr w:rsidR="00847644" w:rsidRPr="00B347AC" w14:paraId="0FD97FB4" w14:textId="77777777" w:rsidTr="004D7425">
        <w:trPr>
          <w:cantSplit/>
          <w:trHeight w:val="20"/>
        </w:trPr>
        <w:tc>
          <w:tcPr>
            <w:tcW w:w="1710" w:type="dxa"/>
            <w:tcMar>
              <w:top w:w="150" w:type="dxa"/>
              <w:left w:w="0" w:type="dxa"/>
              <w:bottom w:w="150" w:type="dxa"/>
              <w:right w:w="240" w:type="dxa"/>
            </w:tcMar>
            <w:vAlign w:val="center"/>
            <w:hideMark/>
          </w:tcPr>
          <w:p w14:paraId="629D16FD"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Pulse oximeter</w:t>
            </w:r>
          </w:p>
        </w:tc>
        <w:tc>
          <w:tcPr>
            <w:tcW w:w="1710" w:type="dxa"/>
            <w:tcMar>
              <w:top w:w="150" w:type="dxa"/>
              <w:left w:w="240" w:type="dxa"/>
              <w:bottom w:w="150" w:type="dxa"/>
              <w:right w:w="240" w:type="dxa"/>
            </w:tcMar>
            <w:vAlign w:val="center"/>
            <w:hideMark/>
          </w:tcPr>
          <w:p w14:paraId="3F87C439"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SpO₂</w:t>
            </w:r>
          </w:p>
        </w:tc>
        <w:tc>
          <w:tcPr>
            <w:tcW w:w="1800" w:type="dxa"/>
            <w:tcMar>
              <w:top w:w="150" w:type="dxa"/>
              <w:left w:w="240" w:type="dxa"/>
              <w:bottom w:w="150" w:type="dxa"/>
              <w:right w:w="240" w:type="dxa"/>
            </w:tcMar>
            <w:vAlign w:val="center"/>
            <w:hideMark/>
          </w:tcPr>
          <w:p w14:paraId="567F9027"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±3% (70-100%)</w:t>
            </w:r>
          </w:p>
        </w:tc>
        <w:tc>
          <w:tcPr>
            <w:tcW w:w="3330" w:type="dxa"/>
            <w:tcMar>
              <w:top w:w="150" w:type="dxa"/>
              <w:left w:w="240" w:type="dxa"/>
              <w:bottom w:w="150" w:type="dxa"/>
              <w:right w:w="240" w:type="dxa"/>
            </w:tcMar>
            <w:vAlign w:val="center"/>
            <w:hideMark/>
          </w:tcPr>
          <w:p w14:paraId="76CA1303"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Undetected hypoxia, unnecessary oxygen therapy</w:t>
            </w:r>
          </w:p>
        </w:tc>
        <w:tc>
          <w:tcPr>
            <w:tcW w:w="2149" w:type="dxa"/>
            <w:tcMar>
              <w:top w:w="150" w:type="dxa"/>
              <w:left w:w="240" w:type="dxa"/>
              <w:bottom w:w="150" w:type="dxa"/>
              <w:right w:w="0" w:type="dxa"/>
            </w:tcMar>
            <w:vAlign w:val="center"/>
            <w:hideMark/>
          </w:tcPr>
          <w:p w14:paraId="41485B0B"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 80601-2-61</w:t>
            </w:r>
          </w:p>
        </w:tc>
      </w:tr>
    </w:tbl>
    <w:p w14:paraId="77933356" w14:textId="77777777" w:rsidR="00F5428D" w:rsidRPr="003049EB" w:rsidRDefault="00F5428D"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Certain clinical examples are:</w:t>
      </w:r>
      <w:r w:rsidRPr="003049EB">
        <w:rPr>
          <w:rFonts w:ascii="Times New Roman" w:hAnsi="Times New Roman" w:cs="Times New Roman"/>
          <w:sz w:val="24"/>
          <w:szCs w:val="24"/>
        </w:rPr>
        <w:t xml:space="preserve"> </w:t>
      </w:r>
    </w:p>
    <w:p w14:paraId="66775456" w14:textId="77777777" w:rsidR="00F5428D" w:rsidRPr="0024555D" w:rsidRDefault="00F5428D" w:rsidP="00D7191A">
      <w:pPr>
        <w:pStyle w:val="ListParagraph"/>
        <w:numPr>
          <w:ilvl w:val="0"/>
          <w:numId w:val="1"/>
        </w:numPr>
        <w:spacing w:before="240" w:line="240" w:lineRule="auto"/>
        <w:jc w:val="both"/>
        <w:rPr>
          <w:rStyle w:val="cursor-pointer"/>
        </w:rPr>
      </w:pPr>
      <w:r w:rsidRPr="003049EB">
        <w:rPr>
          <w:rStyle w:val="cursor-pointer"/>
          <w:rFonts w:ascii="Times New Roman" w:hAnsi="Times New Roman" w:cs="Times New Roman"/>
          <w:sz w:val="24"/>
          <w:szCs w:val="24"/>
        </w:rPr>
        <w:t>Even the slightest error in a blood pressure monitor of even 5 mmHg can result in incorrect diagnosis of hypertension or even missed treatment thresholds that affect millions of patients worldwide [11].</w:t>
      </w:r>
      <w:r w:rsidRPr="0024555D">
        <w:rPr>
          <w:rStyle w:val="cursor-pointer"/>
        </w:rPr>
        <w:t xml:space="preserve"> </w:t>
      </w:r>
    </w:p>
    <w:p w14:paraId="00181E31" w14:textId="1A4671EE" w:rsidR="00F5428D" w:rsidRPr="0024555D" w:rsidRDefault="005D2E23" w:rsidP="00D7191A">
      <w:pPr>
        <w:pStyle w:val="ListParagraph"/>
        <w:numPr>
          <w:ilvl w:val="0"/>
          <w:numId w:val="1"/>
        </w:numPr>
        <w:spacing w:before="240" w:line="240" w:lineRule="auto"/>
        <w:jc w:val="both"/>
        <w:rPr>
          <w:rFonts w:ascii="Times New Roman" w:hAnsi="Times New Roman" w:cs="Times New Roman"/>
          <w:sz w:val="24"/>
          <w:szCs w:val="24"/>
        </w:rPr>
      </w:pPr>
      <w:r w:rsidRPr="005D2E23">
        <w:rPr>
          <w:rFonts w:ascii="Times New Roman" w:hAnsi="Times New Roman" w:cs="Times New Roman"/>
          <w:color w:val="0F1115"/>
          <w:sz w:val="24"/>
          <w:szCs w:val="24"/>
          <w:shd w:val="clear" w:color="auto" w:fill="FFFFFF"/>
        </w:rPr>
        <w:t>1°C</w:t>
      </w:r>
      <w:r w:rsidRPr="0024555D">
        <w:rPr>
          <w:rStyle w:val="cursor-pointer"/>
          <w:rFonts w:ascii="Times New Roman" w:hAnsi="Times New Roman" w:cs="Times New Roman"/>
          <w:sz w:val="24"/>
          <w:szCs w:val="24"/>
        </w:rPr>
        <w:t xml:space="preserve"> </w:t>
      </w:r>
      <w:r w:rsidR="00F5428D" w:rsidRPr="0024555D">
        <w:rPr>
          <w:rStyle w:val="cursor-pointer"/>
          <w:rFonts w:ascii="Times New Roman" w:hAnsi="Times New Roman" w:cs="Times New Roman"/>
          <w:sz w:val="24"/>
          <w:szCs w:val="24"/>
        </w:rPr>
        <w:t>drift in incubator temperature can be detrimental to neonates, especially those who are premature and who need to be given precise thermal regulation [4].</w:t>
      </w:r>
      <w:r w:rsidR="00F5428D" w:rsidRPr="0024555D">
        <w:rPr>
          <w:rFonts w:ascii="Times New Roman" w:hAnsi="Times New Roman" w:cs="Times New Roman"/>
          <w:sz w:val="24"/>
          <w:szCs w:val="24"/>
        </w:rPr>
        <w:t xml:space="preserve"> </w:t>
      </w:r>
    </w:p>
    <w:p w14:paraId="2BE67BB0" w14:textId="12BE1E5D" w:rsidR="00F5428D" w:rsidRPr="0024555D" w:rsidRDefault="00F5428D" w:rsidP="00D7191A">
      <w:pPr>
        <w:pStyle w:val="ListParagraph"/>
        <w:numPr>
          <w:ilvl w:val="0"/>
          <w:numId w:val="1"/>
        </w:numPr>
        <w:spacing w:before="240" w:line="240" w:lineRule="auto"/>
        <w:jc w:val="both"/>
        <w:rPr>
          <w:rFonts w:ascii="Times New Roman" w:hAnsi="Times New Roman" w:cs="Times New Roman"/>
          <w:sz w:val="24"/>
          <w:szCs w:val="24"/>
        </w:rPr>
      </w:pPr>
      <w:r w:rsidRPr="0024555D">
        <w:rPr>
          <w:rStyle w:val="cursor-pointer"/>
          <w:rFonts w:ascii="Times New Roman" w:hAnsi="Times New Roman" w:cs="Times New Roman"/>
          <w:sz w:val="24"/>
          <w:szCs w:val="24"/>
        </w:rPr>
        <w:t>Drift of ventilators may result in poor ventilation or barotrauma; research demonstrates that ventilators drift by up to ten percent of tidal volume with more than six months of continuous use [12].</w:t>
      </w:r>
      <w:r w:rsidRPr="0024555D">
        <w:rPr>
          <w:rFonts w:ascii="Times New Roman" w:hAnsi="Times New Roman" w:cs="Times New Roman"/>
          <w:sz w:val="24"/>
          <w:szCs w:val="24"/>
        </w:rPr>
        <w:t xml:space="preserve"> </w:t>
      </w:r>
    </w:p>
    <w:p w14:paraId="2C927AE9" w14:textId="767A0823" w:rsidR="00F5428D" w:rsidRPr="0024555D" w:rsidRDefault="00F5428D" w:rsidP="00D7191A">
      <w:pPr>
        <w:pStyle w:val="ListParagraph"/>
        <w:numPr>
          <w:ilvl w:val="0"/>
          <w:numId w:val="1"/>
        </w:numPr>
        <w:spacing w:before="240" w:line="240" w:lineRule="auto"/>
        <w:jc w:val="both"/>
        <w:rPr>
          <w:rFonts w:ascii="Times New Roman" w:hAnsi="Times New Roman" w:cs="Times New Roman"/>
          <w:sz w:val="24"/>
          <w:szCs w:val="24"/>
        </w:rPr>
      </w:pPr>
      <w:r w:rsidRPr="0024555D">
        <w:rPr>
          <w:rStyle w:val="cursor-pointer"/>
          <w:rFonts w:ascii="Times New Roman" w:hAnsi="Times New Roman" w:cs="Times New Roman"/>
          <w:sz w:val="24"/>
          <w:szCs w:val="24"/>
        </w:rPr>
        <w:t>Any error in defibrillator energy of greater than ±15 percent can decrease resuscitation success; IEC 60601-2-4 requires energy accuracy within ±15 percent or within ±4 J, whichever is the greater [13].</w:t>
      </w:r>
      <w:r w:rsidRPr="0024555D">
        <w:rPr>
          <w:rFonts w:ascii="Times New Roman" w:hAnsi="Times New Roman" w:cs="Times New Roman"/>
          <w:sz w:val="24"/>
          <w:szCs w:val="24"/>
        </w:rPr>
        <w:t xml:space="preserve"> </w:t>
      </w:r>
    </w:p>
    <w:p w14:paraId="407E7C7E" w14:textId="0A8215D0" w:rsidR="00B347AC" w:rsidRPr="00B347AC" w:rsidRDefault="00F5428D" w:rsidP="000B190B">
      <w:pPr>
        <w:spacing w:before="240" w:line="240" w:lineRule="auto"/>
        <w:jc w:val="both"/>
        <w:rPr>
          <w:rFonts w:ascii="Times New Roman" w:eastAsia="Times New Roman" w:hAnsi="Times New Roman" w:cs="Times New Roman"/>
          <w:sz w:val="24"/>
          <w:szCs w:val="24"/>
        </w:rPr>
      </w:pPr>
      <w:r w:rsidRPr="003049EB">
        <w:rPr>
          <w:rStyle w:val="cursor-pointer"/>
          <w:rFonts w:ascii="Times New Roman" w:hAnsi="Times New Roman" w:cs="Times New Roman"/>
          <w:sz w:val="24"/>
          <w:szCs w:val="24"/>
        </w:rPr>
        <w:t>According to the WHO Medical Device Technical Series, calibration is a fundamental part in any medical device management system [4].</w:t>
      </w:r>
    </w:p>
    <w:p w14:paraId="4F7AD5D9" w14:textId="7C1AB49D" w:rsidR="00B347AC" w:rsidRPr="00B347AC" w:rsidRDefault="005D2E23"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5D2E23">
        <w:rPr>
          <w:rFonts w:ascii="Times New Roman" w:eastAsia="Times New Roman" w:hAnsi="Times New Roman" w:cs="Times New Roman"/>
          <w:b/>
          <w:bCs/>
          <w:color w:val="0F1115"/>
          <w:sz w:val="28"/>
          <w:szCs w:val="28"/>
        </w:rPr>
        <w:t>METROLOGICAL TRACEABILITY</w:t>
      </w:r>
    </w:p>
    <w:p w14:paraId="223F919A" w14:textId="77777777" w:rsidR="00F5428D" w:rsidRPr="003049EB" w:rsidRDefault="00F5428D" w:rsidP="000B190B">
      <w:pPr>
        <w:shd w:val="clear" w:color="auto" w:fill="FFFFFF"/>
        <w:spacing w:before="240" w:line="240" w:lineRule="auto"/>
        <w:jc w:val="both"/>
        <w:rPr>
          <w:rStyle w:val="cursor-pointer"/>
          <w:rFonts w:ascii="Times New Roman" w:hAnsi="Times New Roman" w:cs="Times New Roman"/>
          <w:sz w:val="24"/>
          <w:szCs w:val="24"/>
        </w:rPr>
      </w:pPr>
      <w:r w:rsidRPr="003049EB">
        <w:rPr>
          <w:rStyle w:val="cursor-pointer"/>
          <w:rFonts w:ascii="Times New Roman" w:hAnsi="Times New Roman" w:cs="Times New Roman"/>
          <w:sz w:val="24"/>
          <w:szCs w:val="24"/>
        </w:rPr>
        <w:lastRenderedPageBreak/>
        <w:t>Metrological traceability is the property whereby the measurement results can be linked to a reference by an unbroken chain of calibrations, each contributing to uncertainty.</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According to the International Vocabulary of Metrology (VIM), traceability can be defined as the property of a measurement result whereby it can be related to a stated reference by a documented continuous chain of calibrations, each of which contributes to the measurement uncertainty [5].</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traceability chain of biomedical equipment calibration is shown in figure 2.</w:t>
      </w:r>
    </w:p>
    <w:p w14:paraId="372EEBFA" w14:textId="4E2E136B" w:rsidR="005D2E23" w:rsidRDefault="005D2E23" w:rsidP="005D2E23">
      <w:pPr>
        <w:pStyle w:val="NormalWeb"/>
      </w:pPr>
      <w:r>
        <w:rPr>
          <w:noProof/>
          <w:lang w:val="en-IN" w:eastAsia="en-IN"/>
        </w:rPr>
        <w:drawing>
          <wp:inline distT="0" distB="0" distL="0" distR="0" wp14:anchorId="2CDD0C55" wp14:editId="7E61299E">
            <wp:extent cx="4631841" cy="45892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5335" cy="4721520"/>
                    </a:xfrm>
                    <a:prstGeom prst="rect">
                      <a:avLst/>
                    </a:prstGeom>
                    <a:noFill/>
                    <a:ln>
                      <a:noFill/>
                    </a:ln>
                  </pic:spPr>
                </pic:pic>
              </a:graphicData>
            </a:graphic>
          </wp:inline>
        </w:drawing>
      </w:r>
    </w:p>
    <w:p w14:paraId="7830E914" w14:textId="5765CDE9" w:rsidR="00E0189B" w:rsidRDefault="005D2E23"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B347AC">
        <w:rPr>
          <w:rFonts w:ascii="Times New Roman" w:eastAsia="Times New Roman" w:hAnsi="Times New Roman" w:cs="Times New Roman"/>
          <w:color w:val="0F1115"/>
          <w:sz w:val="24"/>
          <w:szCs w:val="24"/>
        </w:rPr>
        <w:t>Figure 2:</w:t>
      </w:r>
      <w:r w:rsidRPr="00B347AC">
        <w:rPr>
          <w:rFonts w:ascii="Times New Roman" w:eastAsia="Times New Roman" w:hAnsi="Times New Roman" w:cs="Times New Roman"/>
          <w:b/>
          <w:bCs/>
          <w:color w:val="0F1115"/>
          <w:sz w:val="24"/>
          <w:szCs w:val="24"/>
        </w:rPr>
        <w:t xml:space="preserve"> </w:t>
      </w:r>
      <w:r w:rsidRPr="00B347AC">
        <w:rPr>
          <w:rFonts w:ascii="Times New Roman" w:eastAsia="Times New Roman" w:hAnsi="Times New Roman" w:cs="Times New Roman"/>
          <w:color w:val="0F1115"/>
          <w:sz w:val="24"/>
          <w:szCs w:val="24"/>
        </w:rPr>
        <w:t xml:space="preserve">Metrological Traceability Chain for Biomedical </w:t>
      </w:r>
      <w:r w:rsidR="00342B4C">
        <w:rPr>
          <w:rFonts w:ascii="Times New Roman" w:eastAsia="Times New Roman" w:hAnsi="Times New Roman" w:cs="Times New Roman"/>
          <w:color w:val="0F1115"/>
          <w:sz w:val="24"/>
          <w:szCs w:val="24"/>
        </w:rPr>
        <w:t>Device</w:t>
      </w:r>
      <w:r w:rsidRPr="00B347AC">
        <w:rPr>
          <w:rFonts w:ascii="Times New Roman" w:eastAsia="Times New Roman" w:hAnsi="Times New Roman" w:cs="Times New Roman"/>
          <w:color w:val="0F1115"/>
          <w:sz w:val="24"/>
          <w:szCs w:val="24"/>
        </w:rPr>
        <w:t xml:space="preserve"> Calibration</w:t>
      </w:r>
    </w:p>
    <w:p w14:paraId="71B123C7" w14:textId="6E1A0B50" w:rsidR="00F5428D" w:rsidRPr="003049EB" w:rsidRDefault="00B347AC"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B347AC">
        <w:rPr>
          <w:rFonts w:ascii="Times New Roman" w:eastAsia="Times New Roman" w:hAnsi="Times New Roman" w:cs="Times New Roman"/>
          <w:color w:val="0F1115"/>
          <w:sz w:val="24"/>
          <w:szCs w:val="24"/>
        </w:rPr>
        <w:t>Examples of traceability:</w:t>
      </w:r>
    </w:p>
    <w:p w14:paraId="7C5E2389" w14:textId="0D9BF1CF" w:rsidR="00F5428D" w:rsidRPr="00E0189B" w:rsidRDefault="00F5428D" w:rsidP="00D7191A">
      <w:pPr>
        <w:pStyle w:val="ListParagraph"/>
        <w:numPr>
          <w:ilvl w:val="0"/>
          <w:numId w:val="2"/>
        </w:numPr>
        <w:shd w:val="clear" w:color="auto" w:fill="FFFFFF"/>
        <w:spacing w:before="240" w:line="240" w:lineRule="auto"/>
        <w:jc w:val="both"/>
        <w:rPr>
          <w:rFonts w:ascii="Times New Roman" w:hAnsi="Times New Roman" w:cs="Times New Roman"/>
          <w:sz w:val="24"/>
          <w:szCs w:val="24"/>
        </w:rPr>
      </w:pPr>
      <w:r w:rsidRPr="00E0189B">
        <w:rPr>
          <w:rStyle w:val="cursor-pointer"/>
          <w:rFonts w:ascii="Times New Roman" w:hAnsi="Times New Roman" w:cs="Times New Roman"/>
          <w:sz w:val="24"/>
          <w:szCs w:val="24"/>
        </w:rPr>
        <w:t>Pressure that can be related to national pressure standards by use of primary manometers or deadweight testers [14].</w:t>
      </w:r>
      <w:r w:rsidRPr="00E0189B">
        <w:rPr>
          <w:rFonts w:ascii="Times New Roman" w:hAnsi="Times New Roman" w:cs="Times New Roman"/>
          <w:sz w:val="24"/>
          <w:szCs w:val="24"/>
        </w:rPr>
        <w:t xml:space="preserve"> </w:t>
      </w:r>
    </w:p>
    <w:p w14:paraId="336145D3" w14:textId="146E09B1" w:rsidR="00F5428D" w:rsidRPr="00E0189B" w:rsidRDefault="00F5428D" w:rsidP="00D7191A">
      <w:pPr>
        <w:pStyle w:val="ListParagraph"/>
        <w:numPr>
          <w:ilvl w:val="0"/>
          <w:numId w:val="2"/>
        </w:numPr>
        <w:shd w:val="clear" w:color="auto" w:fill="FFFFFF"/>
        <w:spacing w:before="240" w:line="240" w:lineRule="auto"/>
        <w:jc w:val="both"/>
        <w:rPr>
          <w:rFonts w:ascii="Times New Roman" w:hAnsi="Times New Roman" w:cs="Times New Roman"/>
          <w:sz w:val="24"/>
          <w:szCs w:val="24"/>
        </w:rPr>
      </w:pPr>
      <w:r w:rsidRPr="00E0189B">
        <w:rPr>
          <w:rStyle w:val="cursor-pointer"/>
          <w:rFonts w:ascii="Times New Roman" w:hAnsi="Times New Roman" w:cs="Times New Roman"/>
          <w:sz w:val="24"/>
          <w:szCs w:val="24"/>
        </w:rPr>
        <w:t>Temperature measurement that can be traced to ITS-90 fixed points with SPRTs [15].</w:t>
      </w:r>
      <w:r w:rsidRPr="00E0189B">
        <w:rPr>
          <w:rFonts w:ascii="Times New Roman" w:hAnsi="Times New Roman" w:cs="Times New Roman"/>
          <w:sz w:val="24"/>
          <w:szCs w:val="24"/>
        </w:rPr>
        <w:t xml:space="preserve"> </w:t>
      </w:r>
      <w:r w:rsidRPr="00E0189B">
        <w:rPr>
          <w:rStyle w:val="cursor-pointer"/>
          <w:rFonts w:ascii="Times New Roman" w:hAnsi="Times New Roman" w:cs="Times New Roman"/>
          <w:sz w:val="24"/>
          <w:szCs w:val="24"/>
        </w:rPr>
        <w:t>Electrical signals that can be traced to national metrology institutes standards of voltage/current [16].</w:t>
      </w:r>
      <w:r w:rsidRPr="00E0189B">
        <w:rPr>
          <w:rFonts w:ascii="Times New Roman" w:hAnsi="Times New Roman" w:cs="Times New Roman"/>
          <w:sz w:val="24"/>
          <w:szCs w:val="24"/>
        </w:rPr>
        <w:t xml:space="preserve"> </w:t>
      </w:r>
    </w:p>
    <w:p w14:paraId="22DDCE34" w14:textId="248DD235" w:rsidR="00E0189B" w:rsidRPr="00E0189B" w:rsidRDefault="00F5428D" w:rsidP="00D7191A">
      <w:pPr>
        <w:pStyle w:val="ListParagraph"/>
        <w:numPr>
          <w:ilvl w:val="0"/>
          <w:numId w:val="2"/>
        </w:numPr>
        <w:shd w:val="clear" w:color="auto" w:fill="FFFFFF"/>
        <w:spacing w:before="240" w:line="240" w:lineRule="auto"/>
        <w:jc w:val="both"/>
        <w:rPr>
          <w:rFonts w:ascii="Times New Roman" w:hAnsi="Times New Roman" w:cs="Times New Roman"/>
          <w:sz w:val="24"/>
          <w:szCs w:val="24"/>
        </w:rPr>
      </w:pPr>
      <w:r w:rsidRPr="00E0189B">
        <w:rPr>
          <w:rStyle w:val="cursor-pointer"/>
          <w:rFonts w:ascii="Times New Roman" w:hAnsi="Times New Roman" w:cs="Times New Roman"/>
          <w:sz w:val="24"/>
          <w:szCs w:val="24"/>
        </w:rPr>
        <w:t>Time traceable to references of an atomic clock using GPS-disciplined oscillators [5].</w:t>
      </w:r>
    </w:p>
    <w:p w14:paraId="015E6EC1" w14:textId="076AAF90" w:rsidR="00B347AC" w:rsidRPr="00B347AC" w:rsidRDefault="00F5428D"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3049EB">
        <w:rPr>
          <w:rStyle w:val="cursor-pointer"/>
          <w:rFonts w:ascii="Times New Roman" w:hAnsi="Times New Roman" w:cs="Times New Roman"/>
          <w:sz w:val="24"/>
          <w:szCs w:val="24"/>
        </w:rPr>
        <w:t>In the absence of traceability, the calibration values cannot be relied on and compared in other institutions.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ILAC P14 states that accredited calibration certificates must include traceability statements [17].</w:t>
      </w:r>
    </w:p>
    <w:p w14:paraId="1ECBA434" w14:textId="22B01D7F" w:rsidR="00B347AC" w:rsidRPr="00B347AC" w:rsidRDefault="00E0189B"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B347AC">
        <w:rPr>
          <w:rFonts w:ascii="Times New Roman" w:eastAsia="Times New Roman" w:hAnsi="Times New Roman" w:cs="Times New Roman"/>
          <w:b/>
          <w:bCs/>
          <w:color w:val="0F1115"/>
          <w:sz w:val="28"/>
          <w:szCs w:val="28"/>
        </w:rPr>
        <w:t>BIOMEDICAL EQUIPMENT COMMONLY REQUIRING CALIBRATION</w:t>
      </w:r>
    </w:p>
    <w:p w14:paraId="05671A50" w14:textId="77777777" w:rsidR="00B347AC" w:rsidRPr="00B347AC" w:rsidRDefault="00B347AC"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B347AC">
        <w:rPr>
          <w:rFonts w:ascii="Times New Roman" w:eastAsia="Times New Roman" w:hAnsi="Times New Roman" w:cs="Times New Roman"/>
          <w:b/>
          <w:bCs/>
          <w:color w:val="0F1115"/>
          <w:sz w:val="24"/>
          <w:szCs w:val="24"/>
        </w:rPr>
        <w:t>Table 2</w:t>
      </w:r>
      <w:r w:rsidRPr="00B347AC">
        <w:rPr>
          <w:rFonts w:ascii="Times New Roman" w:eastAsia="Times New Roman" w:hAnsi="Times New Roman" w:cs="Times New Roman"/>
          <w:color w:val="0F1115"/>
          <w:sz w:val="24"/>
          <w:szCs w:val="24"/>
        </w:rPr>
        <w:t> provides a comprehensive listing of biomedical equipment types, their critical parameters, typical calibration intervals, and applicable standards.</w:t>
      </w:r>
    </w:p>
    <w:p w14:paraId="5F692F9D" w14:textId="77777777" w:rsidR="00B347AC" w:rsidRPr="00B347AC" w:rsidRDefault="00B347AC"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B347AC">
        <w:rPr>
          <w:rFonts w:ascii="Times New Roman" w:eastAsia="Times New Roman" w:hAnsi="Times New Roman" w:cs="Times New Roman"/>
          <w:b/>
          <w:bCs/>
          <w:color w:val="0F1115"/>
          <w:sz w:val="24"/>
          <w:szCs w:val="24"/>
        </w:rPr>
        <w:t>Table 2: Biomedical Equipment Calibration Requirements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790"/>
        <w:gridCol w:w="3060"/>
        <w:gridCol w:w="2250"/>
        <w:gridCol w:w="2599"/>
      </w:tblGrid>
      <w:tr w:rsidR="00E0189B" w:rsidRPr="00B347AC" w14:paraId="0637E9EA" w14:textId="77777777" w:rsidTr="00EF3BA1">
        <w:trPr>
          <w:cantSplit/>
          <w:trHeight w:val="144"/>
        </w:trPr>
        <w:tc>
          <w:tcPr>
            <w:tcW w:w="2790" w:type="dxa"/>
            <w:tcBorders>
              <w:top w:val="nil"/>
            </w:tcBorders>
            <w:tcMar>
              <w:top w:w="150" w:type="dxa"/>
              <w:left w:w="0" w:type="dxa"/>
              <w:bottom w:w="150" w:type="dxa"/>
              <w:right w:w="240" w:type="dxa"/>
            </w:tcMar>
            <w:vAlign w:val="center"/>
            <w:hideMark/>
          </w:tcPr>
          <w:p w14:paraId="6154733C"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Equipment Category</w:t>
            </w:r>
          </w:p>
        </w:tc>
        <w:tc>
          <w:tcPr>
            <w:tcW w:w="3060" w:type="dxa"/>
            <w:tcBorders>
              <w:top w:val="nil"/>
            </w:tcBorders>
            <w:tcMar>
              <w:top w:w="150" w:type="dxa"/>
              <w:left w:w="240" w:type="dxa"/>
              <w:bottom w:w="150" w:type="dxa"/>
              <w:right w:w="240" w:type="dxa"/>
            </w:tcMar>
            <w:vAlign w:val="center"/>
            <w:hideMark/>
          </w:tcPr>
          <w:p w14:paraId="7FD5BB2E"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Critical Parameters</w:t>
            </w:r>
          </w:p>
        </w:tc>
        <w:tc>
          <w:tcPr>
            <w:tcW w:w="2250" w:type="dxa"/>
            <w:tcBorders>
              <w:top w:val="nil"/>
            </w:tcBorders>
            <w:tcMar>
              <w:top w:w="150" w:type="dxa"/>
              <w:left w:w="240" w:type="dxa"/>
              <w:bottom w:w="150" w:type="dxa"/>
              <w:right w:w="240" w:type="dxa"/>
            </w:tcMar>
            <w:vAlign w:val="center"/>
            <w:hideMark/>
          </w:tcPr>
          <w:p w14:paraId="457AD39D"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Typical Interval</w:t>
            </w:r>
          </w:p>
        </w:tc>
        <w:tc>
          <w:tcPr>
            <w:tcW w:w="2599" w:type="dxa"/>
            <w:tcBorders>
              <w:top w:val="nil"/>
            </w:tcBorders>
            <w:tcMar>
              <w:top w:w="150" w:type="dxa"/>
              <w:left w:w="240" w:type="dxa"/>
              <w:bottom w:w="150" w:type="dxa"/>
              <w:right w:w="240" w:type="dxa"/>
            </w:tcMar>
            <w:vAlign w:val="center"/>
            <w:hideMark/>
          </w:tcPr>
          <w:p w14:paraId="14150A46"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Applicable Standards</w:t>
            </w:r>
          </w:p>
        </w:tc>
      </w:tr>
      <w:tr w:rsidR="00E0189B" w:rsidRPr="00B347AC" w14:paraId="323ED210" w14:textId="77777777" w:rsidTr="00EF3BA1">
        <w:trPr>
          <w:cantSplit/>
          <w:trHeight w:val="144"/>
        </w:trPr>
        <w:tc>
          <w:tcPr>
            <w:tcW w:w="2790" w:type="dxa"/>
            <w:tcMar>
              <w:top w:w="150" w:type="dxa"/>
              <w:left w:w="0" w:type="dxa"/>
              <w:bottom w:w="150" w:type="dxa"/>
              <w:right w:w="240" w:type="dxa"/>
            </w:tcMar>
            <w:vAlign w:val="center"/>
            <w:hideMark/>
          </w:tcPr>
          <w:p w14:paraId="2A155840"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lastRenderedPageBreak/>
              <w:t>Patient monitors</w:t>
            </w:r>
          </w:p>
        </w:tc>
        <w:tc>
          <w:tcPr>
            <w:tcW w:w="3060" w:type="dxa"/>
            <w:tcMar>
              <w:top w:w="150" w:type="dxa"/>
              <w:left w:w="240" w:type="dxa"/>
              <w:bottom w:w="150" w:type="dxa"/>
              <w:right w:w="240" w:type="dxa"/>
            </w:tcMar>
            <w:vAlign w:val="center"/>
            <w:hideMark/>
          </w:tcPr>
          <w:p w14:paraId="0FE76978"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ECG, NIBP, SpO₂, temperature, respiration</w:t>
            </w:r>
          </w:p>
        </w:tc>
        <w:tc>
          <w:tcPr>
            <w:tcW w:w="2250" w:type="dxa"/>
            <w:tcMar>
              <w:top w:w="150" w:type="dxa"/>
              <w:left w:w="240" w:type="dxa"/>
              <w:bottom w:w="150" w:type="dxa"/>
              <w:right w:w="240" w:type="dxa"/>
            </w:tcMar>
            <w:vAlign w:val="center"/>
            <w:hideMark/>
          </w:tcPr>
          <w:p w14:paraId="3BC5C862"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 months</w:t>
            </w:r>
          </w:p>
        </w:tc>
        <w:tc>
          <w:tcPr>
            <w:tcW w:w="2599" w:type="dxa"/>
            <w:tcMar>
              <w:top w:w="150" w:type="dxa"/>
              <w:left w:w="240" w:type="dxa"/>
              <w:bottom w:w="150" w:type="dxa"/>
              <w:right w:w="0" w:type="dxa"/>
            </w:tcMar>
            <w:vAlign w:val="center"/>
            <w:hideMark/>
          </w:tcPr>
          <w:p w14:paraId="2DA51C63"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60601-2-25, IEC 60601-2-49 [18,40]</w:t>
            </w:r>
          </w:p>
        </w:tc>
      </w:tr>
      <w:tr w:rsidR="00E0189B" w:rsidRPr="00B347AC" w14:paraId="7B0EC0E0" w14:textId="77777777" w:rsidTr="00EF3BA1">
        <w:trPr>
          <w:cantSplit/>
          <w:trHeight w:val="144"/>
        </w:trPr>
        <w:tc>
          <w:tcPr>
            <w:tcW w:w="2790" w:type="dxa"/>
            <w:tcMar>
              <w:top w:w="150" w:type="dxa"/>
              <w:left w:w="0" w:type="dxa"/>
              <w:bottom w:w="150" w:type="dxa"/>
              <w:right w:w="240" w:type="dxa"/>
            </w:tcMar>
            <w:vAlign w:val="center"/>
            <w:hideMark/>
          </w:tcPr>
          <w:p w14:paraId="2F0D9052"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Infusion/syringe pumps</w:t>
            </w:r>
          </w:p>
        </w:tc>
        <w:tc>
          <w:tcPr>
            <w:tcW w:w="3060" w:type="dxa"/>
            <w:tcMar>
              <w:top w:w="150" w:type="dxa"/>
              <w:left w:w="240" w:type="dxa"/>
              <w:bottom w:w="150" w:type="dxa"/>
              <w:right w:w="240" w:type="dxa"/>
            </w:tcMar>
            <w:vAlign w:val="center"/>
            <w:hideMark/>
          </w:tcPr>
          <w:p w14:paraId="366671D5"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Flow rate, occlusion pressure, volume</w:t>
            </w:r>
          </w:p>
        </w:tc>
        <w:tc>
          <w:tcPr>
            <w:tcW w:w="2250" w:type="dxa"/>
            <w:tcMar>
              <w:top w:w="150" w:type="dxa"/>
              <w:left w:w="240" w:type="dxa"/>
              <w:bottom w:w="150" w:type="dxa"/>
              <w:right w:w="240" w:type="dxa"/>
            </w:tcMar>
            <w:vAlign w:val="center"/>
            <w:hideMark/>
          </w:tcPr>
          <w:p w14:paraId="1329BC44"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6-12 months</w:t>
            </w:r>
          </w:p>
        </w:tc>
        <w:tc>
          <w:tcPr>
            <w:tcW w:w="2599" w:type="dxa"/>
            <w:tcMar>
              <w:top w:w="150" w:type="dxa"/>
              <w:left w:w="240" w:type="dxa"/>
              <w:bottom w:w="150" w:type="dxa"/>
              <w:right w:w="0" w:type="dxa"/>
            </w:tcMar>
            <w:vAlign w:val="center"/>
            <w:hideMark/>
          </w:tcPr>
          <w:p w14:paraId="432845E8"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60601-2-24 [19]</w:t>
            </w:r>
          </w:p>
        </w:tc>
      </w:tr>
      <w:tr w:rsidR="00E0189B" w:rsidRPr="00B347AC" w14:paraId="04A44233" w14:textId="77777777" w:rsidTr="00EF3BA1">
        <w:trPr>
          <w:cantSplit/>
          <w:trHeight w:val="144"/>
        </w:trPr>
        <w:tc>
          <w:tcPr>
            <w:tcW w:w="2790" w:type="dxa"/>
            <w:tcMar>
              <w:top w:w="150" w:type="dxa"/>
              <w:left w:w="0" w:type="dxa"/>
              <w:bottom w:w="150" w:type="dxa"/>
              <w:right w:w="240" w:type="dxa"/>
            </w:tcMar>
            <w:vAlign w:val="center"/>
            <w:hideMark/>
          </w:tcPr>
          <w:p w14:paraId="000A4B4A"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Defibrillators</w:t>
            </w:r>
          </w:p>
        </w:tc>
        <w:tc>
          <w:tcPr>
            <w:tcW w:w="3060" w:type="dxa"/>
            <w:tcMar>
              <w:top w:w="150" w:type="dxa"/>
              <w:left w:w="240" w:type="dxa"/>
              <w:bottom w:w="150" w:type="dxa"/>
              <w:right w:w="240" w:type="dxa"/>
            </w:tcMar>
            <w:vAlign w:val="center"/>
            <w:hideMark/>
          </w:tcPr>
          <w:p w14:paraId="25F6F761"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Energy, charge time, synchronization</w:t>
            </w:r>
          </w:p>
        </w:tc>
        <w:tc>
          <w:tcPr>
            <w:tcW w:w="2250" w:type="dxa"/>
            <w:tcMar>
              <w:top w:w="150" w:type="dxa"/>
              <w:left w:w="240" w:type="dxa"/>
              <w:bottom w:w="150" w:type="dxa"/>
              <w:right w:w="240" w:type="dxa"/>
            </w:tcMar>
            <w:vAlign w:val="center"/>
            <w:hideMark/>
          </w:tcPr>
          <w:p w14:paraId="0E7CFF23"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6-12 months</w:t>
            </w:r>
          </w:p>
        </w:tc>
        <w:tc>
          <w:tcPr>
            <w:tcW w:w="2599" w:type="dxa"/>
            <w:tcMar>
              <w:top w:w="150" w:type="dxa"/>
              <w:left w:w="240" w:type="dxa"/>
              <w:bottom w:w="150" w:type="dxa"/>
              <w:right w:w="0" w:type="dxa"/>
            </w:tcMar>
            <w:vAlign w:val="center"/>
            <w:hideMark/>
          </w:tcPr>
          <w:p w14:paraId="6C5499FC"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60601-2-4 [13]</w:t>
            </w:r>
          </w:p>
        </w:tc>
      </w:tr>
      <w:tr w:rsidR="00E0189B" w:rsidRPr="00B347AC" w14:paraId="5A3422A7" w14:textId="77777777" w:rsidTr="00EF3BA1">
        <w:trPr>
          <w:cantSplit/>
          <w:trHeight w:val="144"/>
        </w:trPr>
        <w:tc>
          <w:tcPr>
            <w:tcW w:w="2790" w:type="dxa"/>
            <w:tcMar>
              <w:top w:w="150" w:type="dxa"/>
              <w:left w:w="0" w:type="dxa"/>
              <w:bottom w:w="150" w:type="dxa"/>
              <w:right w:w="240" w:type="dxa"/>
            </w:tcMar>
            <w:vAlign w:val="center"/>
            <w:hideMark/>
          </w:tcPr>
          <w:p w14:paraId="2C8C5680"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Ventilators</w:t>
            </w:r>
          </w:p>
        </w:tc>
        <w:tc>
          <w:tcPr>
            <w:tcW w:w="3060" w:type="dxa"/>
            <w:tcMar>
              <w:top w:w="150" w:type="dxa"/>
              <w:left w:w="240" w:type="dxa"/>
              <w:bottom w:w="150" w:type="dxa"/>
              <w:right w:w="240" w:type="dxa"/>
            </w:tcMar>
            <w:vAlign w:val="center"/>
            <w:hideMark/>
          </w:tcPr>
          <w:p w14:paraId="1EDF3A47"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 xml:space="preserve">Tidal volume, pressure, flow, </w:t>
            </w:r>
            <w:proofErr w:type="spellStart"/>
            <w:r w:rsidRPr="00B347AC">
              <w:rPr>
                <w:rFonts w:ascii="Times New Roman" w:eastAsia="Times New Roman" w:hAnsi="Times New Roman" w:cs="Times New Roman"/>
                <w:sz w:val="24"/>
                <w:szCs w:val="24"/>
              </w:rPr>
              <w:t>FiO</w:t>
            </w:r>
            <w:proofErr w:type="spellEnd"/>
            <w:r w:rsidRPr="00B347AC">
              <w:rPr>
                <w:rFonts w:ascii="Times New Roman" w:eastAsia="Times New Roman" w:hAnsi="Times New Roman" w:cs="Times New Roman"/>
                <w:sz w:val="24"/>
                <w:szCs w:val="24"/>
              </w:rPr>
              <w:t>₂</w:t>
            </w:r>
          </w:p>
        </w:tc>
        <w:tc>
          <w:tcPr>
            <w:tcW w:w="2250" w:type="dxa"/>
            <w:tcMar>
              <w:top w:w="150" w:type="dxa"/>
              <w:left w:w="240" w:type="dxa"/>
              <w:bottom w:w="150" w:type="dxa"/>
              <w:right w:w="240" w:type="dxa"/>
            </w:tcMar>
            <w:vAlign w:val="center"/>
            <w:hideMark/>
          </w:tcPr>
          <w:p w14:paraId="74CB7E19"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6-12 months</w:t>
            </w:r>
          </w:p>
        </w:tc>
        <w:tc>
          <w:tcPr>
            <w:tcW w:w="2599" w:type="dxa"/>
            <w:tcMar>
              <w:top w:w="150" w:type="dxa"/>
              <w:left w:w="240" w:type="dxa"/>
              <w:bottom w:w="150" w:type="dxa"/>
              <w:right w:w="0" w:type="dxa"/>
            </w:tcMar>
            <w:vAlign w:val="center"/>
            <w:hideMark/>
          </w:tcPr>
          <w:p w14:paraId="3DB169C9"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 80601-2-12, ISO 80601-2-13 [12,20]</w:t>
            </w:r>
          </w:p>
        </w:tc>
      </w:tr>
      <w:tr w:rsidR="00E0189B" w:rsidRPr="00B347AC" w14:paraId="66A1E3B0" w14:textId="77777777" w:rsidTr="00EF3BA1">
        <w:trPr>
          <w:cantSplit/>
          <w:trHeight w:val="144"/>
        </w:trPr>
        <w:tc>
          <w:tcPr>
            <w:tcW w:w="2790" w:type="dxa"/>
            <w:tcMar>
              <w:top w:w="150" w:type="dxa"/>
              <w:left w:w="0" w:type="dxa"/>
              <w:bottom w:w="150" w:type="dxa"/>
              <w:right w:w="240" w:type="dxa"/>
            </w:tcMar>
            <w:vAlign w:val="center"/>
            <w:hideMark/>
          </w:tcPr>
          <w:p w14:paraId="1D224A52"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Electrosurgical units</w:t>
            </w:r>
          </w:p>
        </w:tc>
        <w:tc>
          <w:tcPr>
            <w:tcW w:w="3060" w:type="dxa"/>
            <w:tcMar>
              <w:top w:w="150" w:type="dxa"/>
              <w:left w:w="240" w:type="dxa"/>
              <w:bottom w:w="150" w:type="dxa"/>
              <w:right w:w="240" w:type="dxa"/>
            </w:tcMar>
            <w:vAlign w:val="center"/>
            <w:hideMark/>
          </w:tcPr>
          <w:p w14:paraId="4789E39C"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Output power, HF leakage, CVP</w:t>
            </w:r>
          </w:p>
        </w:tc>
        <w:tc>
          <w:tcPr>
            <w:tcW w:w="2250" w:type="dxa"/>
            <w:tcMar>
              <w:top w:w="150" w:type="dxa"/>
              <w:left w:w="240" w:type="dxa"/>
              <w:bottom w:w="150" w:type="dxa"/>
              <w:right w:w="240" w:type="dxa"/>
            </w:tcMar>
            <w:vAlign w:val="center"/>
            <w:hideMark/>
          </w:tcPr>
          <w:p w14:paraId="0FEDBDE1"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 months</w:t>
            </w:r>
          </w:p>
        </w:tc>
        <w:tc>
          <w:tcPr>
            <w:tcW w:w="2599" w:type="dxa"/>
            <w:tcMar>
              <w:top w:w="150" w:type="dxa"/>
              <w:left w:w="240" w:type="dxa"/>
              <w:bottom w:w="150" w:type="dxa"/>
              <w:right w:w="0" w:type="dxa"/>
            </w:tcMar>
            <w:vAlign w:val="center"/>
            <w:hideMark/>
          </w:tcPr>
          <w:p w14:paraId="2E9A0AED"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60601-2-2 [21]</w:t>
            </w:r>
          </w:p>
        </w:tc>
      </w:tr>
      <w:tr w:rsidR="00E0189B" w:rsidRPr="00B347AC" w14:paraId="1FD19E77" w14:textId="77777777" w:rsidTr="00EF3BA1">
        <w:trPr>
          <w:cantSplit/>
          <w:trHeight w:val="144"/>
        </w:trPr>
        <w:tc>
          <w:tcPr>
            <w:tcW w:w="2790" w:type="dxa"/>
            <w:tcMar>
              <w:top w:w="150" w:type="dxa"/>
              <w:left w:w="0" w:type="dxa"/>
              <w:bottom w:w="150" w:type="dxa"/>
              <w:right w:w="240" w:type="dxa"/>
            </w:tcMar>
            <w:vAlign w:val="center"/>
            <w:hideMark/>
          </w:tcPr>
          <w:p w14:paraId="6BA8BC9D"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Thermometers/incubators</w:t>
            </w:r>
          </w:p>
        </w:tc>
        <w:tc>
          <w:tcPr>
            <w:tcW w:w="3060" w:type="dxa"/>
            <w:tcMar>
              <w:top w:w="150" w:type="dxa"/>
              <w:left w:w="240" w:type="dxa"/>
              <w:bottom w:w="150" w:type="dxa"/>
              <w:right w:w="240" w:type="dxa"/>
            </w:tcMar>
            <w:vAlign w:val="center"/>
            <w:hideMark/>
          </w:tcPr>
          <w:p w14:paraId="4358BF88"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Temperature accuracy, uniformity</w:t>
            </w:r>
          </w:p>
        </w:tc>
        <w:tc>
          <w:tcPr>
            <w:tcW w:w="2250" w:type="dxa"/>
            <w:tcMar>
              <w:top w:w="150" w:type="dxa"/>
              <w:left w:w="240" w:type="dxa"/>
              <w:bottom w:w="150" w:type="dxa"/>
              <w:right w:w="240" w:type="dxa"/>
            </w:tcMar>
            <w:vAlign w:val="center"/>
            <w:hideMark/>
          </w:tcPr>
          <w:p w14:paraId="3EB89ED8"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6-12 months</w:t>
            </w:r>
          </w:p>
        </w:tc>
        <w:tc>
          <w:tcPr>
            <w:tcW w:w="2599" w:type="dxa"/>
            <w:tcMar>
              <w:top w:w="150" w:type="dxa"/>
              <w:left w:w="240" w:type="dxa"/>
              <w:bottom w:w="150" w:type="dxa"/>
              <w:right w:w="0" w:type="dxa"/>
            </w:tcMar>
            <w:vAlign w:val="center"/>
            <w:hideMark/>
          </w:tcPr>
          <w:p w14:paraId="4BB2A786"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ASTM E2877, ITS-90 [15,38]</w:t>
            </w:r>
          </w:p>
        </w:tc>
      </w:tr>
      <w:tr w:rsidR="00E0189B" w:rsidRPr="00B347AC" w14:paraId="06E800F6" w14:textId="77777777" w:rsidTr="00EF3BA1">
        <w:trPr>
          <w:cantSplit/>
          <w:trHeight w:val="144"/>
        </w:trPr>
        <w:tc>
          <w:tcPr>
            <w:tcW w:w="2790" w:type="dxa"/>
            <w:tcMar>
              <w:top w:w="150" w:type="dxa"/>
              <w:left w:w="0" w:type="dxa"/>
              <w:bottom w:w="150" w:type="dxa"/>
              <w:right w:w="240" w:type="dxa"/>
            </w:tcMar>
            <w:vAlign w:val="center"/>
            <w:hideMark/>
          </w:tcPr>
          <w:p w14:paraId="47B90C74"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Weighing devices (infant/patient)</w:t>
            </w:r>
          </w:p>
        </w:tc>
        <w:tc>
          <w:tcPr>
            <w:tcW w:w="3060" w:type="dxa"/>
            <w:tcMar>
              <w:top w:w="150" w:type="dxa"/>
              <w:left w:w="240" w:type="dxa"/>
              <w:bottom w:w="150" w:type="dxa"/>
              <w:right w:w="240" w:type="dxa"/>
            </w:tcMar>
            <w:vAlign w:val="center"/>
            <w:hideMark/>
          </w:tcPr>
          <w:p w14:paraId="211F9416"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Mass indication, repeatability</w:t>
            </w:r>
          </w:p>
        </w:tc>
        <w:tc>
          <w:tcPr>
            <w:tcW w:w="2250" w:type="dxa"/>
            <w:tcMar>
              <w:top w:w="150" w:type="dxa"/>
              <w:left w:w="240" w:type="dxa"/>
              <w:bottom w:w="150" w:type="dxa"/>
              <w:right w:w="240" w:type="dxa"/>
            </w:tcMar>
            <w:vAlign w:val="center"/>
            <w:hideMark/>
          </w:tcPr>
          <w:p w14:paraId="5380D094"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 months</w:t>
            </w:r>
          </w:p>
        </w:tc>
        <w:tc>
          <w:tcPr>
            <w:tcW w:w="2599" w:type="dxa"/>
            <w:tcMar>
              <w:top w:w="150" w:type="dxa"/>
              <w:left w:w="240" w:type="dxa"/>
              <w:bottom w:w="150" w:type="dxa"/>
              <w:right w:w="0" w:type="dxa"/>
            </w:tcMar>
            <w:vAlign w:val="center"/>
            <w:hideMark/>
          </w:tcPr>
          <w:p w14:paraId="0FCEADA3"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OIML R111 [22]</w:t>
            </w:r>
          </w:p>
        </w:tc>
      </w:tr>
      <w:tr w:rsidR="00E0189B" w:rsidRPr="00B347AC" w14:paraId="338973CB" w14:textId="77777777" w:rsidTr="00EF3BA1">
        <w:trPr>
          <w:cantSplit/>
          <w:trHeight w:val="144"/>
        </w:trPr>
        <w:tc>
          <w:tcPr>
            <w:tcW w:w="2790" w:type="dxa"/>
            <w:tcMar>
              <w:top w:w="150" w:type="dxa"/>
              <w:left w:w="0" w:type="dxa"/>
              <w:bottom w:w="150" w:type="dxa"/>
              <w:right w:w="240" w:type="dxa"/>
            </w:tcMar>
            <w:vAlign w:val="center"/>
            <w:hideMark/>
          </w:tcPr>
          <w:p w14:paraId="0D79A06E"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Anesthesia workstations</w:t>
            </w:r>
          </w:p>
        </w:tc>
        <w:tc>
          <w:tcPr>
            <w:tcW w:w="3060" w:type="dxa"/>
            <w:tcMar>
              <w:top w:w="150" w:type="dxa"/>
              <w:left w:w="240" w:type="dxa"/>
              <w:bottom w:w="150" w:type="dxa"/>
              <w:right w:w="240" w:type="dxa"/>
            </w:tcMar>
            <w:vAlign w:val="center"/>
            <w:hideMark/>
          </w:tcPr>
          <w:p w14:paraId="0E0C653F"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Gas flow, pressure, agent concentration</w:t>
            </w:r>
          </w:p>
        </w:tc>
        <w:tc>
          <w:tcPr>
            <w:tcW w:w="2250" w:type="dxa"/>
            <w:tcMar>
              <w:top w:w="150" w:type="dxa"/>
              <w:left w:w="240" w:type="dxa"/>
              <w:bottom w:w="150" w:type="dxa"/>
              <w:right w:w="240" w:type="dxa"/>
            </w:tcMar>
            <w:vAlign w:val="center"/>
            <w:hideMark/>
          </w:tcPr>
          <w:p w14:paraId="0C94C7BB"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 months</w:t>
            </w:r>
          </w:p>
        </w:tc>
        <w:tc>
          <w:tcPr>
            <w:tcW w:w="2599" w:type="dxa"/>
            <w:tcMar>
              <w:top w:w="150" w:type="dxa"/>
              <w:left w:w="240" w:type="dxa"/>
              <w:bottom w:w="150" w:type="dxa"/>
              <w:right w:w="0" w:type="dxa"/>
            </w:tcMar>
            <w:vAlign w:val="center"/>
            <w:hideMark/>
          </w:tcPr>
          <w:p w14:paraId="42BEF9FF"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 80601-2-13 [20]</w:t>
            </w:r>
          </w:p>
        </w:tc>
      </w:tr>
      <w:tr w:rsidR="00E0189B" w:rsidRPr="00B347AC" w14:paraId="0658711C" w14:textId="77777777" w:rsidTr="00EF3BA1">
        <w:trPr>
          <w:cantSplit/>
          <w:trHeight w:val="144"/>
        </w:trPr>
        <w:tc>
          <w:tcPr>
            <w:tcW w:w="2790" w:type="dxa"/>
            <w:tcMar>
              <w:top w:w="150" w:type="dxa"/>
              <w:left w:w="0" w:type="dxa"/>
              <w:bottom w:w="150" w:type="dxa"/>
              <w:right w:w="240" w:type="dxa"/>
            </w:tcMar>
            <w:vAlign w:val="center"/>
            <w:hideMark/>
          </w:tcPr>
          <w:p w14:paraId="3B2C0984"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Laboratory analyzers</w:t>
            </w:r>
          </w:p>
        </w:tc>
        <w:tc>
          <w:tcPr>
            <w:tcW w:w="3060" w:type="dxa"/>
            <w:tcMar>
              <w:top w:w="150" w:type="dxa"/>
              <w:left w:w="240" w:type="dxa"/>
              <w:bottom w:w="150" w:type="dxa"/>
              <w:right w:w="240" w:type="dxa"/>
            </w:tcMar>
            <w:vAlign w:val="center"/>
            <w:hideMark/>
          </w:tcPr>
          <w:p w14:paraId="2375CD78"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Various (pH, glucose, electrolytes)</w:t>
            </w:r>
          </w:p>
        </w:tc>
        <w:tc>
          <w:tcPr>
            <w:tcW w:w="2250" w:type="dxa"/>
            <w:tcMar>
              <w:top w:w="150" w:type="dxa"/>
              <w:left w:w="240" w:type="dxa"/>
              <w:bottom w:w="150" w:type="dxa"/>
              <w:right w:w="240" w:type="dxa"/>
            </w:tcMar>
            <w:vAlign w:val="center"/>
            <w:hideMark/>
          </w:tcPr>
          <w:p w14:paraId="79583720"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6-12 months</w:t>
            </w:r>
          </w:p>
        </w:tc>
        <w:tc>
          <w:tcPr>
            <w:tcW w:w="2599" w:type="dxa"/>
            <w:tcMar>
              <w:top w:w="150" w:type="dxa"/>
              <w:left w:w="240" w:type="dxa"/>
              <w:bottom w:w="150" w:type="dxa"/>
              <w:right w:w="0" w:type="dxa"/>
            </w:tcMar>
            <w:vAlign w:val="center"/>
            <w:hideMark/>
          </w:tcPr>
          <w:p w14:paraId="4847D237"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[1]</w:t>
            </w:r>
          </w:p>
        </w:tc>
      </w:tr>
      <w:tr w:rsidR="00E0189B" w:rsidRPr="00B347AC" w14:paraId="253E0D56" w14:textId="77777777" w:rsidTr="00EF3BA1">
        <w:trPr>
          <w:cantSplit/>
          <w:trHeight w:val="144"/>
        </w:trPr>
        <w:tc>
          <w:tcPr>
            <w:tcW w:w="2790" w:type="dxa"/>
            <w:tcMar>
              <w:top w:w="150" w:type="dxa"/>
              <w:left w:w="0" w:type="dxa"/>
              <w:bottom w:w="150" w:type="dxa"/>
              <w:right w:w="240" w:type="dxa"/>
            </w:tcMar>
            <w:vAlign w:val="center"/>
            <w:hideMark/>
          </w:tcPr>
          <w:p w14:paraId="09F7EC95"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Dialysis machines</w:t>
            </w:r>
          </w:p>
        </w:tc>
        <w:tc>
          <w:tcPr>
            <w:tcW w:w="3060" w:type="dxa"/>
            <w:tcMar>
              <w:top w:w="150" w:type="dxa"/>
              <w:left w:w="240" w:type="dxa"/>
              <w:bottom w:w="150" w:type="dxa"/>
              <w:right w:w="240" w:type="dxa"/>
            </w:tcMar>
            <w:vAlign w:val="center"/>
            <w:hideMark/>
          </w:tcPr>
          <w:p w14:paraId="073BC675"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Flow rate, conductivity, temperature, pressure</w:t>
            </w:r>
          </w:p>
        </w:tc>
        <w:tc>
          <w:tcPr>
            <w:tcW w:w="2250" w:type="dxa"/>
            <w:tcMar>
              <w:top w:w="150" w:type="dxa"/>
              <w:left w:w="240" w:type="dxa"/>
              <w:bottom w:w="150" w:type="dxa"/>
              <w:right w:w="240" w:type="dxa"/>
            </w:tcMar>
            <w:vAlign w:val="center"/>
            <w:hideMark/>
          </w:tcPr>
          <w:p w14:paraId="1B391E12"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 months</w:t>
            </w:r>
          </w:p>
        </w:tc>
        <w:tc>
          <w:tcPr>
            <w:tcW w:w="2599" w:type="dxa"/>
            <w:tcMar>
              <w:top w:w="150" w:type="dxa"/>
              <w:left w:w="240" w:type="dxa"/>
              <w:bottom w:w="150" w:type="dxa"/>
              <w:right w:w="0" w:type="dxa"/>
            </w:tcMar>
            <w:vAlign w:val="center"/>
            <w:hideMark/>
          </w:tcPr>
          <w:p w14:paraId="7943486A"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60601-2-16</w:t>
            </w:r>
          </w:p>
        </w:tc>
      </w:tr>
    </w:tbl>
    <w:p w14:paraId="1FF3890A" w14:textId="32ADEB25" w:rsidR="00342B4C" w:rsidRPr="003049EB" w:rsidRDefault="00F5428D" w:rsidP="000B190B">
      <w:pPr>
        <w:spacing w:before="240" w:line="240" w:lineRule="auto"/>
        <w:jc w:val="both"/>
        <w:rPr>
          <w:rFonts w:ascii="Times New Roman" w:hAnsi="Times New Roman" w:cs="Times New Roman"/>
          <w:sz w:val="24"/>
          <w:szCs w:val="24"/>
        </w:rPr>
      </w:pPr>
      <w:r w:rsidRPr="00955D63">
        <w:rPr>
          <w:rFonts w:ascii="Times New Roman" w:hAnsi="Times New Roman" w:cs="Times New Roman"/>
          <w:b/>
          <w:bCs/>
          <w:sz w:val="24"/>
          <w:szCs w:val="24"/>
        </w:rPr>
        <w:t>Patient Monitors</w:t>
      </w:r>
      <w:r w:rsidR="00955D63">
        <w:rPr>
          <w:rStyle w:val="cursor-pointer"/>
        </w:rPr>
        <w:t>:</w:t>
      </w:r>
      <w:r w:rsidRPr="00955D63">
        <w:rPr>
          <w:rStyle w:val="cursor-pointer"/>
        </w:rPr>
        <w:t xml:space="preserve"> </w:t>
      </w:r>
      <w:r w:rsidRPr="003049EB">
        <w:rPr>
          <w:rStyle w:val="cursor-pointer"/>
          <w:rFonts w:ascii="Times New Roman" w:hAnsi="Times New Roman" w:cs="Times New Roman"/>
          <w:sz w:val="24"/>
          <w:szCs w:val="24"/>
        </w:rPr>
        <w:t>Parameters can include ECG frequency</w:t>
      </w:r>
      <w:r w:rsidR="00342B4C">
        <w:rPr>
          <w:rStyle w:val="cursor-pointer"/>
          <w:rFonts w:ascii="Times New Roman" w:hAnsi="Times New Roman" w:cs="Times New Roman"/>
          <w:sz w:val="24"/>
          <w:szCs w:val="24"/>
        </w:rPr>
        <w:t>/</w:t>
      </w:r>
      <w:r w:rsidR="00342B4C" w:rsidRPr="003049EB">
        <w:rPr>
          <w:rStyle w:val="cursor-pointer"/>
          <w:rFonts w:ascii="Times New Roman" w:hAnsi="Times New Roman" w:cs="Times New Roman"/>
          <w:sz w:val="24"/>
          <w:szCs w:val="24"/>
        </w:rPr>
        <w:t>amplitude</w:t>
      </w:r>
      <w:r w:rsidRPr="003049EB">
        <w:rPr>
          <w:rStyle w:val="cursor-pointer"/>
          <w:rFonts w:ascii="Times New Roman" w:hAnsi="Times New Roman" w:cs="Times New Roman"/>
          <w:sz w:val="24"/>
          <w:szCs w:val="24"/>
        </w:rPr>
        <w:t xml:space="preserve"> (reference: IEC 60601-2-25), </w:t>
      </w:r>
      <w:r w:rsidR="00342B4C">
        <w:rPr>
          <w:rStyle w:val="cursor-pointer"/>
          <w:rFonts w:ascii="Times New Roman" w:hAnsi="Times New Roman" w:cs="Times New Roman"/>
          <w:sz w:val="24"/>
          <w:szCs w:val="24"/>
        </w:rPr>
        <w:t>ventilation</w:t>
      </w:r>
      <w:r w:rsidRPr="003049EB">
        <w:rPr>
          <w:rStyle w:val="cursor-pointer"/>
          <w:rFonts w:ascii="Times New Roman" w:hAnsi="Times New Roman" w:cs="Times New Roman"/>
          <w:sz w:val="24"/>
          <w:szCs w:val="24"/>
        </w:rPr>
        <w:t xml:space="preserve"> rate (impedance pneumography validation), SpO</w:t>
      </w:r>
      <w:r w:rsidR="00342B4C" w:rsidRPr="00342B4C">
        <w:rPr>
          <w:rStyle w:val="cursor-pointer"/>
          <w:rFonts w:ascii="Times New Roman" w:hAnsi="Times New Roman" w:cs="Times New Roman"/>
          <w:sz w:val="24"/>
          <w:szCs w:val="24"/>
          <w:vertAlign w:val="subscript"/>
        </w:rPr>
        <w:t>2</w:t>
      </w:r>
      <w:r w:rsidRPr="003049EB">
        <w:rPr>
          <w:rStyle w:val="cursor-pointer"/>
          <w:rFonts w:ascii="Times New Roman" w:hAnsi="Times New Roman" w:cs="Times New Roman"/>
          <w:sz w:val="24"/>
          <w:szCs w:val="24"/>
        </w:rPr>
        <w:t xml:space="preserve"> simulation response (tested with functional testers traceable to international standards), NIBP pressure channels (tested against calibrated pressure sources), and t</w:t>
      </w:r>
      <w:r w:rsidR="00342B4C">
        <w:rPr>
          <w:rStyle w:val="cursor-pointer"/>
          <w:rFonts w:ascii="Times New Roman" w:hAnsi="Times New Roman" w:cs="Times New Roman"/>
          <w:sz w:val="24"/>
          <w:szCs w:val="24"/>
        </w:rPr>
        <w:t>hermal</w:t>
      </w:r>
      <w:r w:rsidRPr="003049EB">
        <w:rPr>
          <w:rStyle w:val="cursor-pointer"/>
          <w:rFonts w:ascii="Times New Roman" w:hAnsi="Times New Roman" w:cs="Times New Roman"/>
          <w:sz w:val="24"/>
          <w:szCs w:val="24"/>
        </w:rPr>
        <w:t xml:space="preserve"> channels (tested against ITS-90 traceable simulators).</w:t>
      </w:r>
    </w:p>
    <w:p w14:paraId="663EB2E5" w14:textId="1717F4EC" w:rsidR="00F5428D" w:rsidRPr="003049EB" w:rsidRDefault="00F5428D" w:rsidP="000B190B">
      <w:pPr>
        <w:spacing w:before="240" w:line="240" w:lineRule="auto"/>
        <w:jc w:val="both"/>
        <w:rPr>
          <w:rFonts w:ascii="Times New Roman" w:hAnsi="Times New Roman" w:cs="Times New Roman"/>
          <w:sz w:val="24"/>
          <w:szCs w:val="24"/>
        </w:rPr>
      </w:pPr>
      <w:proofErr w:type="gramStart"/>
      <w:r w:rsidRPr="00955D63">
        <w:rPr>
          <w:rStyle w:val="cursor-pointer"/>
          <w:rFonts w:ascii="Times New Roman" w:hAnsi="Times New Roman" w:cs="Times New Roman"/>
          <w:b/>
          <w:bCs/>
          <w:sz w:val="24"/>
          <w:szCs w:val="24"/>
        </w:rPr>
        <w:t>Infusion Pumps and Syringe Pumps</w:t>
      </w:r>
      <w:r w:rsidRPr="003049EB">
        <w:rPr>
          <w:rStyle w:val="cursor-pointer"/>
          <w:rFonts w:ascii="Times New Roman" w:hAnsi="Times New Roman" w:cs="Times New Roman"/>
          <w:sz w:val="24"/>
          <w:szCs w:val="24"/>
        </w:rPr>
        <w:t>.</w:t>
      </w:r>
      <w:proofErr w:type="gramEnd"/>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Parameters of particular importance: flow rate (usually 0.1-1200 mL/h), volume delivered (tested by gravimetric or volumetric method depending on the IEC 60601-2-24), occlusion pressure alarm (measured by calibrated pressure transducers), and time accuracy [19].</w:t>
      </w:r>
      <w:r w:rsidRPr="003049EB">
        <w:rPr>
          <w:rFonts w:ascii="Times New Roman" w:hAnsi="Times New Roman" w:cs="Times New Roman"/>
          <w:sz w:val="24"/>
          <w:szCs w:val="24"/>
        </w:rPr>
        <w:t xml:space="preserve"> </w:t>
      </w:r>
    </w:p>
    <w:p w14:paraId="3C390E4C" w14:textId="04E12585" w:rsidR="00F5428D" w:rsidRPr="003049EB" w:rsidRDefault="00F5428D" w:rsidP="000B190B">
      <w:pPr>
        <w:spacing w:before="240" w:line="240" w:lineRule="auto"/>
        <w:jc w:val="both"/>
        <w:rPr>
          <w:rFonts w:ascii="Times New Roman" w:hAnsi="Times New Roman" w:cs="Times New Roman"/>
          <w:sz w:val="24"/>
          <w:szCs w:val="24"/>
        </w:rPr>
      </w:pPr>
      <w:r w:rsidRPr="00955D63">
        <w:rPr>
          <w:rFonts w:ascii="Times New Roman" w:hAnsi="Times New Roman" w:cs="Times New Roman"/>
          <w:b/>
          <w:bCs/>
          <w:sz w:val="24"/>
          <w:szCs w:val="24"/>
        </w:rPr>
        <w:t xml:space="preserve">Defibrillators </w:t>
      </w:r>
      <w:r w:rsidRPr="00955D63">
        <w:rPr>
          <w:rStyle w:val="cursor-pointer"/>
          <w:rFonts w:ascii="Times New Roman" w:hAnsi="Times New Roman" w:cs="Times New Roman"/>
          <w:b/>
          <w:bCs/>
          <w:sz w:val="24"/>
          <w:szCs w:val="24"/>
        </w:rPr>
        <w:t>Parameters:</w:t>
      </w:r>
      <w:r w:rsidRPr="003049EB">
        <w:rPr>
          <w:rStyle w:val="cursor-pointer"/>
          <w:rFonts w:ascii="Times New Roman" w:hAnsi="Times New Roman" w:cs="Times New Roman"/>
          <w:sz w:val="24"/>
          <w:szCs w:val="24"/>
        </w:rPr>
        <w:t xml:space="preserve"> </w:t>
      </w:r>
      <w:r w:rsidR="0010040B">
        <w:rPr>
          <w:rStyle w:val="cursor-pointer"/>
          <w:rFonts w:ascii="Times New Roman" w:hAnsi="Times New Roman" w:cs="Times New Roman"/>
          <w:sz w:val="24"/>
          <w:szCs w:val="24"/>
        </w:rPr>
        <w:t>D</w:t>
      </w:r>
      <w:r w:rsidRPr="003049EB">
        <w:rPr>
          <w:rStyle w:val="cursor-pointer"/>
          <w:rFonts w:ascii="Times New Roman" w:hAnsi="Times New Roman" w:cs="Times New Roman"/>
          <w:sz w:val="24"/>
          <w:szCs w:val="24"/>
        </w:rPr>
        <w:t>elivered energy (tested at 50, 100, 200, 360 J into a calibrated load), charge time, and synchronization delay (to synchronized cardioversion) [13].</w:t>
      </w:r>
      <w:r w:rsidRPr="003049EB">
        <w:rPr>
          <w:rFonts w:ascii="Times New Roman" w:hAnsi="Times New Roman" w:cs="Times New Roman"/>
          <w:sz w:val="24"/>
          <w:szCs w:val="24"/>
        </w:rPr>
        <w:t xml:space="preserve"> </w:t>
      </w:r>
    </w:p>
    <w:p w14:paraId="5E413705" w14:textId="7897E9AB" w:rsidR="00F5428D" w:rsidRPr="003049EB" w:rsidRDefault="00F5428D" w:rsidP="000B190B">
      <w:pPr>
        <w:spacing w:before="240" w:line="240" w:lineRule="auto"/>
        <w:jc w:val="both"/>
        <w:rPr>
          <w:rFonts w:ascii="Times New Roman" w:hAnsi="Times New Roman" w:cs="Times New Roman"/>
          <w:sz w:val="24"/>
          <w:szCs w:val="24"/>
        </w:rPr>
      </w:pPr>
      <w:r w:rsidRPr="00955D63">
        <w:rPr>
          <w:rFonts w:ascii="Times New Roman" w:hAnsi="Times New Roman" w:cs="Times New Roman"/>
          <w:b/>
          <w:bCs/>
          <w:sz w:val="24"/>
          <w:szCs w:val="24"/>
        </w:rPr>
        <w:t xml:space="preserve">Ventilators </w:t>
      </w:r>
      <w:r w:rsidRPr="00955D63">
        <w:rPr>
          <w:rStyle w:val="cursor-pointer"/>
          <w:rFonts w:ascii="Times New Roman" w:hAnsi="Times New Roman" w:cs="Times New Roman"/>
          <w:b/>
          <w:bCs/>
          <w:sz w:val="24"/>
          <w:szCs w:val="24"/>
        </w:rPr>
        <w:t>Parameters:</w:t>
      </w:r>
      <w:r w:rsidRPr="003049EB">
        <w:rPr>
          <w:rStyle w:val="cursor-pointer"/>
          <w:rFonts w:ascii="Times New Roman" w:hAnsi="Times New Roman" w:cs="Times New Roman"/>
          <w:sz w:val="24"/>
          <w:szCs w:val="24"/>
        </w:rPr>
        <w:t xml:space="preserve"> </w:t>
      </w:r>
      <w:r w:rsidR="0010040B">
        <w:rPr>
          <w:rStyle w:val="cursor-pointer"/>
          <w:rFonts w:ascii="Times New Roman" w:hAnsi="Times New Roman" w:cs="Times New Roman"/>
          <w:sz w:val="24"/>
          <w:szCs w:val="24"/>
        </w:rPr>
        <w:t>T</w:t>
      </w:r>
      <w:r w:rsidRPr="003049EB">
        <w:rPr>
          <w:rStyle w:val="cursor-pointer"/>
          <w:rFonts w:ascii="Times New Roman" w:hAnsi="Times New Roman" w:cs="Times New Roman"/>
          <w:sz w:val="24"/>
          <w:szCs w:val="24"/>
        </w:rPr>
        <w:t>idal volume (measured using calibrated test lungs and flow analyzers) and flow (peak inspiratory and expiratory) and pressure (PEEP, peak inspiratory, plateau) and oxygen concentration (measured using calibrated O 2 analyzers) [20].</w:t>
      </w:r>
      <w:r w:rsidRPr="003049EB">
        <w:rPr>
          <w:rFonts w:ascii="Times New Roman" w:hAnsi="Times New Roman" w:cs="Times New Roman"/>
          <w:sz w:val="24"/>
          <w:szCs w:val="24"/>
        </w:rPr>
        <w:t xml:space="preserve"> </w:t>
      </w:r>
    </w:p>
    <w:p w14:paraId="299E23BB" w14:textId="62CA4046" w:rsidR="00F5428D" w:rsidRPr="003049EB" w:rsidRDefault="00F5428D" w:rsidP="000B190B">
      <w:pPr>
        <w:spacing w:before="240" w:line="240" w:lineRule="auto"/>
        <w:jc w:val="both"/>
        <w:rPr>
          <w:rFonts w:ascii="Times New Roman" w:hAnsi="Times New Roman" w:cs="Times New Roman"/>
          <w:sz w:val="24"/>
          <w:szCs w:val="24"/>
        </w:rPr>
      </w:pPr>
      <w:r w:rsidRPr="00955D63">
        <w:rPr>
          <w:rFonts w:ascii="Times New Roman" w:hAnsi="Times New Roman" w:cs="Times New Roman"/>
          <w:b/>
          <w:bCs/>
          <w:sz w:val="24"/>
          <w:szCs w:val="24"/>
        </w:rPr>
        <w:t xml:space="preserve">Electrosurgical Units </w:t>
      </w:r>
      <w:r w:rsidRPr="00955D63">
        <w:rPr>
          <w:rStyle w:val="cursor-pointer"/>
          <w:rFonts w:ascii="Times New Roman" w:hAnsi="Times New Roman" w:cs="Times New Roman"/>
          <w:b/>
          <w:bCs/>
          <w:sz w:val="24"/>
          <w:szCs w:val="24"/>
        </w:rPr>
        <w:t>Parameters:</w:t>
      </w:r>
      <w:r w:rsidRPr="003049EB">
        <w:rPr>
          <w:rStyle w:val="cursor-pointer"/>
          <w:rFonts w:ascii="Times New Roman" w:hAnsi="Times New Roman" w:cs="Times New Roman"/>
          <w:sz w:val="24"/>
          <w:szCs w:val="24"/>
        </w:rPr>
        <w:t xml:space="preserve"> </w:t>
      </w:r>
      <w:r w:rsidR="0010040B">
        <w:rPr>
          <w:rStyle w:val="cursor-pointer"/>
          <w:rFonts w:ascii="Times New Roman" w:hAnsi="Times New Roman" w:cs="Times New Roman"/>
          <w:sz w:val="24"/>
          <w:szCs w:val="24"/>
        </w:rPr>
        <w:t>O</w:t>
      </w:r>
      <w:r w:rsidRPr="003049EB">
        <w:rPr>
          <w:rStyle w:val="cursor-pointer"/>
          <w:rFonts w:ascii="Times New Roman" w:hAnsi="Times New Roman" w:cs="Times New Roman"/>
          <w:sz w:val="24"/>
          <w:szCs w:val="24"/>
        </w:rPr>
        <w:t>utput power (at different load resistances and cut/</w:t>
      </w:r>
      <w:proofErr w:type="spellStart"/>
      <w:r w:rsidRPr="003049EB">
        <w:rPr>
          <w:rStyle w:val="cursor-pointer"/>
          <w:rFonts w:ascii="Times New Roman" w:hAnsi="Times New Roman" w:cs="Times New Roman"/>
          <w:sz w:val="24"/>
          <w:szCs w:val="24"/>
        </w:rPr>
        <w:t>coag</w:t>
      </w:r>
      <w:proofErr w:type="spellEnd"/>
      <w:r w:rsidRPr="003049EB">
        <w:rPr>
          <w:rStyle w:val="cursor-pointer"/>
          <w:rFonts w:ascii="Times New Roman" w:hAnsi="Times New Roman" w:cs="Times New Roman"/>
          <w:sz w:val="24"/>
          <w:szCs w:val="24"/>
        </w:rPr>
        <w:t xml:space="preserve"> modes), HF leakage (tested per IEC 60601-2-2) and frequency stability [21].</w:t>
      </w:r>
      <w:r w:rsidRPr="003049EB">
        <w:rPr>
          <w:rFonts w:ascii="Times New Roman" w:hAnsi="Times New Roman" w:cs="Times New Roman"/>
          <w:sz w:val="24"/>
          <w:szCs w:val="24"/>
        </w:rPr>
        <w:t xml:space="preserve"> </w:t>
      </w:r>
    </w:p>
    <w:p w14:paraId="256D6DC1" w14:textId="0F92D52F" w:rsidR="00F5428D" w:rsidRPr="003049EB" w:rsidRDefault="00F5428D" w:rsidP="000B190B">
      <w:pPr>
        <w:spacing w:before="240" w:line="240" w:lineRule="auto"/>
        <w:jc w:val="both"/>
        <w:rPr>
          <w:rFonts w:ascii="Times New Roman" w:hAnsi="Times New Roman" w:cs="Times New Roman"/>
          <w:sz w:val="24"/>
          <w:szCs w:val="24"/>
        </w:rPr>
      </w:pPr>
      <w:r w:rsidRPr="00955D63">
        <w:rPr>
          <w:rFonts w:ascii="Times New Roman" w:hAnsi="Times New Roman" w:cs="Times New Roman"/>
          <w:b/>
          <w:bCs/>
          <w:sz w:val="24"/>
          <w:szCs w:val="24"/>
        </w:rPr>
        <w:t xml:space="preserve">Thermometers and Incubators </w:t>
      </w:r>
      <w:r w:rsidRPr="00955D63">
        <w:rPr>
          <w:rStyle w:val="cursor-pointer"/>
          <w:rFonts w:ascii="Times New Roman" w:hAnsi="Times New Roman" w:cs="Times New Roman"/>
          <w:b/>
          <w:bCs/>
          <w:sz w:val="24"/>
          <w:szCs w:val="24"/>
        </w:rPr>
        <w:t>Parameters:</w:t>
      </w:r>
      <w:r w:rsidRPr="003049EB">
        <w:rPr>
          <w:rStyle w:val="cursor-pointer"/>
          <w:rFonts w:ascii="Times New Roman" w:hAnsi="Times New Roman" w:cs="Times New Roman"/>
          <w:sz w:val="24"/>
          <w:szCs w:val="24"/>
        </w:rPr>
        <w:t xml:space="preserve"> </w:t>
      </w:r>
      <w:r w:rsidR="0010040B">
        <w:rPr>
          <w:rStyle w:val="cursor-pointer"/>
          <w:rFonts w:ascii="Times New Roman" w:hAnsi="Times New Roman" w:cs="Times New Roman"/>
          <w:sz w:val="24"/>
          <w:szCs w:val="24"/>
        </w:rPr>
        <w:t>T</w:t>
      </w:r>
      <w:r w:rsidRPr="003049EB">
        <w:rPr>
          <w:rStyle w:val="cursor-pointer"/>
          <w:rFonts w:ascii="Times New Roman" w:hAnsi="Times New Roman" w:cs="Times New Roman"/>
          <w:sz w:val="24"/>
          <w:szCs w:val="24"/>
        </w:rPr>
        <w:t>emperature accuracy (when compared to SPRT or calibrated PRT), uniformity (temperature mapping across infant compartments), and stability with time [15].</w:t>
      </w:r>
      <w:r w:rsidRPr="003049EB">
        <w:rPr>
          <w:rFonts w:ascii="Times New Roman" w:hAnsi="Times New Roman" w:cs="Times New Roman"/>
          <w:sz w:val="24"/>
          <w:szCs w:val="24"/>
        </w:rPr>
        <w:t xml:space="preserve"> </w:t>
      </w:r>
    </w:p>
    <w:p w14:paraId="6025B7E2" w14:textId="740B6DDE" w:rsidR="00B347AC" w:rsidRPr="00B347AC" w:rsidRDefault="00F5428D" w:rsidP="000B190B">
      <w:pPr>
        <w:spacing w:before="240" w:line="240" w:lineRule="auto"/>
        <w:jc w:val="both"/>
        <w:rPr>
          <w:rFonts w:ascii="Times New Roman" w:eastAsia="Times New Roman" w:hAnsi="Times New Roman" w:cs="Times New Roman"/>
          <w:sz w:val="24"/>
          <w:szCs w:val="24"/>
        </w:rPr>
      </w:pPr>
      <w:r w:rsidRPr="00955D63">
        <w:rPr>
          <w:rFonts w:ascii="Times New Roman" w:hAnsi="Times New Roman" w:cs="Times New Roman"/>
          <w:b/>
          <w:bCs/>
          <w:sz w:val="24"/>
          <w:szCs w:val="24"/>
        </w:rPr>
        <w:lastRenderedPageBreak/>
        <w:t xml:space="preserve">Weighing Devices </w:t>
      </w:r>
      <w:r w:rsidRPr="00955D63">
        <w:rPr>
          <w:rStyle w:val="cursor-pointer"/>
          <w:rFonts w:ascii="Times New Roman" w:hAnsi="Times New Roman" w:cs="Times New Roman"/>
          <w:b/>
          <w:bCs/>
          <w:sz w:val="24"/>
          <w:szCs w:val="24"/>
        </w:rPr>
        <w:t>Parameters:</w:t>
      </w:r>
      <w:r w:rsidRPr="003049EB">
        <w:rPr>
          <w:rStyle w:val="cursor-pointer"/>
          <w:rFonts w:ascii="Times New Roman" w:hAnsi="Times New Roman" w:cs="Times New Roman"/>
          <w:sz w:val="24"/>
          <w:szCs w:val="24"/>
        </w:rPr>
        <w:t xml:space="preserve"> </w:t>
      </w:r>
      <w:r w:rsidR="0010040B">
        <w:rPr>
          <w:rStyle w:val="cursor-pointer"/>
          <w:rFonts w:ascii="Times New Roman" w:hAnsi="Times New Roman" w:cs="Times New Roman"/>
          <w:sz w:val="24"/>
          <w:szCs w:val="24"/>
        </w:rPr>
        <w:t>M</w:t>
      </w:r>
      <w:r w:rsidRPr="003049EB">
        <w:rPr>
          <w:rStyle w:val="cursor-pointer"/>
          <w:rFonts w:ascii="Times New Roman" w:hAnsi="Times New Roman" w:cs="Times New Roman"/>
          <w:sz w:val="24"/>
          <w:szCs w:val="24"/>
        </w:rPr>
        <w:t>ass indication (tested with OIML E2 or F1 class weights), repeatability (10 measurements at same load), and eccentric loading (localized loading effects) [22].</w:t>
      </w:r>
    </w:p>
    <w:p w14:paraId="220C4BF8" w14:textId="3D3B5E0C" w:rsidR="00B347AC" w:rsidRPr="00B347AC" w:rsidRDefault="0010040B"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B347AC">
        <w:rPr>
          <w:rFonts w:ascii="Times New Roman" w:eastAsia="Times New Roman" w:hAnsi="Times New Roman" w:cs="Times New Roman"/>
          <w:b/>
          <w:bCs/>
          <w:color w:val="0F1115"/>
          <w:sz w:val="28"/>
          <w:szCs w:val="28"/>
        </w:rPr>
        <w:t>CALIBRATION METHODOLOGY</w:t>
      </w:r>
    </w:p>
    <w:p w14:paraId="0FDEFC51" w14:textId="146EA59D" w:rsidR="0031310E" w:rsidRPr="0010040B" w:rsidRDefault="0031310E" w:rsidP="000B190B">
      <w:pPr>
        <w:shd w:val="clear" w:color="auto" w:fill="FFFFFF"/>
        <w:spacing w:before="240" w:line="240" w:lineRule="auto"/>
        <w:jc w:val="both"/>
        <w:rPr>
          <w:rFonts w:ascii="Times New Roman" w:hAnsi="Times New Roman" w:cs="Times New Roman"/>
          <w:b/>
          <w:bCs/>
          <w:sz w:val="24"/>
          <w:szCs w:val="24"/>
        </w:rPr>
      </w:pPr>
      <w:r w:rsidRPr="0010040B">
        <w:rPr>
          <w:rFonts w:ascii="Times New Roman" w:hAnsi="Times New Roman" w:cs="Times New Roman"/>
          <w:b/>
          <w:bCs/>
          <w:sz w:val="24"/>
          <w:szCs w:val="24"/>
        </w:rPr>
        <w:t>Pre-Calibration Preparation Phase</w:t>
      </w:r>
    </w:p>
    <w:p w14:paraId="2E542E89" w14:textId="3867C38C" w:rsidR="0031310E" w:rsidRPr="003049EB" w:rsidRDefault="0031310E" w:rsidP="000B190B">
      <w:pPr>
        <w:shd w:val="clear" w:color="auto" w:fill="FFFFFF"/>
        <w:spacing w:before="240" w:line="240" w:lineRule="auto"/>
        <w:jc w:val="both"/>
        <w:rPr>
          <w:rFonts w:ascii="Times New Roman" w:hAnsi="Times New Roman" w:cs="Times New Roman"/>
          <w:sz w:val="24"/>
          <w:szCs w:val="24"/>
        </w:rPr>
      </w:pPr>
      <w:proofErr w:type="gramStart"/>
      <w:r w:rsidRPr="0010040B">
        <w:rPr>
          <w:rStyle w:val="cursor-pointer"/>
          <w:rFonts w:ascii="Times New Roman" w:hAnsi="Times New Roman" w:cs="Times New Roman"/>
          <w:b/>
          <w:bCs/>
          <w:sz w:val="24"/>
          <w:szCs w:val="24"/>
        </w:rPr>
        <w:t>Identifying the device and its incoming inspection</w:t>
      </w:r>
      <w:r w:rsidR="0010040B">
        <w:rPr>
          <w:rStyle w:val="cursor-pointer"/>
          <w:rFonts w:ascii="Times New Roman" w:hAnsi="Times New Roman" w:cs="Times New Roman"/>
          <w:b/>
          <w:bCs/>
          <w:sz w:val="24"/>
          <w:szCs w:val="24"/>
        </w:rPr>
        <w:t xml:space="preserve">: </w:t>
      </w:r>
      <w:r w:rsidRPr="003049EB">
        <w:rPr>
          <w:rStyle w:val="cursor-pointer"/>
          <w:rFonts w:ascii="Times New Roman" w:hAnsi="Times New Roman" w:cs="Times New Roman"/>
          <w:sz w:val="24"/>
          <w:szCs w:val="24"/>
        </w:rPr>
        <w:t>When a biomedical device is received by the laboratory to be calibrated, the laboratory should first cross-check the device identity with the request to calibrate the device.</w:t>
      </w:r>
      <w:proofErr w:type="gramEnd"/>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This consists of documenting the manufacturer, model number, serial number, firmware version (where applicable) and any hospital asset identifier [1].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Physical examination is conducted to determine any physical damage, parts missing, fluid intrusion, corrosion, and unauthorized alterations.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Devices whose physical damage can be seen are not calibrated until the damage is recorded, and the customer accepts any restrictions.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This is an important step since the calibration results can be invalidated by the physical defects [6].</w:t>
      </w:r>
      <w:r w:rsidRPr="003049EB">
        <w:rPr>
          <w:rFonts w:ascii="Times New Roman" w:hAnsi="Times New Roman" w:cs="Times New Roman"/>
          <w:sz w:val="24"/>
          <w:szCs w:val="24"/>
        </w:rPr>
        <w:t xml:space="preserve"> </w:t>
      </w:r>
    </w:p>
    <w:p w14:paraId="22B9B9BA" w14:textId="53237A1A" w:rsidR="0010040B" w:rsidRDefault="0031310E" w:rsidP="000B190B">
      <w:pPr>
        <w:shd w:val="clear" w:color="auto" w:fill="FFFFFF"/>
        <w:spacing w:before="240" w:line="240" w:lineRule="auto"/>
        <w:jc w:val="both"/>
        <w:rPr>
          <w:rFonts w:ascii="Times New Roman" w:hAnsi="Times New Roman" w:cs="Times New Roman"/>
          <w:sz w:val="24"/>
          <w:szCs w:val="24"/>
        </w:rPr>
      </w:pPr>
      <w:r w:rsidRPr="0010040B">
        <w:rPr>
          <w:rFonts w:ascii="Times New Roman" w:hAnsi="Times New Roman" w:cs="Times New Roman"/>
          <w:b/>
          <w:bCs/>
          <w:sz w:val="24"/>
          <w:szCs w:val="24"/>
        </w:rPr>
        <w:t>Functional Safety Check</w:t>
      </w:r>
      <w:r w:rsidR="0010040B" w:rsidRPr="0010040B">
        <w:rPr>
          <w:rFonts w:ascii="Times New Roman" w:hAnsi="Times New Roman" w:cs="Times New Roman"/>
          <w:b/>
          <w:bCs/>
          <w:sz w:val="24"/>
          <w:szCs w:val="24"/>
        </w:rPr>
        <w:t>:</w:t>
      </w:r>
      <w:r w:rsidR="0010040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 functional safety check is conducted before technical calibration.</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This applies to all medical equipment which is electrically driven, including:</w:t>
      </w:r>
    </w:p>
    <w:p w14:paraId="6C662815" w14:textId="0832AD88" w:rsidR="0010040B" w:rsidRPr="0010040B" w:rsidRDefault="0031310E" w:rsidP="00D7191A">
      <w:pPr>
        <w:pStyle w:val="ListParagraph"/>
        <w:numPr>
          <w:ilvl w:val="0"/>
          <w:numId w:val="3"/>
        </w:numPr>
        <w:shd w:val="clear" w:color="auto" w:fill="FFFFFF"/>
        <w:spacing w:before="240" w:line="240" w:lineRule="auto"/>
        <w:jc w:val="both"/>
        <w:rPr>
          <w:rFonts w:ascii="Times New Roman" w:hAnsi="Times New Roman" w:cs="Times New Roman"/>
          <w:sz w:val="24"/>
          <w:szCs w:val="24"/>
        </w:rPr>
      </w:pPr>
      <w:r w:rsidRPr="0010040B">
        <w:rPr>
          <w:rStyle w:val="cursor-pointer"/>
          <w:rFonts w:ascii="Times New Roman" w:hAnsi="Times New Roman" w:cs="Times New Roman"/>
          <w:sz w:val="24"/>
          <w:szCs w:val="24"/>
        </w:rPr>
        <w:t>Earth continuity test (≤ 0.2 Ω protection earth resistance)</w:t>
      </w:r>
    </w:p>
    <w:p w14:paraId="329694F6" w14:textId="1B37F2D4" w:rsidR="0010040B" w:rsidRPr="0010040B" w:rsidRDefault="0031310E" w:rsidP="00D7191A">
      <w:pPr>
        <w:pStyle w:val="ListParagraph"/>
        <w:numPr>
          <w:ilvl w:val="0"/>
          <w:numId w:val="3"/>
        </w:numPr>
        <w:shd w:val="clear" w:color="auto" w:fill="FFFFFF"/>
        <w:spacing w:before="240" w:line="240" w:lineRule="auto"/>
        <w:jc w:val="both"/>
        <w:rPr>
          <w:rFonts w:ascii="Times New Roman" w:hAnsi="Times New Roman" w:cs="Times New Roman"/>
          <w:sz w:val="24"/>
          <w:szCs w:val="24"/>
        </w:rPr>
      </w:pPr>
      <w:r w:rsidRPr="0010040B">
        <w:rPr>
          <w:rStyle w:val="cursor-pointer"/>
          <w:rFonts w:ascii="Times New Roman" w:hAnsi="Times New Roman" w:cs="Times New Roman"/>
          <w:sz w:val="24"/>
          <w:szCs w:val="24"/>
        </w:rPr>
        <w:t>Resistance insulation test (resistance must be at least 2 M o to 500 V DC)</w:t>
      </w:r>
    </w:p>
    <w:p w14:paraId="2ADB284D" w14:textId="4C6B803D" w:rsidR="0010040B" w:rsidRPr="0010040B" w:rsidRDefault="0031310E" w:rsidP="00D7191A">
      <w:pPr>
        <w:pStyle w:val="ListParagraph"/>
        <w:numPr>
          <w:ilvl w:val="0"/>
          <w:numId w:val="3"/>
        </w:numPr>
        <w:shd w:val="clear" w:color="auto" w:fill="FFFFFF"/>
        <w:spacing w:before="240" w:line="240" w:lineRule="auto"/>
        <w:jc w:val="both"/>
        <w:rPr>
          <w:rFonts w:ascii="Times New Roman" w:hAnsi="Times New Roman" w:cs="Times New Roman"/>
          <w:sz w:val="24"/>
          <w:szCs w:val="24"/>
        </w:rPr>
      </w:pPr>
      <w:r w:rsidRPr="0010040B">
        <w:rPr>
          <w:rStyle w:val="cursor-pointer"/>
          <w:rFonts w:ascii="Times New Roman" w:hAnsi="Times New Roman" w:cs="Times New Roman"/>
          <w:sz w:val="24"/>
          <w:szCs w:val="24"/>
        </w:rPr>
        <w:t xml:space="preserve">Measurement of leakage current (touch current ≤ 100 </w:t>
      </w:r>
      <w:proofErr w:type="spellStart"/>
      <w:r w:rsidRPr="0010040B">
        <w:rPr>
          <w:rStyle w:val="cursor-pointer"/>
          <w:rFonts w:ascii="Times New Roman" w:hAnsi="Times New Roman" w:cs="Times New Roman"/>
          <w:sz w:val="24"/>
          <w:szCs w:val="24"/>
        </w:rPr>
        <w:t>μA</w:t>
      </w:r>
      <w:proofErr w:type="spellEnd"/>
      <w:r w:rsidRPr="0010040B">
        <w:rPr>
          <w:rStyle w:val="cursor-pointer"/>
          <w:rFonts w:ascii="Times New Roman" w:hAnsi="Times New Roman" w:cs="Times New Roman"/>
          <w:sz w:val="24"/>
          <w:szCs w:val="24"/>
        </w:rPr>
        <w:t xml:space="preserve"> in case of BF/CF type)</w:t>
      </w:r>
    </w:p>
    <w:p w14:paraId="59DED88E" w14:textId="6C6AF88F" w:rsidR="0010040B" w:rsidRPr="0010040B" w:rsidRDefault="0031310E" w:rsidP="00D7191A">
      <w:pPr>
        <w:pStyle w:val="ListParagraph"/>
        <w:numPr>
          <w:ilvl w:val="0"/>
          <w:numId w:val="3"/>
        </w:numPr>
        <w:shd w:val="clear" w:color="auto" w:fill="FFFFFF"/>
        <w:spacing w:before="240" w:line="240" w:lineRule="auto"/>
        <w:jc w:val="both"/>
        <w:rPr>
          <w:rFonts w:ascii="Times New Roman" w:hAnsi="Times New Roman" w:cs="Times New Roman"/>
          <w:sz w:val="24"/>
          <w:szCs w:val="24"/>
        </w:rPr>
      </w:pPr>
      <w:r w:rsidRPr="0010040B">
        <w:rPr>
          <w:rStyle w:val="cursor-pointer"/>
          <w:rFonts w:ascii="Times New Roman" w:hAnsi="Times New Roman" w:cs="Times New Roman"/>
          <w:sz w:val="24"/>
          <w:szCs w:val="24"/>
        </w:rPr>
        <w:t>Presence of mains voltage and check power consumption.</w:t>
      </w:r>
    </w:p>
    <w:p w14:paraId="37AA1473" w14:textId="447E8201" w:rsidR="0010040B"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These tests are conducted in line with IEC 62353:2014 [23] and are obligatory to equipment that is connected to patients.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Any non-conformity stops the calibration process until corrected by an appropriate biomedical engineering service.</w:t>
      </w:r>
    </w:p>
    <w:p w14:paraId="50433113" w14:textId="7EB36D8C" w:rsidR="0031310E" w:rsidRPr="003049EB" w:rsidRDefault="0031310E" w:rsidP="000B190B">
      <w:pPr>
        <w:shd w:val="clear" w:color="auto" w:fill="FFFFFF"/>
        <w:spacing w:before="240" w:line="240" w:lineRule="auto"/>
        <w:jc w:val="both"/>
        <w:rPr>
          <w:rFonts w:ascii="Times New Roman" w:hAnsi="Times New Roman" w:cs="Times New Roman"/>
          <w:sz w:val="24"/>
          <w:szCs w:val="24"/>
        </w:rPr>
      </w:pPr>
      <w:r w:rsidRPr="0010040B">
        <w:rPr>
          <w:rStyle w:val="cursor-pointer"/>
          <w:rFonts w:ascii="Times New Roman" w:hAnsi="Times New Roman" w:cs="Times New Roman"/>
          <w:b/>
          <w:bCs/>
          <w:sz w:val="24"/>
          <w:szCs w:val="24"/>
        </w:rPr>
        <w:t>Warm-Up and Environmental Stabilization</w:t>
      </w:r>
      <w:r w:rsidR="0010040B" w:rsidRPr="0010040B">
        <w:rPr>
          <w:rStyle w:val="cursor-pointer"/>
          <w:rFonts w:ascii="Times New Roman" w:hAnsi="Times New Roman" w:cs="Times New Roman"/>
          <w:b/>
          <w:bCs/>
          <w:sz w:val="24"/>
          <w:szCs w:val="24"/>
        </w:rPr>
        <w:t>:</w:t>
      </w:r>
      <w:r w:rsidR="0010040B">
        <w:rPr>
          <w:rStyle w:val="cursor-pointe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EMDs also have a warm-up period, which can be 30 minutes to patient monitors and infusion pumps, 60 minutes to precision laboratory balances, and 15 minutes to portable thermometers.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the warm-up, the device is turned on, but it is not exposed to measurement stimuli.</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At the same time, the laboratory conditions should be brought to a certain standard level.</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the ISO/IEC 17025 clause 6.3.3 [1], the monitoring and recording of environmental conditions shall occur.</w:t>
      </w:r>
    </w:p>
    <w:p w14:paraId="05F45197" w14:textId="77777777" w:rsidR="00A41F97" w:rsidRDefault="0031310E" w:rsidP="000B190B">
      <w:p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b/>
          <w:bCs/>
          <w:sz w:val="24"/>
          <w:szCs w:val="24"/>
        </w:rPr>
        <w:t>Reference Standard Setup</w:t>
      </w:r>
      <w:r w:rsidR="00A41F97" w:rsidRPr="00A41F97">
        <w:rP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reference standards applied in the calibration should have current calibration certificates that indicate unbroken traceability to national or international standards [17].</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below checks are carried out before connection:</w:t>
      </w:r>
      <w:r w:rsidRPr="003049EB">
        <w:rPr>
          <w:rFonts w:ascii="Times New Roman" w:hAnsi="Times New Roman" w:cs="Times New Roman"/>
          <w:sz w:val="24"/>
          <w:szCs w:val="24"/>
        </w:rPr>
        <w:t xml:space="preserve"> </w:t>
      </w:r>
    </w:p>
    <w:p w14:paraId="1BC4755B" w14:textId="7FFA56DB" w:rsidR="00A41F97" w:rsidRPr="00A41F97" w:rsidRDefault="0031310E" w:rsidP="00D7191A">
      <w:pPr>
        <w:pStyle w:val="ListParagraph"/>
        <w:numPr>
          <w:ilvl w:val="0"/>
          <w:numId w:val="4"/>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Validity (not expired) of the calibration certificate</w:t>
      </w:r>
    </w:p>
    <w:p w14:paraId="6117FC1A" w14:textId="7513D27E" w:rsidR="00A41F97" w:rsidRPr="00A41F97" w:rsidRDefault="0031310E" w:rsidP="00D7191A">
      <w:pPr>
        <w:pStyle w:val="ListParagraph"/>
        <w:numPr>
          <w:ilvl w:val="0"/>
          <w:numId w:val="4"/>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Physical state of Standard (no damages, clean connectors)</w:t>
      </w:r>
      <w:r w:rsidRPr="00A41F97">
        <w:rPr>
          <w:rFonts w:ascii="Times New Roman" w:hAnsi="Times New Roman" w:cs="Times New Roman"/>
          <w:sz w:val="24"/>
          <w:szCs w:val="24"/>
        </w:rPr>
        <w:t xml:space="preserve"> </w:t>
      </w:r>
    </w:p>
    <w:p w14:paraId="64985C76" w14:textId="5E63A0BE" w:rsidR="00A41F97" w:rsidRPr="00A41F97" w:rsidRDefault="0031310E" w:rsidP="00D7191A">
      <w:pPr>
        <w:pStyle w:val="ListParagraph"/>
        <w:numPr>
          <w:ilvl w:val="0"/>
          <w:numId w:val="4"/>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Equipment compatibility (range, resolution, accuracy class)</w:t>
      </w:r>
      <w:r w:rsidRPr="00A41F97">
        <w:rPr>
          <w:rFonts w:ascii="Times New Roman" w:hAnsi="Times New Roman" w:cs="Times New Roman"/>
          <w:sz w:val="24"/>
          <w:szCs w:val="24"/>
        </w:rPr>
        <w:t xml:space="preserve"> </w:t>
      </w:r>
    </w:p>
    <w:p w14:paraId="63E82FC4" w14:textId="173CBD90" w:rsidR="00A41F97" w:rsidRPr="00A41F97" w:rsidRDefault="0031310E" w:rsidP="00D7191A">
      <w:pPr>
        <w:pStyle w:val="ListParagraph"/>
        <w:numPr>
          <w:ilvl w:val="0"/>
          <w:numId w:val="4"/>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Connection integrity (appropriate cables, adapters, terminators)</w:t>
      </w:r>
      <w:r w:rsidRPr="00A41F97">
        <w:rPr>
          <w:rFonts w:ascii="Times New Roman" w:hAnsi="Times New Roman" w:cs="Times New Roman"/>
          <w:sz w:val="24"/>
          <w:szCs w:val="24"/>
        </w:rPr>
        <w:t xml:space="preserve"> </w:t>
      </w:r>
    </w:p>
    <w:p w14:paraId="362C3D19" w14:textId="0F034AB8" w:rsidR="0031310E" w:rsidRPr="003049EB"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In electrical calibrations (ECG simulators, defibrillator analyzers) reference standards should be at least 4 times more precise than the DUT (4:1 test accuracy ratio) or the contribution of uncertainty should be properly accounted in the combined uncertainty budget [24].</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critical parameters where 4:1 cannot be achieved (e.g., high voltage defibrillator pulses), uncertainty analysis is required in detail.</w:t>
      </w:r>
    </w:p>
    <w:p w14:paraId="735CCC03" w14:textId="2DE4F740" w:rsidR="0031310E" w:rsidRPr="00A41F97" w:rsidRDefault="0031310E" w:rsidP="000B190B">
      <w:pPr>
        <w:shd w:val="clear" w:color="auto" w:fill="FFFFFF"/>
        <w:spacing w:before="240" w:line="240" w:lineRule="auto"/>
        <w:jc w:val="both"/>
        <w:rPr>
          <w:rFonts w:ascii="Times New Roman" w:hAnsi="Times New Roman" w:cs="Times New Roman"/>
          <w:b/>
          <w:bCs/>
          <w:sz w:val="24"/>
          <w:szCs w:val="24"/>
        </w:rPr>
      </w:pPr>
      <w:r w:rsidRPr="00A41F97">
        <w:rPr>
          <w:rFonts w:ascii="Times New Roman" w:hAnsi="Times New Roman" w:cs="Times New Roman"/>
          <w:b/>
          <w:bCs/>
          <w:sz w:val="24"/>
          <w:szCs w:val="24"/>
        </w:rPr>
        <w:t>Measurement Execution Phase</w:t>
      </w:r>
    </w:p>
    <w:p w14:paraId="1A69F979" w14:textId="2479AA04" w:rsidR="0031310E" w:rsidRPr="003049EB" w:rsidRDefault="0031310E" w:rsidP="000B190B">
      <w:pPr>
        <w:shd w:val="clear" w:color="auto" w:fill="FFFFFF"/>
        <w:spacing w:before="240" w:line="240" w:lineRule="auto"/>
        <w:jc w:val="both"/>
        <w:rPr>
          <w:rFonts w:ascii="Times New Roman" w:hAnsi="Times New Roman" w:cs="Times New Roman"/>
          <w:sz w:val="24"/>
          <w:szCs w:val="24"/>
        </w:rPr>
      </w:pPr>
      <w:proofErr w:type="gramStart"/>
      <w:r w:rsidRPr="00A41F97">
        <w:rPr>
          <w:rStyle w:val="cursor-pointer"/>
          <w:rFonts w:ascii="Times New Roman" w:hAnsi="Times New Roman" w:cs="Times New Roman"/>
          <w:b/>
          <w:bCs/>
          <w:sz w:val="24"/>
          <w:szCs w:val="24"/>
        </w:rPr>
        <w:t>Choosing Calibration Points</w:t>
      </w:r>
      <w:r w:rsidR="00A41F97" w:rsidRPr="00A41F97">
        <w:rPr>
          <w:rStyle w:val="cursor-pointe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calibration points are chosen to represent the whole operating range of the device, with a special focus on clinically important values.</w:t>
      </w:r>
      <w:proofErr w:type="gramEnd"/>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the case of linear instruments, 5 or more points equally spaced are suggested, although 10 or more points will be a better characteri</w:t>
      </w:r>
      <w:r w:rsidR="00A41F97">
        <w:rPr>
          <w:rStyle w:val="cursor-pointer"/>
          <w:rFonts w:ascii="Times New Roman" w:hAnsi="Times New Roman" w:cs="Times New Roman"/>
          <w:sz w:val="24"/>
          <w:szCs w:val="24"/>
        </w:rPr>
        <w:t>z</w:t>
      </w:r>
      <w:r w:rsidRPr="003049EB">
        <w:rPr>
          <w:rStyle w:val="cursor-pointer"/>
          <w:rFonts w:ascii="Times New Roman" w:hAnsi="Times New Roman" w:cs="Times New Roman"/>
          <w:sz w:val="24"/>
          <w:szCs w:val="24"/>
        </w:rPr>
        <w:t>ation of non-linearity.</w:t>
      </w:r>
    </w:p>
    <w:p w14:paraId="24FC7D49" w14:textId="6A5F4D32" w:rsidR="00A41F97" w:rsidRDefault="0031310E" w:rsidP="000B190B">
      <w:p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b/>
          <w:bCs/>
          <w:sz w:val="24"/>
          <w:szCs w:val="24"/>
        </w:rPr>
        <w:lastRenderedPageBreak/>
        <w:t>Multi-Point Measurement Sequence</w:t>
      </w:r>
      <w:r w:rsidR="00A41F97" w:rsidRPr="00A41F97">
        <w:rPr>
          <w:rStyle w:val="cursor-pointer"/>
          <w:b/>
          <w:bCs/>
        </w:rPr>
        <w:t>:</w:t>
      </w:r>
      <w:r w:rsidRPr="00A41F97">
        <w:rPr>
          <w:rStyle w:val="cursor-pointer"/>
          <w:b/>
          <w:bCs/>
        </w:rPr>
        <w:t xml:space="preserve"> </w:t>
      </w:r>
      <w:r w:rsidRPr="003049EB">
        <w:rPr>
          <w:rStyle w:val="cursor-pointer"/>
          <w:rFonts w:ascii="Times New Roman" w:hAnsi="Times New Roman" w:cs="Times New Roman"/>
          <w:sz w:val="24"/>
          <w:szCs w:val="24"/>
        </w:rPr>
        <w:t>At every point of the calibration, the minimum of three replicate measurements is done (clause 7.11.1 of ISO/IEC 17025 recommends repeatability assessment [1]).</w:t>
      </w:r>
      <w:r w:rsidRPr="003049EB">
        <w:rPr>
          <w:rFonts w:ascii="Times New Roman" w:hAnsi="Times New Roman" w:cs="Times New Roman"/>
          <w:sz w:val="24"/>
          <w:szCs w:val="24"/>
        </w:rPr>
        <w:t xml:space="preserve"> For each replicate: </w:t>
      </w:r>
    </w:p>
    <w:p w14:paraId="3554785B" w14:textId="7F557EC4" w:rsidR="00A41F97" w:rsidRPr="00A41F97" w:rsidRDefault="0031310E" w:rsidP="00D7191A">
      <w:pPr>
        <w:pStyle w:val="ListParagraph"/>
        <w:numPr>
          <w:ilvl w:val="0"/>
          <w:numId w:val="5"/>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Adjust the DUT to the desired nominal value (when source mode) or apply the reference stimulus (when measure mode)</w:t>
      </w:r>
      <w:r w:rsidRPr="00A41F97">
        <w:rPr>
          <w:rFonts w:ascii="Times New Roman" w:hAnsi="Times New Roman" w:cs="Times New Roman"/>
          <w:sz w:val="24"/>
          <w:szCs w:val="24"/>
        </w:rPr>
        <w:t xml:space="preserve"> </w:t>
      </w:r>
    </w:p>
    <w:p w14:paraId="3191BAEF" w14:textId="5DF7E392" w:rsidR="00A41F97" w:rsidRPr="00A41F97" w:rsidRDefault="0031310E" w:rsidP="00D7191A">
      <w:pPr>
        <w:pStyle w:val="ListParagraph"/>
        <w:numPr>
          <w:ilvl w:val="0"/>
          <w:numId w:val="5"/>
        </w:numPr>
        <w:shd w:val="clear" w:color="auto" w:fill="FFFFFF"/>
        <w:spacing w:before="240" w:line="240" w:lineRule="auto"/>
        <w:jc w:val="both"/>
        <w:rPr>
          <w:rStyle w:val="cursor-pointer"/>
          <w:rFonts w:ascii="Times New Roman" w:hAnsi="Times New Roman" w:cs="Times New Roman"/>
          <w:sz w:val="24"/>
          <w:szCs w:val="24"/>
        </w:rPr>
      </w:pPr>
      <w:r w:rsidRPr="00A41F97">
        <w:rPr>
          <w:rStyle w:val="cursor-pointer"/>
          <w:rFonts w:ascii="Times New Roman" w:hAnsi="Times New Roman" w:cs="Times New Roman"/>
          <w:sz w:val="24"/>
          <w:szCs w:val="24"/>
        </w:rPr>
        <w:t>Give it time to settle- normally 5-30 seconds depending on the parameter</w:t>
      </w:r>
    </w:p>
    <w:p w14:paraId="59E3935A" w14:textId="32BBB59E" w:rsidR="00A41F97" w:rsidRPr="00A41F97" w:rsidRDefault="0031310E" w:rsidP="00D7191A">
      <w:pPr>
        <w:pStyle w:val="ListParagraph"/>
        <w:numPr>
          <w:ilvl w:val="0"/>
          <w:numId w:val="5"/>
        </w:numPr>
        <w:shd w:val="clear" w:color="auto" w:fill="FFFFFF"/>
        <w:spacing w:before="240" w:line="240" w:lineRule="auto"/>
        <w:jc w:val="both"/>
        <w:rPr>
          <w:rStyle w:val="cursor-pointer"/>
          <w:rFonts w:ascii="Times New Roman" w:hAnsi="Times New Roman" w:cs="Times New Roman"/>
          <w:sz w:val="24"/>
          <w:szCs w:val="24"/>
        </w:rPr>
      </w:pPr>
      <w:r w:rsidRPr="00A41F97">
        <w:rPr>
          <w:rStyle w:val="cursor-pointer"/>
          <w:rFonts w:ascii="Times New Roman" w:hAnsi="Times New Roman" w:cs="Times New Roman"/>
          <w:sz w:val="24"/>
          <w:szCs w:val="24"/>
        </w:rPr>
        <w:t>At the same time note the DUT indication and the value of the reference standard</w:t>
      </w:r>
    </w:p>
    <w:p w14:paraId="1F66C841" w14:textId="607A5E9B" w:rsidR="00A41F97" w:rsidRPr="00A41F97" w:rsidRDefault="0031310E" w:rsidP="00D7191A">
      <w:pPr>
        <w:pStyle w:val="ListParagraph"/>
        <w:numPr>
          <w:ilvl w:val="0"/>
          <w:numId w:val="5"/>
        </w:numPr>
        <w:shd w:val="clear" w:color="auto" w:fill="FFFFFF"/>
        <w:spacing w:before="240" w:line="240" w:lineRule="auto"/>
        <w:jc w:val="both"/>
        <w:rPr>
          <w:rStyle w:val="cursor-pointer"/>
          <w:rFonts w:ascii="Times New Roman" w:hAnsi="Times New Roman" w:cs="Times New Roman"/>
          <w:sz w:val="24"/>
          <w:szCs w:val="24"/>
        </w:rPr>
      </w:pPr>
      <w:r w:rsidRPr="00A41F97">
        <w:rPr>
          <w:rStyle w:val="cursor-pointer"/>
          <w:rFonts w:ascii="Times New Roman" w:hAnsi="Times New Roman" w:cs="Times New Roman"/>
          <w:sz w:val="24"/>
          <w:szCs w:val="24"/>
        </w:rPr>
        <w:t>Determine the error of that replicate: Error = DUT Reading - Reference Value</w:t>
      </w:r>
    </w:p>
    <w:p w14:paraId="4909C0BB" w14:textId="4694F866" w:rsidR="0031310E" w:rsidRPr="00A41F97" w:rsidRDefault="0031310E" w:rsidP="00D7191A">
      <w:pPr>
        <w:pStyle w:val="ListParagraph"/>
        <w:numPr>
          <w:ilvl w:val="0"/>
          <w:numId w:val="5"/>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Raw data should be recorded by a pre-formatted worksheet.</w:t>
      </w:r>
      <w:r w:rsidRPr="00A41F97">
        <w:rPr>
          <w:rFonts w:ascii="Times New Roman" w:hAnsi="Times New Roman" w:cs="Times New Roman"/>
          <w:sz w:val="24"/>
          <w:szCs w:val="24"/>
        </w:rPr>
        <w:t xml:space="preserve"> </w:t>
      </w:r>
    </w:p>
    <w:p w14:paraId="53F47F5E" w14:textId="77777777" w:rsidR="00A41F97" w:rsidRDefault="0031310E" w:rsidP="000B190B">
      <w:p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b/>
          <w:bCs/>
          <w:sz w:val="24"/>
          <w:szCs w:val="24"/>
        </w:rPr>
        <w:t>Measurement Simulated Clinical Conditions</w:t>
      </w:r>
      <w:r w:rsidR="00A41F97" w:rsidRPr="00A41F97">
        <w:rPr>
          <w:rStyle w:val="cursor-pointe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some biomedical devices, using simulation alone to calibrate the instrument should also be accompanied by simulation of conditions of clinical use.</w:t>
      </w:r>
      <w:r w:rsidRPr="003049EB">
        <w:rPr>
          <w:rFonts w:ascii="Times New Roman" w:hAnsi="Times New Roman" w:cs="Times New Roman"/>
          <w:sz w:val="24"/>
          <w:szCs w:val="24"/>
        </w:rPr>
        <w:t xml:space="preserve"> For example:</w:t>
      </w:r>
    </w:p>
    <w:p w14:paraId="245DC0FC" w14:textId="114AA682" w:rsidR="00A41F97" w:rsidRPr="00A41F97"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sz w:val="24"/>
          <w:szCs w:val="24"/>
        </w:rPr>
        <w:t>Ventilators: Calibrated with test lungs of varying compliance (0.02, 0.05, 0.1 L/</w:t>
      </w:r>
      <w:proofErr w:type="spellStart"/>
      <w:r w:rsidRPr="00A41F97">
        <w:rPr>
          <w:rFonts w:ascii="Times New Roman" w:hAnsi="Times New Roman" w:cs="Times New Roman"/>
          <w:sz w:val="24"/>
          <w:szCs w:val="24"/>
        </w:rPr>
        <w:t>cmH₂O</w:t>
      </w:r>
      <w:proofErr w:type="spellEnd"/>
      <w:r w:rsidRPr="00A41F97">
        <w:rPr>
          <w:rFonts w:ascii="Times New Roman" w:hAnsi="Times New Roman" w:cs="Times New Roman"/>
          <w:sz w:val="24"/>
          <w:szCs w:val="24"/>
        </w:rPr>
        <w:t xml:space="preserve">) and resistance (5, 20, 50 </w:t>
      </w:r>
      <w:proofErr w:type="spellStart"/>
      <w:r w:rsidRPr="00A41F97">
        <w:rPr>
          <w:rFonts w:ascii="Times New Roman" w:hAnsi="Times New Roman" w:cs="Times New Roman"/>
          <w:sz w:val="24"/>
          <w:szCs w:val="24"/>
        </w:rPr>
        <w:t>cmH₂O</w:t>
      </w:r>
      <w:proofErr w:type="spellEnd"/>
      <w:r w:rsidRPr="00A41F97">
        <w:rPr>
          <w:rFonts w:ascii="Times New Roman" w:hAnsi="Times New Roman" w:cs="Times New Roman"/>
          <w:sz w:val="24"/>
          <w:szCs w:val="24"/>
        </w:rPr>
        <w:t xml:space="preserve">/L/s) [20]. </w:t>
      </w:r>
    </w:p>
    <w:p w14:paraId="01C9EBEE" w14:textId="4E0D1B0A" w:rsidR="00A41F97" w:rsidRPr="00A41F97"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sz w:val="24"/>
          <w:szCs w:val="24"/>
        </w:rPr>
        <w:t>Infusion pumps: Tested with back pressures of 0, 100, 200, 300 mmHg [19].</w:t>
      </w:r>
    </w:p>
    <w:p w14:paraId="54FB46CF" w14:textId="00E06C20" w:rsidR="0031310E" w:rsidRPr="00A41F97"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sz w:val="24"/>
          <w:szCs w:val="24"/>
        </w:rPr>
        <w:t>Defibrillators: Tested at multiple patient impedance values (25, 50, 75, 100, 125, 150 ohms) [13].</w:t>
      </w:r>
    </w:p>
    <w:p w14:paraId="74FF40C6" w14:textId="77777777" w:rsidR="00A41F97" w:rsidRDefault="0031310E" w:rsidP="000B190B">
      <w:p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b/>
          <w:bCs/>
          <w:sz w:val="24"/>
          <w:szCs w:val="24"/>
        </w:rPr>
        <w:t>Adjustment (Trimming) Procedure</w:t>
      </w:r>
      <w:r w:rsidR="00A41F97" w:rsidRPr="00A41F97">
        <w:rP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When the actual errors are more than the tolerances of the manufacturer and the owner of the equipment has given an authorization to carry out an electronic or mechanical adjustment.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Important principles of adaptation [1]:</w:t>
      </w:r>
      <w:r w:rsidRPr="003049EB">
        <w:rPr>
          <w:rFonts w:ascii="Times New Roman" w:hAnsi="Times New Roman" w:cs="Times New Roman"/>
          <w:sz w:val="24"/>
          <w:szCs w:val="24"/>
        </w:rPr>
        <w:t xml:space="preserve"> </w:t>
      </w:r>
    </w:p>
    <w:p w14:paraId="5BCF7C9A" w14:textId="4E7B4921" w:rsidR="00A41F97" w:rsidRPr="002002C4"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2002C4">
        <w:rPr>
          <w:rFonts w:ascii="Times New Roman" w:hAnsi="Times New Roman" w:cs="Times New Roman"/>
          <w:sz w:val="24"/>
          <w:szCs w:val="24"/>
        </w:rPr>
        <w:t>Record the errors that have occurred pre-adjustment prior to any adjustment</w:t>
      </w:r>
    </w:p>
    <w:p w14:paraId="14112EBF" w14:textId="68B6EEB0" w:rsidR="00A41F97" w:rsidRPr="002002C4"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2002C4">
        <w:rPr>
          <w:rFonts w:ascii="Times New Roman" w:hAnsi="Times New Roman" w:cs="Times New Roman"/>
          <w:sz w:val="24"/>
          <w:szCs w:val="24"/>
        </w:rPr>
        <w:t>Use the recommended order of adjustments</w:t>
      </w:r>
    </w:p>
    <w:p w14:paraId="0386E1BD" w14:textId="77777777" w:rsidR="00A41F97" w:rsidRPr="002002C4"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2002C4">
        <w:rPr>
          <w:rFonts w:ascii="Times New Roman" w:hAnsi="Times New Roman" w:cs="Times New Roman"/>
          <w:sz w:val="24"/>
          <w:szCs w:val="24"/>
        </w:rPr>
        <w:t>Once adjusted, run the whole calibration (post-adjustment check)</w:t>
      </w:r>
    </w:p>
    <w:p w14:paraId="73E500BB" w14:textId="1C69AAD6" w:rsidR="0031310E" w:rsidRPr="002002C4"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2002C4">
        <w:rPr>
          <w:rFonts w:ascii="Times New Roman" w:hAnsi="Times New Roman" w:cs="Times New Roman"/>
          <w:sz w:val="24"/>
          <w:szCs w:val="24"/>
        </w:rPr>
        <w:t>Do not modify devices that are beyond tolerance level but do not have authorized access</w:t>
      </w:r>
    </w:p>
    <w:p w14:paraId="0B683DFB" w14:textId="539F653E" w:rsidR="0031310E" w:rsidRPr="003049EB" w:rsidRDefault="0031310E" w:rsidP="000B190B">
      <w:pPr>
        <w:shd w:val="clear" w:color="auto" w:fill="FFFFFF"/>
        <w:spacing w:before="240" w:line="240" w:lineRule="auto"/>
        <w:jc w:val="both"/>
        <w:rPr>
          <w:rStyle w:val="cursor-pointer"/>
          <w:rFonts w:ascii="Times New Roman" w:hAnsi="Times New Roman" w:cs="Times New Roman"/>
          <w:sz w:val="24"/>
          <w:szCs w:val="24"/>
        </w:rPr>
      </w:pPr>
      <w:r w:rsidRPr="002002C4">
        <w:rPr>
          <w:rStyle w:val="cursor-pointer"/>
          <w:rFonts w:ascii="Times New Roman" w:hAnsi="Times New Roman" w:cs="Times New Roman"/>
          <w:b/>
          <w:bCs/>
          <w:sz w:val="24"/>
          <w:szCs w:val="24"/>
        </w:rPr>
        <w:t>Errors and Uncertainties Calculation</w:t>
      </w:r>
      <w:r w:rsidR="002002C4" w:rsidRPr="002002C4">
        <w:rPr>
          <w:rStyle w:val="cursor-pointe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To compute the error, the error is computed as:</w:t>
      </w:r>
    </w:p>
    <w:p w14:paraId="30184183" w14:textId="2D9613EF" w:rsidR="002002C4"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Error = Indicated Value</w:t>
      </w:r>
      <w:r w:rsidR="002002C4">
        <w:rPr>
          <w:rStyle w:val="cursor-pointer"/>
          <w:rFonts w:ascii="Times New Roman" w:hAnsi="Times New Roman" w:cs="Times New Roman"/>
          <w:sz w:val="24"/>
          <w:szCs w:val="24"/>
        </w:rPr>
        <w:t xml:space="preserve"> - </w:t>
      </w:r>
      <w:r w:rsidRPr="003049EB">
        <w:rPr>
          <w:rStyle w:val="cursor-pointer"/>
          <w:rFonts w:ascii="Times New Roman" w:hAnsi="Times New Roman" w:cs="Times New Roman"/>
          <w:sz w:val="24"/>
          <w:szCs w:val="24"/>
        </w:rPr>
        <w:t>Reference Value</w:t>
      </w:r>
      <w:r w:rsidRPr="003049EB">
        <w:rPr>
          <w:rFonts w:ascii="Times New Roman" w:hAnsi="Times New Roman" w:cs="Times New Roman"/>
          <w:sz w:val="24"/>
          <w:szCs w:val="24"/>
        </w:rPr>
        <w:t xml:space="preserve"> </w:t>
      </w:r>
    </w:p>
    <w:p w14:paraId="7378A585" w14:textId="71878D64" w:rsidR="002002C4"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Correction = Reference Value</w:t>
      </w:r>
      <w:r w:rsidR="002002C4">
        <w:rPr>
          <w:rStyle w:val="cursor-pointe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 Indicated Value</w:t>
      </w:r>
    </w:p>
    <w:p w14:paraId="2FB7C6D3" w14:textId="77777777" w:rsidR="004D7425" w:rsidRDefault="0031310E" w:rsidP="000B190B">
      <w:pPr>
        <w:shd w:val="clear" w:color="auto" w:fill="FFFFFF"/>
        <w:spacing w:before="240" w:line="240" w:lineRule="auto"/>
        <w:jc w:val="both"/>
        <w:rPr>
          <w:rStyle w:val="cursor-pointer"/>
          <w:rFonts w:ascii="Times New Roman" w:hAnsi="Times New Roman" w:cs="Times New Roman"/>
          <w:sz w:val="24"/>
          <w:szCs w:val="24"/>
        </w:rPr>
      </w:pPr>
      <w:r w:rsidRPr="003049EB">
        <w:rPr>
          <w:rStyle w:val="cursor-pointer"/>
          <w:rFonts w:ascii="Times New Roman" w:hAnsi="Times New Roman" w:cs="Times New Roman"/>
          <w:sz w:val="24"/>
          <w:szCs w:val="24"/>
        </w:rPr>
        <w:t>At each point the mean error</w:t>
      </w:r>
      <w:r w:rsidR="002002C4">
        <w:rPr>
          <w:rStyle w:val="cursor-pointer"/>
          <w:rFonts w:ascii="Times New Roman" w:hAnsi="Times New Roman" w:cs="Times New Roman"/>
          <w:sz w:val="24"/>
          <w:szCs w:val="24"/>
        </w:rPr>
        <w:t xml:space="preserve">, </w:t>
      </w:r>
      <w:r w:rsidR="004D7425">
        <w:rPr>
          <w:rStyle w:val="cursor-pointer"/>
          <w:rFonts w:ascii="Times New Roman" w:hAnsi="Times New Roman" w:cs="Times New Roman"/>
          <w:sz w:val="24"/>
          <w:szCs w:val="24"/>
        </w:rPr>
        <w:t xml:space="preserve"> </w:t>
      </w:r>
    </w:p>
    <w:p w14:paraId="2BC1A588" w14:textId="072390FE" w:rsidR="002002C4" w:rsidRDefault="004D7425" w:rsidP="000B190B">
      <w:pPr>
        <w:shd w:val="clear" w:color="auto" w:fill="FFFFFF"/>
        <w:spacing w:before="240" w:line="240" w:lineRule="auto"/>
        <w:jc w:val="both"/>
        <w:rPr>
          <w:rStyle w:val="cursor-pointer"/>
          <w:rFonts w:ascii="Times New Roman" w:hAnsi="Times New Roman" w:cs="Times New Roman"/>
          <w:sz w:val="24"/>
          <w:szCs w:val="24"/>
        </w:rPr>
      </w:pPr>
      <w:r>
        <w:rPr>
          <w:rStyle w:val="cursor-pointer"/>
          <w:rFonts w:ascii="Times New Roman" w:eastAsiaTheme="minorEastAsia" w:hAnsi="Times New Roman" w:cs="Times New Roman"/>
          <w:sz w:val="24"/>
          <w:szCs w:val="24"/>
        </w:rPr>
        <w:t xml:space="preserve">                                                         </w:t>
      </w:r>
      <m:oMath>
        <m:acc>
          <m:accPr>
            <m:chr m:val="̅"/>
            <m:ctrlPr>
              <w:rPr>
                <w:rStyle w:val="cursor-pointer"/>
                <w:rFonts w:ascii="Cambria Math" w:hAnsi="Cambria Math" w:cs="Times New Roman"/>
                <w:i/>
                <w:sz w:val="24"/>
                <w:szCs w:val="24"/>
              </w:rPr>
            </m:ctrlPr>
          </m:accPr>
          <m:e>
            <m:r>
              <w:rPr>
                <w:rStyle w:val="cursor-pointer"/>
                <w:rFonts w:ascii="Cambria Math" w:hAnsi="Cambria Math" w:cs="Times New Roman"/>
                <w:sz w:val="24"/>
                <w:szCs w:val="24"/>
              </w:rPr>
              <m:t>E</m:t>
            </m:r>
          </m:e>
        </m:acc>
        <m:r>
          <w:rPr>
            <w:rStyle w:val="cursor-pointer"/>
            <w:rFonts w:ascii="Cambria Math" w:hAnsi="Cambria Math" w:cs="Times New Roman"/>
            <w:sz w:val="24"/>
            <w:szCs w:val="24"/>
          </w:rPr>
          <m:t xml:space="preserve">= </m:t>
        </m:r>
        <m:f>
          <m:fPr>
            <m:ctrlPr>
              <w:rPr>
                <w:rStyle w:val="cursor-pointer"/>
                <w:rFonts w:ascii="Cambria Math" w:hAnsi="Cambria Math" w:cs="Times New Roman"/>
                <w:i/>
                <w:sz w:val="24"/>
                <w:szCs w:val="24"/>
              </w:rPr>
            </m:ctrlPr>
          </m:fPr>
          <m:num>
            <m:r>
              <w:rPr>
                <w:rStyle w:val="cursor-pointer"/>
                <w:rFonts w:ascii="Cambria Math" w:hAnsi="Cambria Math" w:cs="Times New Roman"/>
                <w:sz w:val="24"/>
                <w:szCs w:val="24"/>
              </w:rPr>
              <m:t>1</m:t>
            </m:r>
          </m:num>
          <m:den>
            <m:r>
              <w:rPr>
                <w:rStyle w:val="cursor-pointer"/>
                <w:rFonts w:ascii="Cambria Math" w:hAnsi="Cambria Math" w:cs="Times New Roman"/>
                <w:sz w:val="24"/>
                <w:szCs w:val="24"/>
              </w:rPr>
              <m:t>n</m:t>
            </m:r>
          </m:den>
        </m:f>
        <m:r>
          <w:rPr>
            <w:rStyle w:val="cursor-pointer"/>
            <w:rFonts w:ascii="Cambria Math" w:hAnsi="Cambria Math" w:cs="Times New Roman"/>
            <w:sz w:val="24"/>
            <w:szCs w:val="24"/>
          </w:rPr>
          <m:t xml:space="preserve"> </m:t>
        </m:r>
        <m:nary>
          <m:naryPr>
            <m:chr m:val="∑"/>
            <m:limLoc m:val="undOvr"/>
            <m:ctrlPr>
              <w:rPr>
                <w:rStyle w:val="cursor-pointer"/>
                <w:rFonts w:ascii="Cambria Math" w:hAnsi="Cambria Math" w:cs="Times New Roman"/>
                <w:i/>
                <w:sz w:val="24"/>
                <w:szCs w:val="24"/>
              </w:rPr>
            </m:ctrlPr>
          </m:naryPr>
          <m:sub>
            <m:r>
              <w:rPr>
                <w:rStyle w:val="cursor-pointer"/>
                <w:rFonts w:ascii="Cambria Math" w:hAnsi="Cambria Math" w:cs="Times New Roman"/>
                <w:sz w:val="24"/>
                <w:szCs w:val="24"/>
              </w:rPr>
              <m:t>i=1</m:t>
            </m:r>
          </m:sub>
          <m:sup>
            <m:r>
              <w:rPr>
                <w:rStyle w:val="cursor-pointer"/>
                <w:rFonts w:ascii="Cambria Math" w:hAnsi="Cambria Math" w:cs="Times New Roman"/>
                <w:sz w:val="24"/>
                <w:szCs w:val="24"/>
              </w:rPr>
              <m:t>n</m:t>
            </m:r>
          </m:sup>
          <m:e>
            <m:sSub>
              <m:sSubPr>
                <m:ctrlPr>
                  <w:rPr>
                    <w:rStyle w:val="cursor-pointer"/>
                    <w:rFonts w:ascii="Cambria Math" w:hAnsi="Cambria Math" w:cs="Times New Roman"/>
                    <w:i/>
                    <w:sz w:val="24"/>
                    <w:szCs w:val="24"/>
                  </w:rPr>
                </m:ctrlPr>
              </m:sSubPr>
              <m:e>
                <m:r>
                  <w:rPr>
                    <w:rStyle w:val="cursor-pointer"/>
                    <w:rFonts w:ascii="Cambria Math" w:hAnsi="Cambria Math" w:cs="Times New Roman"/>
                    <w:sz w:val="24"/>
                    <w:szCs w:val="24"/>
                  </w:rPr>
                  <m:t>E</m:t>
                </m:r>
              </m:e>
              <m:sub>
                <m:r>
                  <w:rPr>
                    <w:rStyle w:val="cursor-pointer"/>
                    <w:rFonts w:ascii="Cambria Math" w:hAnsi="Cambria Math" w:cs="Times New Roman"/>
                    <w:sz w:val="24"/>
                    <w:szCs w:val="24"/>
                  </w:rPr>
                  <m:t>i</m:t>
                </m:r>
              </m:sub>
            </m:sSub>
          </m:e>
        </m:nary>
      </m:oMath>
    </w:p>
    <w:p w14:paraId="4A56F638" w14:textId="77777777" w:rsidR="002002C4" w:rsidRDefault="002002C4" w:rsidP="000B190B">
      <w:pPr>
        <w:shd w:val="clear" w:color="auto" w:fill="FFFFFF"/>
        <w:spacing w:before="240" w:line="240" w:lineRule="auto"/>
        <w:jc w:val="both"/>
        <w:rPr>
          <w:rStyle w:val="cursor-pointer"/>
          <w:rFonts w:ascii="Times New Roman" w:hAnsi="Times New Roman" w:cs="Times New Roman"/>
          <w:sz w:val="24"/>
          <w:szCs w:val="24"/>
        </w:rPr>
      </w:pPr>
    </w:p>
    <w:p w14:paraId="3D279E90" w14:textId="35D29D3A" w:rsidR="001376E8"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The</w:t>
      </w:r>
      <w:r w:rsidR="001376E8">
        <w:rPr>
          <w:rStyle w:val="cursor-pointe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 xml:space="preserve">standard deviation of the experiment (Type </w:t>
      </w:r>
      <w:proofErr w:type="gramStart"/>
      <w:r w:rsidRPr="003049EB">
        <w:rPr>
          <w:rStyle w:val="cursor-pointer"/>
          <w:rFonts w:ascii="Times New Roman" w:hAnsi="Times New Roman" w:cs="Times New Roman"/>
          <w:sz w:val="24"/>
          <w:szCs w:val="24"/>
        </w:rPr>
        <w:t>A</w:t>
      </w:r>
      <w:proofErr w:type="gramEnd"/>
      <w:r w:rsidRPr="003049EB">
        <w:rPr>
          <w:rStyle w:val="cursor-pointer"/>
          <w:rFonts w:ascii="Times New Roman" w:hAnsi="Times New Roman" w:cs="Times New Roman"/>
          <w:sz w:val="24"/>
          <w:szCs w:val="24"/>
        </w:rPr>
        <w:t xml:space="preserve"> uncertainty) equals</w:t>
      </w:r>
      <w:r w:rsidR="004D7425">
        <w:rPr>
          <w:rStyle w:val="cursor-pointer"/>
          <w:rFonts w:ascii="Times New Roman" w:hAnsi="Times New Roman" w:cs="Times New Roman"/>
          <w:sz w:val="24"/>
          <w:szCs w:val="24"/>
        </w:rPr>
        <w:t>,</w:t>
      </w:r>
    </w:p>
    <w:p w14:paraId="7D36CFB1" w14:textId="323F1686" w:rsidR="00D155C2" w:rsidRPr="003049EB" w:rsidRDefault="004D7425" w:rsidP="000B190B">
      <w:pPr>
        <w:shd w:val="clear" w:color="auto" w:fill="FFFFFF"/>
        <w:spacing w:before="240" w:line="240" w:lineRule="auto"/>
        <w:jc w:val="both"/>
        <w:rPr>
          <w:rFonts w:ascii="Times New Roman" w:hAnsi="Times New Roman" w:cs="Times New Roman"/>
          <w:sz w:val="24"/>
          <w:szCs w:val="24"/>
        </w:rPr>
      </w:pPr>
      <w:r>
        <w:rPr>
          <w:rStyle w:val="cursor-pointer"/>
          <w:rFonts w:ascii="Times New Roman" w:eastAsiaTheme="minorEastAsia" w:hAnsi="Times New Roman" w:cs="Times New Roman"/>
          <w:sz w:val="24"/>
          <w:szCs w:val="24"/>
        </w:rPr>
        <w:t xml:space="preserve">                                                          </w:t>
      </w:r>
      <m:oMath>
        <m:r>
          <w:rPr>
            <w:rStyle w:val="cursor-pointer"/>
            <w:rFonts w:ascii="Cambria Math" w:hAnsi="Cambria Math" w:cs="Times New Roman"/>
            <w:sz w:val="24"/>
            <w:szCs w:val="24"/>
          </w:rPr>
          <m:t xml:space="preserve">s(E)= </m:t>
        </m:r>
        <m:rad>
          <m:radPr>
            <m:degHide m:val="1"/>
            <m:ctrlPr>
              <w:rPr>
                <w:rStyle w:val="cursor-pointer"/>
                <w:rFonts w:ascii="Cambria Math" w:hAnsi="Cambria Math" w:cs="Times New Roman"/>
                <w:i/>
                <w:sz w:val="24"/>
                <w:szCs w:val="24"/>
              </w:rPr>
            </m:ctrlPr>
          </m:radPr>
          <m:deg/>
          <m:e>
            <m:f>
              <m:fPr>
                <m:ctrlPr>
                  <w:rPr>
                    <w:rStyle w:val="cursor-pointer"/>
                    <w:rFonts w:ascii="Cambria Math" w:hAnsi="Cambria Math" w:cs="Times New Roman"/>
                    <w:i/>
                    <w:sz w:val="24"/>
                    <w:szCs w:val="24"/>
                  </w:rPr>
                </m:ctrlPr>
              </m:fPr>
              <m:num>
                <m:r>
                  <w:rPr>
                    <w:rStyle w:val="cursor-pointer"/>
                    <w:rFonts w:ascii="Cambria Math" w:hAnsi="Cambria Math" w:cs="Times New Roman"/>
                    <w:sz w:val="24"/>
                    <w:szCs w:val="24"/>
                  </w:rPr>
                  <m:t>1</m:t>
                </m:r>
              </m:num>
              <m:den>
                <m:r>
                  <w:rPr>
                    <w:rStyle w:val="cursor-pointer"/>
                    <w:rFonts w:ascii="Cambria Math" w:hAnsi="Cambria Math" w:cs="Times New Roman"/>
                    <w:sz w:val="24"/>
                    <w:szCs w:val="24"/>
                  </w:rPr>
                  <m:t>n-1</m:t>
                </m:r>
              </m:den>
            </m:f>
          </m:e>
        </m:rad>
        <m:nary>
          <m:naryPr>
            <m:chr m:val="∑"/>
            <m:limLoc m:val="undOvr"/>
            <m:ctrlPr>
              <w:rPr>
                <w:rStyle w:val="cursor-pointer"/>
                <w:rFonts w:ascii="Cambria Math" w:hAnsi="Cambria Math" w:cs="Times New Roman"/>
                <w:i/>
                <w:sz w:val="24"/>
                <w:szCs w:val="24"/>
              </w:rPr>
            </m:ctrlPr>
          </m:naryPr>
          <m:sub>
            <m:r>
              <w:rPr>
                <w:rStyle w:val="cursor-pointer"/>
                <w:rFonts w:ascii="Cambria Math" w:hAnsi="Cambria Math" w:cs="Times New Roman"/>
                <w:sz w:val="24"/>
                <w:szCs w:val="24"/>
              </w:rPr>
              <m:t>i=1</m:t>
            </m:r>
          </m:sub>
          <m:sup>
            <m:r>
              <w:rPr>
                <w:rStyle w:val="cursor-pointer"/>
                <w:rFonts w:ascii="Cambria Math" w:hAnsi="Cambria Math" w:cs="Times New Roman"/>
                <w:sz w:val="24"/>
                <w:szCs w:val="24"/>
              </w:rPr>
              <m:t>n</m:t>
            </m:r>
          </m:sup>
          <m:e>
            <m:sSup>
              <m:sSupPr>
                <m:ctrlPr>
                  <w:rPr>
                    <w:rStyle w:val="cursor-pointer"/>
                    <w:rFonts w:ascii="Cambria Math" w:hAnsi="Cambria Math" w:cs="Times New Roman"/>
                    <w:i/>
                    <w:sz w:val="24"/>
                    <w:szCs w:val="24"/>
                  </w:rPr>
                </m:ctrlPr>
              </m:sSupPr>
              <m:e>
                <m:d>
                  <m:dPr>
                    <m:ctrlPr>
                      <w:rPr>
                        <w:rStyle w:val="cursor-pointer"/>
                        <w:rFonts w:ascii="Cambria Math" w:hAnsi="Cambria Math" w:cs="Times New Roman"/>
                        <w:i/>
                        <w:sz w:val="24"/>
                        <w:szCs w:val="24"/>
                      </w:rPr>
                    </m:ctrlPr>
                  </m:dPr>
                  <m:e>
                    <m:sSub>
                      <m:sSubPr>
                        <m:ctrlPr>
                          <w:rPr>
                            <w:rStyle w:val="cursor-pointer"/>
                            <w:rFonts w:ascii="Cambria Math" w:hAnsi="Cambria Math" w:cs="Times New Roman"/>
                            <w:i/>
                            <w:sz w:val="24"/>
                            <w:szCs w:val="24"/>
                          </w:rPr>
                        </m:ctrlPr>
                      </m:sSubPr>
                      <m:e>
                        <m:r>
                          <w:rPr>
                            <w:rStyle w:val="cursor-pointer"/>
                            <w:rFonts w:ascii="Cambria Math" w:hAnsi="Cambria Math" w:cs="Times New Roman"/>
                            <w:sz w:val="24"/>
                            <w:szCs w:val="24"/>
                          </w:rPr>
                          <m:t>E</m:t>
                        </m:r>
                      </m:e>
                      <m:sub>
                        <m:r>
                          <w:rPr>
                            <w:rStyle w:val="cursor-pointer"/>
                            <w:rFonts w:ascii="Cambria Math" w:hAnsi="Cambria Math" w:cs="Times New Roman"/>
                            <w:sz w:val="24"/>
                            <w:szCs w:val="24"/>
                          </w:rPr>
                          <m:t>i</m:t>
                        </m:r>
                      </m:sub>
                    </m:sSub>
                    <m:r>
                      <w:rPr>
                        <w:rStyle w:val="cursor-pointer"/>
                        <w:rFonts w:ascii="Cambria Math" w:hAnsi="Cambria Math" w:cs="Times New Roman"/>
                        <w:sz w:val="24"/>
                        <w:szCs w:val="24"/>
                      </w:rPr>
                      <m:t>-</m:t>
                    </m:r>
                    <m:acc>
                      <m:accPr>
                        <m:chr m:val="̅"/>
                        <m:ctrlPr>
                          <w:rPr>
                            <w:rStyle w:val="cursor-pointer"/>
                            <w:rFonts w:ascii="Cambria Math" w:hAnsi="Cambria Math" w:cs="Times New Roman"/>
                            <w:i/>
                            <w:sz w:val="24"/>
                            <w:szCs w:val="24"/>
                          </w:rPr>
                        </m:ctrlPr>
                      </m:accPr>
                      <m:e>
                        <m:r>
                          <w:rPr>
                            <w:rStyle w:val="cursor-pointer"/>
                            <w:rFonts w:ascii="Cambria Math" w:hAnsi="Cambria Math" w:cs="Times New Roman"/>
                            <w:sz w:val="24"/>
                            <w:szCs w:val="24"/>
                          </w:rPr>
                          <m:t>E</m:t>
                        </m:r>
                      </m:e>
                    </m:acc>
                  </m:e>
                </m:d>
              </m:e>
              <m:sup>
                <m:r>
                  <w:rPr>
                    <w:rStyle w:val="cursor-pointer"/>
                    <w:rFonts w:ascii="Cambria Math" w:hAnsi="Cambria Math" w:cs="Times New Roman"/>
                    <w:sz w:val="24"/>
                    <w:szCs w:val="24"/>
                  </w:rPr>
                  <m:t>2</m:t>
                </m:r>
              </m:sup>
            </m:sSup>
          </m:e>
        </m:nary>
      </m:oMath>
    </w:p>
    <w:p w14:paraId="1844EAD0" w14:textId="77777777" w:rsidR="00511C32" w:rsidRDefault="00511C32" w:rsidP="000B190B">
      <w:pPr>
        <w:shd w:val="clear" w:color="auto" w:fill="FFFFFF"/>
        <w:spacing w:before="240" w:line="240" w:lineRule="auto"/>
        <w:jc w:val="both"/>
        <w:rPr>
          <w:rFonts w:ascii="Times New Roman" w:hAnsi="Times New Roman" w:cs="Times New Roman"/>
          <w:b/>
          <w:bCs/>
          <w:sz w:val="24"/>
          <w:szCs w:val="24"/>
        </w:rPr>
      </w:pPr>
    </w:p>
    <w:p w14:paraId="41A048C7" w14:textId="719FBDE5" w:rsidR="0031310E" w:rsidRPr="00D155C2" w:rsidRDefault="0031310E" w:rsidP="000B190B">
      <w:pPr>
        <w:shd w:val="clear" w:color="auto" w:fill="FFFFFF"/>
        <w:spacing w:before="240" w:line="240" w:lineRule="auto"/>
        <w:jc w:val="both"/>
        <w:rPr>
          <w:rFonts w:ascii="Times New Roman" w:hAnsi="Times New Roman" w:cs="Times New Roman"/>
          <w:b/>
          <w:bCs/>
          <w:sz w:val="24"/>
          <w:szCs w:val="24"/>
        </w:rPr>
      </w:pPr>
      <w:r w:rsidRPr="00D155C2">
        <w:rPr>
          <w:rFonts w:ascii="Times New Roman" w:hAnsi="Times New Roman" w:cs="Times New Roman"/>
          <w:b/>
          <w:bCs/>
          <w:sz w:val="24"/>
          <w:szCs w:val="24"/>
        </w:rPr>
        <w:t xml:space="preserve">Post-Calibration Procedures </w:t>
      </w:r>
    </w:p>
    <w:p w14:paraId="06F10333" w14:textId="77777777" w:rsidR="00D155C2" w:rsidRDefault="0031310E" w:rsidP="000B190B">
      <w:pPr>
        <w:shd w:val="clear" w:color="auto" w:fill="FFFFFF"/>
        <w:spacing w:before="240" w:line="240" w:lineRule="auto"/>
        <w:jc w:val="both"/>
        <w:rPr>
          <w:rFonts w:ascii="Times New Roman" w:hAnsi="Times New Roman" w:cs="Times New Roman"/>
          <w:sz w:val="24"/>
          <w:szCs w:val="24"/>
        </w:rPr>
      </w:pPr>
      <w:r w:rsidRPr="00D155C2">
        <w:rPr>
          <w:rStyle w:val="cursor-pointer"/>
          <w:rFonts w:ascii="Times New Roman" w:hAnsi="Times New Roman" w:cs="Times New Roman"/>
          <w:b/>
          <w:bCs/>
          <w:sz w:val="24"/>
          <w:szCs w:val="24"/>
        </w:rPr>
        <w:t>Documentation and Certificate Generation</w:t>
      </w:r>
      <w:r w:rsidR="00D155C2">
        <w:rPr>
          <w:rStyle w:val="cursor-pointer"/>
          <w:rFonts w:ascii="Times New Roman" w:hAnsi="Times New Roman" w:cs="Times New Roman"/>
          <w:b/>
          <w:bCs/>
          <w:sz w:val="24"/>
          <w:szCs w:val="24"/>
        </w:rPr>
        <w:t>:</w:t>
      </w:r>
      <w:r w:rsidRPr="00D155C2">
        <w:rPr>
          <w:rStyle w:val="cursor-pointer"/>
        </w:rPr>
        <w:t xml:space="preserve"> </w:t>
      </w:r>
      <w:r w:rsidRPr="003049EB">
        <w:rPr>
          <w:rStyle w:val="cursor-pointer"/>
          <w:rFonts w:ascii="Times New Roman" w:hAnsi="Times New Roman" w:cs="Times New Roman"/>
          <w:sz w:val="24"/>
          <w:szCs w:val="24"/>
        </w:rPr>
        <w:t>The results of the calibration are immediate:</w:t>
      </w:r>
      <w:r w:rsidRPr="003049EB">
        <w:rPr>
          <w:rFonts w:ascii="Times New Roman" w:hAnsi="Times New Roman" w:cs="Times New Roman"/>
          <w:sz w:val="24"/>
          <w:szCs w:val="24"/>
        </w:rPr>
        <w:t xml:space="preserve"> </w:t>
      </w:r>
    </w:p>
    <w:p w14:paraId="16A58305" w14:textId="552C20EA" w:rsidR="00D155C2" w:rsidRPr="00D155C2" w:rsidRDefault="0031310E" w:rsidP="00D7191A">
      <w:pPr>
        <w:pStyle w:val="ListParagraph"/>
        <w:numPr>
          <w:ilvl w:val="1"/>
          <w:numId w:val="7"/>
        </w:numPr>
        <w:shd w:val="clear" w:color="auto" w:fill="FFFFFF"/>
        <w:spacing w:before="240" w:line="240" w:lineRule="auto"/>
        <w:jc w:val="both"/>
        <w:rPr>
          <w:rFonts w:ascii="Times New Roman" w:hAnsi="Times New Roman" w:cs="Times New Roman"/>
          <w:sz w:val="24"/>
          <w:szCs w:val="24"/>
        </w:rPr>
      </w:pPr>
      <w:r w:rsidRPr="00D155C2">
        <w:rPr>
          <w:rStyle w:val="cursor-pointer"/>
          <w:rFonts w:ascii="Times New Roman" w:hAnsi="Times New Roman" w:cs="Times New Roman"/>
          <w:sz w:val="24"/>
          <w:szCs w:val="24"/>
        </w:rPr>
        <w:t>Raw data worksheet (sign and date by the technician)</w:t>
      </w:r>
      <w:r w:rsidRPr="00D155C2">
        <w:rPr>
          <w:rFonts w:ascii="Times New Roman" w:hAnsi="Times New Roman" w:cs="Times New Roman"/>
          <w:sz w:val="24"/>
          <w:szCs w:val="24"/>
        </w:rPr>
        <w:t xml:space="preserve"> </w:t>
      </w:r>
    </w:p>
    <w:p w14:paraId="269A9B31" w14:textId="50F5D300" w:rsidR="00D155C2" w:rsidRPr="00D155C2" w:rsidRDefault="0031310E" w:rsidP="00D7191A">
      <w:pPr>
        <w:pStyle w:val="ListParagraph"/>
        <w:numPr>
          <w:ilvl w:val="1"/>
          <w:numId w:val="7"/>
        </w:numPr>
        <w:shd w:val="clear" w:color="auto" w:fill="FFFFFF"/>
        <w:spacing w:before="240" w:line="240" w:lineRule="auto"/>
        <w:jc w:val="both"/>
        <w:rPr>
          <w:rFonts w:ascii="Times New Roman" w:hAnsi="Times New Roman" w:cs="Times New Roman"/>
          <w:sz w:val="24"/>
          <w:szCs w:val="24"/>
        </w:rPr>
      </w:pPr>
      <w:r w:rsidRPr="00D155C2">
        <w:rPr>
          <w:rStyle w:val="cursor-pointer"/>
          <w:rFonts w:ascii="Times New Roman" w:hAnsi="Times New Roman" w:cs="Times New Roman"/>
          <w:sz w:val="24"/>
          <w:szCs w:val="24"/>
        </w:rPr>
        <w:t>Calibration certificate (in accordance with ILAC P14 requirements [17])</w:t>
      </w:r>
      <w:r w:rsidRPr="00D155C2">
        <w:rPr>
          <w:rFonts w:ascii="Times New Roman" w:hAnsi="Times New Roman" w:cs="Times New Roman"/>
          <w:sz w:val="24"/>
          <w:szCs w:val="24"/>
        </w:rPr>
        <w:t xml:space="preserve"> </w:t>
      </w:r>
    </w:p>
    <w:p w14:paraId="1FE3BBE1" w14:textId="094C1302" w:rsidR="0031310E" w:rsidRPr="00D155C2" w:rsidRDefault="0031310E" w:rsidP="00D7191A">
      <w:pPr>
        <w:pStyle w:val="ListParagraph"/>
        <w:numPr>
          <w:ilvl w:val="1"/>
          <w:numId w:val="7"/>
        </w:numPr>
        <w:shd w:val="clear" w:color="auto" w:fill="FFFFFF"/>
        <w:spacing w:before="240" w:line="240" w:lineRule="auto"/>
        <w:jc w:val="both"/>
        <w:rPr>
          <w:rFonts w:ascii="Times New Roman" w:hAnsi="Times New Roman" w:cs="Times New Roman"/>
          <w:sz w:val="24"/>
          <w:szCs w:val="24"/>
        </w:rPr>
      </w:pPr>
      <w:r w:rsidRPr="00D155C2">
        <w:rPr>
          <w:rStyle w:val="cursor-pointer"/>
          <w:rFonts w:ascii="Times New Roman" w:hAnsi="Times New Roman" w:cs="Times New Roman"/>
          <w:sz w:val="24"/>
          <w:szCs w:val="24"/>
        </w:rPr>
        <w:t>Calibration label (with date due, technician ID, certificate number)</w:t>
      </w:r>
      <w:r w:rsidRPr="00D155C2">
        <w:rPr>
          <w:rFonts w:ascii="Times New Roman" w:hAnsi="Times New Roman" w:cs="Times New Roman"/>
          <w:sz w:val="24"/>
          <w:szCs w:val="24"/>
        </w:rPr>
        <w:t xml:space="preserve"> </w:t>
      </w:r>
    </w:p>
    <w:p w14:paraId="60520E18" w14:textId="22F069A1" w:rsidR="0031310E" w:rsidRPr="003049EB" w:rsidRDefault="0031310E" w:rsidP="000B190B">
      <w:pPr>
        <w:shd w:val="clear" w:color="auto" w:fill="FFFFFF"/>
        <w:spacing w:before="240" w:line="240" w:lineRule="auto"/>
        <w:jc w:val="both"/>
        <w:rPr>
          <w:rFonts w:ascii="Times New Roman" w:hAnsi="Times New Roman" w:cs="Times New Roman"/>
          <w:sz w:val="24"/>
          <w:szCs w:val="24"/>
        </w:rPr>
      </w:pPr>
      <w:r w:rsidRPr="00D155C2">
        <w:rPr>
          <w:rFonts w:ascii="Times New Roman" w:hAnsi="Times New Roman" w:cs="Times New Roman"/>
          <w:b/>
          <w:bCs/>
          <w:sz w:val="24"/>
          <w:szCs w:val="24"/>
        </w:rPr>
        <w:lastRenderedPageBreak/>
        <w:t>Post-Calibration Verification</w:t>
      </w:r>
      <w:r w:rsidR="00D155C2">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adjusted devices are checked in a post-calibration check: a single measurement at a previously calibrated point is repeated after 30 minutes of operation.</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outcome should concur in the published measurement uncertainty.</w:t>
      </w:r>
      <w:r w:rsidRPr="003049EB">
        <w:rPr>
          <w:rFonts w:ascii="Times New Roman" w:hAnsi="Times New Roman" w:cs="Times New Roman"/>
          <w:sz w:val="24"/>
          <w:szCs w:val="24"/>
        </w:rPr>
        <w:t xml:space="preserve"> </w:t>
      </w:r>
    </w:p>
    <w:p w14:paraId="739B0A5F" w14:textId="7EBFC05D" w:rsidR="00511C32" w:rsidRDefault="0031310E" w:rsidP="000B190B">
      <w:pPr>
        <w:shd w:val="clear" w:color="auto" w:fill="FFFFFF"/>
        <w:spacing w:before="240" w:line="240" w:lineRule="auto"/>
        <w:jc w:val="both"/>
        <w:rPr>
          <w:rStyle w:val="cursor-pointer"/>
          <w:rFonts w:ascii="Times New Roman" w:hAnsi="Times New Roman" w:cs="Times New Roman"/>
          <w:sz w:val="24"/>
          <w:szCs w:val="24"/>
        </w:rPr>
      </w:pPr>
      <w:r w:rsidRPr="002B72FB">
        <w:rPr>
          <w:rFonts w:ascii="Times New Roman" w:hAnsi="Times New Roman" w:cs="Times New Roman"/>
          <w:b/>
          <w:bCs/>
          <w:sz w:val="24"/>
          <w:szCs w:val="24"/>
        </w:rPr>
        <w:t>Labeling and Return</w:t>
      </w:r>
      <w:r w:rsidR="002B72FB">
        <w:rPr>
          <w:rStyle w:val="cursor-pointer"/>
        </w:rPr>
        <w:t>:</w:t>
      </w:r>
      <w:r w:rsidRPr="002B72FB">
        <w:rPr>
          <w:rStyle w:val="cursor-pointer"/>
        </w:rPr>
        <w:t xml:space="preserve"> </w:t>
      </w:r>
      <w:r w:rsidRPr="003049EB">
        <w:rPr>
          <w:rStyle w:val="cursor-pointer"/>
          <w:rFonts w:ascii="Times New Roman" w:hAnsi="Times New Roman" w:cs="Times New Roman"/>
          <w:sz w:val="24"/>
          <w:szCs w:val="24"/>
        </w:rPr>
        <w:t>The device is calibrated by attaching a calibration label in a non-interfering area, and then cleaned, packed and sent back to the customer with the certificate.</w:t>
      </w:r>
    </w:p>
    <w:p w14:paraId="4E29008E" w14:textId="1D439949" w:rsidR="002B72FB" w:rsidRDefault="00511C32" w:rsidP="000B190B">
      <w:pPr>
        <w:shd w:val="clear" w:color="auto" w:fill="FFFFFF"/>
        <w:spacing w:before="240" w:line="240" w:lineRule="auto"/>
        <w:jc w:val="both"/>
        <w:rPr>
          <w:rStyle w:val="cursor-pointer"/>
          <w:rFonts w:ascii="Times New Roman" w:hAnsi="Times New Roman" w:cs="Times New Roman"/>
          <w:sz w:val="24"/>
          <w:szCs w:val="24"/>
        </w:rPr>
      </w:pPr>
      <w:r w:rsidRPr="003049EB">
        <w:rPr>
          <w:rFonts w:ascii="Times New Roman" w:hAnsi="Times New Roman" w:cs="Times New Roman"/>
          <w:noProof/>
          <w:sz w:val="24"/>
          <w:szCs w:val="24"/>
          <w:lang w:val="en-IN" w:eastAsia="en-IN"/>
        </w:rPr>
        <w:drawing>
          <wp:inline distT="0" distB="0" distL="0" distR="0" wp14:anchorId="3DE1B633" wp14:editId="6600BDAE">
            <wp:extent cx="6753223" cy="49860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7610" cy="5011457"/>
                    </a:xfrm>
                    <a:prstGeom prst="rect">
                      <a:avLst/>
                    </a:prstGeom>
                    <a:noFill/>
                    <a:ln>
                      <a:noFill/>
                    </a:ln>
                  </pic:spPr>
                </pic:pic>
              </a:graphicData>
            </a:graphic>
          </wp:inline>
        </w:drawing>
      </w:r>
    </w:p>
    <w:p w14:paraId="49E08199" w14:textId="455C55C5" w:rsidR="000E08E0" w:rsidRPr="00B347AC" w:rsidRDefault="000E08E0" w:rsidP="00511C32">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Figure 3: Complete calibration workflow for Biomedical Equipment</w:t>
      </w:r>
    </w:p>
    <w:p w14:paraId="438F2E55" w14:textId="321E2D15" w:rsidR="00B347AC" w:rsidRPr="00B347AC" w:rsidRDefault="002B72FB"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2B72FB">
        <w:rPr>
          <w:rFonts w:ascii="Times New Roman" w:eastAsia="Times New Roman" w:hAnsi="Times New Roman" w:cs="Times New Roman"/>
          <w:b/>
          <w:bCs/>
          <w:color w:val="0F1115"/>
          <w:sz w:val="28"/>
          <w:szCs w:val="28"/>
        </w:rPr>
        <w:t>MEASUREMENT UNCERTAINTY</w:t>
      </w:r>
    </w:p>
    <w:p w14:paraId="4851B154" w14:textId="77777777" w:rsidR="00EF3BA1"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Measurement uncertainty is a value that quantifies uncertainty with regard to the result.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According to ISO/IEC 17025, the laboratories are required to assess the uncertainty of all the calibrations where applicable and the uncertainty in relation to the conformity to specifications [1].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internationally recognized framework [24] is provided by the Guide to the Expression of Uncertainty in Measurement (GUM).</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Table 3 is a detailed uncertainty budget template to use in biomedical calibration.</w:t>
      </w:r>
      <w:r w:rsidRPr="003049EB">
        <w:rPr>
          <w:rFonts w:ascii="Times New Roman" w:hAnsi="Times New Roman" w:cs="Times New Roman"/>
          <w:sz w:val="24"/>
          <w:szCs w:val="24"/>
        </w:rPr>
        <w:t xml:space="preserve"> </w:t>
      </w:r>
    </w:p>
    <w:p w14:paraId="4DF90B49" w14:textId="68E22FD3" w:rsidR="00B347AC" w:rsidRPr="00B347AC"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Table 3: Typical Measurement Uncertainty Budget of Biomedical Calibration (Example- Infusion Pump at 100 mL/h)</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20"/>
        <w:gridCol w:w="900"/>
        <w:gridCol w:w="1080"/>
        <w:gridCol w:w="1710"/>
        <w:gridCol w:w="1080"/>
        <w:gridCol w:w="1530"/>
        <w:gridCol w:w="1440"/>
        <w:gridCol w:w="1170"/>
      </w:tblGrid>
      <w:tr w:rsidR="002B72FB" w:rsidRPr="00B347AC" w14:paraId="6DF211AA" w14:textId="77777777" w:rsidTr="00511C32">
        <w:trPr>
          <w:cantSplit/>
          <w:trHeight w:val="1551"/>
          <w:tblHeader/>
        </w:trPr>
        <w:tc>
          <w:tcPr>
            <w:tcW w:w="1620" w:type="dxa"/>
            <w:tcBorders>
              <w:top w:val="nil"/>
            </w:tcBorders>
            <w:tcMar>
              <w:top w:w="150" w:type="dxa"/>
              <w:left w:w="0" w:type="dxa"/>
              <w:bottom w:w="150" w:type="dxa"/>
              <w:right w:w="240" w:type="dxa"/>
            </w:tcMar>
            <w:textDirection w:val="btLr"/>
            <w:vAlign w:val="center"/>
            <w:hideMark/>
          </w:tcPr>
          <w:p w14:paraId="6632DEC9"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lastRenderedPageBreak/>
              <w:t>Uncertainty Source</w:t>
            </w:r>
          </w:p>
        </w:tc>
        <w:tc>
          <w:tcPr>
            <w:tcW w:w="900" w:type="dxa"/>
            <w:tcBorders>
              <w:top w:val="nil"/>
            </w:tcBorders>
            <w:tcMar>
              <w:top w:w="150" w:type="dxa"/>
              <w:left w:w="240" w:type="dxa"/>
              <w:bottom w:w="150" w:type="dxa"/>
              <w:right w:w="240" w:type="dxa"/>
            </w:tcMar>
            <w:textDirection w:val="btLr"/>
            <w:vAlign w:val="center"/>
            <w:hideMark/>
          </w:tcPr>
          <w:p w14:paraId="4899BB1B"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Type</w:t>
            </w:r>
          </w:p>
        </w:tc>
        <w:tc>
          <w:tcPr>
            <w:tcW w:w="1080" w:type="dxa"/>
            <w:tcBorders>
              <w:top w:val="nil"/>
            </w:tcBorders>
            <w:tcMar>
              <w:top w:w="150" w:type="dxa"/>
              <w:left w:w="240" w:type="dxa"/>
              <w:bottom w:w="150" w:type="dxa"/>
              <w:right w:w="240" w:type="dxa"/>
            </w:tcMar>
            <w:textDirection w:val="btLr"/>
            <w:vAlign w:val="center"/>
            <w:hideMark/>
          </w:tcPr>
          <w:p w14:paraId="4CABDED6"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Value (±)</w:t>
            </w:r>
          </w:p>
        </w:tc>
        <w:tc>
          <w:tcPr>
            <w:tcW w:w="1710" w:type="dxa"/>
            <w:tcBorders>
              <w:top w:val="nil"/>
            </w:tcBorders>
            <w:tcMar>
              <w:top w:w="150" w:type="dxa"/>
              <w:left w:w="240" w:type="dxa"/>
              <w:bottom w:w="150" w:type="dxa"/>
              <w:right w:w="240" w:type="dxa"/>
            </w:tcMar>
            <w:textDirection w:val="btLr"/>
            <w:vAlign w:val="center"/>
            <w:hideMark/>
          </w:tcPr>
          <w:p w14:paraId="7890A463"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Probability Distribution</w:t>
            </w:r>
          </w:p>
        </w:tc>
        <w:tc>
          <w:tcPr>
            <w:tcW w:w="1080" w:type="dxa"/>
            <w:tcBorders>
              <w:top w:val="nil"/>
            </w:tcBorders>
            <w:tcMar>
              <w:top w:w="150" w:type="dxa"/>
              <w:left w:w="240" w:type="dxa"/>
              <w:bottom w:w="150" w:type="dxa"/>
              <w:right w:w="240" w:type="dxa"/>
            </w:tcMar>
            <w:textDirection w:val="btLr"/>
            <w:vAlign w:val="center"/>
            <w:hideMark/>
          </w:tcPr>
          <w:p w14:paraId="5FFF5257"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Divisor</w:t>
            </w:r>
          </w:p>
        </w:tc>
        <w:tc>
          <w:tcPr>
            <w:tcW w:w="1530" w:type="dxa"/>
            <w:tcBorders>
              <w:top w:val="nil"/>
            </w:tcBorders>
            <w:tcMar>
              <w:top w:w="150" w:type="dxa"/>
              <w:left w:w="240" w:type="dxa"/>
              <w:bottom w:w="150" w:type="dxa"/>
              <w:right w:w="240" w:type="dxa"/>
            </w:tcMar>
            <w:textDirection w:val="btLr"/>
            <w:vAlign w:val="center"/>
            <w:hideMark/>
          </w:tcPr>
          <w:p w14:paraId="6106AE7E"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Standard Uncertainty (mL/h)</w:t>
            </w:r>
          </w:p>
        </w:tc>
        <w:tc>
          <w:tcPr>
            <w:tcW w:w="1440" w:type="dxa"/>
            <w:tcBorders>
              <w:top w:val="nil"/>
            </w:tcBorders>
            <w:tcMar>
              <w:top w:w="150" w:type="dxa"/>
              <w:left w:w="240" w:type="dxa"/>
              <w:bottom w:w="150" w:type="dxa"/>
              <w:right w:w="240" w:type="dxa"/>
            </w:tcMar>
            <w:textDirection w:val="btLr"/>
            <w:vAlign w:val="center"/>
            <w:hideMark/>
          </w:tcPr>
          <w:p w14:paraId="5860FE46"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Sensitivity Coefficient</w:t>
            </w:r>
          </w:p>
        </w:tc>
        <w:tc>
          <w:tcPr>
            <w:tcW w:w="1170" w:type="dxa"/>
            <w:tcBorders>
              <w:top w:val="nil"/>
            </w:tcBorders>
            <w:tcMar>
              <w:top w:w="150" w:type="dxa"/>
              <w:left w:w="240" w:type="dxa"/>
              <w:bottom w:w="150" w:type="dxa"/>
              <w:right w:w="240" w:type="dxa"/>
            </w:tcMar>
            <w:textDirection w:val="btLr"/>
            <w:vAlign w:val="center"/>
            <w:hideMark/>
          </w:tcPr>
          <w:p w14:paraId="1C07AFDA" w14:textId="77777777" w:rsidR="00B347AC" w:rsidRPr="00B347AC" w:rsidRDefault="00B347AC" w:rsidP="00511C32">
            <w:pPr>
              <w:spacing w:after="0" w:line="240" w:lineRule="auto"/>
              <w:ind w:left="113"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Contribution (mL/h)</w:t>
            </w:r>
          </w:p>
        </w:tc>
      </w:tr>
      <w:tr w:rsidR="002B72FB" w:rsidRPr="00B347AC" w14:paraId="6675A577" w14:textId="77777777" w:rsidTr="00511C32">
        <w:tc>
          <w:tcPr>
            <w:tcW w:w="1620" w:type="dxa"/>
            <w:tcMar>
              <w:top w:w="150" w:type="dxa"/>
              <w:left w:w="0" w:type="dxa"/>
              <w:bottom w:w="150" w:type="dxa"/>
              <w:right w:w="240" w:type="dxa"/>
            </w:tcMar>
            <w:vAlign w:val="center"/>
            <w:hideMark/>
          </w:tcPr>
          <w:p w14:paraId="7A9C8DEE"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Reference standard</w:t>
            </w:r>
          </w:p>
        </w:tc>
        <w:tc>
          <w:tcPr>
            <w:tcW w:w="900" w:type="dxa"/>
            <w:tcMar>
              <w:top w:w="150" w:type="dxa"/>
              <w:left w:w="240" w:type="dxa"/>
              <w:bottom w:w="150" w:type="dxa"/>
              <w:right w:w="240" w:type="dxa"/>
            </w:tcMar>
            <w:vAlign w:val="center"/>
            <w:hideMark/>
          </w:tcPr>
          <w:p w14:paraId="62FDE84F"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w:t>
            </w:r>
          </w:p>
        </w:tc>
        <w:tc>
          <w:tcPr>
            <w:tcW w:w="1080" w:type="dxa"/>
            <w:tcMar>
              <w:top w:w="150" w:type="dxa"/>
              <w:left w:w="240" w:type="dxa"/>
              <w:bottom w:w="150" w:type="dxa"/>
              <w:right w:w="240" w:type="dxa"/>
            </w:tcMar>
            <w:vAlign w:val="center"/>
            <w:hideMark/>
          </w:tcPr>
          <w:p w14:paraId="41C5FA7D"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0.30 mL/h</w:t>
            </w:r>
          </w:p>
        </w:tc>
        <w:tc>
          <w:tcPr>
            <w:tcW w:w="1710" w:type="dxa"/>
            <w:tcMar>
              <w:top w:w="150" w:type="dxa"/>
              <w:left w:w="240" w:type="dxa"/>
              <w:bottom w:w="150" w:type="dxa"/>
              <w:right w:w="240" w:type="dxa"/>
            </w:tcMar>
            <w:vAlign w:val="center"/>
            <w:hideMark/>
          </w:tcPr>
          <w:p w14:paraId="63275471"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Normal</w:t>
            </w:r>
          </w:p>
        </w:tc>
        <w:tc>
          <w:tcPr>
            <w:tcW w:w="1080" w:type="dxa"/>
            <w:tcMar>
              <w:top w:w="150" w:type="dxa"/>
              <w:left w:w="240" w:type="dxa"/>
              <w:bottom w:w="150" w:type="dxa"/>
              <w:right w:w="240" w:type="dxa"/>
            </w:tcMar>
            <w:vAlign w:val="center"/>
            <w:hideMark/>
          </w:tcPr>
          <w:p w14:paraId="76DF5461"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2</w:t>
            </w:r>
          </w:p>
        </w:tc>
        <w:tc>
          <w:tcPr>
            <w:tcW w:w="1530" w:type="dxa"/>
            <w:tcMar>
              <w:top w:w="150" w:type="dxa"/>
              <w:left w:w="240" w:type="dxa"/>
              <w:bottom w:w="150" w:type="dxa"/>
              <w:right w:w="240" w:type="dxa"/>
            </w:tcMar>
            <w:vAlign w:val="center"/>
            <w:hideMark/>
          </w:tcPr>
          <w:p w14:paraId="70B50B91"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0.150</w:t>
            </w:r>
          </w:p>
        </w:tc>
        <w:tc>
          <w:tcPr>
            <w:tcW w:w="1440" w:type="dxa"/>
            <w:tcMar>
              <w:top w:w="150" w:type="dxa"/>
              <w:left w:w="240" w:type="dxa"/>
              <w:bottom w:w="150" w:type="dxa"/>
              <w:right w:w="240" w:type="dxa"/>
            </w:tcMar>
            <w:vAlign w:val="center"/>
            <w:hideMark/>
          </w:tcPr>
          <w:p w14:paraId="6C899D1A"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765CF025"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0.150</w:t>
            </w:r>
          </w:p>
        </w:tc>
      </w:tr>
      <w:tr w:rsidR="002B72FB" w:rsidRPr="00B347AC" w14:paraId="7EC1121D" w14:textId="77777777" w:rsidTr="00511C32">
        <w:tc>
          <w:tcPr>
            <w:tcW w:w="1620" w:type="dxa"/>
            <w:tcMar>
              <w:top w:w="150" w:type="dxa"/>
              <w:left w:w="0" w:type="dxa"/>
              <w:bottom w:w="150" w:type="dxa"/>
              <w:right w:w="240" w:type="dxa"/>
            </w:tcMar>
            <w:vAlign w:val="center"/>
            <w:hideMark/>
          </w:tcPr>
          <w:p w14:paraId="4A59A0F8"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Repeatability (n=10)</w:t>
            </w:r>
          </w:p>
        </w:tc>
        <w:tc>
          <w:tcPr>
            <w:tcW w:w="900" w:type="dxa"/>
            <w:tcMar>
              <w:top w:w="150" w:type="dxa"/>
              <w:left w:w="240" w:type="dxa"/>
              <w:bottom w:w="150" w:type="dxa"/>
              <w:right w:w="240" w:type="dxa"/>
            </w:tcMar>
            <w:vAlign w:val="center"/>
            <w:hideMark/>
          </w:tcPr>
          <w:p w14:paraId="6B8122A8"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w:t>
            </w:r>
          </w:p>
        </w:tc>
        <w:tc>
          <w:tcPr>
            <w:tcW w:w="1080" w:type="dxa"/>
            <w:tcMar>
              <w:top w:w="150" w:type="dxa"/>
              <w:left w:w="240" w:type="dxa"/>
              <w:bottom w:w="150" w:type="dxa"/>
              <w:right w:w="240" w:type="dxa"/>
            </w:tcMar>
            <w:vAlign w:val="center"/>
            <w:hideMark/>
          </w:tcPr>
          <w:p w14:paraId="541B7BB2"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0.28 mL/h</w:t>
            </w:r>
          </w:p>
        </w:tc>
        <w:tc>
          <w:tcPr>
            <w:tcW w:w="1710" w:type="dxa"/>
            <w:tcMar>
              <w:top w:w="150" w:type="dxa"/>
              <w:left w:w="240" w:type="dxa"/>
              <w:bottom w:w="150" w:type="dxa"/>
              <w:right w:w="240" w:type="dxa"/>
            </w:tcMar>
            <w:vAlign w:val="center"/>
            <w:hideMark/>
          </w:tcPr>
          <w:p w14:paraId="3D652E76"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Normal</w:t>
            </w:r>
          </w:p>
        </w:tc>
        <w:tc>
          <w:tcPr>
            <w:tcW w:w="1080" w:type="dxa"/>
            <w:tcMar>
              <w:top w:w="150" w:type="dxa"/>
              <w:left w:w="240" w:type="dxa"/>
              <w:bottom w:w="150" w:type="dxa"/>
              <w:right w:w="240" w:type="dxa"/>
            </w:tcMar>
            <w:vAlign w:val="center"/>
            <w:hideMark/>
          </w:tcPr>
          <w:p w14:paraId="6DB433B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w:t>
            </w:r>
          </w:p>
        </w:tc>
        <w:tc>
          <w:tcPr>
            <w:tcW w:w="1530" w:type="dxa"/>
            <w:tcMar>
              <w:top w:w="150" w:type="dxa"/>
              <w:left w:w="240" w:type="dxa"/>
              <w:bottom w:w="150" w:type="dxa"/>
              <w:right w:w="240" w:type="dxa"/>
            </w:tcMar>
            <w:vAlign w:val="center"/>
            <w:hideMark/>
          </w:tcPr>
          <w:p w14:paraId="352FEA7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0.280</w:t>
            </w:r>
          </w:p>
        </w:tc>
        <w:tc>
          <w:tcPr>
            <w:tcW w:w="1440" w:type="dxa"/>
            <w:tcMar>
              <w:top w:w="150" w:type="dxa"/>
              <w:left w:w="240" w:type="dxa"/>
              <w:bottom w:w="150" w:type="dxa"/>
              <w:right w:w="240" w:type="dxa"/>
            </w:tcMar>
            <w:vAlign w:val="center"/>
            <w:hideMark/>
          </w:tcPr>
          <w:p w14:paraId="0A419C23"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120FAF34"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0.280</w:t>
            </w:r>
          </w:p>
        </w:tc>
      </w:tr>
      <w:tr w:rsidR="002B72FB" w:rsidRPr="00B347AC" w14:paraId="42CDCD71" w14:textId="77777777" w:rsidTr="00511C32">
        <w:tc>
          <w:tcPr>
            <w:tcW w:w="1620" w:type="dxa"/>
            <w:tcMar>
              <w:top w:w="150" w:type="dxa"/>
              <w:left w:w="0" w:type="dxa"/>
              <w:bottom w:w="150" w:type="dxa"/>
              <w:right w:w="240" w:type="dxa"/>
            </w:tcMar>
            <w:vAlign w:val="center"/>
            <w:hideMark/>
          </w:tcPr>
          <w:p w14:paraId="4FE0D387"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DUT resolution</w:t>
            </w:r>
          </w:p>
        </w:tc>
        <w:tc>
          <w:tcPr>
            <w:tcW w:w="900" w:type="dxa"/>
            <w:tcMar>
              <w:top w:w="150" w:type="dxa"/>
              <w:left w:w="240" w:type="dxa"/>
              <w:bottom w:w="150" w:type="dxa"/>
              <w:right w:w="240" w:type="dxa"/>
            </w:tcMar>
            <w:vAlign w:val="center"/>
            <w:hideMark/>
          </w:tcPr>
          <w:p w14:paraId="7F1FB895"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w:t>
            </w:r>
          </w:p>
        </w:tc>
        <w:tc>
          <w:tcPr>
            <w:tcW w:w="1080" w:type="dxa"/>
            <w:tcMar>
              <w:top w:w="150" w:type="dxa"/>
              <w:left w:w="240" w:type="dxa"/>
              <w:bottom w:w="150" w:type="dxa"/>
              <w:right w:w="240" w:type="dxa"/>
            </w:tcMar>
            <w:vAlign w:val="center"/>
            <w:hideMark/>
          </w:tcPr>
          <w:p w14:paraId="7EF92476"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0.10 mL/h</w:t>
            </w:r>
          </w:p>
        </w:tc>
        <w:tc>
          <w:tcPr>
            <w:tcW w:w="1710" w:type="dxa"/>
            <w:tcMar>
              <w:top w:w="150" w:type="dxa"/>
              <w:left w:w="240" w:type="dxa"/>
              <w:bottom w:w="150" w:type="dxa"/>
              <w:right w:w="240" w:type="dxa"/>
            </w:tcMar>
            <w:vAlign w:val="center"/>
            <w:hideMark/>
          </w:tcPr>
          <w:p w14:paraId="36F8B848"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Rectangular</w:t>
            </w:r>
          </w:p>
        </w:tc>
        <w:tc>
          <w:tcPr>
            <w:tcW w:w="1080" w:type="dxa"/>
            <w:tcMar>
              <w:top w:w="150" w:type="dxa"/>
              <w:left w:w="240" w:type="dxa"/>
              <w:bottom w:w="150" w:type="dxa"/>
              <w:right w:w="240" w:type="dxa"/>
            </w:tcMar>
            <w:vAlign w:val="center"/>
            <w:hideMark/>
          </w:tcPr>
          <w:p w14:paraId="7EC26DE8"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w:t>
            </w:r>
          </w:p>
        </w:tc>
        <w:tc>
          <w:tcPr>
            <w:tcW w:w="1530" w:type="dxa"/>
            <w:tcMar>
              <w:top w:w="150" w:type="dxa"/>
              <w:left w:w="240" w:type="dxa"/>
              <w:bottom w:w="150" w:type="dxa"/>
              <w:right w:w="240" w:type="dxa"/>
            </w:tcMar>
            <w:vAlign w:val="center"/>
            <w:hideMark/>
          </w:tcPr>
          <w:p w14:paraId="03FF4FA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0.029</w:t>
            </w:r>
          </w:p>
        </w:tc>
        <w:tc>
          <w:tcPr>
            <w:tcW w:w="1440" w:type="dxa"/>
            <w:tcMar>
              <w:top w:w="150" w:type="dxa"/>
              <w:left w:w="240" w:type="dxa"/>
              <w:bottom w:w="150" w:type="dxa"/>
              <w:right w:w="240" w:type="dxa"/>
            </w:tcMar>
            <w:vAlign w:val="center"/>
            <w:hideMark/>
          </w:tcPr>
          <w:p w14:paraId="749E67CA"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7C00B933"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0.029</w:t>
            </w:r>
          </w:p>
        </w:tc>
      </w:tr>
      <w:tr w:rsidR="002B72FB" w:rsidRPr="00B347AC" w14:paraId="5E850425" w14:textId="77777777" w:rsidTr="00511C32">
        <w:tc>
          <w:tcPr>
            <w:tcW w:w="1620" w:type="dxa"/>
            <w:tcMar>
              <w:top w:w="150" w:type="dxa"/>
              <w:left w:w="0" w:type="dxa"/>
              <w:bottom w:w="150" w:type="dxa"/>
              <w:right w:w="240" w:type="dxa"/>
            </w:tcMar>
            <w:vAlign w:val="center"/>
            <w:hideMark/>
          </w:tcPr>
          <w:p w14:paraId="6C4F41E3"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Temperature effect</w:t>
            </w:r>
          </w:p>
        </w:tc>
        <w:tc>
          <w:tcPr>
            <w:tcW w:w="900" w:type="dxa"/>
            <w:tcMar>
              <w:top w:w="150" w:type="dxa"/>
              <w:left w:w="240" w:type="dxa"/>
              <w:bottom w:w="150" w:type="dxa"/>
              <w:right w:w="240" w:type="dxa"/>
            </w:tcMar>
            <w:vAlign w:val="center"/>
            <w:hideMark/>
          </w:tcPr>
          <w:p w14:paraId="379F998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w:t>
            </w:r>
          </w:p>
        </w:tc>
        <w:tc>
          <w:tcPr>
            <w:tcW w:w="1080" w:type="dxa"/>
            <w:tcMar>
              <w:top w:w="150" w:type="dxa"/>
              <w:left w:w="240" w:type="dxa"/>
              <w:bottom w:w="150" w:type="dxa"/>
              <w:right w:w="240" w:type="dxa"/>
            </w:tcMar>
            <w:vAlign w:val="center"/>
            <w:hideMark/>
          </w:tcPr>
          <w:p w14:paraId="00D09D0B"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0.03 mL/h</w:t>
            </w:r>
          </w:p>
        </w:tc>
        <w:tc>
          <w:tcPr>
            <w:tcW w:w="1710" w:type="dxa"/>
            <w:tcMar>
              <w:top w:w="150" w:type="dxa"/>
              <w:left w:w="240" w:type="dxa"/>
              <w:bottom w:w="150" w:type="dxa"/>
              <w:right w:w="240" w:type="dxa"/>
            </w:tcMar>
            <w:vAlign w:val="center"/>
            <w:hideMark/>
          </w:tcPr>
          <w:p w14:paraId="5E2564CB"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Rectangular</w:t>
            </w:r>
          </w:p>
        </w:tc>
        <w:tc>
          <w:tcPr>
            <w:tcW w:w="1080" w:type="dxa"/>
            <w:tcMar>
              <w:top w:w="150" w:type="dxa"/>
              <w:left w:w="240" w:type="dxa"/>
              <w:bottom w:w="150" w:type="dxa"/>
              <w:right w:w="240" w:type="dxa"/>
            </w:tcMar>
            <w:vAlign w:val="center"/>
            <w:hideMark/>
          </w:tcPr>
          <w:p w14:paraId="5B98A99F"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w:t>
            </w:r>
          </w:p>
        </w:tc>
        <w:tc>
          <w:tcPr>
            <w:tcW w:w="1530" w:type="dxa"/>
            <w:tcMar>
              <w:top w:w="150" w:type="dxa"/>
              <w:left w:w="240" w:type="dxa"/>
              <w:bottom w:w="150" w:type="dxa"/>
              <w:right w:w="240" w:type="dxa"/>
            </w:tcMar>
            <w:vAlign w:val="center"/>
            <w:hideMark/>
          </w:tcPr>
          <w:p w14:paraId="0AB010F5"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0.009</w:t>
            </w:r>
          </w:p>
        </w:tc>
        <w:tc>
          <w:tcPr>
            <w:tcW w:w="1440" w:type="dxa"/>
            <w:tcMar>
              <w:top w:w="150" w:type="dxa"/>
              <w:left w:w="240" w:type="dxa"/>
              <w:bottom w:w="150" w:type="dxa"/>
              <w:right w:w="240" w:type="dxa"/>
            </w:tcMar>
            <w:vAlign w:val="center"/>
            <w:hideMark/>
          </w:tcPr>
          <w:p w14:paraId="1F873277"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20A7C032"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0.009</w:t>
            </w:r>
          </w:p>
        </w:tc>
      </w:tr>
      <w:tr w:rsidR="002B72FB" w:rsidRPr="00B347AC" w14:paraId="7E9FFB2D" w14:textId="77777777" w:rsidTr="00511C32">
        <w:tc>
          <w:tcPr>
            <w:tcW w:w="1620" w:type="dxa"/>
            <w:tcMar>
              <w:top w:w="150" w:type="dxa"/>
              <w:left w:w="0" w:type="dxa"/>
              <w:bottom w:w="150" w:type="dxa"/>
              <w:right w:w="240" w:type="dxa"/>
            </w:tcMar>
            <w:vAlign w:val="center"/>
            <w:hideMark/>
          </w:tcPr>
          <w:p w14:paraId="2FFCF24F"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Back pressure variation</w:t>
            </w:r>
          </w:p>
        </w:tc>
        <w:tc>
          <w:tcPr>
            <w:tcW w:w="900" w:type="dxa"/>
            <w:tcMar>
              <w:top w:w="150" w:type="dxa"/>
              <w:left w:w="240" w:type="dxa"/>
              <w:bottom w:w="150" w:type="dxa"/>
              <w:right w:w="240" w:type="dxa"/>
            </w:tcMar>
            <w:vAlign w:val="center"/>
            <w:hideMark/>
          </w:tcPr>
          <w:p w14:paraId="15E885A3"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w:t>
            </w:r>
          </w:p>
        </w:tc>
        <w:tc>
          <w:tcPr>
            <w:tcW w:w="1080" w:type="dxa"/>
            <w:tcMar>
              <w:top w:w="150" w:type="dxa"/>
              <w:left w:w="240" w:type="dxa"/>
              <w:bottom w:w="150" w:type="dxa"/>
              <w:right w:w="240" w:type="dxa"/>
            </w:tcMar>
            <w:vAlign w:val="center"/>
            <w:hideMark/>
          </w:tcPr>
          <w:p w14:paraId="145B75E4"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0.15 mL/h</w:t>
            </w:r>
          </w:p>
        </w:tc>
        <w:tc>
          <w:tcPr>
            <w:tcW w:w="1710" w:type="dxa"/>
            <w:tcMar>
              <w:top w:w="150" w:type="dxa"/>
              <w:left w:w="240" w:type="dxa"/>
              <w:bottom w:w="150" w:type="dxa"/>
              <w:right w:w="240" w:type="dxa"/>
            </w:tcMar>
            <w:vAlign w:val="center"/>
            <w:hideMark/>
          </w:tcPr>
          <w:p w14:paraId="13C65DBC"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Triangular</w:t>
            </w:r>
          </w:p>
        </w:tc>
        <w:tc>
          <w:tcPr>
            <w:tcW w:w="1080" w:type="dxa"/>
            <w:tcMar>
              <w:top w:w="150" w:type="dxa"/>
              <w:left w:w="240" w:type="dxa"/>
              <w:bottom w:w="150" w:type="dxa"/>
              <w:right w:w="240" w:type="dxa"/>
            </w:tcMar>
            <w:vAlign w:val="center"/>
            <w:hideMark/>
          </w:tcPr>
          <w:p w14:paraId="3C06A7B9"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w:t>
            </w:r>
          </w:p>
        </w:tc>
        <w:tc>
          <w:tcPr>
            <w:tcW w:w="1530" w:type="dxa"/>
            <w:tcMar>
              <w:top w:w="150" w:type="dxa"/>
              <w:left w:w="240" w:type="dxa"/>
              <w:bottom w:w="150" w:type="dxa"/>
              <w:right w:w="240" w:type="dxa"/>
            </w:tcMar>
            <w:vAlign w:val="center"/>
            <w:hideMark/>
          </w:tcPr>
          <w:p w14:paraId="665D4769"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0.061</w:t>
            </w:r>
          </w:p>
        </w:tc>
        <w:tc>
          <w:tcPr>
            <w:tcW w:w="1440" w:type="dxa"/>
            <w:tcMar>
              <w:top w:w="150" w:type="dxa"/>
              <w:left w:w="240" w:type="dxa"/>
              <w:bottom w:w="150" w:type="dxa"/>
              <w:right w:w="240" w:type="dxa"/>
            </w:tcMar>
            <w:vAlign w:val="center"/>
            <w:hideMark/>
          </w:tcPr>
          <w:p w14:paraId="238973DE"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6B2ED4A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0.061</w:t>
            </w:r>
          </w:p>
        </w:tc>
      </w:tr>
      <w:tr w:rsidR="002B72FB" w:rsidRPr="00B347AC" w14:paraId="517ED456" w14:textId="77777777" w:rsidTr="00511C32">
        <w:trPr>
          <w:trHeight w:val="732"/>
        </w:trPr>
        <w:tc>
          <w:tcPr>
            <w:tcW w:w="1620" w:type="dxa"/>
            <w:tcMar>
              <w:top w:w="150" w:type="dxa"/>
              <w:left w:w="0" w:type="dxa"/>
              <w:bottom w:w="150" w:type="dxa"/>
              <w:right w:w="240" w:type="dxa"/>
            </w:tcMar>
            <w:vAlign w:val="center"/>
            <w:hideMark/>
          </w:tcPr>
          <w:p w14:paraId="5A73F3B1"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Operator timing</w:t>
            </w:r>
          </w:p>
        </w:tc>
        <w:tc>
          <w:tcPr>
            <w:tcW w:w="900" w:type="dxa"/>
            <w:tcMar>
              <w:top w:w="150" w:type="dxa"/>
              <w:left w:w="240" w:type="dxa"/>
              <w:bottom w:w="150" w:type="dxa"/>
              <w:right w:w="240" w:type="dxa"/>
            </w:tcMar>
            <w:vAlign w:val="center"/>
            <w:hideMark/>
          </w:tcPr>
          <w:p w14:paraId="2D58C15E"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w:t>
            </w:r>
          </w:p>
        </w:tc>
        <w:tc>
          <w:tcPr>
            <w:tcW w:w="1080" w:type="dxa"/>
            <w:tcMar>
              <w:top w:w="150" w:type="dxa"/>
              <w:left w:w="240" w:type="dxa"/>
              <w:bottom w:w="150" w:type="dxa"/>
              <w:right w:w="240" w:type="dxa"/>
            </w:tcMar>
            <w:vAlign w:val="center"/>
            <w:hideMark/>
          </w:tcPr>
          <w:p w14:paraId="40FEF47C"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0.10 mL/h</w:t>
            </w:r>
          </w:p>
        </w:tc>
        <w:tc>
          <w:tcPr>
            <w:tcW w:w="1710" w:type="dxa"/>
            <w:tcMar>
              <w:top w:w="150" w:type="dxa"/>
              <w:left w:w="240" w:type="dxa"/>
              <w:bottom w:w="150" w:type="dxa"/>
              <w:right w:w="240" w:type="dxa"/>
            </w:tcMar>
            <w:vAlign w:val="center"/>
            <w:hideMark/>
          </w:tcPr>
          <w:p w14:paraId="0FF621E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Rectangular</w:t>
            </w:r>
          </w:p>
        </w:tc>
        <w:tc>
          <w:tcPr>
            <w:tcW w:w="1080" w:type="dxa"/>
            <w:tcMar>
              <w:top w:w="150" w:type="dxa"/>
              <w:left w:w="240" w:type="dxa"/>
              <w:bottom w:w="150" w:type="dxa"/>
              <w:right w:w="240" w:type="dxa"/>
            </w:tcMar>
            <w:vAlign w:val="center"/>
            <w:hideMark/>
          </w:tcPr>
          <w:p w14:paraId="707E4645"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w:t>
            </w:r>
          </w:p>
        </w:tc>
        <w:tc>
          <w:tcPr>
            <w:tcW w:w="1530" w:type="dxa"/>
            <w:tcMar>
              <w:top w:w="150" w:type="dxa"/>
              <w:left w:w="240" w:type="dxa"/>
              <w:bottom w:w="150" w:type="dxa"/>
              <w:right w:w="240" w:type="dxa"/>
            </w:tcMar>
            <w:vAlign w:val="center"/>
            <w:hideMark/>
          </w:tcPr>
          <w:p w14:paraId="375AB23D"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0.029</w:t>
            </w:r>
          </w:p>
        </w:tc>
        <w:tc>
          <w:tcPr>
            <w:tcW w:w="1440" w:type="dxa"/>
            <w:tcMar>
              <w:top w:w="150" w:type="dxa"/>
              <w:left w:w="240" w:type="dxa"/>
              <w:bottom w:w="150" w:type="dxa"/>
              <w:right w:w="240" w:type="dxa"/>
            </w:tcMar>
            <w:vAlign w:val="center"/>
            <w:hideMark/>
          </w:tcPr>
          <w:p w14:paraId="2D749AAA"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6D5E30B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0.029</w:t>
            </w:r>
          </w:p>
        </w:tc>
      </w:tr>
      <w:tr w:rsidR="002B72FB" w:rsidRPr="00B347AC" w14:paraId="459CF6AD" w14:textId="77777777" w:rsidTr="00511C32">
        <w:tc>
          <w:tcPr>
            <w:tcW w:w="1620" w:type="dxa"/>
            <w:tcMar>
              <w:top w:w="150" w:type="dxa"/>
              <w:left w:w="0" w:type="dxa"/>
              <w:bottom w:w="150" w:type="dxa"/>
              <w:right w:w="240" w:type="dxa"/>
            </w:tcMar>
            <w:vAlign w:val="center"/>
            <w:hideMark/>
          </w:tcPr>
          <w:p w14:paraId="09A4BF96" w14:textId="65E35CC6"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b/>
                <w:bCs/>
                <w:sz w:val="24"/>
                <w:szCs w:val="24"/>
              </w:rPr>
              <w:t>Combined standard uncertainty (</w:t>
            </w:r>
            <w:proofErr w:type="spellStart"/>
            <w:r w:rsidR="00EB5B73">
              <w:rPr>
                <w:rFonts w:ascii="Times New Roman" w:eastAsia="Times New Roman" w:hAnsi="Times New Roman" w:cs="Times New Roman"/>
                <w:b/>
                <w:bCs/>
                <w:sz w:val="24"/>
                <w:szCs w:val="24"/>
              </w:rPr>
              <w:t>U</w:t>
            </w:r>
            <w:r w:rsidRPr="00B347AC">
              <w:rPr>
                <w:rFonts w:ascii="Times New Roman" w:eastAsia="Times New Roman" w:hAnsi="Times New Roman" w:cs="Times New Roman"/>
                <w:b/>
                <w:bCs/>
                <w:sz w:val="24"/>
                <w:szCs w:val="24"/>
              </w:rPr>
              <w:t>c</w:t>
            </w:r>
            <w:proofErr w:type="spellEnd"/>
            <w:r w:rsidRPr="00B347AC">
              <w:rPr>
                <w:rFonts w:ascii="Times New Roman" w:eastAsia="Times New Roman" w:hAnsi="Times New Roman" w:cs="Times New Roman"/>
                <w:b/>
                <w:bCs/>
                <w:sz w:val="24"/>
                <w:szCs w:val="24"/>
              </w:rPr>
              <w:t>)</w:t>
            </w:r>
          </w:p>
        </w:tc>
        <w:tc>
          <w:tcPr>
            <w:tcW w:w="900" w:type="dxa"/>
            <w:tcMar>
              <w:top w:w="150" w:type="dxa"/>
              <w:left w:w="240" w:type="dxa"/>
              <w:bottom w:w="150" w:type="dxa"/>
              <w:right w:w="240" w:type="dxa"/>
            </w:tcMar>
            <w:vAlign w:val="center"/>
            <w:hideMark/>
          </w:tcPr>
          <w:p w14:paraId="105696E4"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080" w:type="dxa"/>
            <w:tcMar>
              <w:top w:w="150" w:type="dxa"/>
              <w:left w:w="240" w:type="dxa"/>
              <w:bottom w:w="150" w:type="dxa"/>
              <w:right w:w="240" w:type="dxa"/>
            </w:tcMar>
            <w:vAlign w:val="center"/>
            <w:hideMark/>
          </w:tcPr>
          <w:p w14:paraId="64E7618C"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710" w:type="dxa"/>
            <w:tcMar>
              <w:top w:w="150" w:type="dxa"/>
              <w:left w:w="240" w:type="dxa"/>
              <w:bottom w:w="150" w:type="dxa"/>
              <w:right w:w="240" w:type="dxa"/>
            </w:tcMar>
            <w:vAlign w:val="center"/>
            <w:hideMark/>
          </w:tcPr>
          <w:p w14:paraId="1B9624F5"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080" w:type="dxa"/>
            <w:tcMar>
              <w:top w:w="150" w:type="dxa"/>
              <w:left w:w="240" w:type="dxa"/>
              <w:bottom w:w="150" w:type="dxa"/>
              <w:right w:w="240" w:type="dxa"/>
            </w:tcMar>
            <w:vAlign w:val="center"/>
            <w:hideMark/>
          </w:tcPr>
          <w:p w14:paraId="6A149076"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530" w:type="dxa"/>
            <w:tcMar>
              <w:top w:w="150" w:type="dxa"/>
              <w:left w:w="240" w:type="dxa"/>
              <w:bottom w:w="150" w:type="dxa"/>
              <w:right w:w="240" w:type="dxa"/>
            </w:tcMar>
            <w:vAlign w:val="center"/>
            <w:hideMark/>
          </w:tcPr>
          <w:p w14:paraId="31F6E752"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440" w:type="dxa"/>
            <w:tcMar>
              <w:top w:w="150" w:type="dxa"/>
              <w:left w:w="240" w:type="dxa"/>
              <w:bottom w:w="150" w:type="dxa"/>
              <w:right w:w="240" w:type="dxa"/>
            </w:tcMar>
            <w:vAlign w:val="center"/>
            <w:hideMark/>
          </w:tcPr>
          <w:p w14:paraId="6814F035"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170" w:type="dxa"/>
            <w:tcMar>
              <w:top w:w="150" w:type="dxa"/>
              <w:left w:w="240" w:type="dxa"/>
              <w:bottom w:w="150" w:type="dxa"/>
              <w:right w:w="0" w:type="dxa"/>
            </w:tcMar>
            <w:vAlign w:val="center"/>
            <w:hideMark/>
          </w:tcPr>
          <w:p w14:paraId="064FFCAC"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b/>
                <w:bCs/>
                <w:sz w:val="24"/>
                <w:szCs w:val="24"/>
              </w:rPr>
              <w:t>0.325</w:t>
            </w:r>
          </w:p>
        </w:tc>
      </w:tr>
      <w:tr w:rsidR="002B72FB" w:rsidRPr="00B347AC" w14:paraId="4285C6B3" w14:textId="77777777" w:rsidTr="00511C32">
        <w:trPr>
          <w:trHeight w:val="831"/>
        </w:trPr>
        <w:tc>
          <w:tcPr>
            <w:tcW w:w="1620" w:type="dxa"/>
            <w:tcMar>
              <w:top w:w="150" w:type="dxa"/>
              <w:left w:w="0" w:type="dxa"/>
              <w:bottom w:w="150" w:type="dxa"/>
              <w:right w:w="240" w:type="dxa"/>
            </w:tcMar>
            <w:vAlign w:val="center"/>
            <w:hideMark/>
          </w:tcPr>
          <w:p w14:paraId="31B01A6C"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b/>
                <w:bCs/>
                <w:sz w:val="24"/>
                <w:szCs w:val="24"/>
              </w:rPr>
              <w:t>Expanded uncertainty U (k=2)</w:t>
            </w:r>
          </w:p>
        </w:tc>
        <w:tc>
          <w:tcPr>
            <w:tcW w:w="900" w:type="dxa"/>
            <w:tcMar>
              <w:top w:w="150" w:type="dxa"/>
              <w:left w:w="240" w:type="dxa"/>
              <w:bottom w:w="150" w:type="dxa"/>
              <w:right w:w="240" w:type="dxa"/>
            </w:tcMar>
            <w:vAlign w:val="center"/>
            <w:hideMark/>
          </w:tcPr>
          <w:p w14:paraId="4BF27754"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080" w:type="dxa"/>
            <w:tcMar>
              <w:top w:w="150" w:type="dxa"/>
              <w:left w:w="240" w:type="dxa"/>
              <w:bottom w:w="150" w:type="dxa"/>
              <w:right w:w="240" w:type="dxa"/>
            </w:tcMar>
            <w:vAlign w:val="center"/>
            <w:hideMark/>
          </w:tcPr>
          <w:p w14:paraId="2FD8A00B"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710" w:type="dxa"/>
            <w:tcMar>
              <w:top w:w="150" w:type="dxa"/>
              <w:left w:w="240" w:type="dxa"/>
              <w:bottom w:w="150" w:type="dxa"/>
              <w:right w:w="240" w:type="dxa"/>
            </w:tcMar>
            <w:vAlign w:val="center"/>
            <w:hideMark/>
          </w:tcPr>
          <w:p w14:paraId="24808743"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080" w:type="dxa"/>
            <w:tcMar>
              <w:top w:w="150" w:type="dxa"/>
              <w:left w:w="240" w:type="dxa"/>
              <w:bottom w:w="150" w:type="dxa"/>
              <w:right w:w="240" w:type="dxa"/>
            </w:tcMar>
            <w:vAlign w:val="center"/>
            <w:hideMark/>
          </w:tcPr>
          <w:p w14:paraId="71D1D0D5"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530" w:type="dxa"/>
            <w:tcMar>
              <w:top w:w="150" w:type="dxa"/>
              <w:left w:w="240" w:type="dxa"/>
              <w:bottom w:w="150" w:type="dxa"/>
              <w:right w:w="240" w:type="dxa"/>
            </w:tcMar>
            <w:vAlign w:val="center"/>
            <w:hideMark/>
          </w:tcPr>
          <w:p w14:paraId="19455DC3"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440" w:type="dxa"/>
            <w:tcMar>
              <w:top w:w="150" w:type="dxa"/>
              <w:left w:w="240" w:type="dxa"/>
              <w:bottom w:w="150" w:type="dxa"/>
              <w:right w:w="240" w:type="dxa"/>
            </w:tcMar>
            <w:vAlign w:val="center"/>
            <w:hideMark/>
          </w:tcPr>
          <w:p w14:paraId="152AC85A"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170" w:type="dxa"/>
            <w:tcMar>
              <w:top w:w="150" w:type="dxa"/>
              <w:left w:w="240" w:type="dxa"/>
              <w:bottom w:w="150" w:type="dxa"/>
              <w:right w:w="0" w:type="dxa"/>
            </w:tcMar>
            <w:vAlign w:val="center"/>
            <w:hideMark/>
          </w:tcPr>
          <w:p w14:paraId="2554D54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b/>
                <w:bCs/>
                <w:sz w:val="24"/>
                <w:szCs w:val="24"/>
              </w:rPr>
              <w:t>0.65 mL/h</w:t>
            </w:r>
          </w:p>
        </w:tc>
      </w:tr>
    </w:tbl>
    <w:p w14:paraId="2124A1B0" w14:textId="6FC72718" w:rsidR="00B347AC" w:rsidRPr="00B347AC" w:rsidRDefault="00B347AC" w:rsidP="000B190B">
      <w:pPr>
        <w:shd w:val="clear" w:color="auto" w:fill="FFFFFF"/>
        <w:spacing w:before="240" w:line="240" w:lineRule="auto"/>
        <w:jc w:val="both"/>
        <w:outlineLvl w:val="2"/>
        <w:rPr>
          <w:rFonts w:ascii="Times New Roman" w:eastAsia="Times New Roman" w:hAnsi="Times New Roman" w:cs="Times New Roman"/>
          <w:b/>
          <w:bCs/>
          <w:color w:val="0F1115"/>
          <w:sz w:val="24"/>
          <w:szCs w:val="24"/>
        </w:rPr>
      </w:pPr>
      <w:r w:rsidRPr="00B347AC">
        <w:rPr>
          <w:rFonts w:ascii="Times New Roman" w:eastAsia="Times New Roman" w:hAnsi="Times New Roman" w:cs="Times New Roman"/>
          <w:b/>
          <w:bCs/>
          <w:color w:val="0F1115"/>
          <w:sz w:val="24"/>
          <w:szCs w:val="24"/>
        </w:rPr>
        <w:t>Sources of Uncertainty in Biomedical Calibration</w:t>
      </w:r>
    </w:p>
    <w:p w14:paraId="5252D57D" w14:textId="52098EDE" w:rsidR="000E08E0" w:rsidRP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Reference standard uncertainty (calibration certificate (usually Type B))</w:t>
      </w:r>
      <w:r w:rsidRPr="00BA5A1D">
        <w:rPr>
          <w:rStyle w:val="cursor-pointer"/>
        </w:rPr>
        <w:t xml:space="preserve"> </w:t>
      </w:r>
    </w:p>
    <w:p w14:paraId="77D76DC3" w14:textId="619A6C8C" w:rsidR="000E08E0" w:rsidRP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DUT (digital: u=resolution/12u=resolution/12; analog: estimated to 1/5 of smallest division) resolution.</w:t>
      </w:r>
      <w:r w:rsidRPr="00BA5A1D">
        <w:rPr>
          <w:rStyle w:val="cursor-pointer"/>
        </w:rPr>
        <w:t xml:space="preserve"> </w:t>
      </w:r>
      <w:r w:rsidRPr="00BA5A1D">
        <w:rPr>
          <w:rStyle w:val="cursor-pointer"/>
          <w:rFonts w:ascii="Times New Roman" w:hAnsi="Times New Roman" w:cs="Times New Roman"/>
          <w:sz w:val="24"/>
          <w:szCs w:val="24"/>
        </w:rPr>
        <w:t>A repeatability (Type A where n is at least 10 measurements where possible)</w:t>
      </w:r>
      <w:r w:rsidRPr="00BA5A1D">
        <w:rPr>
          <w:rStyle w:val="cursor-pointer"/>
        </w:rPr>
        <w:t xml:space="preserve"> </w:t>
      </w:r>
    </w:p>
    <w:p w14:paraId="19E1732C" w14:textId="42F06183" w:rsidR="000E08E0" w:rsidRP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Reproducibility (different days, operators, setups)</w:t>
      </w:r>
      <w:r w:rsidRPr="00BA5A1D">
        <w:rPr>
          <w:rStyle w:val="cursor-pointer"/>
        </w:rPr>
        <w:t xml:space="preserve"> </w:t>
      </w:r>
    </w:p>
    <w:p w14:paraId="30AD2D75" w14:textId="51380CD2" w:rsidR="000E08E0" w:rsidRPr="00BA5A1D" w:rsidRDefault="000E08E0" w:rsidP="00D7191A">
      <w:pPr>
        <w:pStyle w:val="ListParagraph"/>
        <w:numPr>
          <w:ilvl w:val="1"/>
          <w:numId w:val="7"/>
        </w:numPr>
        <w:shd w:val="clear" w:color="auto" w:fill="FFFFFF"/>
        <w:spacing w:before="240" w:line="240" w:lineRule="auto"/>
        <w:jc w:val="both"/>
        <w:rPr>
          <w:rStyle w:val="cursor-pointer"/>
          <w:rFonts w:ascii="Times New Roman" w:hAnsi="Times New Roman" w:cs="Times New Roman"/>
          <w:sz w:val="24"/>
          <w:szCs w:val="24"/>
        </w:rPr>
      </w:pPr>
      <w:r w:rsidRPr="00BA5A1D">
        <w:rPr>
          <w:rStyle w:val="cursor-pointer"/>
          <w:rFonts w:ascii="Times New Roman" w:hAnsi="Times New Roman" w:cs="Times New Roman"/>
          <w:sz w:val="24"/>
          <w:szCs w:val="24"/>
        </w:rPr>
        <w:t>Environmental effects (temperature coefficient, humidity, barometric pressure)</w:t>
      </w:r>
    </w:p>
    <w:p w14:paraId="6309DE0D" w14:textId="26A175F0" w:rsidR="000E08E0" w:rsidRPr="00BA5A1D" w:rsidRDefault="000E08E0" w:rsidP="00D7191A">
      <w:pPr>
        <w:pStyle w:val="ListParagraph"/>
        <w:numPr>
          <w:ilvl w:val="1"/>
          <w:numId w:val="7"/>
        </w:numPr>
        <w:shd w:val="clear" w:color="auto" w:fill="FFFFFF"/>
        <w:spacing w:before="240" w:line="240" w:lineRule="auto"/>
        <w:jc w:val="both"/>
        <w:rPr>
          <w:rStyle w:val="cursor-pointer"/>
          <w:rFonts w:ascii="Times New Roman" w:hAnsi="Times New Roman" w:cs="Times New Roman"/>
          <w:sz w:val="24"/>
          <w:szCs w:val="24"/>
        </w:rPr>
      </w:pPr>
      <w:r w:rsidRPr="00BA5A1D">
        <w:rPr>
          <w:rStyle w:val="cursor-pointer"/>
          <w:rFonts w:ascii="Times New Roman" w:hAnsi="Times New Roman" w:cs="Times New Roman"/>
          <w:sz w:val="24"/>
          <w:szCs w:val="24"/>
        </w:rPr>
        <w:t>operator influence (connection torque, positioning, interpretation)</w:t>
      </w:r>
    </w:p>
    <w:p w14:paraId="263A3B66" w14:textId="43F62A9C" w:rsidR="000E08E0" w:rsidRP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Calibration to Calibration drift of standards.</w:t>
      </w:r>
      <w:r w:rsidRPr="00BA5A1D">
        <w:rPr>
          <w:rStyle w:val="cursor-pointer"/>
        </w:rPr>
        <w:t xml:space="preserve"> </w:t>
      </w:r>
    </w:p>
    <w:p w14:paraId="746A3944" w14:textId="77777777" w:rsid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Loading effects</w:t>
      </w:r>
      <w:r w:rsidRPr="00BA5A1D">
        <w:rPr>
          <w:rStyle w:val="cursor-pointer"/>
        </w:rPr>
        <w:t xml:space="preserve"> </w:t>
      </w:r>
    </w:p>
    <w:p w14:paraId="5D7299A4" w14:textId="62CE8245" w:rsidR="000E08E0" w:rsidRP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Hysteresis</w:t>
      </w:r>
      <w:r w:rsidR="00BA5A1D">
        <w:rPr>
          <w:rStyle w:val="cursor-pointer"/>
          <w:rFonts w:ascii="Times New Roman" w:hAnsi="Times New Roman" w:cs="Times New Roman"/>
          <w:sz w:val="24"/>
          <w:szCs w:val="24"/>
        </w:rPr>
        <w:t xml:space="preserve"> (</w:t>
      </w:r>
      <w:r w:rsidRPr="00BA5A1D">
        <w:rPr>
          <w:rStyle w:val="cursor-pointer"/>
          <w:rFonts w:ascii="Times New Roman" w:hAnsi="Times New Roman" w:cs="Times New Roman"/>
          <w:sz w:val="24"/>
          <w:szCs w:val="24"/>
        </w:rPr>
        <w:t xml:space="preserve">Pressure Hysteresis </w:t>
      </w:r>
      <w:r w:rsidR="00BA5A1D">
        <w:rPr>
          <w:rStyle w:val="cursor-pointer"/>
          <w:rFonts w:ascii="Times New Roman" w:hAnsi="Times New Roman" w:cs="Times New Roman"/>
          <w:sz w:val="24"/>
          <w:szCs w:val="24"/>
        </w:rPr>
        <w:t>&amp;</w:t>
      </w:r>
      <w:r w:rsidRPr="00BA5A1D">
        <w:rPr>
          <w:rStyle w:val="cursor-pointer"/>
          <w:rFonts w:ascii="Times New Roman" w:hAnsi="Times New Roman" w:cs="Times New Roman"/>
          <w:sz w:val="24"/>
          <w:szCs w:val="24"/>
        </w:rPr>
        <w:t xml:space="preserve"> Force Hysteresis</w:t>
      </w:r>
      <w:r w:rsidR="00BA5A1D">
        <w:rPr>
          <w:rStyle w:val="cursor-pointer"/>
          <w:rFonts w:ascii="Times New Roman" w:hAnsi="Times New Roman" w:cs="Times New Roman"/>
          <w:sz w:val="24"/>
          <w:szCs w:val="24"/>
        </w:rPr>
        <w:t>)</w:t>
      </w:r>
    </w:p>
    <w:p w14:paraId="6EB4F9D1" w14:textId="77777777" w:rsidR="004C0157" w:rsidRDefault="000E08E0" w:rsidP="000B190B">
      <w:pPr>
        <w:shd w:val="clear" w:color="auto" w:fill="FFFFFF"/>
        <w:spacing w:before="240" w:line="240" w:lineRule="auto"/>
        <w:jc w:val="both"/>
        <w:rPr>
          <w:rFonts w:ascii="Times New Roman" w:hAnsi="Times New Roman" w:cs="Times New Roman"/>
          <w:sz w:val="24"/>
          <w:szCs w:val="24"/>
        </w:rPr>
      </w:pPr>
      <w:r w:rsidRPr="004C0157">
        <w:rPr>
          <w:rStyle w:val="cursor-pointer"/>
          <w:rFonts w:ascii="Times New Roman" w:hAnsi="Times New Roman" w:cs="Times New Roman"/>
          <w:b/>
          <w:bCs/>
          <w:sz w:val="24"/>
          <w:szCs w:val="24"/>
        </w:rPr>
        <w:t>Type A and Type B Assessment</w:t>
      </w:r>
      <w:r w:rsidR="004C0157" w:rsidRPr="004C0157">
        <w:rPr>
          <w:rStyle w:val="cursor-pointer"/>
          <w:rFonts w:ascii="Times New Roman" w:hAnsi="Times New Roman" w:cs="Times New Roman"/>
          <w:b/>
          <w:bCs/>
          <w:sz w:val="24"/>
          <w:szCs w:val="24"/>
        </w:rPr>
        <w:t>:</w:t>
      </w:r>
      <w:r w:rsidRPr="003049EB">
        <w:rPr>
          <w:rFonts w:ascii="Times New Roman" w:hAnsi="Times New Roman" w:cs="Times New Roman"/>
          <w:sz w:val="24"/>
          <w:szCs w:val="24"/>
        </w:rPr>
        <w:t xml:space="preserve"> </w:t>
      </w:r>
    </w:p>
    <w:p w14:paraId="59FF944B" w14:textId="77777777" w:rsidR="004C0157" w:rsidRPr="004C0157" w:rsidRDefault="000E08E0" w:rsidP="00D7191A">
      <w:pPr>
        <w:pStyle w:val="ListParagraph"/>
        <w:numPr>
          <w:ilvl w:val="1"/>
          <w:numId w:val="7"/>
        </w:numPr>
        <w:shd w:val="clear" w:color="auto" w:fill="FFFFFF"/>
        <w:spacing w:before="240" w:line="240" w:lineRule="auto"/>
        <w:jc w:val="both"/>
        <w:rPr>
          <w:rStyle w:val="cursor-pointer"/>
        </w:rPr>
      </w:pPr>
      <w:r w:rsidRPr="004C0157">
        <w:rPr>
          <w:rStyle w:val="cursor-pointer"/>
          <w:rFonts w:ascii="Times New Roman" w:hAnsi="Times New Roman" w:cs="Times New Roman"/>
          <w:b/>
          <w:bCs/>
          <w:sz w:val="24"/>
          <w:szCs w:val="24"/>
        </w:rPr>
        <w:t>Type A:</w:t>
      </w:r>
      <w:r w:rsidRPr="004C0157">
        <w:rPr>
          <w:rStyle w:val="cursor-pointer"/>
          <w:rFonts w:ascii="Times New Roman" w:hAnsi="Times New Roman" w:cs="Times New Roman"/>
          <w:sz w:val="24"/>
          <w:szCs w:val="24"/>
        </w:rPr>
        <w:t xml:space="preserve"> measured by statistical analysis of repeated measurements (e.g., repeatability)</w:t>
      </w:r>
      <w:r w:rsidRPr="004C0157">
        <w:rPr>
          <w:rStyle w:val="cursor-pointer"/>
        </w:rPr>
        <w:t xml:space="preserve"> </w:t>
      </w:r>
    </w:p>
    <w:p w14:paraId="25E644F2" w14:textId="1862CECD" w:rsidR="000E08E0" w:rsidRPr="004C0157" w:rsidRDefault="000E08E0" w:rsidP="00D7191A">
      <w:pPr>
        <w:pStyle w:val="ListParagraph"/>
        <w:numPr>
          <w:ilvl w:val="1"/>
          <w:numId w:val="7"/>
        </w:numPr>
        <w:shd w:val="clear" w:color="auto" w:fill="FFFFFF"/>
        <w:spacing w:before="240" w:line="240" w:lineRule="auto"/>
        <w:jc w:val="both"/>
        <w:rPr>
          <w:rStyle w:val="cursor-pointer"/>
        </w:rPr>
      </w:pPr>
      <w:r w:rsidRPr="004C0157">
        <w:rPr>
          <w:rStyle w:val="cursor-pointer"/>
          <w:rFonts w:ascii="Times New Roman" w:hAnsi="Times New Roman" w:cs="Times New Roman"/>
          <w:b/>
          <w:bCs/>
          <w:sz w:val="24"/>
          <w:szCs w:val="24"/>
        </w:rPr>
        <w:t>Type B:</w:t>
      </w:r>
      <w:r w:rsidRPr="004C0157">
        <w:rPr>
          <w:rStyle w:val="cursor-pointer"/>
          <w:rFonts w:ascii="Times New Roman" w:hAnsi="Times New Roman" w:cs="Times New Roman"/>
          <w:sz w:val="24"/>
          <w:szCs w:val="24"/>
        </w:rPr>
        <w:t xml:space="preserve"> evaluated by means other than statistical analysis (calibration certificates, manufacturer specifications, published constants, experience) [24]</w:t>
      </w:r>
      <w:r w:rsidRPr="004C0157">
        <w:rPr>
          <w:rStyle w:val="cursor-pointer"/>
        </w:rPr>
        <w:t xml:space="preserve"> </w:t>
      </w:r>
    </w:p>
    <w:p w14:paraId="102A7EF5" w14:textId="73613DFA" w:rsidR="00D839A6" w:rsidRPr="00D839A6" w:rsidRDefault="000E08E0" w:rsidP="000B190B">
      <w:pPr>
        <w:shd w:val="clear" w:color="auto" w:fill="FFFFFF"/>
        <w:spacing w:before="240" w:line="240" w:lineRule="auto"/>
        <w:jc w:val="both"/>
        <w:rPr>
          <w:rFonts w:ascii="Times New Roman" w:hAnsi="Times New Roman" w:cs="Times New Roman"/>
          <w:b/>
          <w:bCs/>
          <w:sz w:val="24"/>
          <w:szCs w:val="24"/>
        </w:rPr>
      </w:pPr>
      <w:r w:rsidRPr="004C0157">
        <w:rPr>
          <w:rFonts w:ascii="Times New Roman" w:hAnsi="Times New Roman" w:cs="Times New Roman"/>
          <w:b/>
          <w:bCs/>
          <w:sz w:val="24"/>
          <w:szCs w:val="24"/>
        </w:rPr>
        <w:lastRenderedPageBreak/>
        <w:t>Combined Standard Uncertainty</w:t>
      </w:r>
      <w:r w:rsidR="00BC2C2C">
        <w:rPr>
          <w:rFonts w:ascii="Times New Roman" w:hAnsi="Times New Roman" w:cs="Times New Roman"/>
          <w:b/>
          <w:bCs/>
          <w:sz w:val="24"/>
          <w:szCs w:val="24"/>
        </w:rPr>
        <w:t>:</w:t>
      </w:r>
      <w:r w:rsidRPr="004C0157">
        <w:rPr>
          <w:rFonts w:ascii="Times New Roman" w:hAnsi="Times New Roman" w:cs="Times New Roman"/>
          <w:b/>
          <w:bCs/>
          <w:sz w:val="24"/>
          <w:szCs w:val="24"/>
        </w:rPr>
        <w:t xml:space="preserve"> </w:t>
      </w:r>
      <w:r w:rsidR="00511C32">
        <w:rPr>
          <w:rFonts w:ascii="Times New Roman" w:hAnsi="Times New Roman" w:cs="Times New Roman"/>
          <w:b/>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m:t>
        </m:r>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bCs/>
                    <w:i/>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e>
        </m:rad>
        <m:r>
          <w:rPr>
            <w:rFonts w:ascii="Cambria Math" w:hAnsi="Cambria Math" w:cs="Times New Roman"/>
            <w:sz w:val="24"/>
            <w:szCs w:val="24"/>
          </w:rPr>
          <m:t>+</m:t>
        </m:r>
        <m:sSubSup>
          <m:sSubSupPr>
            <m:ctrlPr>
              <w:rPr>
                <w:rFonts w:ascii="Cambria Math" w:hAnsi="Cambria Math" w:cs="Times New Roman"/>
                <w:bCs/>
                <w:i/>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+…+2</m:t>
        </m:r>
        <m:nary>
          <m:naryPr>
            <m:chr m:val="∑"/>
            <m:limLoc m:val="undOvr"/>
            <m:supHide m:val="1"/>
            <m:ctrlPr>
              <w:rPr>
                <w:rFonts w:ascii="Cambria Math" w:hAnsi="Cambria Math" w:cs="Times New Roman"/>
                <w:bCs/>
                <w:i/>
                <w:sz w:val="24"/>
                <w:szCs w:val="24"/>
              </w:rPr>
            </m:ctrlPr>
          </m:naryPr>
          <m:sub>
            <m:r>
              <w:rPr>
                <w:rFonts w:ascii="Cambria Math" w:hAnsi="Cambria Math" w:cs="Times New Roman"/>
                <w:sz w:val="24"/>
                <w:szCs w:val="24"/>
              </w:rPr>
              <m:t>i&lt;j</m:t>
            </m:r>
          </m:sub>
          <m:sup/>
          <m:e>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e>
        </m:nary>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rPr>
          <m:t>)</m:t>
        </m:r>
      </m:oMath>
    </w:p>
    <w:p w14:paraId="55C25CF7" w14:textId="5D86FBB3" w:rsidR="00D839A6" w:rsidRDefault="000E08E0" w:rsidP="000B190B">
      <w:pPr>
        <w:shd w:val="clear" w:color="auto" w:fill="FFFFFF"/>
        <w:spacing w:before="240" w:line="240" w:lineRule="auto"/>
        <w:jc w:val="both"/>
        <w:rPr>
          <w:rFonts w:ascii="Times New Roman" w:hAnsi="Times New Roman" w:cs="Times New Roman"/>
          <w:sz w:val="24"/>
          <w:szCs w:val="24"/>
        </w:rPr>
      </w:pPr>
      <w:r w:rsidRPr="00D839A6">
        <w:rPr>
          <w:rFonts w:ascii="Times New Roman" w:hAnsi="Times New Roman" w:cs="Times New Roman"/>
          <w:b/>
          <w:bCs/>
          <w:sz w:val="24"/>
          <w:szCs w:val="24"/>
        </w:rPr>
        <w:t>Expanded Uncertainty</w:t>
      </w:r>
      <w:r w:rsidR="00BC2C2C">
        <w:rPr>
          <w:rFonts w:ascii="Times New Roman" w:hAnsi="Times New Roman" w:cs="Times New Roman"/>
          <w:sz w:val="24"/>
          <w:szCs w:val="24"/>
        </w:rPr>
        <w:t xml:space="preserve">:           </w:t>
      </w:r>
      <w:r w:rsidR="00511C32">
        <w:rPr>
          <w:rFonts w:ascii="Times New Roman" w:hAnsi="Times New Roman" w:cs="Times New Roman"/>
          <w:sz w:val="24"/>
          <w:szCs w:val="24"/>
        </w:rPr>
        <w:t xml:space="preserve">       </w:t>
      </w:r>
      <w:r w:rsidR="00BC2C2C">
        <w:rPr>
          <w:rFonts w:ascii="Times New Roman" w:hAnsi="Times New Roman" w:cs="Times New Roman"/>
          <w:sz w:val="24"/>
          <w:szCs w:val="24"/>
        </w:rPr>
        <w:t xml:space="preserve">   </w:t>
      </w:r>
      <m:oMath>
        <m:r>
          <w:rPr>
            <w:rFonts w:ascii="Cambria Math" w:hAnsi="Cambria Math" w:cs="Times New Roman"/>
            <w:sz w:val="24"/>
            <w:szCs w:val="24"/>
          </w:rPr>
          <m:t>U=k</m:t>
        </m:r>
        <m:r>
          <m:rPr>
            <m:sty m:val="p"/>
          </m:rPr>
          <w:rPr>
            <w:rFonts w:ascii="Cambria Math" w:hAnsi="Cambria Math"/>
            <w:color w:val="0F1115"/>
            <w:sz w:val="29"/>
            <w:szCs w:val="29"/>
            <w:shd w:val="clear" w:color="auto" w:fill="FFFFFF"/>
          </w:rPr>
          <m:t>×</m:t>
        </m:r>
        <m:sSub>
          <m:sSubPr>
            <m:ctrlPr>
              <w:rPr>
                <w:rFonts w:ascii="Cambria Math" w:hAnsi="Cambria Math"/>
                <w:color w:val="0F1115"/>
                <w:sz w:val="29"/>
                <w:szCs w:val="29"/>
                <w:shd w:val="clear" w:color="auto" w:fill="FFFFFF"/>
              </w:rPr>
            </m:ctrlPr>
          </m:sSubPr>
          <m:e>
            <m:r>
              <w:rPr>
                <w:rFonts w:ascii="Cambria Math" w:hAnsi="Cambria Math"/>
                <w:color w:val="0F1115"/>
                <w:sz w:val="29"/>
                <w:szCs w:val="29"/>
                <w:shd w:val="clear" w:color="auto" w:fill="FFFFFF"/>
              </w:rPr>
              <m:t>u</m:t>
            </m:r>
          </m:e>
          <m:sub>
            <m:r>
              <w:rPr>
                <w:rFonts w:ascii="Cambria Math" w:hAnsi="Cambria Math"/>
                <w:color w:val="0F1115"/>
                <w:sz w:val="29"/>
                <w:szCs w:val="29"/>
                <w:shd w:val="clear" w:color="auto" w:fill="FFFFFF"/>
              </w:rPr>
              <m:t>c</m:t>
            </m:r>
          </m:sub>
        </m:sSub>
      </m:oMath>
    </w:p>
    <w:p w14:paraId="2E2511E3" w14:textId="16924B7F" w:rsidR="000E08E0" w:rsidRPr="003049EB" w:rsidRDefault="000E08E0" w:rsidP="000B190B">
      <w:pPr>
        <w:shd w:val="clear" w:color="auto" w:fill="FFFFFF"/>
        <w:spacing w:before="240" w:line="240" w:lineRule="auto"/>
        <w:jc w:val="both"/>
        <w:rPr>
          <w:rStyle w:val="cursor-pointer"/>
          <w:rFonts w:ascii="Times New Roman" w:hAnsi="Times New Roman" w:cs="Times New Roman"/>
          <w:sz w:val="24"/>
          <w:szCs w:val="24"/>
        </w:rPr>
      </w:pPr>
      <w:r w:rsidRPr="003049EB">
        <w:rPr>
          <w:rStyle w:val="cursor-pointer"/>
          <w:rFonts w:ascii="Times New Roman" w:hAnsi="Times New Roman" w:cs="Times New Roman"/>
          <w:sz w:val="24"/>
          <w:szCs w:val="24"/>
        </w:rPr>
        <w:t>With confidence levels of about 95% (k</w:t>
      </w:r>
      <w:r w:rsidR="00BC2C2C">
        <w:rPr>
          <w:rStyle w:val="cursor-pointer"/>
          <w:rFonts w:ascii="Times New Roman" w:hAnsi="Times New Roman" w:cs="Times New Roman"/>
          <w:sz w:val="24"/>
          <w:szCs w:val="24"/>
        </w:rPr>
        <w:t xml:space="preserve"> = </w:t>
      </w:r>
      <w:r w:rsidRPr="003049EB">
        <w:rPr>
          <w:rStyle w:val="cursor-pointer"/>
          <w:rFonts w:ascii="Times New Roman" w:hAnsi="Times New Roman" w:cs="Times New Roman"/>
          <w:sz w:val="24"/>
          <w:szCs w:val="24"/>
        </w:rPr>
        <w:t>2) or 99.7% (k</w:t>
      </w:r>
      <w:r w:rsidR="00BC2C2C">
        <w:rPr>
          <w:rStyle w:val="cursor-pointer"/>
          <w:rFonts w:ascii="Times New Roman" w:hAnsi="Times New Roman" w:cs="Times New Roman"/>
          <w:sz w:val="24"/>
          <w:szCs w:val="24"/>
        </w:rPr>
        <w:t xml:space="preserve"> = </w:t>
      </w:r>
      <w:r w:rsidRPr="003049EB">
        <w:rPr>
          <w:rStyle w:val="cursor-pointer"/>
          <w:rFonts w:ascii="Times New Roman" w:hAnsi="Times New Roman" w:cs="Times New Roman"/>
          <w:sz w:val="24"/>
          <w:szCs w:val="24"/>
        </w:rPr>
        <w:t>3), respectively.</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Accredited calibration certificates must have k</w:t>
      </w:r>
      <w:r w:rsidR="00BC2C2C">
        <w:rPr>
          <w:rStyle w:val="cursor-pointer"/>
          <w:rFonts w:ascii="Times New Roman" w:hAnsi="Times New Roman" w:cs="Times New Roman"/>
          <w:sz w:val="24"/>
          <w:szCs w:val="24"/>
        </w:rPr>
        <w:t xml:space="preserve"> = </w:t>
      </w:r>
      <w:r w:rsidRPr="003049EB">
        <w:rPr>
          <w:rStyle w:val="cursor-pointer"/>
          <w:rFonts w:ascii="Times New Roman" w:hAnsi="Times New Roman" w:cs="Times New Roman"/>
          <w:sz w:val="24"/>
          <w:szCs w:val="24"/>
        </w:rPr>
        <w:t>2 unless indicated otherwise [17].</w:t>
      </w:r>
    </w:p>
    <w:p w14:paraId="342979D2" w14:textId="6989FFA8" w:rsidR="00BC2C2C" w:rsidRDefault="000E08E0" w:rsidP="000B190B">
      <w:pPr>
        <w:shd w:val="clear" w:color="auto" w:fill="FFFFFF"/>
        <w:spacing w:before="240" w:line="240" w:lineRule="auto"/>
        <w:jc w:val="both"/>
        <w:rPr>
          <w:rStyle w:val="cursor-pointer"/>
          <w:rFonts w:ascii="Times New Roman" w:hAnsi="Times New Roman" w:cs="Times New Roman"/>
          <w:sz w:val="24"/>
          <w:szCs w:val="24"/>
        </w:rPr>
      </w:pPr>
      <w:r w:rsidRPr="00BC2C2C">
        <w:rPr>
          <w:rStyle w:val="cursor-pointer"/>
          <w:rFonts w:ascii="Times New Roman" w:hAnsi="Times New Roman" w:cs="Times New Roman"/>
          <w:b/>
          <w:bCs/>
          <w:sz w:val="24"/>
          <w:szCs w:val="24"/>
        </w:rPr>
        <w:t>Detailed Worked Problem</w:t>
      </w:r>
    </w:p>
    <w:p w14:paraId="1F86BEC5" w14:textId="77777777" w:rsidR="00BC2C2C" w:rsidRDefault="000E08E0" w:rsidP="000B190B">
      <w:pPr>
        <w:shd w:val="clear" w:color="auto" w:fill="FFFFFF"/>
        <w:spacing w:before="240" w:line="240" w:lineRule="auto"/>
        <w:jc w:val="both"/>
        <w:rPr>
          <w:rFonts w:ascii="Times New Roman" w:hAnsi="Times New Roman" w:cs="Times New Roman"/>
          <w:sz w:val="24"/>
          <w:szCs w:val="24"/>
        </w:rPr>
      </w:pPr>
      <w:proofErr w:type="gramStart"/>
      <w:r w:rsidRPr="003049EB">
        <w:rPr>
          <w:rStyle w:val="cursor-pointer"/>
          <w:rFonts w:ascii="Times New Roman" w:hAnsi="Times New Roman" w:cs="Times New Roman"/>
          <w:sz w:val="24"/>
          <w:szCs w:val="24"/>
        </w:rPr>
        <w:t>Calibration of the Infusion Pump Flow Rate.</w:t>
      </w:r>
      <w:proofErr w:type="gramEnd"/>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Background: Hospital-grade volumetric infusion pump set to 100 mL/h and measured using gravimetric procedure with calibrated balance and timer.</w:t>
      </w:r>
      <w:r w:rsidRPr="003049EB">
        <w:rPr>
          <w:rFonts w:ascii="Times New Roman" w:hAnsi="Times New Roman" w:cs="Times New Roman"/>
          <w:sz w:val="24"/>
          <w:szCs w:val="24"/>
        </w:rPr>
        <w:t xml:space="preserve"> </w:t>
      </w:r>
    </w:p>
    <w:p w14:paraId="3AD55BB4" w14:textId="38F24D65" w:rsidR="00BC2C2C" w:rsidRDefault="000E08E0"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Uncertainty budget as in Table 3 gives:</w:t>
      </w:r>
    </w:p>
    <w:p w14:paraId="0046867E" w14:textId="151925FE" w:rsidR="00BC2C2C" w:rsidRDefault="005579E1" w:rsidP="00BC2C2C">
      <w:pPr>
        <w:shd w:val="clear" w:color="auto" w:fill="FFFFFF"/>
        <w:spacing w:after="0" w:line="240" w:lineRule="auto"/>
        <w:jc w:val="both"/>
        <w:rPr>
          <w:rFonts w:ascii="Times New Roman" w:hAnsi="Times New Roman" w:cs="Times New Roman"/>
          <w:sz w:val="24"/>
          <w:szCs w:val="24"/>
        </w:rPr>
      </w:pPr>
      <m:oMath>
        <m:sSub>
          <m:sSubPr>
            <m:ctrlPr>
              <w:rPr>
                <w:rFonts w:ascii="Cambria Math" w:hAnsi="Cambria Math"/>
                <w:color w:val="0F1115"/>
                <w:sz w:val="29"/>
                <w:szCs w:val="29"/>
                <w:shd w:val="clear" w:color="auto" w:fill="FFFFFF"/>
              </w:rPr>
            </m:ctrlPr>
          </m:sSubPr>
          <m:e>
            <m:r>
              <w:rPr>
                <w:rFonts w:ascii="Cambria Math" w:hAnsi="Cambria Math"/>
                <w:color w:val="0F1115"/>
                <w:sz w:val="29"/>
                <w:szCs w:val="29"/>
                <w:shd w:val="clear" w:color="auto" w:fill="FFFFFF"/>
              </w:rPr>
              <m:t>u</m:t>
            </m:r>
          </m:e>
          <m:sub>
            <m:r>
              <w:rPr>
                <w:rFonts w:ascii="Cambria Math" w:hAnsi="Cambria Math"/>
                <w:color w:val="0F1115"/>
                <w:sz w:val="29"/>
                <w:szCs w:val="29"/>
                <w:shd w:val="clear" w:color="auto" w:fill="FFFFFF"/>
              </w:rPr>
              <m:t>c</m:t>
            </m:r>
          </m:sub>
        </m:sSub>
      </m:oMath>
      <w:r w:rsidR="000E08E0" w:rsidRPr="003049EB">
        <w:rPr>
          <w:rFonts w:ascii="Times New Roman" w:hAnsi="Times New Roman" w:cs="Times New Roman"/>
          <w:sz w:val="24"/>
          <w:szCs w:val="24"/>
        </w:rPr>
        <w:t>=</w:t>
      </w:r>
      <w:r w:rsidR="00BC2C2C">
        <w:rPr>
          <w:rFonts w:ascii="Times New Roman" w:hAnsi="Times New Roman" w:cs="Times New Roman"/>
          <w:sz w:val="24"/>
          <w:szCs w:val="24"/>
        </w:rPr>
        <w:t xml:space="preserve"> </w:t>
      </w:r>
      <w:r w:rsidR="000E08E0" w:rsidRPr="003049EB">
        <w:rPr>
          <w:rFonts w:ascii="Times New Roman" w:hAnsi="Times New Roman" w:cs="Times New Roman"/>
          <w:sz w:val="24"/>
          <w:szCs w:val="24"/>
        </w:rPr>
        <w:t>0.325 mL/h</w:t>
      </w:r>
    </w:p>
    <w:p w14:paraId="52C3BEC1" w14:textId="4389E52E" w:rsidR="00BC2C2C" w:rsidRDefault="000E08E0" w:rsidP="00BC2C2C">
      <w:pPr>
        <w:shd w:val="clear" w:color="auto" w:fill="FFFFFF"/>
        <w:spacing w:after="0" w:line="240" w:lineRule="auto"/>
        <w:jc w:val="both"/>
        <w:rPr>
          <w:rFonts w:ascii="Times New Roman" w:hAnsi="Times New Roman" w:cs="Times New Roman"/>
          <w:sz w:val="24"/>
          <w:szCs w:val="24"/>
        </w:rPr>
      </w:pPr>
      <w:r w:rsidRPr="003049EB">
        <w:rPr>
          <w:rFonts w:ascii="Times New Roman" w:hAnsi="Times New Roman" w:cs="Times New Roman"/>
          <w:sz w:val="24"/>
          <w:szCs w:val="24"/>
        </w:rPr>
        <w:t>U</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2×0.325</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0.65 mL/h</w:t>
      </w:r>
    </w:p>
    <w:p w14:paraId="6F1A57FF" w14:textId="34C41F21" w:rsidR="000E08E0" w:rsidRPr="003049EB" w:rsidRDefault="000E08E0" w:rsidP="000B190B">
      <w:pPr>
        <w:shd w:val="clear" w:color="auto" w:fill="FFFFFF"/>
        <w:spacing w:before="240" w:line="240" w:lineRule="auto"/>
        <w:jc w:val="both"/>
        <w:rPr>
          <w:rFonts w:ascii="Times New Roman" w:hAnsi="Times New Roman" w:cs="Times New Roman"/>
          <w:sz w:val="24"/>
          <w:szCs w:val="24"/>
        </w:rPr>
      </w:pPr>
      <w:r w:rsidRPr="00BC2C2C">
        <w:rPr>
          <w:rFonts w:ascii="Times New Roman" w:hAnsi="Times New Roman" w:cs="Times New Roman"/>
          <w:b/>
          <w:bCs/>
          <w:sz w:val="24"/>
          <w:szCs w:val="24"/>
        </w:rPr>
        <w:t>Reported result:</w:t>
      </w:r>
      <w:r w:rsidRPr="003049EB">
        <w:rPr>
          <w:rFonts w:ascii="Times New Roman" w:hAnsi="Times New Roman" w:cs="Times New Roman"/>
          <w:sz w:val="24"/>
          <w:szCs w:val="24"/>
        </w:rPr>
        <w:t xml:space="preserve"> Flow rate error = +0.2 mL/h ± 0.7 mL/h (k</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2) at 100 mL/h setting.</w:t>
      </w:r>
    </w:p>
    <w:p w14:paraId="32E9587D" w14:textId="304E062F" w:rsidR="000E08E0" w:rsidRPr="00BC2C2C" w:rsidRDefault="000E08E0" w:rsidP="000B190B">
      <w:pPr>
        <w:shd w:val="clear" w:color="auto" w:fill="FFFFFF"/>
        <w:spacing w:before="240" w:line="240" w:lineRule="auto"/>
        <w:jc w:val="both"/>
        <w:rPr>
          <w:rFonts w:ascii="Times New Roman" w:hAnsi="Times New Roman" w:cs="Times New Roman"/>
          <w:b/>
          <w:bCs/>
          <w:sz w:val="24"/>
          <w:szCs w:val="24"/>
        </w:rPr>
      </w:pPr>
      <w:r w:rsidRPr="00BC2C2C">
        <w:rPr>
          <w:rStyle w:val="cursor-pointer"/>
          <w:rFonts w:ascii="Times New Roman" w:hAnsi="Times New Roman" w:cs="Times New Roman"/>
          <w:b/>
          <w:bCs/>
          <w:sz w:val="24"/>
          <w:szCs w:val="24"/>
        </w:rPr>
        <w:t>Uncertainty of Non-linear Devices</w:t>
      </w:r>
      <w:r w:rsidR="00BC2C2C">
        <w:rPr>
          <w:rStyle w:val="cursor-pointer"/>
          <w:rFonts w:ascii="Times New Roman" w:hAnsi="Times New Roman" w:cs="Times New Roman"/>
          <w:b/>
          <w:bCs/>
          <w:sz w:val="24"/>
          <w:szCs w:val="24"/>
        </w:rPr>
        <w:t xml:space="preserve">: </w:t>
      </w:r>
      <w:r w:rsidRPr="003049EB">
        <w:rPr>
          <w:rStyle w:val="cursor-pointer"/>
          <w:rFonts w:ascii="Times New Roman" w:hAnsi="Times New Roman" w:cs="Times New Roman"/>
          <w:sz w:val="24"/>
          <w:szCs w:val="24"/>
        </w:rPr>
        <w:t>In devices with high non-linearity, uncertainty should be assessed at various points over the range.</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Guidance documents of EURAMET give specific procedures of pressure, temperature, and electrical quantities [14</w:t>
      </w:r>
      <w:proofErr w:type="gramStart"/>
      <w:r w:rsidRPr="003049EB">
        <w:rPr>
          <w:rStyle w:val="cursor-pointer"/>
          <w:rFonts w:ascii="Times New Roman" w:hAnsi="Times New Roman" w:cs="Times New Roman"/>
          <w:sz w:val="24"/>
          <w:szCs w:val="24"/>
        </w:rPr>
        <w:t>,15,16</w:t>
      </w:r>
      <w:proofErr w:type="gramEnd"/>
      <w:r w:rsidRPr="003049EB">
        <w:rPr>
          <w:rStyle w:val="cursor-pointer"/>
          <w:rFonts w:ascii="Times New Roman" w:hAnsi="Times New Roman" w:cs="Times New Roman"/>
          <w:sz w:val="24"/>
          <w:szCs w:val="24"/>
        </w:rPr>
        <w:t>].</w:t>
      </w:r>
      <w:r w:rsidRPr="003049EB">
        <w:rPr>
          <w:rFonts w:ascii="Times New Roman" w:hAnsi="Times New Roman" w:cs="Times New Roman"/>
          <w:sz w:val="24"/>
          <w:szCs w:val="24"/>
        </w:rPr>
        <w:t xml:space="preserve"> </w:t>
      </w:r>
    </w:p>
    <w:p w14:paraId="060F809B" w14:textId="282A0FD0" w:rsidR="000E08E0" w:rsidRPr="003049EB" w:rsidRDefault="000E08E0" w:rsidP="000B190B">
      <w:pPr>
        <w:shd w:val="clear" w:color="auto" w:fill="FFFFFF"/>
        <w:spacing w:before="240" w:line="240" w:lineRule="auto"/>
        <w:jc w:val="both"/>
        <w:rPr>
          <w:rFonts w:ascii="Times New Roman" w:hAnsi="Times New Roman" w:cs="Times New Roman"/>
          <w:sz w:val="24"/>
          <w:szCs w:val="24"/>
        </w:rPr>
      </w:pPr>
      <w:r w:rsidRPr="00BC2C2C">
        <w:rPr>
          <w:rStyle w:val="cursor-pointer"/>
          <w:rFonts w:ascii="Times New Roman" w:hAnsi="Times New Roman" w:cs="Times New Roman"/>
          <w:b/>
          <w:bCs/>
          <w:sz w:val="24"/>
          <w:szCs w:val="24"/>
        </w:rPr>
        <w:t>Conformity Assessment and Decision Rules</w:t>
      </w:r>
      <w:r w:rsidR="00BC2C2C" w:rsidRPr="00BC2C2C">
        <w:rPr>
          <w:rStyle w:val="cursor-pointe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comparing a measured value to a specification (tolerance), uncertainty has to be taken into consideration.</w:t>
      </w:r>
      <w:r w:rsidR="00511C32">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graph of decision rules is shown in figure 4.</w:t>
      </w:r>
    </w:p>
    <w:p w14:paraId="702A6D9B" w14:textId="1FF75DD9" w:rsidR="0050291E" w:rsidRPr="003049EB" w:rsidRDefault="0050291E" w:rsidP="000B190B">
      <w:pPr>
        <w:pStyle w:val="NormalWeb"/>
        <w:spacing w:before="240" w:beforeAutospacing="0" w:after="160" w:afterAutospacing="0"/>
        <w:jc w:val="both"/>
      </w:pPr>
      <w:r w:rsidRPr="003049EB">
        <w:rPr>
          <w:noProof/>
          <w:lang w:val="en-IN" w:eastAsia="en-IN"/>
        </w:rPr>
        <w:drawing>
          <wp:inline distT="0" distB="0" distL="0" distR="0" wp14:anchorId="569A1527" wp14:editId="38CEDBB3">
            <wp:extent cx="5209274" cy="43822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5527" cy="4446366"/>
                    </a:xfrm>
                    <a:prstGeom prst="rect">
                      <a:avLst/>
                    </a:prstGeom>
                    <a:noFill/>
                    <a:ln>
                      <a:noFill/>
                    </a:ln>
                  </pic:spPr>
                </pic:pic>
              </a:graphicData>
            </a:graphic>
          </wp:inline>
        </w:drawing>
      </w:r>
    </w:p>
    <w:p w14:paraId="774B82B4" w14:textId="77777777" w:rsidR="003158E3" w:rsidRDefault="00511C32" w:rsidP="003158E3">
      <w:pPr>
        <w:shd w:val="clear" w:color="auto" w:fill="FFFFFF"/>
        <w:spacing w:before="240" w:line="240" w:lineRule="auto"/>
        <w:jc w:val="both"/>
        <w:rPr>
          <w:rFonts w:ascii="Times New Roman" w:eastAsia="Times New Roman" w:hAnsi="Times New Roman" w:cs="Times New Roman"/>
          <w:color w:val="0F1115"/>
          <w:sz w:val="24"/>
          <w:szCs w:val="24"/>
        </w:rPr>
      </w:pPr>
      <w:r w:rsidRPr="003049EB">
        <w:rPr>
          <w:rStyle w:val="cursor-pointer"/>
          <w:rFonts w:ascii="Times New Roman" w:hAnsi="Times New Roman" w:cs="Times New Roman"/>
          <w:sz w:val="24"/>
          <w:szCs w:val="24"/>
        </w:rPr>
        <w:t>Figure 4: Decision Rules of Conformity Assessment when Measurement Uncertainty is involved.</w:t>
      </w:r>
    </w:p>
    <w:p w14:paraId="12DB8348" w14:textId="530EBBE8" w:rsidR="000E08E0" w:rsidRPr="003158E3" w:rsidRDefault="000E08E0" w:rsidP="003158E3">
      <w:pPr>
        <w:shd w:val="clear" w:color="auto" w:fill="FFFFFF"/>
        <w:spacing w:before="240" w:line="240" w:lineRule="auto"/>
        <w:jc w:val="both"/>
        <w:rPr>
          <w:rFonts w:ascii="Times New Roman" w:eastAsia="Times New Roman" w:hAnsi="Times New Roman" w:cs="Times New Roman"/>
          <w:color w:val="0F1115"/>
          <w:sz w:val="24"/>
          <w:szCs w:val="24"/>
        </w:rPr>
      </w:pPr>
      <w:r w:rsidRPr="003049EB">
        <w:rPr>
          <w:rStyle w:val="cursor-pointer"/>
          <w:rFonts w:ascii="Times New Roman" w:hAnsi="Times New Roman" w:cs="Times New Roman"/>
          <w:sz w:val="24"/>
          <w:szCs w:val="24"/>
        </w:rPr>
        <w:t>The decision rules according to ILAC G8 [26] have:</w:t>
      </w:r>
    </w:p>
    <w:p w14:paraId="093E28AF" w14:textId="2C34598B" w:rsidR="000E08E0" w:rsidRPr="00BC2C2C" w:rsidRDefault="000E08E0" w:rsidP="00D7191A">
      <w:pPr>
        <w:pStyle w:val="ListParagraph"/>
        <w:numPr>
          <w:ilvl w:val="0"/>
          <w:numId w:val="8"/>
        </w:numPr>
        <w:spacing w:before="240" w:line="240" w:lineRule="auto"/>
        <w:jc w:val="both"/>
        <w:rPr>
          <w:rFonts w:ascii="Times New Roman" w:hAnsi="Times New Roman" w:cs="Times New Roman"/>
          <w:sz w:val="24"/>
          <w:szCs w:val="24"/>
        </w:rPr>
      </w:pPr>
      <w:r w:rsidRPr="00BC2C2C">
        <w:rPr>
          <w:rStyle w:val="cursor-pointer"/>
          <w:rFonts w:ascii="Times New Roman" w:hAnsi="Times New Roman" w:cs="Times New Roman"/>
          <w:b/>
          <w:bCs/>
          <w:sz w:val="24"/>
          <w:szCs w:val="24"/>
        </w:rPr>
        <w:lastRenderedPageBreak/>
        <w:t>Simple acceptance (</w:t>
      </w:r>
      <w:r w:rsidR="00BC2C2C" w:rsidRPr="00BC2C2C">
        <w:rPr>
          <w:rStyle w:val="cursor-pointer"/>
          <w:rFonts w:ascii="Times New Roman" w:hAnsi="Times New Roman" w:cs="Times New Roman"/>
          <w:b/>
          <w:bCs/>
          <w:sz w:val="24"/>
          <w:szCs w:val="24"/>
        </w:rPr>
        <w:t>more risky</w:t>
      </w:r>
      <w:r w:rsidRPr="00BC2C2C">
        <w:rPr>
          <w:rStyle w:val="cursor-pointer"/>
          <w:rFonts w:ascii="Times New Roman" w:hAnsi="Times New Roman" w:cs="Times New Roman"/>
          <w:b/>
          <w:bCs/>
          <w:sz w:val="24"/>
          <w:szCs w:val="24"/>
        </w:rPr>
        <w:t>):</w:t>
      </w:r>
      <w:r w:rsidRPr="00BC2C2C">
        <w:rPr>
          <w:rStyle w:val="cursor-pointer"/>
          <w:rFonts w:ascii="Times New Roman" w:hAnsi="Times New Roman" w:cs="Times New Roman"/>
          <w:sz w:val="24"/>
          <w:szCs w:val="24"/>
        </w:rPr>
        <w:t xml:space="preserve"> Accept when error is less than tolerance.</w:t>
      </w:r>
      <w:r w:rsidRPr="00BC2C2C">
        <w:rPr>
          <w:rFonts w:ascii="Times New Roman" w:hAnsi="Times New Roman" w:cs="Times New Roman"/>
          <w:sz w:val="24"/>
          <w:szCs w:val="24"/>
        </w:rPr>
        <w:t xml:space="preserve"> </w:t>
      </w:r>
    </w:p>
    <w:p w14:paraId="3D34BFB4" w14:textId="0A6CD0B9" w:rsidR="000E08E0" w:rsidRPr="00BC2C2C" w:rsidRDefault="000E08E0" w:rsidP="00D7191A">
      <w:pPr>
        <w:pStyle w:val="ListParagraph"/>
        <w:numPr>
          <w:ilvl w:val="0"/>
          <w:numId w:val="8"/>
        </w:numPr>
        <w:spacing w:before="240" w:line="240" w:lineRule="auto"/>
        <w:jc w:val="both"/>
        <w:rPr>
          <w:rFonts w:ascii="Times New Roman" w:hAnsi="Times New Roman" w:cs="Times New Roman"/>
          <w:sz w:val="24"/>
          <w:szCs w:val="24"/>
        </w:rPr>
      </w:pPr>
      <w:r w:rsidRPr="00BC2C2C">
        <w:rPr>
          <w:rStyle w:val="cursor-pointer"/>
          <w:rFonts w:ascii="Times New Roman" w:hAnsi="Times New Roman" w:cs="Times New Roman"/>
          <w:b/>
          <w:bCs/>
          <w:sz w:val="24"/>
          <w:szCs w:val="24"/>
        </w:rPr>
        <w:t>Simple rejection (conservative):</w:t>
      </w:r>
      <w:r w:rsidRPr="00BC2C2C">
        <w:rPr>
          <w:rStyle w:val="cursor-pointer"/>
          <w:rFonts w:ascii="Times New Roman" w:hAnsi="Times New Roman" w:cs="Times New Roman"/>
          <w:sz w:val="24"/>
          <w:szCs w:val="24"/>
        </w:rPr>
        <w:t xml:space="preserve"> Reject when error + U &gt; tolerance.</w:t>
      </w:r>
      <w:r w:rsidRPr="00BC2C2C">
        <w:rPr>
          <w:rFonts w:ascii="Times New Roman" w:hAnsi="Times New Roman" w:cs="Times New Roman"/>
          <w:sz w:val="24"/>
          <w:szCs w:val="24"/>
        </w:rPr>
        <w:t xml:space="preserve"> </w:t>
      </w:r>
    </w:p>
    <w:p w14:paraId="63CD75C6" w14:textId="7DE74999" w:rsidR="000E08E0" w:rsidRPr="00BC2C2C" w:rsidRDefault="000E08E0" w:rsidP="00D7191A">
      <w:pPr>
        <w:pStyle w:val="ListParagraph"/>
        <w:numPr>
          <w:ilvl w:val="0"/>
          <w:numId w:val="8"/>
        </w:numPr>
        <w:spacing w:before="240" w:line="240" w:lineRule="auto"/>
        <w:jc w:val="both"/>
        <w:rPr>
          <w:rFonts w:ascii="Times New Roman" w:hAnsi="Times New Roman" w:cs="Times New Roman"/>
          <w:sz w:val="24"/>
          <w:szCs w:val="24"/>
        </w:rPr>
      </w:pPr>
      <w:r w:rsidRPr="00BC2C2C">
        <w:rPr>
          <w:rStyle w:val="cursor-pointer"/>
          <w:rFonts w:ascii="Times New Roman" w:hAnsi="Times New Roman" w:cs="Times New Roman"/>
          <w:b/>
          <w:bCs/>
          <w:sz w:val="24"/>
          <w:szCs w:val="24"/>
        </w:rPr>
        <w:t>Guard banding (recommended for safety-critical):</w:t>
      </w:r>
      <w:r w:rsidRPr="00BC2C2C">
        <w:rPr>
          <w:rStyle w:val="cursor-pointer"/>
          <w:rFonts w:ascii="Times New Roman" w:hAnsi="Times New Roman" w:cs="Times New Roman"/>
          <w:sz w:val="24"/>
          <w:szCs w:val="24"/>
        </w:rPr>
        <w:t xml:space="preserve"> Use decision limit = tolerance - U</w:t>
      </w:r>
      <w:r w:rsidRPr="00BC2C2C">
        <w:rPr>
          <w:rFonts w:ascii="Times New Roman" w:hAnsi="Times New Roman" w:cs="Times New Roman"/>
          <w:sz w:val="24"/>
          <w:szCs w:val="24"/>
        </w:rPr>
        <w:t xml:space="preserve"> </w:t>
      </w:r>
    </w:p>
    <w:p w14:paraId="740E3880" w14:textId="2A04FD41" w:rsidR="00BC2C2C" w:rsidRPr="00BC2C2C" w:rsidRDefault="000E08E0" w:rsidP="00D7191A">
      <w:pPr>
        <w:pStyle w:val="ListParagraph"/>
        <w:numPr>
          <w:ilvl w:val="0"/>
          <w:numId w:val="8"/>
        </w:numPr>
        <w:spacing w:before="240" w:line="240" w:lineRule="auto"/>
        <w:jc w:val="both"/>
        <w:rPr>
          <w:rFonts w:ascii="Times New Roman" w:hAnsi="Times New Roman" w:cs="Times New Roman"/>
          <w:sz w:val="24"/>
          <w:szCs w:val="24"/>
        </w:rPr>
      </w:pPr>
      <w:r w:rsidRPr="00BC2C2C">
        <w:rPr>
          <w:rStyle w:val="cursor-pointer"/>
          <w:rFonts w:ascii="Times New Roman" w:hAnsi="Times New Roman" w:cs="Times New Roman"/>
          <w:b/>
          <w:bCs/>
          <w:sz w:val="24"/>
          <w:szCs w:val="24"/>
        </w:rPr>
        <w:t>Shared risk approach:</w:t>
      </w:r>
      <w:r w:rsidRPr="00BC2C2C">
        <w:rPr>
          <w:rStyle w:val="cursor-pointer"/>
          <w:rFonts w:ascii="Times New Roman" w:hAnsi="Times New Roman" w:cs="Times New Roman"/>
          <w:sz w:val="24"/>
          <w:szCs w:val="24"/>
        </w:rPr>
        <w:t xml:space="preserve"> Report both the result of measurement and uncertainty, and leave the final decision to clinical engineering.</w:t>
      </w:r>
    </w:p>
    <w:p w14:paraId="6C5FEDAD" w14:textId="3DD01DA6" w:rsidR="00B347AC" w:rsidRPr="00B347AC" w:rsidRDefault="000E08E0" w:rsidP="000B190B">
      <w:pPr>
        <w:spacing w:before="240" w:line="240" w:lineRule="auto"/>
        <w:jc w:val="both"/>
        <w:rPr>
          <w:rFonts w:ascii="Times New Roman" w:eastAsia="Times New Roman" w:hAnsi="Times New Roman" w:cs="Times New Roman"/>
          <w:sz w:val="24"/>
          <w:szCs w:val="24"/>
        </w:rPr>
      </w:pPr>
      <w:r w:rsidRPr="003049EB">
        <w:rPr>
          <w:rStyle w:val="cursor-pointer"/>
          <w:rFonts w:ascii="Times New Roman" w:hAnsi="Times New Roman" w:cs="Times New Roman"/>
          <w:sz w:val="24"/>
          <w:szCs w:val="24"/>
        </w:rPr>
        <w:t>When it comes to safety-critical biomedical devices, ILAC G8 suggests guard banding [26].</w:t>
      </w:r>
    </w:p>
    <w:p w14:paraId="372E03CE" w14:textId="2070533B" w:rsidR="00B347AC" w:rsidRPr="00B347AC" w:rsidRDefault="00547BE1" w:rsidP="000B190B">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547BE1">
        <w:rPr>
          <w:rFonts w:ascii="Times New Roman" w:eastAsia="Times New Roman" w:hAnsi="Times New Roman" w:cs="Times New Roman"/>
          <w:b/>
          <w:bCs/>
          <w:color w:val="0F1115"/>
          <w:sz w:val="28"/>
          <w:szCs w:val="28"/>
        </w:rPr>
        <w:t>ENVIRONMENTAL CONDITIONS</w:t>
      </w:r>
    </w:p>
    <w:p w14:paraId="7AB27A1C" w14:textId="77777777" w:rsidR="0050291E" w:rsidRPr="003049EB" w:rsidRDefault="0050291E"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There is a tendency to use controlled conditions in biomedical calibration as indicated in ISO/IEC 17025 clause 6.3 [1]:</w:t>
      </w:r>
      <w:r w:rsidRPr="003049EB">
        <w:rPr>
          <w:rFonts w:ascii="Times New Roman" w:hAnsi="Times New Roman" w:cs="Times New Roman"/>
          <w:sz w:val="24"/>
          <w:szCs w:val="24"/>
        </w:rPr>
        <w:t xml:space="preserve"> </w:t>
      </w:r>
    </w:p>
    <w:p w14:paraId="1D816E0E" w14:textId="404E4D00"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Temperature: 20-25 C (can be reduced to 21-23 C to obtain more accurate measurements with precision instruments) Relative humidity: 4060% (to eliminate electrostatic discharge and condensation) </w:t>
      </w:r>
    </w:p>
    <w:p w14:paraId="708B12D9" w14:textId="13FD0F54"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Constant power (±2% voltage, less than 2% THD) </w:t>
      </w:r>
    </w:p>
    <w:p w14:paraId="30EDDF54" w14:textId="6A3B969C"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Low vibration (especially for mass and pressure calibrations) </w:t>
      </w:r>
    </w:p>
    <w:p w14:paraId="2322DE73" w14:textId="2B0788E5"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Clean environment (no dust, no chemical </w:t>
      </w:r>
      <w:r w:rsidR="003158E3" w:rsidRPr="00547BE1">
        <w:rPr>
          <w:rStyle w:val="cursor-pointer"/>
          <w:rFonts w:ascii="Times New Roman" w:hAnsi="Times New Roman" w:cs="Times New Roman"/>
          <w:sz w:val="24"/>
          <w:szCs w:val="24"/>
        </w:rPr>
        <w:t>vapors</w:t>
      </w:r>
      <w:r w:rsidRPr="00547BE1">
        <w:rPr>
          <w:rStyle w:val="cursor-pointer"/>
          <w:rFonts w:ascii="Times New Roman" w:hAnsi="Times New Roman" w:cs="Times New Roman"/>
          <w:sz w:val="24"/>
          <w:szCs w:val="24"/>
        </w:rPr>
        <w:t>)</w:t>
      </w:r>
    </w:p>
    <w:p w14:paraId="5E1E001E" w14:textId="3A2F41A0"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Electromagnetic compatibility control </w:t>
      </w:r>
    </w:p>
    <w:p w14:paraId="494FB1EB" w14:textId="05C3BA49" w:rsidR="00B347AC" w:rsidRPr="00B347AC" w:rsidRDefault="0050291E" w:rsidP="000B190B">
      <w:pPr>
        <w:spacing w:before="240" w:line="240" w:lineRule="auto"/>
        <w:jc w:val="both"/>
        <w:rPr>
          <w:rFonts w:ascii="Times New Roman" w:eastAsia="Times New Roman" w:hAnsi="Times New Roman" w:cs="Times New Roman"/>
          <w:sz w:val="24"/>
          <w:szCs w:val="24"/>
        </w:rPr>
      </w:pPr>
      <w:r w:rsidRPr="003049EB">
        <w:rPr>
          <w:rStyle w:val="cursor-pointer"/>
          <w:rFonts w:ascii="Times New Roman" w:hAnsi="Times New Roman" w:cs="Times New Roman"/>
          <w:sz w:val="24"/>
          <w:szCs w:val="24"/>
        </w:rPr>
        <w:t xml:space="preserve">The results may be </w:t>
      </w:r>
      <w:r w:rsidR="00342B4C">
        <w:rPr>
          <w:rStyle w:val="cursor-pointer"/>
          <w:rFonts w:ascii="Times New Roman" w:hAnsi="Times New Roman" w:cs="Times New Roman"/>
          <w:sz w:val="24"/>
          <w:szCs w:val="24"/>
        </w:rPr>
        <w:t>skewed</w:t>
      </w:r>
      <w:r w:rsidRPr="003049EB">
        <w:rPr>
          <w:rStyle w:val="cursor-pointer"/>
          <w:rFonts w:ascii="Times New Roman" w:hAnsi="Times New Roman" w:cs="Times New Roman"/>
          <w:sz w:val="24"/>
          <w:szCs w:val="24"/>
        </w:rPr>
        <w:t xml:space="preserve"> by uncontrolled environments.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Even a 5</w:t>
      </w:r>
      <w:r w:rsidR="00547BE1">
        <w:rPr>
          <w:rFonts w:ascii="Segoe UI" w:hAnsi="Segoe UI" w:cs="Segoe UI"/>
          <w:color w:val="0F1115"/>
          <w:shd w:val="clear" w:color="auto" w:fill="FFFFFF"/>
        </w:rPr>
        <w:t>°C</w:t>
      </w:r>
      <w:r w:rsidRPr="003049EB">
        <w:rPr>
          <w:rStyle w:val="cursor-pointer"/>
          <w:rFonts w:ascii="Times New Roman" w:hAnsi="Times New Roman" w:cs="Times New Roman"/>
          <w:sz w:val="24"/>
          <w:szCs w:val="24"/>
        </w:rPr>
        <w:t xml:space="preserve"> change in temperature can cause a 0.5 percent </w:t>
      </w:r>
      <w:r w:rsidR="00547BE1">
        <w:rPr>
          <w:rStyle w:val="cursor-pointer"/>
          <w:rFonts w:ascii="Times New Roman" w:hAnsi="Times New Roman" w:cs="Times New Roman"/>
          <w:sz w:val="24"/>
          <w:szCs w:val="24"/>
        </w:rPr>
        <w:t>full scale</w:t>
      </w:r>
      <w:r w:rsidRPr="003049EB">
        <w:rPr>
          <w:rStyle w:val="cursor-pointer"/>
          <w:rFonts w:ascii="Times New Roman" w:hAnsi="Times New Roman" w:cs="Times New Roman"/>
          <w:sz w:val="24"/>
          <w:szCs w:val="24"/>
        </w:rPr>
        <w:t xml:space="preserve"> movement of pressure transducers [14].</w:t>
      </w:r>
    </w:p>
    <w:p w14:paraId="0AFB0AF5" w14:textId="77777777" w:rsidR="00547BE1" w:rsidRDefault="00547BE1" w:rsidP="00547BE1">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B347AC">
        <w:rPr>
          <w:rFonts w:ascii="Times New Roman" w:eastAsia="Times New Roman" w:hAnsi="Times New Roman" w:cs="Times New Roman"/>
          <w:b/>
          <w:bCs/>
          <w:color w:val="0F1115"/>
          <w:sz w:val="28"/>
          <w:szCs w:val="28"/>
        </w:rPr>
        <w:t>COMPETENCE OF PERSONNEL</w:t>
      </w:r>
    </w:p>
    <w:p w14:paraId="402E5B1E" w14:textId="77777777" w:rsidR="00547BE1" w:rsidRDefault="0050291E" w:rsidP="00547BE1">
      <w:pPr>
        <w:shd w:val="clear" w:color="auto" w:fill="FFFFFF"/>
        <w:spacing w:before="240" w:line="240" w:lineRule="auto"/>
        <w:jc w:val="both"/>
        <w:outlineLvl w:val="1"/>
        <w:rPr>
          <w:rStyle w:val="cursor-pointer"/>
          <w:rFonts w:ascii="Times New Roman" w:hAnsi="Times New Roman" w:cs="Times New Roman"/>
          <w:sz w:val="24"/>
          <w:szCs w:val="24"/>
        </w:rPr>
      </w:pPr>
      <w:r w:rsidRPr="003049EB">
        <w:rPr>
          <w:rStyle w:val="cursor-pointer"/>
          <w:rFonts w:ascii="Times New Roman" w:hAnsi="Times New Roman" w:cs="Times New Roman"/>
          <w:sz w:val="24"/>
          <w:szCs w:val="24"/>
        </w:rPr>
        <w:t>According to ISO/ IEC 17025 clause 6.2, all the personnel in the calibration activities are required to have documented competence [1].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Training of personnel should be done in:</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 xml:space="preserve">Essentials: </w:t>
      </w:r>
    </w:p>
    <w:p w14:paraId="64F65C8A" w14:textId="5BE01FBC"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Basic electronics and electrical safety (IEC 60601 series [6])</w:t>
      </w:r>
    </w:p>
    <w:p w14:paraId="3F989D07" w14:textId="5BC67462"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Principles of medical devices and context of physiology. </w:t>
      </w:r>
    </w:p>
    <w:p w14:paraId="3F165C9B" w14:textId="720E170C"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Basic metrology concepts (traceability, uncertainty, units) </w:t>
      </w:r>
    </w:p>
    <w:p w14:paraId="0285CDA0" w14:textId="039A0C7C"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Calculation of uncertainty (Type A, Type B, GUM method [24]) </w:t>
      </w:r>
    </w:p>
    <w:p w14:paraId="1E975E9D" w14:textId="6166812C"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Risk management (ISO 14971) [7] </w:t>
      </w:r>
    </w:p>
    <w:p w14:paraId="434623AB" w14:textId="0D785637"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Safety standards (IEC 62353) [23] </w:t>
      </w:r>
    </w:p>
    <w:p w14:paraId="084B161E" w14:textId="2E3E0D88" w:rsidR="00547BE1"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Documentation systems </w:t>
      </w:r>
    </w:p>
    <w:p w14:paraId="77678EC8" w14:textId="439C31F3" w:rsidR="00B347AC" w:rsidRPr="00B347AC" w:rsidRDefault="0050291E"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Periodic reassessment of competence should be done.</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Textbooks in clinical engineering give the background knowledge [27</w:t>
      </w:r>
      <w:proofErr w:type="gramStart"/>
      <w:r w:rsidRPr="003049EB">
        <w:rPr>
          <w:rStyle w:val="cursor-pointer"/>
          <w:rFonts w:ascii="Times New Roman" w:hAnsi="Times New Roman" w:cs="Times New Roman"/>
          <w:sz w:val="24"/>
          <w:szCs w:val="24"/>
        </w:rPr>
        <w:t>,28</w:t>
      </w:r>
      <w:proofErr w:type="gramEnd"/>
      <w:r w:rsidRPr="003049EB">
        <w:rPr>
          <w:rStyle w:val="cursor-pointer"/>
          <w:rFonts w:ascii="Times New Roman" w:hAnsi="Times New Roman" w:cs="Times New Roman"/>
          <w:sz w:val="24"/>
          <w:szCs w:val="24"/>
        </w:rPr>
        <w:t>].</w:t>
      </w:r>
    </w:p>
    <w:p w14:paraId="5ADD7395" w14:textId="450BA754" w:rsidR="00B347AC" w:rsidRPr="00B347AC" w:rsidRDefault="00B347AC" w:rsidP="000B190B">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B347AC">
        <w:rPr>
          <w:rFonts w:ascii="Times New Roman" w:eastAsia="Times New Roman" w:hAnsi="Times New Roman" w:cs="Times New Roman"/>
          <w:b/>
          <w:bCs/>
          <w:color w:val="0F1115"/>
          <w:sz w:val="24"/>
          <w:szCs w:val="24"/>
        </w:rPr>
        <w:t>Documentation and Records</w:t>
      </w:r>
    </w:p>
    <w:p w14:paraId="6C7CD520" w14:textId="5B1B779B" w:rsidR="00547BE1" w:rsidRDefault="003049EB"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I</w:t>
      </w:r>
      <w:r w:rsidR="00547BE1">
        <w:rPr>
          <w:rStyle w:val="cursor-pointer"/>
          <w:rFonts w:ascii="Times New Roman" w:hAnsi="Times New Roman" w:cs="Times New Roman"/>
          <w:sz w:val="24"/>
          <w:szCs w:val="24"/>
        </w:rPr>
        <w:t>SO</w:t>
      </w:r>
      <w:r w:rsidRPr="003049EB">
        <w:rPr>
          <w:rStyle w:val="cursor-pointer"/>
          <w:rFonts w:ascii="Times New Roman" w:hAnsi="Times New Roman" w:cs="Times New Roman"/>
          <w:sz w:val="24"/>
          <w:szCs w:val="24"/>
        </w:rPr>
        <w:t>/</w:t>
      </w:r>
      <w:r w:rsidR="00547BE1">
        <w:rPr>
          <w:rStyle w:val="cursor-pointer"/>
          <w:rFonts w:ascii="Times New Roman" w:hAnsi="Times New Roman" w:cs="Times New Roman"/>
          <w:sz w:val="24"/>
          <w:szCs w:val="24"/>
        </w:rPr>
        <w:t>IEC</w:t>
      </w:r>
      <w:r w:rsidRPr="003049EB">
        <w:rPr>
          <w:rStyle w:val="cursor-pointer"/>
          <w:rFonts w:ascii="Times New Roman" w:hAnsi="Times New Roman" w:cs="Times New Roman"/>
          <w:sz w:val="24"/>
          <w:szCs w:val="24"/>
        </w:rPr>
        <w:t xml:space="preserve"> 17025 stipulates extensive documentation (clause 7.5 to technical records, clause 8.3 to document control) [1]:</w:t>
      </w:r>
    </w:p>
    <w:p w14:paraId="60A6A26C" w14:textId="1DA560BC" w:rsidR="003049EB" w:rsidRPr="003049EB" w:rsidRDefault="003049EB" w:rsidP="000B190B">
      <w:pPr>
        <w:shd w:val="clear" w:color="auto" w:fill="FFFFFF"/>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Required records include:</w:t>
      </w:r>
    </w:p>
    <w:p w14:paraId="32542481" w14:textId="577A3943" w:rsid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Equipment </w:t>
      </w:r>
      <w:r w:rsidR="00547BE1" w:rsidRPr="00547BE1">
        <w:rPr>
          <w:rStyle w:val="cursor-pointer"/>
          <w:rFonts w:ascii="Times New Roman" w:hAnsi="Times New Roman" w:cs="Times New Roman"/>
          <w:sz w:val="24"/>
          <w:szCs w:val="24"/>
        </w:rPr>
        <w:t>registers</w:t>
      </w:r>
    </w:p>
    <w:p w14:paraId="0CA5C774" w14:textId="1E4AB024" w:rsidR="003049EB" w:rsidRP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Calibration procedures (validated, version-controlled) </w:t>
      </w:r>
    </w:p>
    <w:p w14:paraId="38EDCBEE" w14:textId="5A4530D8" w:rsidR="003049EB" w:rsidRP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Raw data sheets</w:t>
      </w:r>
    </w:p>
    <w:p w14:paraId="6667ECB2" w14:textId="035B043B" w:rsidR="003049EB" w:rsidRP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Calibration certificates (according to ILAC P14) [17]. </w:t>
      </w:r>
    </w:p>
    <w:p w14:paraId="09E48830" w14:textId="63EEB2F6" w:rsidR="003049EB" w:rsidRP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Traceability evidence </w:t>
      </w:r>
    </w:p>
    <w:p w14:paraId="614DD4FC" w14:textId="67D7F528" w:rsidR="003049EB" w:rsidRP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Environmental logs </w:t>
      </w:r>
    </w:p>
    <w:p w14:paraId="732F4389" w14:textId="77777777" w:rsidR="003158E3"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Corrective actions </w:t>
      </w:r>
    </w:p>
    <w:p w14:paraId="5C23BE22" w14:textId="60212903" w:rsidR="003049EB" w:rsidRPr="003158E3"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3158E3">
        <w:rPr>
          <w:rStyle w:val="cursor-pointer"/>
          <w:rFonts w:ascii="Times New Roman" w:hAnsi="Times New Roman" w:cs="Times New Roman"/>
          <w:sz w:val="24"/>
          <w:szCs w:val="24"/>
        </w:rPr>
        <w:t xml:space="preserve">Training records </w:t>
      </w:r>
    </w:p>
    <w:p w14:paraId="37163919" w14:textId="14F6FE1F" w:rsidR="00B347AC" w:rsidRPr="00B347AC" w:rsidRDefault="003049EB"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lastRenderedPageBreak/>
        <w:t>Table 4 enumerates the required contents of an accredited calibration certificate.</w:t>
      </w:r>
    </w:p>
    <w:tbl>
      <w:tblPr>
        <w:tblpPr w:leftFromText="180" w:rightFromText="180" w:vertAnchor="page" w:horzAnchor="margin" w:tblpY="2460"/>
        <w:tblW w:w="10440" w:type="dxa"/>
        <w:tblCellMar>
          <w:top w:w="15" w:type="dxa"/>
          <w:left w:w="15" w:type="dxa"/>
          <w:bottom w:w="15" w:type="dxa"/>
          <w:right w:w="15" w:type="dxa"/>
        </w:tblCellMar>
        <w:tblLook w:val="04A0" w:firstRow="1" w:lastRow="0" w:firstColumn="1" w:lastColumn="0" w:noHBand="0" w:noVBand="1"/>
      </w:tblPr>
      <w:tblGrid>
        <w:gridCol w:w="2700"/>
        <w:gridCol w:w="4320"/>
        <w:gridCol w:w="3420"/>
      </w:tblGrid>
      <w:tr w:rsidR="00E33A1F" w:rsidRPr="00B347AC" w14:paraId="0580F235" w14:textId="77777777" w:rsidTr="00EF3BA1">
        <w:trPr>
          <w:cantSplit/>
          <w:trHeight w:val="144"/>
          <w:tblHeader/>
        </w:trPr>
        <w:tc>
          <w:tcPr>
            <w:tcW w:w="2700" w:type="dxa"/>
            <w:tcBorders>
              <w:top w:val="nil"/>
            </w:tcBorders>
            <w:tcMar>
              <w:top w:w="150" w:type="dxa"/>
              <w:left w:w="0" w:type="dxa"/>
              <w:bottom w:w="150" w:type="dxa"/>
              <w:right w:w="240" w:type="dxa"/>
            </w:tcMar>
            <w:vAlign w:val="center"/>
            <w:hideMark/>
          </w:tcPr>
          <w:p w14:paraId="6A994860" w14:textId="398E26F7" w:rsidR="00B347AC" w:rsidRPr="00B347AC" w:rsidRDefault="00E33A1F" w:rsidP="00EF3B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47AC" w:rsidRPr="00B347AC">
              <w:rPr>
                <w:rFonts w:ascii="Times New Roman" w:eastAsia="Times New Roman" w:hAnsi="Times New Roman" w:cs="Times New Roman"/>
                <w:sz w:val="24"/>
                <w:szCs w:val="24"/>
              </w:rPr>
              <w:t>Element</w:t>
            </w:r>
          </w:p>
        </w:tc>
        <w:tc>
          <w:tcPr>
            <w:tcW w:w="4320" w:type="dxa"/>
            <w:tcBorders>
              <w:top w:val="nil"/>
            </w:tcBorders>
            <w:tcMar>
              <w:top w:w="150" w:type="dxa"/>
              <w:left w:w="240" w:type="dxa"/>
              <w:bottom w:w="150" w:type="dxa"/>
              <w:right w:w="240" w:type="dxa"/>
            </w:tcMar>
            <w:vAlign w:val="center"/>
            <w:hideMark/>
          </w:tcPr>
          <w:p w14:paraId="157A71FB"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Requirement</w:t>
            </w:r>
          </w:p>
        </w:tc>
        <w:tc>
          <w:tcPr>
            <w:tcW w:w="3420" w:type="dxa"/>
            <w:tcBorders>
              <w:top w:val="nil"/>
            </w:tcBorders>
            <w:tcMar>
              <w:top w:w="150" w:type="dxa"/>
              <w:left w:w="240" w:type="dxa"/>
              <w:bottom w:w="150" w:type="dxa"/>
              <w:right w:w="240" w:type="dxa"/>
            </w:tcMar>
            <w:vAlign w:val="center"/>
            <w:hideMark/>
          </w:tcPr>
          <w:p w14:paraId="15735B44"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Reference</w:t>
            </w:r>
          </w:p>
        </w:tc>
      </w:tr>
      <w:tr w:rsidR="00E33A1F" w:rsidRPr="00B347AC" w14:paraId="77076974" w14:textId="77777777" w:rsidTr="00EF3BA1">
        <w:trPr>
          <w:cantSplit/>
          <w:trHeight w:val="144"/>
          <w:tblHeader/>
        </w:trPr>
        <w:tc>
          <w:tcPr>
            <w:tcW w:w="2700" w:type="dxa"/>
            <w:tcMar>
              <w:top w:w="150" w:type="dxa"/>
              <w:left w:w="0" w:type="dxa"/>
              <w:bottom w:w="150" w:type="dxa"/>
              <w:right w:w="240" w:type="dxa"/>
            </w:tcMar>
            <w:vAlign w:val="center"/>
            <w:hideMark/>
          </w:tcPr>
          <w:p w14:paraId="3ED89F10"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Title</w:t>
            </w:r>
          </w:p>
        </w:tc>
        <w:tc>
          <w:tcPr>
            <w:tcW w:w="4320" w:type="dxa"/>
            <w:tcMar>
              <w:top w:w="150" w:type="dxa"/>
              <w:left w:w="240" w:type="dxa"/>
              <w:bottom w:w="150" w:type="dxa"/>
              <w:right w:w="240" w:type="dxa"/>
            </w:tcMar>
            <w:vAlign w:val="center"/>
            <w:hideMark/>
          </w:tcPr>
          <w:p w14:paraId="175B116A"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"Calibration Certificate"</w:t>
            </w:r>
          </w:p>
        </w:tc>
        <w:tc>
          <w:tcPr>
            <w:tcW w:w="3420" w:type="dxa"/>
            <w:tcMar>
              <w:top w:w="150" w:type="dxa"/>
              <w:left w:w="240" w:type="dxa"/>
              <w:bottom w:w="150" w:type="dxa"/>
              <w:right w:w="0" w:type="dxa"/>
            </w:tcMar>
            <w:vAlign w:val="center"/>
            <w:hideMark/>
          </w:tcPr>
          <w:p w14:paraId="1BB7D8DD"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17025:2017 cl. 7.8.2</w:t>
            </w:r>
          </w:p>
        </w:tc>
      </w:tr>
      <w:tr w:rsidR="00E33A1F" w:rsidRPr="00B347AC" w14:paraId="7FE222BD" w14:textId="77777777" w:rsidTr="00EF3BA1">
        <w:trPr>
          <w:cantSplit/>
          <w:trHeight w:val="144"/>
          <w:tblHeader/>
        </w:trPr>
        <w:tc>
          <w:tcPr>
            <w:tcW w:w="2700" w:type="dxa"/>
            <w:tcMar>
              <w:top w:w="150" w:type="dxa"/>
              <w:left w:w="0" w:type="dxa"/>
              <w:bottom w:w="150" w:type="dxa"/>
              <w:right w:w="240" w:type="dxa"/>
            </w:tcMar>
            <w:vAlign w:val="center"/>
            <w:hideMark/>
          </w:tcPr>
          <w:p w14:paraId="726578CE"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Laboratory identification</w:t>
            </w:r>
          </w:p>
        </w:tc>
        <w:tc>
          <w:tcPr>
            <w:tcW w:w="4320" w:type="dxa"/>
            <w:tcMar>
              <w:top w:w="150" w:type="dxa"/>
              <w:left w:w="240" w:type="dxa"/>
              <w:bottom w:w="150" w:type="dxa"/>
              <w:right w:w="240" w:type="dxa"/>
            </w:tcMar>
            <w:vAlign w:val="center"/>
            <w:hideMark/>
          </w:tcPr>
          <w:p w14:paraId="39D865CE"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Name, address, accreditation symbol</w:t>
            </w:r>
          </w:p>
        </w:tc>
        <w:tc>
          <w:tcPr>
            <w:tcW w:w="3420" w:type="dxa"/>
            <w:tcMar>
              <w:top w:w="150" w:type="dxa"/>
              <w:left w:w="240" w:type="dxa"/>
              <w:bottom w:w="150" w:type="dxa"/>
              <w:right w:w="0" w:type="dxa"/>
            </w:tcMar>
            <w:vAlign w:val="center"/>
            <w:hideMark/>
          </w:tcPr>
          <w:p w14:paraId="3DC66A20"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ILAC P14 [17]</w:t>
            </w:r>
          </w:p>
        </w:tc>
      </w:tr>
      <w:tr w:rsidR="00E33A1F" w:rsidRPr="00B347AC" w14:paraId="24E8D17F" w14:textId="77777777" w:rsidTr="00EF3BA1">
        <w:trPr>
          <w:cantSplit/>
          <w:trHeight w:val="144"/>
          <w:tblHeader/>
        </w:trPr>
        <w:tc>
          <w:tcPr>
            <w:tcW w:w="2700" w:type="dxa"/>
            <w:tcMar>
              <w:top w:w="150" w:type="dxa"/>
              <w:left w:w="0" w:type="dxa"/>
              <w:bottom w:w="150" w:type="dxa"/>
              <w:right w:w="240" w:type="dxa"/>
            </w:tcMar>
            <w:vAlign w:val="center"/>
            <w:hideMark/>
          </w:tcPr>
          <w:p w14:paraId="215BBA0D"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Unique certificate ID</w:t>
            </w:r>
          </w:p>
        </w:tc>
        <w:tc>
          <w:tcPr>
            <w:tcW w:w="4320" w:type="dxa"/>
            <w:tcMar>
              <w:top w:w="150" w:type="dxa"/>
              <w:left w:w="240" w:type="dxa"/>
              <w:bottom w:w="150" w:type="dxa"/>
              <w:right w:w="240" w:type="dxa"/>
            </w:tcMar>
            <w:vAlign w:val="center"/>
            <w:hideMark/>
          </w:tcPr>
          <w:p w14:paraId="56FD5545"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Sequential numbering for traceability</w:t>
            </w:r>
          </w:p>
        </w:tc>
        <w:tc>
          <w:tcPr>
            <w:tcW w:w="3420" w:type="dxa"/>
            <w:tcMar>
              <w:top w:w="150" w:type="dxa"/>
              <w:left w:w="240" w:type="dxa"/>
              <w:bottom w:w="150" w:type="dxa"/>
              <w:right w:w="0" w:type="dxa"/>
            </w:tcMar>
            <w:vAlign w:val="center"/>
            <w:hideMark/>
          </w:tcPr>
          <w:p w14:paraId="4FBD1C05"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4A29314E" w14:textId="77777777" w:rsidTr="00EF3BA1">
        <w:trPr>
          <w:cantSplit/>
          <w:trHeight w:val="144"/>
          <w:tblHeader/>
        </w:trPr>
        <w:tc>
          <w:tcPr>
            <w:tcW w:w="2700" w:type="dxa"/>
            <w:tcMar>
              <w:top w:w="150" w:type="dxa"/>
              <w:left w:w="0" w:type="dxa"/>
              <w:bottom w:w="150" w:type="dxa"/>
              <w:right w:w="240" w:type="dxa"/>
            </w:tcMar>
            <w:vAlign w:val="center"/>
            <w:hideMark/>
          </w:tcPr>
          <w:p w14:paraId="12B9BB46"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Customer identification</w:t>
            </w:r>
          </w:p>
        </w:tc>
        <w:tc>
          <w:tcPr>
            <w:tcW w:w="4320" w:type="dxa"/>
            <w:tcMar>
              <w:top w:w="150" w:type="dxa"/>
              <w:left w:w="240" w:type="dxa"/>
              <w:bottom w:w="150" w:type="dxa"/>
              <w:right w:w="240" w:type="dxa"/>
            </w:tcMar>
            <w:vAlign w:val="center"/>
            <w:hideMark/>
          </w:tcPr>
          <w:p w14:paraId="7A522080"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Name and address</w:t>
            </w:r>
          </w:p>
        </w:tc>
        <w:tc>
          <w:tcPr>
            <w:tcW w:w="3420" w:type="dxa"/>
            <w:tcMar>
              <w:top w:w="150" w:type="dxa"/>
              <w:left w:w="240" w:type="dxa"/>
              <w:bottom w:w="150" w:type="dxa"/>
              <w:right w:w="0" w:type="dxa"/>
            </w:tcMar>
            <w:vAlign w:val="center"/>
            <w:hideMark/>
          </w:tcPr>
          <w:p w14:paraId="3BB5D7EB"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313455E0" w14:textId="77777777" w:rsidTr="00EF3BA1">
        <w:trPr>
          <w:cantSplit/>
          <w:trHeight w:val="144"/>
          <w:tblHeader/>
        </w:trPr>
        <w:tc>
          <w:tcPr>
            <w:tcW w:w="2700" w:type="dxa"/>
            <w:tcMar>
              <w:top w:w="150" w:type="dxa"/>
              <w:left w:w="0" w:type="dxa"/>
              <w:bottom w:w="150" w:type="dxa"/>
              <w:right w:w="240" w:type="dxa"/>
            </w:tcMar>
            <w:vAlign w:val="center"/>
            <w:hideMark/>
          </w:tcPr>
          <w:p w14:paraId="29555C7F"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Device identification</w:t>
            </w:r>
          </w:p>
        </w:tc>
        <w:tc>
          <w:tcPr>
            <w:tcW w:w="4320" w:type="dxa"/>
            <w:tcMar>
              <w:top w:w="150" w:type="dxa"/>
              <w:left w:w="240" w:type="dxa"/>
              <w:bottom w:w="150" w:type="dxa"/>
              <w:right w:w="240" w:type="dxa"/>
            </w:tcMar>
            <w:vAlign w:val="center"/>
            <w:hideMark/>
          </w:tcPr>
          <w:p w14:paraId="4ACA41D6"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Manufacturer, model, serial number</w:t>
            </w:r>
          </w:p>
        </w:tc>
        <w:tc>
          <w:tcPr>
            <w:tcW w:w="3420" w:type="dxa"/>
            <w:tcMar>
              <w:top w:w="150" w:type="dxa"/>
              <w:left w:w="240" w:type="dxa"/>
              <w:bottom w:w="150" w:type="dxa"/>
              <w:right w:w="0" w:type="dxa"/>
            </w:tcMar>
            <w:vAlign w:val="center"/>
            <w:hideMark/>
          </w:tcPr>
          <w:p w14:paraId="4C4C9671"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30B02CA4" w14:textId="77777777" w:rsidTr="00EF3BA1">
        <w:trPr>
          <w:cantSplit/>
          <w:trHeight w:val="144"/>
          <w:tblHeader/>
        </w:trPr>
        <w:tc>
          <w:tcPr>
            <w:tcW w:w="2700" w:type="dxa"/>
            <w:tcMar>
              <w:top w:w="150" w:type="dxa"/>
              <w:left w:w="0" w:type="dxa"/>
              <w:bottom w:w="150" w:type="dxa"/>
              <w:right w:w="240" w:type="dxa"/>
            </w:tcMar>
            <w:vAlign w:val="center"/>
            <w:hideMark/>
          </w:tcPr>
          <w:p w14:paraId="3FCF50A3"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Calibration date</w:t>
            </w:r>
          </w:p>
        </w:tc>
        <w:tc>
          <w:tcPr>
            <w:tcW w:w="4320" w:type="dxa"/>
            <w:tcMar>
              <w:top w:w="150" w:type="dxa"/>
              <w:left w:w="240" w:type="dxa"/>
              <w:bottom w:w="150" w:type="dxa"/>
              <w:right w:w="240" w:type="dxa"/>
            </w:tcMar>
            <w:vAlign w:val="center"/>
            <w:hideMark/>
          </w:tcPr>
          <w:p w14:paraId="0F554406"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When performed</w:t>
            </w:r>
          </w:p>
        </w:tc>
        <w:tc>
          <w:tcPr>
            <w:tcW w:w="3420" w:type="dxa"/>
            <w:tcMar>
              <w:top w:w="150" w:type="dxa"/>
              <w:left w:w="240" w:type="dxa"/>
              <w:bottom w:w="150" w:type="dxa"/>
              <w:right w:w="0" w:type="dxa"/>
            </w:tcMar>
            <w:vAlign w:val="center"/>
            <w:hideMark/>
          </w:tcPr>
          <w:p w14:paraId="551F669B"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45962140" w14:textId="77777777" w:rsidTr="00EF3BA1">
        <w:trPr>
          <w:cantSplit/>
          <w:trHeight w:val="144"/>
          <w:tblHeader/>
        </w:trPr>
        <w:tc>
          <w:tcPr>
            <w:tcW w:w="2700" w:type="dxa"/>
            <w:tcMar>
              <w:top w:w="150" w:type="dxa"/>
              <w:left w:w="0" w:type="dxa"/>
              <w:bottom w:w="150" w:type="dxa"/>
              <w:right w:w="240" w:type="dxa"/>
            </w:tcMar>
            <w:vAlign w:val="center"/>
            <w:hideMark/>
          </w:tcPr>
          <w:p w14:paraId="71AD4B5E"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Reference standards</w:t>
            </w:r>
          </w:p>
        </w:tc>
        <w:tc>
          <w:tcPr>
            <w:tcW w:w="4320" w:type="dxa"/>
            <w:tcMar>
              <w:top w:w="150" w:type="dxa"/>
              <w:left w:w="240" w:type="dxa"/>
              <w:bottom w:w="150" w:type="dxa"/>
              <w:right w:w="240" w:type="dxa"/>
            </w:tcMar>
            <w:vAlign w:val="center"/>
            <w:hideMark/>
          </w:tcPr>
          <w:p w14:paraId="20315368"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IDs, calibration dates, traceability</w:t>
            </w:r>
          </w:p>
        </w:tc>
        <w:tc>
          <w:tcPr>
            <w:tcW w:w="3420" w:type="dxa"/>
            <w:tcMar>
              <w:top w:w="150" w:type="dxa"/>
              <w:left w:w="240" w:type="dxa"/>
              <w:bottom w:w="150" w:type="dxa"/>
              <w:right w:w="0" w:type="dxa"/>
            </w:tcMar>
            <w:vAlign w:val="center"/>
            <w:hideMark/>
          </w:tcPr>
          <w:p w14:paraId="1F5972CF"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ILAC P14 [17]</w:t>
            </w:r>
          </w:p>
        </w:tc>
      </w:tr>
      <w:tr w:rsidR="00E33A1F" w:rsidRPr="00B347AC" w14:paraId="3E0A3CED" w14:textId="77777777" w:rsidTr="00EF3BA1">
        <w:trPr>
          <w:cantSplit/>
          <w:trHeight w:val="144"/>
          <w:tblHeader/>
        </w:trPr>
        <w:tc>
          <w:tcPr>
            <w:tcW w:w="2700" w:type="dxa"/>
            <w:tcMar>
              <w:top w:w="150" w:type="dxa"/>
              <w:left w:w="0" w:type="dxa"/>
              <w:bottom w:w="150" w:type="dxa"/>
              <w:right w:w="240" w:type="dxa"/>
            </w:tcMar>
            <w:vAlign w:val="center"/>
            <w:hideMark/>
          </w:tcPr>
          <w:p w14:paraId="2B867AFA"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Environmental conditions</w:t>
            </w:r>
          </w:p>
        </w:tc>
        <w:tc>
          <w:tcPr>
            <w:tcW w:w="4320" w:type="dxa"/>
            <w:tcMar>
              <w:top w:w="150" w:type="dxa"/>
              <w:left w:w="240" w:type="dxa"/>
              <w:bottom w:w="150" w:type="dxa"/>
              <w:right w:w="240" w:type="dxa"/>
            </w:tcMar>
            <w:vAlign w:val="center"/>
            <w:hideMark/>
          </w:tcPr>
          <w:p w14:paraId="6128A3C8"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Temperature, humidity during calibration</w:t>
            </w:r>
          </w:p>
        </w:tc>
        <w:tc>
          <w:tcPr>
            <w:tcW w:w="3420" w:type="dxa"/>
            <w:tcMar>
              <w:top w:w="150" w:type="dxa"/>
              <w:left w:w="240" w:type="dxa"/>
              <w:bottom w:w="150" w:type="dxa"/>
              <w:right w:w="0" w:type="dxa"/>
            </w:tcMar>
            <w:vAlign w:val="center"/>
            <w:hideMark/>
          </w:tcPr>
          <w:p w14:paraId="6F201D20"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10F87D12" w14:textId="77777777" w:rsidTr="00EF3BA1">
        <w:trPr>
          <w:cantSplit/>
          <w:trHeight w:val="144"/>
          <w:tblHeader/>
        </w:trPr>
        <w:tc>
          <w:tcPr>
            <w:tcW w:w="2700" w:type="dxa"/>
            <w:tcMar>
              <w:top w:w="150" w:type="dxa"/>
              <w:left w:w="0" w:type="dxa"/>
              <w:bottom w:w="150" w:type="dxa"/>
              <w:right w:w="240" w:type="dxa"/>
            </w:tcMar>
            <w:vAlign w:val="center"/>
            <w:hideMark/>
          </w:tcPr>
          <w:p w14:paraId="29D023F2"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Measurement results</w:t>
            </w:r>
          </w:p>
        </w:tc>
        <w:tc>
          <w:tcPr>
            <w:tcW w:w="4320" w:type="dxa"/>
            <w:tcMar>
              <w:top w:w="150" w:type="dxa"/>
              <w:left w:w="240" w:type="dxa"/>
              <w:bottom w:w="150" w:type="dxa"/>
              <w:right w:w="240" w:type="dxa"/>
            </w:tcMar>
            <w:vAlign w:val="center"/>
            <w:hideMark/>
          </w:tcPr>
          <w:p w14:paraId="30FFB835"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Values, errors at each point</w:t>
            </w:r>
          </w:p>
        </w:tc>
        <w:tc>
          <w:tcPr>
            <w:tcW w:w="3420" w:type="dxa"/>
            <w:tcMar>
              <w:top w:w="150" w:type="dxa"/>
              <w:left w:w="240" w:type="dxa"/>
              <w:bottom w:w="150" w:type="dxa"/>
              <w:right w:w="0" w:type="dxa"/>
            </w:tcMar>
            <w:vAlign w:val="center"/>
            <w:hideMark/>
          </w:tcPr>
          <w:p w14:paraId="5D4A930F"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780EA43E" w14:textId="77777777" w:rsidTr="00EF3BA1">
        <w:trPr>
          <w:cantSplit/>
          <w:trHeight w:val="144"/>
          <w:tblHeader/>
        </w:trPr>
        <w:tc>
          <w:tcPr>
            <w:tcW w:w="2700" w:type="dxa"/>
            <w:tcMar>
              <w:top w:w="150" w:type="dxa"/>
              <w:left w:w="0" w:type="dxa"/>
              <w:bottom w:w="150" w:type="dxa"/>
              <w:right w:w="240" w:type="dxa"/>
            </w:tcMar>
            <w:vAlign w:val="center"/>
            <w:hideMark/>
          </w:tcPr>
          <w:p w14:paraId="27E2CE1E"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Measurement uncertainty</w:t>
            </w:r>
          </w:p>
        </w:tc>
        <w:tc>
          <w:tcPr>
            <w:tcW w:w="4320" w:type="dxa"/>
            <w:tcMar>
              <w:top w:w="150" w:type="dxa"/>
              <w:left w:w="240" w:type="dxa"/>
              <w:bottom w:w="150" w:type="dxa"/>
              <w:right w:w="240" w:type="dxa"/>
            </w:tcMar>
            <w:vAlign w:val="center"/>
            <w:hideMark/>
          </w:tcPr>
          <w:p w14:paraId="430A1FAD"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Expanded uncertainty (U, k=2)</w:t>
            </w:r>
          </w:p>
        </w:tc>
        <w:tc>
          <w:tcPr>
            <w:tcW w:w="3420" w:type="dxa"/>
            <w:tcMar>
              <w:top w:w="150" w:type="dxa"/>
              <w:left w:w="240" w:type="dxa"/>
              <w:bottom w:w="150" w:type="dxa"/>
              <w:right w:w="0" w:type="dxa"/>
            </w:tcMar>
            <w:vAlign w:val="center"/>
            <w:hideMark/>
          </w:tcPr>
          <w:p w14:paraId="766E1453"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ILAC P14 [17]</w:t>
            </w:r>
          </w:p>
        </w:tc>
      </w:tr>
      <w:tr w:rsidR="00E33A1F" w:rsidRPr="00B347AC" w14:paraId="2CF7B38D" w14:textId="77777777" w:rsidTr="00EF3BA1">
        <w:trPr>
          <w:cantSplit/>
          <w:trHeight w:val="144"/>
          <w:tblHeader/>
        </w:trPr>
        <w:tc>
          <w:tcPr>
            <w:tcW w:w="2700" w:type="dxa"/>
            <w:tcMar>
              <w:top w:w="150" w:type="dxa"/>
              <w:left w:w="0" w:type="dxa"/>
              <w:bottom w:w="150" w:type="dxa"/>
              <w:right w:w="240" w:type="dxa"/>
            </w:tcMar>
            <w:vAlign w:val="center"/>
            <w:hideMark/>
          </w:tcPr>
          <w:p w14:paraId="64BFD489" w14:textId="48D66FF8" w:rsidR="00B347AC" w:rsidRPr="00B347AC" w:rsidRDefault="00B347AC" w:rsidP="00EF3BA1">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Statement</w:t>
            </w:r>
            <w:r w:rsidR="00E33A1F">
              <w:rPr>
                <w:rFonts w:ascii="Times New Roman" w:eastAsia="Times New Roman" w:hAnsi="Times New Roman" w:cs="Times New Roman"/>
                <w:sz w:val="24"/>
                <w:szCs w:val="24"/>
              </w:rPr>
              <w:t xml:space="preserve"> </w:t>
            </w:r>
            <w:r w:rsidRPr="00B347AC">
              <w:rPr>
                <w:rFonts w:ascii="Times New Roman" w:eastAsia="Times New Roman" w:hAnsi="Times New Roman" w:cs="Times New Roman"/>
                <w:sz w:val="24"/>
                <w:szCs w:val="24"/>
              </w:rPr>
              <w:t>of conformity</w:t>
            </w:r>
          </w:p>
        </w:tc>
        <w:tc>
          <w:tcPr>
            <w:tcW w:w="4320" w:type="dxa"/>
            <w:tcMar>
              <w:top w:w="150" w:type="dxa"/>
              <w:left w:w="240" w:type="dxa"/>
              <w:bottom w:w="150" w:type="dxa"/>
              <w:right w:w="240" w:type="dxa"/>
            </w:tcMar>
            <w:vAlign w:val="center"/>
            <w:hideMark/>
          </w:tcPr>
          <w:p w14:paraId="2E4968E8"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Pass/fail (if requested)</w:t>
            </w:r>
          </w:p>
        </w:tc>
        <w:tc>
          <w:tcPr>
            <w:tcW w:w="3420" w:type="dxa"/>
            <w:tcMar>
              <w:top w:w="150" w:type="dxa"/>
              <w:left w:w="240" w:type="dxa"/>
              <w:bottom w:w="150" w:type="dxa"/>
              <w:right w:w="0" w:type="dxa"/>
            </w:tcMar>
            <w:vAlign w:val="center"/>
            <w:hideMark/>
          </w:tcPr>
          <w:p w14:paraId="514A5DA7"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ILAC G8 [26]</w:t>
            </w:r>
          </w:p>
        </w:tc>
      </w:tr>
      <w:tr w:rsidR="00E33A1F" w:rsidRPr="00B347AC" w14:paraId="1529BB47" w14:textId="77777777" w:rsidTr="00EF3BA1">
        <w:trPr>
          <w:cantSplit/>
          <w:trHeight w:val="144"/>
          <w:tblHeader/>
        </w:trPr>
        <w:tc>
          <w:tcPr>
            <w:tcW w:w="2700" w:type="dxa"/>
            <w:tcMar>
              <w:top w:w="150" w:type="dxa"/>
              <w:left w:w="0" w:type="dxa"/>
              <w:bottom w:w="150" w:type="dxa"/>
              <w:right w:w="240" w:type="dxa"/>
            </w:tcMar>
            <w:vAlign w:val="center"/>
            <w:hideMark/>
          </w:tcPr>
          <w:p w14:paraId="35AFE092"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Signature</w:t>
            </w:r>
          </w:p>
        </w:tc>
        <w:tc>
          <w:tcPr>
            <w:tcW w:w="4320" w:type="dxa"/>
            <w:tcMar>
              <w:top w:w="150" w:type="dxa"/>
              <w:left w:w="240" w:type="dxa"/>
              <w:bottom w:w="150" w:type="dxa"/>
              <w:right w:w="240" w:type="dxa"/>
            </w:tcMar>
            <w:vAlign w:val="center"/>
            <w:hideMark/>
          </w:tcPr>
          <w:p w14:paraId="37470B4B"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Authorized signatory</w:t>
            </w:r>
          </w:p>
        </w:tc>
        <w:tc>
          <w:tcPr>
            <w:tcW w:w="3420" w:type="dxa"/>
            <w:tcMar>
              <w:top w:w="150" w:type="dxa"/>
              <w:left w:w="240" w:type="dxa"/>
              <w:bottom w:w="150" w:type="dxa"/>
              <w:right w:w="0" w:type="dxa"/>
            </w:tcMar>
            <w:vAlign w:val="center"/>
            <w:hideMark/>
          </w:tcPr>
          <w:p w14:paraId="3B89164F"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bl>
    <w:p w14:paraId="5F22CAA3" w14:textId="594B9F46" w:rsidR="00B347AC" w:rsidRPr="00B347AC" w:rsidRDefault="00B347AC"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B347AC">
        <w:rPr>
          <w:rFonts w:ascii="Times New Roman" w:eastAsia="Times New Roman" w:hAnsi="Times New Roman" w:cs="Times New Roman"/>
          <w:color w:val="0F1115"/>
          <w:sz w:val="24"/>
          <w:szCs w:val="24"/>
        </w:rPr>
        <w:t xml:space="preserve">Digital </w:t>
      </w:r>
      <w:r w:rsidR="00342B4C">
        <w:rPr>
          <w:rFonts w:ascii="Times New Roman" w:eastAsia="Times New Roman" w:hAnsi="Times New Roman" w:cs="Times New Roman"/>
          <w:color w:val="0F1115"/>
          <w:sz w:val="24"/>
          <w:szCs w:val="24"/>
        </w:rPr>
        <w:t>resource</w:t>
      </w:r>
      <w:r w:rsidRPr="00B347AC">
        <w:rPr>
          <w:rFonts w:ascii="Times New Roman" w:eastAsia="Times New Roman" w:hAnsi="Times New Roman" w:cs="Times New Roman"/>
          <w:color w:val="0F1115"/>
          <w:sz w:val="24"/>
          <w:szCs w:val="24"/>
        </w:rPr>
        <w:t xml:space="preserve"> management systems (CMMS) improve efficiency. AAMI EQ56 recommends such systems [29].</w:t>
      </w:r>
    </w:p>
    <w:p w14:paraId="54C4B6D7" w14:textId="2FA1D17B" w:rsidR="00B347AC" w:rsidRPr="00B347AC" w:rsidRDefault="00B347AC" w:rsidP="000B190B">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B347AC">
        <w:rPr>
          <w:rFonts w:ascii="Times New Roman" w:eastAsia="Times New Roman" w:hAnsi="Times New Roman" w:cs="Times New Roman"/>
          <w:b/>
          <w:bCs/>
          <w:color w:val="0F1115"/>
          <w:sz w:val="24"/>
          <w:szCs w:val="24"/>
        </w:rPr>
        <w:t>Internal Quality Control</w:t>
      </w:r>
    </w:p>
    <w:p w14:paraId="38147B2B" w14:textId="77777777" w:rsidR="003049EB" w:rsidRPr="003049EB" w:rsidRDefault="003049EB"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The ISO/IEC 17025 clause 7.7 stipulates that internal QC [1] should be provided.</w:t>
      </w:r>
      <w:r w:rsidRPr="003049EB">
        <w:rPr>
          <w:rFonts w:ascii="Times New Roman" w:hAnsi="Times New Roman" w:cs="Times New Roman"/>
          <w:sz w:val="24"/>
          <w:szCs w:val="24"/>
        </w:rPr>
        <w:t xml:space="preserve"> Methods include: </w:t>
      </w:r>
    </w:p>
    <w:p w14:paraId="36A85AC3" w14:textId="196B213F"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Intermediate checks of standards </w:t>
      </w:r>
    </w:p>
    <w:p w14:paraId="0F43E0D9" w14:textId="68BDEA05"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Proficiency testing (PT) and interlaboratory comparisons [30] Control charts on reference standards. </w:t>
      </w:r>
    </w:p>
    <w:p w14:paraId="6A8F1436" w14:textId="02820A75"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Trend analysis </w:t>
      </w:r>
    </w:p>
    <w:p w14:paraId="7F26E2F1" w14:textId="627FB870" w:rsidR="00E33A1F"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Repeat calibrations</w:t>
      </w:r>
    </w:p>
    <w:p w14:paraId="4164F8FC" w14:textId="77777777" w:rsidR="00E33A1F" w:rsidRPr="00E33A1F" w:rsidRDefault="003049EB" w:rsidP="000B190B">
      <w:pPr>
        <w:spacing w:before="240" w:line="240" w:lineRule="auto"/>
        <w:jc w:val="both"/>
        <w:rPr>
          <w:rStyle w:val="cursor-pointer"/>
          <w:rFonts w:ascii="Times New Roman" w:hAnsi="Times New Roman" w:cs="Times New Roman"/>
          <w:b/>
          <w:bCs/>
          <w:sz w:val="24"/>
          <w:szCs w:val="24"/>
        </w:rPr>
      </w:pPr>
      <w:r w:rsidRPr="00E33A1F">
        <w:rPr>
          <w:rStyle w:val="cursor-pointer"/>
          <w:rFonts w:ascii="Times New Roman" w:hAnsi="Times New Roman" w:cs="Times New Roman"/>
          <w:b/>
          <w:bCs/>
          <w:sz w:val="24"/>
          <w:szCs w:val="24"/>
        </w:rPr>
        <w:t>Determination of Calibration Interval</w:t>
      </w:r>
    </w:p>
    <w:p w14:paraId="4AB96034" w14:textId="59B0B981" w:rsidR="003049EB" w:rsidRPr="003049EB" w:rsidRDefault="003049EB" w:rsidP="000B190B">
      <w:p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Factors for interval determination [31]:</w:t>
      </w:r>
    </w:p>
    <w:p w14:paraId="29728B59" w14:textId="24187755"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Manufacturer guidance </w:t>
      </w:r>
    </w:p>
    <w:p w14:paraId="503084AD" w14:textId="6C7E1768"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Usage frequency </w:t>
      </w:r>
    </w:p>
    <w:p w14:paraId="25F78BA9" w14:textId="1E9748C9"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Criticality </w:t>
      </w:r>
    </w:p>
    <w:p w14:paraId="1FAC1F98" w14:textId="44D4A8C3"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Historical drift </w:t>
      </w:r>
    </w:p>
    <w:p w14:paraId="05485AEC" w14:textId="77777777" w:rsid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lastRenderedPageBreak/>
        <w:t xml:space="preserve">Repair history </w:t>
      </w:r>
    </w:p>
    <w:p w14:paraId="2C7ACE98" w14:textId="7682717A" w:rsidR="00E33A1F"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Environmental severity</w:t>
      </w:r>
    </w:p>
    <w:p w14:paraId="7E51F66A" w14:textId="7E5459AF" w:rsidR="003049EB" w:rsidRPr="003049EB" w:rsidRDefault="003049EB"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Guidelines are given in OIML D10 [31].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Average intervals: defibrillator (6-12 months), infusion pump (6-12 months), patient monitor (12 months), precision balance (6 months) [7</w:t>
      </w:r>
      <w:proofErr w:type="gramStart"/>
      <w:r w:rsidRPr="003049EB">
        <w:rPr>
          <w:rStyle w:val="cursor-pointer"/>
          <w:rFonts w:ascii="Times New Roman" w:hAnsi="Times New Roman" w:cs="Times New Roman"/>
          <w:sz w:val="24"/>
          <w:szCs w:val="24"/>
        </w:rPr>
        <w:t>,29</w:t>
      </w:r>
      <w:proofErr w:type="gramEnd"/>
      <w:r w:rsidRPr="003049EB">
        <w:rPr>
          <w:rStyle w:val="cursor-pointer"/>
          <w:rFonts w:ascii="Times New Roman" w:hAnsi="Times New Roman" w:cs="Times New Roman"/>
          <w:sz w:val="24"/>
          <w:szCs w:val="24"/>
        </w:rPr>
        <w:t>].</w:t>
      </w:r>
      <w:r w:rsidRPr="003049EB">
        <w:rPr>
          <w:rFonts w:ascii="Times New Roman" w:hAnsi="Times New Roman" w:cs="Times New Roman"/>
          <w:sz w:val="24"/>
          <w:szCs w:val="24"/>
        </w:rPr>
        <w:t xml:space="preserve"> </w:t>
      </w:r>
    </w:p>
    <w:p w14:paraId="123A9070" w14:textId="6118F8C0" w:rsidR="00E33A1F" w:rsidRPr="00E33A1F" w:rsidRDefault="00E33A1F" w:rsidP="000B190B">
      <w:pPr>
        <w:spacing w:before="240" w:line="240" w:lineRule="auto"/>
        <w:jc w:val="both"/>
        <w:rPr>
          <w:rFonts w:ascii="Times New Roman" w:hAnsi="Times New Roman" w:cs="Times New Roman"/>
          <w:b/>
          <w:bCs/>
          <w:sz w:val="28"/>
          <w:szCs w:val="28"/>
        </w:rPr>
      </w:pPr>
      <w:r w:rsidRPr="00E33A1F">
        <w:rPr>
          <w:rStyle w:val="cursor-pointer"/>
          <w:rFonts w:ascii="Times New Roman" w:hAnsi="Times New Roman" w:cs="Times New Roman"/>
          <w:b/>
          <w:bCs/>
          <w:sz w:val="28"/>
          <w:szCs w:val="28"/>
        </w:rPr>
        <w:t>DEVELOPING COUNTRIES DIFFICULTIES</w:t>
      </w:r>
    </w:p>
    <w:p w14:paraId="795855CB" w14:textId="6A9932B1" w:rsidR="003049EB" w:rsidRPr="003049EB" w:rsidRDefault="003049EB" w:rsidP="000B190B">
      <w:p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Common barriers [2</w:t>
      </w:r>
      <w:proofErr w:type="gramStart"/>
      <w:r w:rsidRPr="003049EB">
        <w:rPr>
          <w:rFonts w:ascii="Times New Roman" w:hAnsi="Times New Roman" w:cs="Times New Roman"/>
          <w:sz w:val="24"/>
          <w:szCs w:val="24"/>
        </w:rPr>
        <w:t>,4,32</w:t>
      </w:r>
      <w:proofErr w:type="gramEnd"/>
      <w:r w:rsidRPr="003049EB">
        <w:rPr>
          <w:rFonts w:ascii="Times New Roman" w:hAnsi="Times New Roman" w:cs="Times New Roman"/>
          <w:sz w:val="24"/>
          <w:szCs w:val="24"/>
        </w:rPr>
        <w:t xml:space="preserve">]: </w:t>
      </w:r>
    </w:p>
    <w:p w14:paraId="1418BB3C" w14:textId="77777777" w:rsidR="00EF3BA1"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Limited accredited labs </w:t>
      </w:r>
    </w:p>
    <w:p w14:paraId="20BE5F27" w14:textId="55BBAAC2" w:rsidR="003049EB" w:rsidRPr="00376BA0"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76BA0">
        <w:rPr>
          <w:rFonts w:ascii="Times New Roman" w:hAnsi="Times New Roman" w:cs="Times New Roman"/>
          <w:sz w:val="24"/>
          <w:szCs w:val="24"/>
        </w:rPr>
        <w:t>Very expensive standards</w:t>
      </w:r>
    </w:p>
    <w:p w14:paraId="56B1E3FF" w14:textId="66B6E4D0"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Lack of awareness </w:t>
      </w:r>
    </w:p>
    <w:p w14:paraId="568A2B41" w14:textId="3CCF9E4A"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Poor maintenance culture </w:t>
      </w:r>
    </w:p>
    <w:p w14:paraId="597B94CC" w14:textId="4AFD2301"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Spare parts shortage </w:t>
      </w:r>
    </w:p>
    <w:p w14:paraId="570A449A" w14:textId="6899BEB4"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Inadequate regulation </w:t>
      </w:r>
    </w:p>
    <w:p w14:paraId="29DE55F8" w14:textId="3CE1D308"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Insufficient trained personnel</w:t>
      </w:r>
    </w:p>
    <w:p w14:paraId="4467F018" w14:textId="3E69A67C" w:rsidR="003049EB" w:rsidRPr="003049EB" w:rsidRDefault="003049EB"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In certain African nations up to 80% of the medical equipment is working without any legitimate calibration [4].</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WHO suggests that critical equipment should be calibrated as a mandatory rule [33]; IAEA underlines that calibration of radiation equipment is a mandatory rule [34].</w:t>
      </w:r>
    </w:p>
    <w:p w14:paraId="374B8668" w14:textId="5BEF4D19" w:rsidR="00B347AC" w:rsidRPr="00B347AC" w:rsidRDefault="00E33A1F"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B347AC">
        <w:rPr>
          <w:rFonts w:ascii="Times New Roman" w:eastAsia="Times New Roman" w:hAnsi="Times New Roman" w:cs="Times New Roman"/>
          <w:b/>
          <w:bCs/>
          <w:color w:val="0F1115"/>
          <w:sz w:val="28"/>
          <w:szCs w:val="28"/>
        </w:rPr>
        <w:t>RECOMMENDATIONS</w:t>
      </w:r>
    </w:p>
    <w:p w14:paraId="1D1B9A22" w14:textId="77777777" w:rsidR="003049EB" w:rsidRPr="003049EB" w:rsidRDefault="003049EB" w:rsidP="000B190B">
      <w:p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Based on the analysis [2</w:t>
      </w:r>
      <w:proofErr w:type="gramStart"/>
      <w:r w:rsidRPr="003049EB">
        <w:rPr>
          <w:rFonts w:ascii="Times New Roman" w:hAnsi="Times New Roman" w:cs="Times New Roman"/>
          <w:sz w:val="24"/>
          <w:szCs w:val="24"/>
        </w:rPr>
        <w:t>,4,29,35</w:t>
      </w:r>
      <w:proofErr w:type="gramEnd"/>
      <w:r w:rsidRPr="003049EB">
        <w:rPr>
          <w:rFonts w:ascii="Times New Roman" w:hAnsi="Times New Roman" w:cs="Times New Roman"/>
          <w:sz w:val="24"/>
          <w:szCs w:val="24"/>
        </w:rPr>
        <w:t xml:space="preserve">]: </w:t>
      </w:r>
    </w:p>
    <w:p w14:paraId="38D80085" w14:textId="028519B4"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Develop national policy of biomedical metrology. </w:t>
      </w:r>
    </w:p>
    <w:p w14:paraId="6DD6119B" w14:textId="45F7974E"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Enlarge the ISO/IEC 17025 accredited laboratories. </w:t>
      </w:r>
    </w:p>
    <w:p w14:paraId="4BB45EB9" w14:textId="7F630303"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Educate biomedical engineers in metrology. </w:t>
      </w:r>
    </w:p>
    <w:p w14:paraId="3A59F644" w14:textId="3FB6758B"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Use CMMS systems for scheduling </w:t>
      </w:r>
    </w:p>
    <w:p w14:paraId="215C63C4" w14:textId="3150F8E6"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Introduce risk-based intervals </w:t>
      </w:r>
    </w:p>
    <w:p w14:paraId="01118C75" w14:textId="2E64FC82"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Require calibration evidence during audits </w:t>
      </w:r>
    </w:p>
    <w:p w14:paraId="30DF0C30" w14:textId="6490A2F6"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Promote interlaboratory comparisons [36] </w:t>
      </w:r>
    </w:p>
    <w:p w14:paraId="5FDB1D17" w14:textId="47407B30" w:rsidR="00E33A1F" w:rsidRPr="003158E3"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Promote local capacity building.</w:t>
      </w:r>
    </w:p>
    <w:p w14:paraId="268F6A13" w14:textId="1E8E9AF3" w:rsidR="00B347AC" w:rsidRPr="00B347AC" w:rsidRDefault="00E33A1F" w:rsidP="000B190B">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E33A1F">
        <w:rPr>
          <w:rFonts w:ascii="Times New Roman" w:eastAsia="Times New Roman" w:hAnsi="Times New Roman" w:cs="Times New Roman"/>
          <w:b/>
          <w:bCs/>
          <w:color w:val="0F1115"/>
          <w:sz w:val="28"/>
          <w:szCs w:val="28"/>
        </w:rPr>
        <w:t>CONCLUSION</w:t>
      </w:r>
    </w:p>
    <w:p w14:paraId="23320CC3" w14:textId="6DEE1B72" w:rsidR="00CB6FF0" w:rsidRPr="00CB6FF0" w:rsidRDefault="00CB6FF0" w:rsidP="000B190B">
      <w:pPr>
        <w:spacing w:before="240" w:line="240" w:lineRule="auto"/>
        <w:jc w:val="both"/>
        <w:rPr>
          <w:rFonts w:ascii="Times New Roman" w:hAnsi="Times New Roman" w:cs="Times New Roman"/>
          <w:sz w:val="24"/>
          <w:szCs w:val="24"/>
        </w:rPr>
      </w:pPr>
      <w:r w:rsidRPr="00CB6FF0">
        <w:rPr>
          <w:rStyle w:val="cursor-pointer"/>
          <w:rFonts w:ascii="Times New Roman" w:hAnsi="Times New Roman" w:cs="Times New Roman"/>
          <w:sz w:val="24"/>
          <w:szCs w:val="24"/>
        </w:rPr>
        <w:t>Biomedical equipment that is calibrated to ISO/IEC 17025 is a significant foundation of patient safety in healthcare.</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The standard offers an internationally recognized framework on competence, traceability, and uncertainty, documentation, and continuous improvement.</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Properly applied, it averts clinical risk and improves the reliability of devices [1].</w:t>
      </w:r>
    </w:p>
    <w:p w14:paraId="3E62FBFE" w14:textId="77777777" w:rsidR="00CB6FF0" w:rsidRPr="00CB6FF0" w:rsidRDefault="00CB6FF0" w:rsidP="000B190B">
      <w:pPr>
        <w:spacing w:before="240" w:line="240" w:lineRule="auto"/>
        <w:jc w:val="both"/>
        <w:rPr>
          <w:rFonts w:ascii="Times New Roman" w:hAnsi="Times New Roman" w:cs="Times New Roman"/>
          <w:sz w:val="24"/>
          <w:szCs w:val="24"/>
        </w:rPr>
      </w:pPr>
      <w:r w:rsidRPr="00CB6FF0">
        <w:rPr>
          <w:rStyle w:val="cursor-pointer"/>
          <w:rFonts w:ascii="Times New Roman" w:hAnsi="Times New Roman" w:cs="Times New Roman"/>
          <w:sz w:val="24"/>
          <w:szCs w:val="24"/>
        </w:rPr>
        <w:t>As shown in Figure 1 and Table 1, even minimal calibration errors result in extreme harm to the patients, either due to defects in infusion pumps dosing or due to failed defibrillation or ventilator hypoventilation, which are documented causes of adverse events worldwide [4,6].</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The methodology in Figure 3 highlights the focus on calibration as a rigorous, multi-phase process necessitating electrical safety as per IEC 62353 [23].</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 xml:space="preserve">Figure 2 shows that all calibration links to SI units via national metrology institutes (NIST, PTB, </w:t>
      </w:r>
      <w:proofErr w:type="gramStart"/>
      <w:r w:rsidRPr="00CB6FF0">
        <w:rPr>
          <w:rStyle w:val="cursor-pointer"/>
          <w:rFonts w:ascii="Times New Roman" w:hAnsi="Times New Roman" w:cs="Times New Roman"/>
          <w:sz w:val="24"/>
          <w:szCs w:val="24"/>
        </w:rPr>
        <w:t>NPL</w:t>
      </w:r>
      <w:proofErr w:type="gramEnd"/>
      <w:r w:rsidRPr="00CB6FF0">
        <w:rPr>
          <w:rStyle w:val="cursor-pointer"/>
          <w:rFonts w:ascii="Times New Roman" w:hAnsi="Times New Roman" w:cs="Times New Roman"/>
          <w:sz w:val="24"/>
          <w:szCs w:val="24"/>
        </w:rPr>
        <w:t>).</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Table 2 gives the general intervals of 6-12 months of most biomedical devices.</w:t>
      </w:r>
      <w:r w:rsidRPr="00CB6FF0">
        <w:rPr>
          <w:rFonts w:ascii="Times New Roman" w:hAnsi="Times New Roman" w:cs="Times New Roman"/>
          <w:sz w:val="24"/>
          <w:szCs w:val="24"/>
        </w:rPr>
        <w:t xml:space="preserve"> </w:t>
      </w:r>
    </w:p>
    <w:p w14:paraId="13B572D8" w14:textId="77777777" w:rsidR="00EF3BA1" w:rsidRDefault="00CB6FF0" w:rsidP="000B190B">
      <w:pPr>
        <w:spacing w:before="240" w:line="240" w:lineRule="auto"/>
        <w:jc w:val="both"/>
        <w:rPr>
          <w:rFonts w:ascii="Times New Roman" w:hAnsi="Times New Roman" w:cs="Times New Roman"/>
          <w:sz w:val="24"/>
          <w:szCs w:val="24"/>
        </w:rPr>
      </w:pPr>
      <w:r w:rsidRPr="00CB6FF0">
        <w:rPr>
          <w:rStyle w:val="cursor-pointer"/>
          <w:rFonts w:ascii="Times New Roman" w:hAnsi="Times New Roman" w:cs="Times New Roman"/>
          <w:sz w:val="24"/>
          <w:szCs w:val="24"/>
        </w:rPr>
        <w:t>Close treatment of uncertainty (Section 7, Table 3) is vital.</w:t>
      </w:r>
      <w:r w:rsidRPr="00CB6FF0">
        <w:rPr>
          <w:rFonts w:ascii="Times New Roman" w:hAnsi="Times New Roman" w:cs="Times New Roman"/>
          <w:sz w:val="24"/>
          <w:szCs w:val="24"/>
        </w:rPr>
        <w:t xml:space="preserve"> Without expanded uncertainty (U</w:t>
      </w:r>
      <w:r>
        <w:rPr>
          <w:rFonts w:ascii="Times New Roman" w:hAnsi="Times New Roman" w:cs="Times New Roman"/>
          <w:sz w:val="24"/>
          <w:szCs w:val="24"/>
        </w:rPr>
        <w:t xml:space="preserve"> </w:t>
      </w:r>
      <w:r w:rsidRPr="00CB6FF0">
        <w:rPr>
          <w:rFonts w:ascii="Times New Roman" w:hAnsi="Times New Roman" w:cs="Times New Roman"/>
          <w:sz w:val="24"/>
          <w:szCs w:val="24"/>
        </w:rPr>
        <w:t>with k = 2</w:t>
      </w:r>
      <w:r>
        <w:rPr>
          <w:rFonts w:ascii="Times New Roman" w:hAnsi="Times New Roman" w:cs="Times New Roman"/>
          <w:sz w:val="24"/>
          <w:szCs w:val="24"/>
        </w:rPr>
        <w:t>)</w:t>
      </w:r>
      <w:r w:rsidRPr="00CB6FF0">
        <w:rPr>
          <w:rStyle w:val="cursor-pointer"/>
          <w:rFonts w:ascii="Times New Roman" w:hAnsi="Times New Roman" w:cs="Times New Roman"/>
          <w:sz w:val="24"/>
          <w:szCs w:val="24"/>
        </w:rPr>
        <w:t>, then the conformity decisions are not reliable.</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Figure 4 indicates that guard banding (ILAC G8 [26]) leads to a lower risk of false acceptance.</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Table 4 enumerates the elements of required certificates to be accredited.</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Other than technical accuracy, accreditation guarantees impartiality, management reviews and documented competence (clause 6.2) -directly enhancing the management of hospital assets.</w:t>
      </w:r>
      <w:r w:rsidRPr="00CB6FF0">
        <w:rPr>
          <w:rFonts w:ascii="Times New Roman" w:hAnsi="Times New Roman" w:cs="Times New Roman"/>
          <w:sz w:val="24"/>
          <w:szCs w:val="24"/>
        </w:rPr>
        <w:t xml:space="preserve"> </w:t>
      </w:r>
    </w:p>
    <w:p w14:paraId="38AB4C0B" w14:textId="449498C4" w:rsidR="00CB6FF0" w:rsidRPr="00CB6FF0" w:rsidRDefault="00CB6FF0" w:rsidP="000B190B">
      <w:pPr>
        <w:spacing w:before="240" w:line="240" w:lineRule="auto"/>
        <w:jc w:val="both"/>
        <w:rPr>
          <w:rFonts w:ascii="Times New Roman" w:hAnsi="Times New Roman" w:cs="Times New Roman"/>
          <w:sz w:val="24"/>
          <w:szCs w:val="24"/>
        </w:rPr>
      </w:pPr>
      <w:r w:rsidRPr="00CB6FF0">
        <w:rPr>
          <w:rStyle w:val="cursor-pointer"/>
          <w:rFonts w:ascii="Times New Roman" w:hAnsi="Times New Roman" w:cs="Times New Roman"/>
          <w:sz w:val="24"/>
          <w:szCs w:val="24"/>
        </w:rPr>
        <w:lastRenderedPageBreak/>
        <w:t>The problems of developing countries are still acute.</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According to WHO, 50-80 percent of the medical devices used in low-income countries are uncalibrated [4]</w:t>
      </w:r>
      <w:proofErr w:type="gramStart"/>
      <w:r w:rsidRPr="00CB6FF0">
        <w:rPr>
          <w:rStyle w:val="cursor-pointer"/>
          <w:rFonts w:ascii="Times New Roman" w:hAnsi="Times New Roman" w:cs="Times New Roman"/>
          <w:sz w:val="24"/>
          <w:szCs w:val="24"/>
        </w:rPr>
        <w:t>.</w:t>
      </w:r>
      <w:proofErr w:type="gramEnd"/>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The national metrology infrastructure, the regional standards hubs, and interlaboratory comparisons are the requirements of the sustainable solution [36].</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Digital technologies do not eliminate but instead complement periodic traceable calibration.</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The basic rule is the same; all measurement systems should be traceable by use of an unbroken chain [5].</w:t>
      </w:r>
      <w:r w:rsidRPr="00CB6FF0">
        <w:rPr>
          <w:rFonts w:ascii="Times New Roman" w:hAnsi="Times New Roman" w:cs="Times New Roman"/>
          <w:sz w:val="24"/>
          <w:szCs w:val="24"/>
        </w:rPr>
        <w:t xml:space="preserve"> </w:t>
      </w:r>
    </w:p>
    <w:p w14:paraId="78C15A4A" w14:textId="2FD935EF" w:rsidR="00B347AC" w:rsidRPr="00B347AC" w:rsidRDefault="00CB6FF0" w:rsidP="000B190B">
      <w:pPr>
        <w:spacing w:before="240" w:line="240" w:lineRule="auto"/>
        <w:jc w:val="both"/>
        <w:rPr>
          <w:rFonts w:ascii="Times New Roman" w:eastAsia="Times New Roman" w:hAnsi="Times New Roman" w:cs="Times New Roman"/>
          <w:sz w:val="24"/>
          <w:szCs w:val="24"/>
        </w:rPr>
      </w:pPr>
      <w:r w:rsidRPr="00CB6FF0">
        <w:rPr>
          <w:rStyle w:val="cursor-pointer"/>
          <w:rFonts w:ascii="Times New Roman" w:hAnsi="Times New Roman" w:cs="Times New Roman"/>
          <w:sz w:val="24"/>
          <w:szCs w:val="24"/>
        </w:rPr>
        <w:t>The last, the ethical aspect: every time an uncalibrated device is used, it is assumed that the patient is at risk.</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Brain injury can occur when a ventilator in use delivers 20 percent of the normal tidal volume.</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These are everyday realities un-metrologically disciplined.</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We recommend that the hospital administrators and international organizations view ISO/IEC 17025-compliant calibration as a key patient safety approach.</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Formal calibration in a recognized structure is helpful in enhancing patient safety and health outcomes.</w:t>
      </w:r>
    </w:p>
    <w:p w14:paraId="2CB1CBEF" w14:textId="0FB64780" w:rsidR="00B347AC" w:rsidRPr="00B347AC" w:rsidRDefault="00A67C56"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A67C56">
        <w:rPr>
          <w:rFonts w:ascii="Times New Roman" w:eastAsia="Times New Roman" w:hAnsi="Times New Roman" w:cs="Times New Roman"/>
          <w:b/>
          <w:bCs/>
          <w:color w:val="0F1115"/>
          <w:sz w:val="28"/>
          <w:szCs w:val="28"/>
        </w:rPr>
        <w:t>REFERENCES</w:t>
      </w:r>
    </w:p>
    <w:p w14:paraId="3BE95DD3" w14:textId="385977E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ISO/IEC 17025:2017. General requirements for the competence of testing and calibration laboratories. Geneva: International Organization for Standardization; 2017.</w:t>
      </w:r>
    </w:p>
    <w:p w14:paraId="02C144DE" w14:textId="3CE78966"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World Health Organization. Barriers to medical device maintenance in low-resource settings. WHO Medical Device Technical Series. Geneva: WHO; 2015.</w:t>
      </w:r>
    </w:p>
    <w:p w14:paraId="4B7BAAA0" w14:textId="7730B4CD"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Khandpur RS. Biomedical Instrumentation: Technology and Applications. New York: McGraw-Hill; 2019.</w:t>
      </w:r>
    </w:p>
    <w:p w14:paraId="624D9BE2" w14:textId="2CEFB464"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World Health Organization. Medical device equipment management: How to manage the maintenance of medical devices. WHO Medical Device Technical Series. Geneva: WHO; 2011.</w:t>
      </w:r>
    </w:p>
    <w:p w14:paraId="56622330" w14:textId="3DB41CD6"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Joint Committee for Guides in Metrology. International vocabulary of metrology – Basic and general concepts and associated terms (VIM). JCGM 200:2012. </w:t>
      </w:r>
      <w:proofErr w:type="spellStart"/>
      <w:r w:rsidRPr="00CB6FF0">
        <w:rPr>
          <w:rFonts w:ascii="Times New Roman" w:eastAsia="Times New Roman" w:hAnsi="Times New Roman" w:cs="Times New Roman"/>
          <w:color w:val="0F1115"/>
          <w:sz w:val="24"/>
          <w:szCs w:val="24"/>
        </w:rPr>
        <w:t>Sèvres</w:t>
      </w:r>
      <w:proofErr w:type="spellEnd"/>
      <w:r w:rsidRPr="00CB6FF0">
        <w:rPr>
          <w:rFonts w:ascii="Times New Roman" w:eastAsia="Times New Roman" w:hAnsi="Times New Roman" w:cs="Times New Roman"/>
          <w:color w:val="0F1115"/>
          <w:sz w:val="24"/>
          <w:szCs w:val="24"/>
        </w:rPr>
        <w:t>: BIPM; 2012.</w:t>
      </w:r>
    </w:p>
    <w:p w14:paraId="0DECCC78" w14:textId="4B237785"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60601-1:2020. Medical electrical equipment – Part 1: General requirements for basic safety and essential performance. Geneva: IEC; 2020.</w:t>
      </w:r>
    </w:p>
    <w:p w14:paraId="506CDDE0" w14:textId="5F0F73EA"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ISO 14971:2019. Medical devices – Application of risk management to medical devices. Geneva: ISO; 2019.</w:t>
      </w:r>
    </w:p>
    <w:p w14:paraId="7B88C2BF" w14:textId="34866354"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Joint Commission International. JCI Accreditation Standards for Hospitals. 7th ed. Oak Brook: JCI; 2020.</w:t>
      </w:r>
    </w:p>
    <w:p w14:paraId="48A41A90" w14:textId="071689CD"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Carr JJ, Brown JM. Introduction to Biomedical Equipment Technology. 4th ed. Upper Saddle River: Prentice Hall; 2000.</w:t>
      </w:r>
    </w:p>
    <w:p w14:paraId="5A9BE5D8" w14:textId="206AD53E"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proofErr w:type="spellStart"/>
      <w:r w:rsidRPr="00CB6FF0">
        <w:rPr>
          <w:rFonts w:ascii="Times New Roman" w:eastAsia="Times New Roman" w:hAnsi="Times New Roman" w:cs="Times New Roman"/>
          <w:color w:val="0F1115"/>
          <w:sz w:val="24"/>
          <w:szCs w:val="24"/>
        </w:rPr>
        <w:t>Dyro</w:t>
      </w:r>
      <w:proofErr w:type="spellEnd"/>
      <w:r w:rsidRPr="00CB6FF0">
        <w:rPr>
          <w:rFonts w:ascii="Times New Roman" w:eastAsia="Times New Roman" w:hAnsi="Times New Roman" w:cs="Times New Roman"/>
          <w:color w:val="0F1115"/>
          <w:sz w:val="24"/>
          <w:szCs w:val="24"/>
        </w:rPr>
        <w:t xml:space="preserve"> JF. Clinical Engineering Handbook. Burlington: Elsevier Academic Press; 2004.</w:t>
      </w:r>
    </w:p>
    <w:p w14:paraId="29CD8003" w14:textId="601C64D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O’Brien E, Atkins N, Stergiou G, et al. European Society of Hypertension International Protocol for the validation of blood pressure monitors. J </w:t>
      </w:r>
      <w:proofErr w:type="spellStart"/>
      <w:r w:rsidRPr="00CB6FF0">
        <w:rPr>
          <w:rFonts w:ascii="Times New Roman" w:eastAsia="Times New Roman" w:hAnsi="Times New Roman" w:cs="Times New Roman"/>
          <w:color w:val="0F1115"/>
          <w:sz w:val="24"/>
          <w:szCs w:val="24"/>
        </w:rPr>
        <w:t>Hypertens</w:t>
      </w:r>
      <w:proofErr w:type="spellEnd"/>
      <w:r w:rsidRPr="00CB6FF0">
        <w:rPr>
          <w:rFonts w:ascii="Times New Roman" w:eastAsia="Times New Roman" w:hAnsi="Times New Roman" w:cs="Times New Roman"/>
          <w:color w:val="0F1115"/>
          <w:sz w:val="24"/>
          <w:szCs w:val="24"/>
        </w:rPr>
        <w:t>. 2010</w:t>
      </w:r>
      <w:proofErr w:type="gramStart"/>
      <w:r w:rsidRPr="00CB6FF0">
        <w:rPr>
          <w:rFonts w:ascii="Times New Roman" w:eastAsia="Times New Roman" w:hAnsi="Times New Roman" w:cs="Times New Roman"/>
          <w:color w:val="0F1115"/>
          <w:sz w:val="24"/>
          <w:szCs w:val="24"/>
        </w:rPr>
        <w:t>;28</w:t>
      </w:r>
      <w:proofErr w:type="gramEnd"/>
      <w:r w:rsidRPr="00CB6FF0">
        <w:rPr>
          <w:rFonts w:ascii="Times New Roman" w:eastAsia="Times New Roman" w:hAnsi="Times New Roman" w:cs="Times New Roman"/>
          <w:color w:val="0F1115"/>
          <w:sz w:val="24"/>
          <w:szCs w:val="24"/>
        </w:rPr>
        <w:t>(Suppl 2):S3-S8.</w:t>
      </w:r>
    </w:p>
    <w:p w14:paraId="4BB4C62F" w14:textId="3B295508"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ISO 80601-2-12:2020. Medical electrical equipment – Part 2-12: Particular requirements for basic safety and essential performance of critical care ventilators. Geneva: ISO; 2020.</w:t>
      </w:r>
    </w:p>
    <w:p w14:paraId="7123E3C5" w14:textId="18FA0312"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60601-2-4:2018. Medical electrical equipment – Part 2-4: Particular requirements for the basic safety and essential performance of defibrillators. Geneva: IEC; 2018.</w:t>
      </w:r>
    </w:p>
    <w:p w14:paraId="08E5EF96" w14:textId="7BB338C5"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EURAMET cg-13. Calibration of pressure transducers. EURAMET; 2018.</w:t>
      </w:r>
    </w:p>
    <w:p w14:paraId="7824FA12" w14:textId="5A1A0769"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EURAMET cg-8. Calibration of temperature sensors. EURAMET; 2019.</w:t>
      </w:r>
    </w:p>
    <w:p w14:paraId="3D9A87AA" w14:textId="70D1433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EURAMET cg-15. Calibration of electrical measuring instruments. EURAMET; 2020.</w:t>
      </w:r>
    </w:p>
    <w:p w14:paraId="6C5359CD" w14:textId="073B7FFA"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ILAC P14:09/2020. ILAC policy for measurement uncertainty in calibration. ILAC; 2020.</w:t>
      </w:r>
    </w:p>
    <w:p w14:paraId="54A8ED88" w14:textId="10C2689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60601-2-25:2011. Medical electrical equipment – Part 2-25: Particular requirements for the basic safety and essential performance of electrocardiographs. Geneva: IEC; 2011.</w:t>
      </w:r>
    </w:p>
    <w:p w14:paraId="6FAD4F26" w14:textId="51B1FD28"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60601-2-24:2012. Medical electrical equipment – Part 2-24: Particular requirements for the basic safety and essential performance of infusion pumps and controllers. Geneva: IEC; 2012.</w:t>
      </w:r>
    </w:p>
    <w:p w14:paraId="66C24F5A" w14:textId="06B00CAD"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ISO 80601-2-13:2022. Medical electrical equipment – Part 2-13: Particular requirements for basic safety and essential performance of </w:t>
      </w:r>
      <w:proofErr w:type="spellStart"/>
      <w:r w:rsidRPr="00CB6FF0">
        <w:rPr>
          <w:rFonts w:ascii="Times New Roman" w:eastAsia="Times New Roman" w:hAnsi="Times New Roman" w:cs="Times New Roman"/>
          <w:color w:val="0F1115"/>
          <w:sz w:val="24"/>
          <w:szCs w:val="24"/>
        </w:rPr>
        <w:t>anaesthetic</w:t>
      </w:r>
      <w:proofErr w:type="spellEnd"/>
      <w:r w:rsidRPr="00CB6FF0">
        <w:rPr>
          <w:rFonts w:ascii="Times New Roman" w:eastAsia="Times New Roman" w:hAnsi="Times New Roman" w:cs="Times New Roman"/>
          <w:color w:val="0F1115"/>
          <w:sz w:val="24"/>
          <w:szCs w:val="24"/>
        </w:rPr>
        <w:t xml:space="preserve"> workstations. Geneva: ISO; 2022.</w:t>
      </w:r>
    </w:p>
    <w:p w14:paraId="476B14EC" w14:textId="033CFCFF"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60601-2-2:2017. Medical electrical equipment – Part 2-2: Particular requirements for the basic safety and essential performance of high frequency surgical equipment. Geneva: IEC; 2017.</w:t>
      </w:r>
    </w:p>
    <w:p w14:paraId="720E8AC8" w14:textId="1206E0B5"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OIML R 111-1:2004. Weights of classes E1, E2, F1, F2, M1, M2, M3. Paris: OIML; 2004.</w:t>
      </w:r>
    </w:p>
    <w:p w14:paraId="32EF0DD2" w14:textId="44BDBDF7"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62353:2014. Medical electrical equipment – Recurrent test and test after repair of medical electrical equipment. Geneva: IEC; 2014.</w:t>
      </w:r>
    </w:p>
    <w:p w14:paraId="17F2122D" w14:textId="225A80F2"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lastRenderedPageBreak/>
        <w:t xml:space="preserve">Joint Committee for Guides in Metrology. Evaluation of measurement data – Guide to the expression of uncertainty in measurement (GUM). JCGM 100:2008. </w:t>
      </w:r>
      <w:proofErr w:type="spellStart"/>
      <w:r w:rsidRPr="00CB6FF0">
        <w:rPr>
          <w:rFonts w:ascii="Times New Roman" w:eastAsia="Times New Roman" w:hAnsi="Times New Roman" w:cs="Times New Roman"/>
          <w:color w:val="0F1115"/>
          <w:sz w:val="24"/>
          <w:szCs w:val="24"/>
        </w:rPr>
        <w:t>Sèvres</w:t>
      </w:r>
      <w:proofErr w:type="spellEnd"/>
      <w:r w:rsidRPr="00CB6FF0">
        <w:rPr>
          <w:rFonts w:ascii="Times New Roman" w:eastAsia="Times New Roman" w:hAnsi="Times New Roman" w:cs="Times New Roman"/>
          <w:color w:val="0F1115"/>
          <w:sz w:val="24"/>
          <w:szCs w:val="24"/>
        </w:rPr>
        <w:t>: BIPM; 2008.</w:t>
      </w:r>
    </w:p>
    <w:p w14:paraId="3CAFF681" w14:textId="77777777"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[25] EA-4/02 M</w:t>
      </w:r>
      <w:proofErr w:type="gramStart"/>
      <w:r w:rsidRPr="00CB6FF0">
        <w:rPr>
          <w:rFonts w:ascii="Times New Roman" w:eastAsia="Times New Roman" w:hAnsi="Times New Roman" w:cs="Times New Roman"/>
          <w:color w:val="0F1115"/>
          <w:sz w:val="24"/>
          <w:szCs w:val="24"/>
        </w:rPr>
        <w:t>:2022</w:t>
      </w:r>
      <w:proofErr w:type="gramEnd"/>
      <w:r w:rsidRPr="00CB6FF0">
        <w:rPr>
          <w:rFonts w:ascii="Times New Roman" w:eastAsia="Times New Roman" w:hAnsi="Times New Roman" w:cs="Times New Roman"/>
          <w:color w:val="0F1115"/>
          <w:sz w:val="24"/>
          <w:szCs w:val="24"/>
        </w:rPr>
        <w:t>. Expression of the uncertainty of measurement in calibration. European co-operation for Accreditation; 2022.</w:t>
      </w:r>
    </w:p>
    <w:p w14:paraId="45908882" w14:textId="5CB5B310"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ILAC G8:09/2019. Guidelines on decision rules and statements of conformity. ILAC; 2019.</w:t>
      </w:r>
    </w:p>
    <w:p w14:paraId="54D1AE4E" w14:textId="118AB8A1"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Webster JG, editor. Medical Instrumentation: Application and Design. 5th ed. Hoboken: John Wiley &amp; Sons; 2020.</w:t>
      </w:r>
    </w:p>
    <w:p w14:paraId="0B18C054" w14:textId="4AA9D897"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proofErr w:type="spellStart"/>
      <w:r w:rsidRPr="00CB6FF0">
        <w:rPr>
          <w:rFonts w:ascii="Times New Roman" w:eastAsia="Times New Roman" w:hAnsi="Times New Roman" w:cs="Times New Roman"/>
          <w:color w:val="0F1115"/>
          <w:sz w:val="24"/>
          <w:szCs w:val="24"/>
        </w:rPr>
        <w:t>Dyro</w:t>
      </w:r>
      <w:proofErr w:type="spellEnd"/>
      <w:r w:rsidRPr="00CB6FF0">
        <w:rPr>
          <w:rFonts w:ascii="Times New Roman" w:eastAsia="Times New Roman" w:hAnsi="Times New Roman" w:cs="Times New Roman"/>
          <w:color w:val="0F1115"/>
          <w:sz w:val="24"/>
          <w:szCs w:val="24"/>
        </w:rPr>
        <w:t xml:space="preserve"> JF, editor. Clinical Engineering Handbook. 2nd ed. Burlington: Elsevier; 2019.</w:t>
      </w:r>
    </w:p>
    <w:p w14:paraId="4F970FC3" w14:textId="21BE449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AAMI EQ56:2022. Recommended practice for a medical equipment management program. Arlington: AAMI; 2022.</w:t>
      </w:r>
    </w:p>
    <w:p w14:paraId="71447CFC" w14:textId="59F3DE0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ISO/IEC 17043:2023. Conformity assessment –</w:t>
      </w:r>
      <w:r w:rsidR="00F86BA6">
        <w:rPr>
          <w:rFonts w:ascii="Times New Roman" w:eastAsia="Times New Roman" w:hAnsi="Times New Roman" w:cs="Times New Roman"/>
          <w:color w:val="0F1115"/>
          <w:sz w:val="24"/>
          <w:szCs w:val="24"/>
        </w:rPr>
        <w:t xml:space="preserve"> </w:t>
      </w:r>
      <w:r w:rsidRPr="00CB6FF0">
        <w:rPr>
          <w:rFonts w:ascii="Times New Roman" w:eastAsia="Times New Roman" w:hAnsi="Times New Roman" w:cs="Times New Roman"/>
          <w:color w:val="0F1115"/>
          <w:sz w:val="24"/>
          <w:szCs w:val="24"/>
        </w:rPr>
        <w:t>General requirements for proficiency testing. Geneva: ISO; 2023.</w:t>
      </w:r>
    </w:p>
    <w:p w14:paraId="6B7BC4E2" w14:textId="5EA15F1E"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OIML D 10:2007. Guidelines for the determination of recalibration intervals of measuring equipment. Paris: OIML; 2007.</w:t>
      </w:r>
    </w:p>
    <w:p w14:paraId="063CFD54" w14:textId="3AC40570"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Perry L, Malkin R. Effectiveness of medical equipment donations to improve health systems: a systematic review of the literature. J Glob Health. 2019</w:t>
      </w:r>
      <w:proofErr w:type="gramStart"/>
      <w:r w:rsidRPr="00CB6FF0">
        <w:rPr>
          <w:rFonts w:ascii="Times New Roman" w:eastAsia="Times New Roman" w:hAnsi="Times New Roman" w:cs="Times New Roman"/>
          <w:color w:val="0F1115"/>
          <w:sz w:val="24"/>
          <w:szCs w:val="24"/>
        </w:rPr>
        <w:t>;9</w:t>
      </w:r>
      <w:proofErr w:type="gramEnd"/>
      <w:r w:rsidRPr="00CB6FF0">
        <w:rPr>
          <w:rFonts w:ascii="Times New Roman" w:eastAsia="Times New Roman" w:hAnsi="Times New Roman" w:cs="Times New Roman"/>
          <w:color w:val="0F1115"/>
          <w:sz w:val="24"/>
          <w:szCs w:val="24"/>
        </w:rPr>
        <w:t>(1):010301.</w:t>
      </w:r>
    </w:p>
    <w:p w14:paraId="6CCF304B" w14:textId="7718B3A0"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World Health Organization. Global model regulatory framework for medical devices. Geneva: WHO; 2017.</w:t>
      </w:r>
    </w:p>
    <w:p w14:paraId="637C9099" w14:textId="77777777"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[34] IAEA Human Health Series No. 33. Quality assurance and calibration of radiation therapy equipment. Vienna: IAEA; 2017.</w:t>
      </w:r>
    </w:p>
    <w:p w14:paraId="3CC43864" w14:textId="24A8462B"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NIST Technical Note 1297. Guidelines for evaluating and expressing the uncertainty of NIST measurement results. Gaithersburg: NIST; 1994.</w:t>
      </w:r>
    </w:p>
    <w:p w14:paraId="4EB42301" w14:textId="474B0371"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PTB. Metrology for health: Publications of the </w:t>
      </w:r>
      <w:proofErr w:type="spellStart"/>
      <w:r w:rsidRPr="00CB6FF0">
        <w:rPr>
          <w:rFonts w:ascii="Times New Roman" w:eastAsia="Times New Roman" w:hAnsi="Times New Roman" w:cs="Times New Roman"/>
          <w:color w:val="0F1115"/>
          <w:sz w:val="24"/>
          <w:szCs w:val="24"/>
        </w:rPr>
        <w:t>Physikalisch-Technische</w:t>
      </w:r>
      <w:proofErr w:type="spellEnd"/>
      <w:r w:rsidRPr="00CB6FF0">
        <w:rPr>
          <w:rFonts w:ascii="Times New Roman" w:eastAsia="Times New Roman" w:hAnsi="Times New Roman" w:cs="Times New Roman"/>
          <w:color w:val="0F1115"/>
          <w:sz w:val="24"/>
          <w:szCs w:val="24"/>
        </w:rPr>
        <w:t xml:space="preserve"> </w:t>
      </w:r>
      <w:proofErr w:type="spellStart"/>
      <w:r w:rsidRPr="00CB6FF0">
        <w:rPr>
          <w:rFonts w:ascii="Times New Roman" w:eastAsia="Times New Roman" w:hAnsi="Times New Roman" w:cs="Times New Roman"/>
          <w:color w:val="0F1115"/>
          <w:sz w:val="24"/>
          <w:szCs w:val="24"/>
        </w:rPr>
        <w:t>Bundesanstalt</w:t>
      </w:r>
      <w:proofErr w:type="spellEnd"/>
      <w:r w:rsidRPr="00CB6FF0">
        <w:rPr>
          <w:rFonts w:ascii="Times New Roman" w:eastAsia="Times New Roman" w:hAnsi="Times New Roman" w:cs="Times New Roman"/>
          <w:color w:val="0F1115"/>
          <w:sz w:val="24"/>
          <w:szCs w:val="24"/>
        </w:rPr>
        <w:t>. Braunschweig: PTB; 2020.</w:t>
      </w:r>
    </w:p>
    <w:p w14:paraId="6FAFAC8F" w14:textId="7FD25D31"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ANSI/AAMI/ISO 17664-1:2021. Processing of health care products – Information to be provided by the medical device manufacturer for the processing of medical devices. Arlington: AAMI; 2021.</w:t>
      </w:r>
    </w:p>
    <w:p w14:paraId="417BE9ED" w14:textId="31A3B0C0"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ASTM E2877-21. Standard guide for digital contact thermometers. West Conshohocken: ASTM; 2021.</w:t>
      </w:r>
    </w:p>
    <w:p w14:paraId="49CA0C3A" w14:textId="744FC05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NPL. A beginner's guide to measurement uncertainty (Good Practice Guide No. 11). </w:t>
      </w:r>
      <w:proofErr w:type="spellStart"/>
      <w:r w:rsidRPr="00CB6FF0">
        <w:rPr>
          <w:rFonts w:ascii="Times New Roman" w:eastAsia="Times New Roman" w:hAnsi="Times New Roman" w:cs="Times New Roman"/>
          <w:color w:val="0F1115"/>
          <w:sz w:val="24"/>
          <w:szCs w:val="24"/>
        </w:rPr>
        <w:t>Teddington</w:t>
      </w:r>
      <w:proofErr w:type="spellEnd"/>
      <w:r w:rsidRPr="00CB6FF0">
        <w:rPr>
          <w:rFonts w:ascii="Times New Roman" w:eastAsia="Times New Roman" w:hAnsi="Times New Roman" w:cs="Times New Roman"/>
          <w:color w:val="0F1115"/>
          <w:sz w:val="24"/>
          <w:szCs w:val="24"/>
        </w:rPr>
        <w:t>: National Physical Laboratory; 2018.</w:t>
      </w:r>
    </w:p>
    <w:p w14:paraId="6743F2D2" w14:textId="0570E336"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60601-2-49:2022. Medical electrical equipment – Part 2-49: Particular requirements for the basic safety and essential performance of multifunction patient monitors. Geneva: IEC; 2022.</w:t>
      </w:r>
    </w:p>
    <w:p w14:paraId="34C755C1" w14:textId="083CA228"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FDA. Medical Device Quality Systems Regulation (21 CFR 820). Silver Spring: FDA; 2020.</w:t>
      </w:r>
    </w:p>
    <w:p w14:paraId="5E31A36E" w14:textId="56AAA6A9"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IFMBE. Clinical engineering recommendations for calibration intervals. IFMBE White Paper. Singapore: IFMBE; 2019.</w:t>
      </w:r>
    </w:p>
    <w:p w14:paraId="31579664" w14:textId="4F33B5D8"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NABL 100:2020. National Accreditation Board for Testing and Calibration Laboratories – General criteria for accreditation. New Delhi: NABL; 2020.</w:t>
      </w:r>
    </w:p>
    <w:p w14:paraId="08315598" w14:textId="500D7454"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APMP. APMP guidance on healthcare metrology. Asia Pacific Metrology </w:t>
      </w:r>
      <w:proofErr w:type="spellStart"/>
      <w:r w:rsidRPr="00CB6FF0">
        <w:rPr>
          <w:rFonts w:ascii="Times New Roman" w:eastAsia="Times New Roman" w:hAnsi="Times New Roman" w:cs="Times New Roman"/>
          <w:color w:val="0F1115"/>
          <w:sz w:val="24"/>
          <w:szCs w:val="24"/>
        </w:rPr>
        <w:t>Programme</w:t>
      </w:r>
      <w:proofErr w:type="spellEnd"/>
      <w:r w:rsidRPr="00CB6FF0">
        <w:rPr>
          <w:rFonts w:ascii="Times New Roman" w:eastAsia="Times New Roman" w:hAnsi="Times New Roman" w:cs="Times New Roman"/>
          <w:color w:val="0F1115"/>
          <w:sz w:val="24"/>
          <w:szCs w:val="24"/>
        </w:rPr>
        <w:t>; 2014.</w:t>
      </w:r>
    </w:p>
    <w:p w14:paraId="67AD64D5" w14:textId="0D5F9FD0"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UNICEF. Medical device procurement and quality assurance manual. Copenhagen: UNICEF; 2018.</w:t>
      </w:r>
    </w:p>
    <w:p w14:paraId="02023D90" w14:textId="4D452C74"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Cohen ER, </w:t>
      </w:r>
      <w:proofErr w:type="spellStart"/>
      <w:r w:rsidRPr="00CB6FF0">
        <w:rPr>
          <w:rFonts w:ascii="Times New Roman" w:eastAsia="Times New Roman" w:hAnsi="Times New Roman" w:cs="Times New Roman"/>
          <w:color w:val="0F1115"/>
          <w:sz w:val="24"/>
          <w:szCs w:val="24"/>
        </w:rPr>
        <w:t>Cvitas</w:t>
      </w:r>
      <w:proofErr w:type="spellEnd"/>
      <w:r w:rsidRPr="00CB6FF0">
        <w:rPr>
          <w:rFonts w:ascii="Times New Roman" w:eastAsia="Times New Roman" w:hAnsi="Times New Roman" w:cs="Times New Roman"/>
          <w:color w:val="0F1115"/>
          <w:sz w:val="24"/>
          <w:szCs w:val="24"/>
        </w:rPr>
        <w:t xml:space="preserve"> T, Frey JG, et al. Quantities, Units and Symbols in Physical Chemistry (IUPAC Green Book). 3rd ed. Cambridge: RSC Publishing; 2007.</w:t>
      </w:r>
    </w:p>
    <w:p w14:paraId="2B006C4B" w14:textId="30CFCB05"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BSI. BS 7000-2:2018 Design management systems – Guide to managing the design of medical devices. London: BSI; 2018.</w:t>
      </w:r>
    </w:p>
    <w:p w14:paraId="62C5113E" w14:textId="77777777" w:rsidR="0052182C" w:rsidRPr="003049EB" w:rsidRDefault="0052182C" w:rsidP="00A67C56">
      <w:pPr>
        <w:spacing w:before="240" w:line="240" w:lineRule="auto"/>
        <w:ind w:left="360"/>
        <w:jc w:val="both"/>
        <w:rPr>
          <w:rFonts w:ascii="Times New Roman" w:hAnsi="Times New Roman" w:cs="Times New Roman"/>
          <w:sz w:val="24"/>
          <w:szCs w:val="24"/>
        </w:rPr>
      </w:pPr>
    </w:p>
    <w:sectPr w:rsidR="0052182C" w:rsidRPr="003049EB" w:rsidSect="00373B49">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2310F" w14:textId="77777777" w:rsidR="005579E1" w:rsidRDefault="005579E1" w:rsidP="00373B49">
      <w:pPr>
        <w:spacing w:after="0" w:line="240" w:lineRule="auto"/>
      </w:pPr>
      <w:r>
        <w:separator/>
      </w:r>
    </w:p>
  </w:endnote>
  <w:endnote w:type="continuationSeparator" w:id="0">
    <w:p w14:paraId="64ACC071" w14:textId="77777777" w:rsidR="005579E1" w:rsidRDefault="005579E1" w:rsidP="00373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A4C203" w14:textId="77777777" w:rsidR="005579E1" w:rsidRDefault="005579E1" w:rsidP="00373B49">
      <w:pPr>
        <w:spacing w:after="0" w:line="240" w:lineRule="auto"/>
      </w:pPr>
      <w:r>
        <w:separator/>
      </w:r>
    </w:p>
  </w:footnote>
  <w:footnote w:type="continuationSeparator" w:id="0">
    <w:p w14:paraId="730845FE" w14:textId="77777777" w:rsidR="005579E1" w:rsidRDefault="005579E1" w:rsidP="00373B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5F74"/>
    <w:multiLevelType w:val="hybridMultilevel"/>
    <w:tmpl w:val="31EED958"/>
    <w:lvl w:ilvl="0" w:tplc="04090001">
      <w:start w:val="1"/>
      <w:numFmt w:val="bullet"/>
      <w:lvlText w:val=""/>
      <w:lvlJc w:val="left"/>
      <w:pPr>
        <w:ind w:left="720" w:hanging="360"/>
      </w:pPr>
      <w:rPr>
        <w:rFonts w:ascii="Symbol" w:hAnsi="Symbol" w:hint="default"/>
      </w:rPr>
    </w:lvl>
    <w:lvl w:ilvl="1" w:tplc="9E8E2882">
      <w:start w:val="5"/>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3B371B"/>
    <w:multiLevelType w:val="hybridMultilevel"/>
    <w:tmpl w:val="83246A2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1003964"/>
    <w:multiLevelType w:val="hybridMultilevel"/>
    <w:tmpl w:val="E0C22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7E3F55"/>
    <w:multiLevelType w:val="hybridMultilevel"/>
    <w:tmpl w:val="B6CA020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39BC1AF6"/>
    <w:multiLevelType w:val="hybridMultilevel"/>
    <w:tmpl w:val="23D4E8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43E43828"/>
    <w:multiLevelType w:val="hybridMultilevel"/>
    <w:tmpl w:val="3B386042"/>
    <w:lvl w:ilvl="0" w:tplc="04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53C27C4E"/>
    <w:multiLevelType w:val="hybridMultilevel"/>
    <w:tmpl w:val="2F3090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5EED7F25"/>
    <w:multiLevelType w:val="hybridMultilevel"/>
    <w:tmpl w:val="E618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C32AC8"/>
    <w:multiLevelType w:val="hybridMultilevel"/>
    <w:tmpl w:val="CB08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2B15C9"/>
    <w:multiLevelType w:val="hybridMultilevel"/>
    <w:tmpl w:val="CC58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3"/>
  </w:num>
  <w:num w:numId="5">
    <w:abstractNumId w:val="0"/>
  </w:num>
  <w:num w:numId="6">
    <w:abstractNumId w:val="5"/>
  </w:num>
  <w:num w:numId="7">
    <w:abstractNumId w:val="6"/>
  </w:num>
  <w:num w:numId="8">
    <w:abstractNumId w:val="7"/>
  </w:num>
  <w:num w:numId="9">
    <w:abstractNumId w:val="1"/>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A33"/>
    <w:rsid w:val="000B190B"/>
    <w:rsid w:val="000E08E0"/>
    <w:rsid w:val="0010040B"/>
    <w:rsid w:val="001376E8"/>
    <w:rsid w:val="001E2BF8"/>
    <w:rsid w:val="002002C4"/>
    <w:rsid w:val="0024555D"/>
    <w:rsid w:val="00274D5A"/>
    <w:rsid w:val="002B72FB"/>
    <w:rsid w:val="003049EB"/>
    <w:rsid w:val="0031310E"/>
    <w:rsid w:val="003158E3"/>
    <w:rsid w:val="00327A33"/>
    <w:rsid w:val="00342B4C"/>
    <w:rsid w:val="00373B49"/>
    <w:rsid w:val="00376BA0"/>
    <w:rsid w:val="00384D83"/>
    <w:rsid w:val="00405B6B"/>
    <w:rsid w:val="004C0157"/>
    <w:rsid w:val="004D7425"/>
    <w:rsid w:val="00501474"/>
    <w:rsid w:val="0050291E"/>
    <w:rsid w:val="00511C32"/>
    <w:rsid w:val="0052182C"/>
    <w:rsid w:val="00547BE1"/>
    <w:rsid w:val="005579E1"/>
    <w:rsid w:val="005D2E23"/>
    <w:rsid w:val="00847644"/>
    <w:rsid w:val="00855564"/>
    <w:rsid w:val="008676EA"/>
    <w:rsid w:val="008A231D"/>
    <w:rsid w:val="008B04CE"/>
    <w:rsid w:val="00955D63"/>
    <w:rsid w:val="009E1FAA"/>
    <w:rsid w:val="00A41F97"/>
    <w:rsid w:val="00A67C56"/>
    <w:rsid w:val="00B347AC"/>
    <w:rsid w:val="00BA5A1D"/>
    <w:rsid w:val="00BC2C2C"/>
    <w:rsid w:val="00CB6FF0"/>
    <w:rsid w:val="00D155C2"/>
    <w:rsid w:val="00D7191A"/>
    <w:rsid w:val="00D839A6"/>
    <w:rsid w:val="00DA6E6D"/>
    <w:rsid w:val="00DB7ABF"/>
    <w:rsid w:val="00E0189B"/>
    <w:rsid w:val="00E33A1F"/>
    <w:rsid w:val="00EB5B73"/>
    <w:rsid w:val="00EF3BA1"/>
    <w:rsid w:val="00F07FB3"/>
    <w:rsid w:val="00F346EC"/>
    <w:rsid w:val="00F5428D"/>
    <w:rsid w:val="00F86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347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347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347A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347A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7A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347A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347A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347AC"/>
    <w:rPr>
      <w:rFonts w:ascii="Times New Roman" w:eastAsia="Times New Roman" w:hAnsi="Times New Roman" w:cs="Times New Roman"/>
      <w:b/>
      <w:bCs/>
      <w:sz w:val="24"/>
      <w:szCs w:val="24"/>
    </w:rPr>
  </w:style>
  <w:style w:type="paragraph" w:customStyle="1" w:styleId="msonormal0">
    <w:name w:val="msonormal"/>
    <w:basedOn w:val="Normal"/>
    <w:rsid w:val="00B347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markdown-paragraph">
    <w:name w:val="ds-markdown-paragraph"/>
    <w:basedOn w:val="Normal"/>
    <w:rsid w:val="00B347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47AC"/>
    <w:rPr>
      <w:b/>
      <w:bCs/>
    </w:rPr>
  </w:style>
  <w:style w:type="character" w:customStyle="1" w:styleId="d813de27">
    <w:name w:val="d813de27"/>
    <w:basedOn w:val="DefaultParagraphFont"/>
    <w:rsid w:val="00B347AC"/>
  </w:style>
  <w:style w:type="paragraph" w:styleId="HTMLPreformatted">
    <w:name w:val="HTML Preformatted"/>
    <w:basedOn w:val="Normal"/>
    <w:link w:val="HTMLPreformattedChar"/>
    <w:uiPriority w:val="99"/>
    <w:semiHidden/>
    <w:unhideWhenUsed/>
    <w:rsid w:val="00B3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347AC"/>
    <w:rPr>
      <w:rFonts w:ascii="Courier New" w:eastAsia="Times New Roman" w:hAnsi="Courier New" w:cs="Courier New"/>
      <w:sz w:val="20"/>
      <w:szCs w:val="20"/>
    </w:rPr>
  </w:style>
  <w:style w:type="character" w:customStyle="1" w:styleId="katex">
    <w:name w:val="katex"/>
    <w:basedOn w:val="DefaultParagraphFont"/>
    <w:rsid w:val="00B347AC"/>
  </w:style>
  <w:style w:type="character" w:customStyle="1" w:styleId="katex-mathml">
    <w:name w:val="katex-mathml"/>
    <w:basedOn w:val="DefaultParagraphFont"/>
    <w:rsid w:val="00B347AC"/>
  </w:style>
  <w:style w:type="character" w:customStyle="1" w:styleId="katex-html">
    <w:name w:val="katex-html"/>
    <w:basedOn w:val="DefaultParagraphFont"/>
    <w:rsid w:val="00B347AC"/>
  </w:style>
  <w:style w:type="character" w:customStyle="1" w:styleId="base">
    <w:name w:val="base"/>
    <w:basedOn w:val="DefaultParagraphFont"/>
    <w:rsid w:val="00B347AC"/>
  </w:style>
  <w:style w:type="character" w:customStyle="1" w:styleId="strut">
    <w:name w:val="strut"/>
    <w:basedOn w:val="DefaultParagraphFont"/>
    <w:rsid w:val="00B347AC"/>
  </w:style>
  <w:style w:type="character" w:customStyle="1" w:styleId="mord">
    <w:name w:val="mord"/>
    <w:basedOn w:val="DefaultParagraphFont"/>
    <w:rsid w:val="00B347AC"/>
  </w:style>
  <w:style w:type="character" w:customStyle="1" w:styleId="vlist-t">
    <w:name w:val="vlist-t"/>
    <w:basedOn w:val="DefaultParagraphFont"/>
    <w:rsid w:val="00B347AC"/>
  </w:style>
  <w:style w:type="character" w:customStyle="1" w:styleId="vlist-r">
    <w:name w:val="vlist-r"/>
    <w:basedOn w:val="DefaultParagraphFont"/>
    <w:rsid w:val="00B347AC"/>
  </w:style>
  <w:style w:type="character" w:customStyle="1" w:styleId="vlist">
    <w:name w:val="vlist"/>
    <w:basedOn w:val="DefaultParagraphFont"/>
    <w:rsid w:val="00B347AC"/>
  </w:style>
  <w:style w:type="character" w:customStyle="1" w:styleId="pstrut">
    <w:name w:val="pstrut"/>
    <w:basedOn w:val="DefaultParagraphFont"/>
    <w:rsid w:val="00B347AC"/>
  </w:style>
  <w:style w:type="character" w:customStyle="1" w:styleId="accent-body">
    <w:name w:val="accent-body"/>
    <w:basedOn w:val="DefaultParagraphFont"/>
    <w:rsid w:val="00B347AC"/>
  </w:style>
  <w:style w:type="character" w:customStyle="1" w:styleId="mspace">
    <w:name w:val="mspace"/>
    <w:basedOn w:val="DefaultParagraphFont"/>
    <w:rsid w:val="00B347AC"/>
  </w:style>
  <w:style w:type="character" w:customStyle="1" w:styleId="mrel">
    <w:name w:val="mrel"/>
    <w:basedOn w:val="DefaultParagraphFont"/>
    <w:rsid w:val="00B347AC"/>
  </w:style>
  <w:style w:type="character" w:customStyle="1" w:styleId="mopen">
    <w:name w:val="mopen"/>
    <w:basedOn w:val="DefaultParagraphFont"/>
    <w:rsid w:val="00B347AC"/>
  </w:style>
  <w:style w:type="character" w:customStyle="1" w:styleId="mfrac">
    <w:name w:val="mfrac"/>
    <w:basedOn w:val="DefaultParagraphFont"/>
    <w:rsid w:val="00B347AC"/>
  </w:style>
  <w:style w:type="character" w:customStyle="1" w:styleId="sizing">
    <w:name w:val="sizing"/>
    <w:basedOn w:val="DefaultParagraphFont"/>
    <w:rsid w:val="00B347AC"/>
  </w:style>
  <w:style w:type="character" w:customStyle="1" w:styleId="frac-line">
    <w:name w:val="frac-line"/>
    <w:basedOn w:val="DefaultParagraphFont"/>
    <w:rsid w:val="00B347AC"/>
  </w:style>
  <w:style w:type="character" w:customStyle="1" w:styleId="vlist-s">
    <w:name w:val="vlist-s"/>
    <w:basedOn w:val="DefaultParagraphFont"/>
    <w:rsid w:val="00B347AC"/>
  </w:style>
  <w:style w:type="character" w:customStyle="1" w:styleId="mclose">
    <w:name w:val="mclose"/>
    <w:basedOn w:val="DefaultParagraphFont"/>
    <w:rsid w:val="00B347AC"/>
  </w:style>
  <w:style w:type="character" w:customStyle="1" w:styleId="mop">
    <w:name w:val="mop"/>
    <w:basedOn w:val="DefaultParagraphFont"/>
    <w:rsid w:val="00B347AC"/>
  </w:style>
  <w:style w:type="character" w:customStyle="1" w:styleId="msupsub">
    <w:name w:val="msupsub"/>
    <w:basedOn w:val="DefaultParagraphFont"/>
    <w:rsid w:val="00B347AC"/>
  </w:style>
  <w:style w:type="character" w:customStyle="1" w:styleId="svg-align">
    <w:name w:val="svg-align"/>
    <w:basedOn w:val="DefaultParagraphFont"/>
    <w:rsid w:val="00B347AC"/>
  </w:style>
  <w:style w:type="character" w:customStyle="1" w:styleId="mbin">
    <w:name w:val="mbin"/>
    <w:basedOn w:val="DefaultParagraphFont"/>
    <w:rsid w:val="00B347AC"/>
  </w:style>
  <w:style w:type="character" w:customStyle="1" w:styleId="hide-tail">
    <w:name w:val="hide-tail"/>
    <w:basedOn w:val="DefaultParagraphFont"/>
    <w:rsid w:val="00B347AC"/>
  </w:style>
  <w:style w:type="character" w:customStyle="1" w:styleId="minner">
    <w:name w:val="minner"/>
    <w:basedOn w:val="DefaultParagraphFont"/>
    <w:rsid w:val="00B347AC"/>
  </w:style>
  <w:style w:type="character" w:customStyle="1" w:styleId="cursor-pointer">
    <w:name w:val="cursor-pointer"/>
    <w:basedOn w:val="DefaultParagraphFont"/>
    <w:rsid w:val="008676EA"/>
  </w:style>
  <w:style w:type="paragraph" w:styleId="NormalWeb">
    <w:name w:val="Normal (Web)"/>
    <w:basedOn w:val="Normal"/>
    <w:uiPriority w:val="99"/>
    <w:unhideWhenUsed/>
    <w:rsid w:val="008676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w-0">
    <w:name w:val="min-w-0"/>
    <w:basedOn w:val="Normal"/>
    <w:rsid w:val="003049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xs">
    <w:name w:val="text-xs"/>
    <w:basedOn w:val="Normal"/>
    <w:rsid w:val="003049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medium">
    <w:name w:val="font-medium"/>
    <w:basedOn w:val="DefaultParagraphFont"/>
    <w:rsid w:val="003049EB"/>
  </w:style>
  <w:style w:type="character" w:customStyle="1" w:styleId="font-semibold">
    <w:name w:val="font-semibold"/>
    <w:basedOn w:val="DefaultParagraphFont"/>
    <w:rsid w:val="003049EB"/>
  </w:style>
  <w:style w:type="character" w:customStyle="1" w:styleId="text-11px">
    <w:name w:val="text-[11px]"/>
    <w:basedOn w:val="DefaultParagraphFont"/>
    <w:rsid w:val="003049EB"/>
  </w:style>
  <w:style w:type="character" w:customStyle="1" w:styleId="text-10px">
    <w:name w:val="text-[10px]"/>
    <w:basedOn w:val="DefaultParagraphFont"/>
    <w:rsid w:val="003049EB"/>
  </w:style>
  <w:style w:type="character" w:customStyle="1" w:styleId="text-2xl">
    <w:name w:val="text-2xl"/>
    <w:basedOn w:val="DefaultParagraphFont"/>
    <w:rsid w:val="003049EB"/>
  </w:style>
  <w:style w:type="character" w:customStyle="1" w:styleId="mt-05">
    <w:name w:val="mt-0.5"/>
    <w:basedOn w:val="DefaultParagraphFont"/>
    <w:rsid w:val="003049EB"/>
  </w:style>
  <w:style w:type="character" w:customStyle="1" w:styleId="text-xs1">
    <w:name w:val="text-xs1"/>
    <w:basedOn w:val="DefaultParagraphFont"/>
    <w:rsid w:val="003049EB"/>
  </w:style>
  <w:style w:type="paragraph" w:customStyle="1" w:styleId="text-center">
    <w:name w:val="text-center"/>
    <w:basedOn w:val="Normal"/>
    <w:rsid w:val="003049E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049EB"/>
    <w:rPr>
      <w:color w:val="0000FF"/>
      <w:u w:val="single"/>
    </w:rPr>
  </w:style>
  <w:style w:type="paragraph" w:styleId="Header">
    <w:name w:val="header"/>
    <w:basedOn w:val="Normal"/>
    <w:link w:val="HeaderChar"/>
    <w:uiPriority w:val="99"/>
    <w:unhideWhenUsed/>
    <w:rsid w:val="00373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B49"/>
  </w:style>
  <w:style w:type="paragraph" w:styleId="Footer">
    <w:name w:val="footer"/>
    <w:basedOn w:val="Normal"/>
    <w:link w:val="FooterChar"/>
    <w:uiPriority w:val="99"/>
    <w:unhideWhenUsed/>
    <w:rsid w:val="00373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B49"/>
  </w:style>
  <w:style w:type="paragraph" w:styleId="ListParagraph">
    <w:name w:val="List Paragraph"/>
    <w:basedOn w:val="Normal"/>
    <w:uiPriority w:val="34"/>
    <w:qFormat/>
    <w:rsid w:val="0024555D"/>
    <w:pPr>
      <w:ind w:left="720"/>
      <w:contextualSpacing/>
    </w:pPr>
  </w:style>
  <w:style w:type="character" w:styleId="PlaceholderText">
    <w:name w:val="Placeholder Text"/>
    <w:basedOn w:val="DefaultParagraphFont"/>
    <w:uiPriority w:val="99"/>
    <w:semiHidden/>
    <w:rsid w:val="002002C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347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347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347A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347A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7A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347A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347A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347AC"/>
    <w:rPr>
      <w:rFonts w:ascii="Times New Roman" w:eastAsia="Times New Roman" w:hAnsi="Times New Roman" w:cs="Times New Roman"/>
      <w:b/>
      <w:bCs/>
      <w:sz w:val="24"/>
      <w:szCs w:val="24"/>
    </w:rPr>
  </w:style>
  <w:style w:type="paragraph" w:customStyle="1" w:styleId="msonormal0">
    <w:name w:val="msonormal"/>
    <w:basedOn w:val="Normal"/>
    <w:rsid w:val="00B347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markdown-paragraph">
    <w:name w:val="ds-markdown-paragraph"/>
    <w:basedOn w:val="Normal"/>
    <w:rsid w:val="00B347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47AC"/>
    <w:rPr>
      <w:b/>
      <w:bCs/>
    </w:rPr>
  </w:style>
  <w:style w:type="character" w:customStyle="1" w:styleId="d813de27">
    <w:name w:val="d813de27"/>
    <w:basedOn w:val="DefaultParagraphFont"/>
    <w:rsid w:val="00B347AC"/>
  </w:style>
  <w:style w:type="paragraph" w:styleId="HTMLPreformatted">
    <w:name w:val="HTML Preformatted"/>
    <w:basedOn w:val="Normal"/>
    <w:link w:val="HTMLPreformattedChar"/>
    <w:uiPriority w:val="99"/>
    <w:semiHidden/>
    <w:unhideWhenUsed/>
    <w:rsid w:val="00B3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347AC"/>
    <w:rPr>
      <w:rFonts w:ascii="Courier New" w:eastAsia="Times New Roman" w:hAnsi="Courier New" w:cs="Courier New"/>
      <w:sz w:val="20"/>
      <w:szCs w:val="20"/>
    </w:rPr>
  </w:style>
  <w:style w:type="character" w:customStyle="1" w:styleId="katex">
    <w:name w:val="katex"/>
    <w:basedOn w:val="DefaultParagraphFont"/>
    <w:rsid w:val="00B347AC"/>
  </w:style>
  <w:style w:type="character" w:customStyle="1" w:styleId="katex-mathml">
    <w:name w:val="katex-mathml"/>
    <w:basedOn w:val="DefaultParagraphFont"/>
    <w:rsid w:val="00B347AC"/>
  </w:style>
  <w:style w:type="character" w:customStyle="1" w:styleId="katex-html">
    <w:name w:val="katex-html"/>
    <w:basedOn w:val="DefaultParagraphFont"/>
    <w:rsid w:val="00B347AC"/>
  </w:style>
  <w:style w:type="character" w:customStyle="1" w:styleId="base">
    <w:name w:val="base"/>
    <w:basedOn w:val="DefaultParagraphFont"/>
    <w:rsid w:val="00B347AC"/>
  </w:style>
  <w:style w:type="character" w:customStyle="1" w:styleId="strut">
    <w:name w:val="strut"/>
    <w:basedOn w:val="DefaultParagraphFont"/>
    <w:rsid w:val="00B347AC"/>
  </w:style>
  <w:style w:type="character" w:customStyle="1" w:styleId="mord">
    <w:name w:val="mord"/>
    <w:basedOn w:val="DefaultParagraphFont"/>
    <w:rsid w:val="00B347AC"/>
  </w:style>
  <w:style w:type="character" w:customStyle="1" w:styleId="vlist-t">
    <w:name w:val="vlist-t"/>
    <w:basedOn w:val="DefaultParagraphFont"/>
    <w:rsid w:val="00B347AC"/>
  </w:style>
  <w:style w:type="character" w:customStyle="1" w:styleId="vlist-r">
    <w:name w:val="vlist-r"/>
    <w:basedOn w:val="DefaultParagraphFont"/>
    <w:rsid w:val="00B347AC"/>
  </w:style>
  <w:style w:type="character" w:customStyle="1" w:styleId="vlist">
    <w:name w:val="vlist"/>
    <w:basedOn w:val="DefaultParagraphFont"/>
    <w:rsid w:val="00B347AC"/>
  </w:style>
  <w:style w:type="character" w:customStyle="1" w:styleId="pstrut">
    <w:name w:val="pstrut"/>
    <w:basedOn w:val="DefaultParagraphFont"/>
    <w:rsid w:val="00B347AC"/>
  </w:style>
  <w:style w:type="character" w:customStyle="1" w:styleId="accent-body">
    <w:name w:val="accent-body"/>
    <w:basedOn w:val="DefaultParagraphFont"/>
    <w:rsid w:val="00B347AC"/>
  </w:style>
  <w:style w:type="character" w:customStyle="1" w:styleId="mspace">
    <w:name w:val="mspace"/>
    <w:basedOn w:val="DefaultParagraphFont"/>
    <w:rsid w:val="00B347AC"/>
  </w:style>
  <w:style w:type="character" w:customStyle="1" w:styleId="mrel">
    <w:name w:val="mrel"/>
    <w:basedOn w:val="DefaultParagraphFont"/>
    <w:rsid w:val="00B347AC"/>
  </w:style>
  <w:style w:type="character" w:customStyle="1" w:styleId="mopen">
    <w:name w:val="mopen"/>
    <w:basedOn w:val="DefaultParagraphFont"/>
    <w:rsid w:val="00B347AC"/>
  </w:style>
  <w:style w:type="character" w:customStyle="1" w:styleId="mfrac">
    <w:name w:val="mfrac"/>
    <w:basedOn w:val="DefaultParagraphFont"/>
    <w:rsid w:val="00B347AC"/>
  </w:style>
  <w:style w:type="character" w:customStyle="1" w:styleId="sizing">
    <w:name w:val="sizing"/>
    <w:basedOn w:val="DefaultParagraphFont"/>
    <w:rsid w:val="00B347AC"/>
  </w:style>
  <w:style w:type="character" w:customStyle="1" w:styleId="frac-line">
    <w:name w:val="frac-line"/>
    <w:basedOn w:val="DefaultParagraphFont"/>
    <w:rsid w:val="00B347AC"/>
  </w:style>
  <w:style w:type="character" w:customStyle="1" w:styleId="vlist-s">
    <w:name w:val="vlist-s"/>
    <w:basedOn w:val="DefaultParagraphFont"/>
    <w:rsid w:val="00B347AC"/>
  </w:style>
  <w:style w:type="character" w:customStyle="1" w:styleId="mclose">
    <w:name w:val="mclose"/>
    <w:basedOn w:val="DefaultParagraphFont"/>
    <w:rsid w:val="00B347AC"/>
  </w:style>
  <w:style w:type="character" w:customStyle="1" w:styleId="mop">
    <w:name w:val="mop"/>
    <w:basedOn w:val="DefaultParagraphFont"/>
    <w:rsid w:val="00B347AC"/>
  </w:style>
  <w:style w:type="character" w:customStyle="1" w:styleId="msupsub">
    <w:name w:val="msupsub"/>
    <w:basedOn w:val="DefaultParagraphFont"/>
    <w:rsid w:val="00B347AC"/>
  </w:style>
  <w:style w:type="character" w:customStyle="1" w:styleId="svg-align">
    <w:name w:val="svg-align"/>
    <w:basedOn w:val="DefaultParagraphFont"/>
    <w:rsid w:val="00B347AC"/>
  </w:style>
  <w:style w:type="character" w:customStyle="1" w:styleId="mbin">
    <w:name w:val="mbin"/>
    <w:basedOn w:val="DefaultParagraphFont"/>
    <w:rsid w:val="00B347AC"/>
  </w:style>
  <w:style w:type="character" w:customStyle="1" w:styleId="hide-tail">
    <w:name w:val="hide-tail"/>
    <w:basedOn w:val="DefaultParagraphFont"/>
    <w:rsid w:val="00B347AC"/>
  </w:style>
  <w:style w:type="character" w:customStyle="1" w:styleId="minner">
    <w:name w:val="minner"/>
    <w:basedOn w:val="DefaultParagraphFont"/>
    <w:rsid w:val="00B347AC"/>
  </w:style>
  <w:style w:type="character" w:customStyle="1" w:styleId="cursor-pointer">
    <w:name w:val="cursor-pointer"/>
    <w:basedOn w:val="DefaultParagraphFont"/>
    <w:rsid w:val="008676EA"/>
  </w:style>
  <w:style w:type="paragraph" w:styleId="NormalWeb">
    <w:name w:val="Normal (Web)"/>
    <w:basedOn w:val="Normal"/>
    <w:uiPriority w:val="99"/>
    <w:unhideWhenUsed/>
    <w:rsid w:val="008676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w-0">
    <w:name w:val="min-w-0"/>
    <w:basedOn w:val="Normal"/>
    <w:rsid w:val="003049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xs">
    <w:name w:val="text-xs"/>
    <w:basedOn w:val="Normal"/>
    <w:rsid w:val="003049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medium">
    <w:name w:val="font-medium"/>
    <w:basedOn w:val="DefaultParagraphFont"/>
    <w:rsid w:val="003049EB"/>
  </w:style>
  <w:style w:type="character" w:customStyle="1" w:styleId="font-semibold">
    <w:name w:val="font-semibold"/>
    <w:basedOn w:val="DefaultParagraphFont"/>
    <w:rsid w:val="003049EB"/>
  </w:style>
  <w:style w:type="character" w:customStyle="1" w:styleId="text-11px">
    <w:name w:val="text-[11px]"/>
    <w:basedOn w:val="DefaultParagraphFont"/>
    <w:rsid w:val="003049EB"/>
  </w:style>
  <w:style w:type="character" w:customStyle="1" w:styleId="text-10px">
    <w:name w:val="text-[10px]"/>
    <w:basedOn w:val="DefaultParagraphFont"/>
    <w:rsid w:val="003049EB"/>
  </w:style>
  <w:style w:type="character" w:customStyle="1" w:styleId="text-2xl">
    <w:name w:val="text-2xl"/>
    <w:basedOn w:val="DefaultParagraphFont"/>
    <w:rsid w:val="003049EB"/>
  </w:style>
  <w:style w:type="character" w:customStyle="1" w:styleId="mt-05">
    <w:name w:val="mt-0.5"/>
    <w:basedOn w:val="DefaultParagraphFont"/>
    <w:rsid w:val="003049EB"/>
  </w:style>
  <w:style w:type="character" w:customStyle="1" w:styleId="text-xs1">
    <w:name w:val="text-xs1"/>
    <w:basedOn w:val="DefaultParagraphFont"/>
    <w:rsid w:val="003049EB"/>
  </w:style>
  <w:style w:type="paragraph" w:customStyle="1" w:styleId="text-center">
    <w:name w:val="text-center"/>
    <w:basedOn w:val="Normal"/>
    <w:rsid w:val="003049E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049EB"/>
    <w:rPr>
      <w:color w:val="0000FF"/>
      <w:u w:val="single"/>
    </w:rPr>
  </w:style>
  <w:style w:type="paragraph" w:styleId="Header">
    <w:name w:val="header"/>
    <w:basedOn w:val="Normal"/>
    <w:link w:val="HeaderChar"/>
    <w:uiPriority w:val="99"/>
    <w:unhideWhenUsed/>
    <w:rsid w:val="00373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B49"/>
  </w:style>
  <w:style w:type="paragraph" w:styleId="Footer">
    <w:name w:val="footer"/>
    <w:basedOn w:val="Normal"/>
    <w:link w:val="FooterChar"/>
    <w:uiPriority w:val="99"/>
    <w:unhideWhenUsed/>
    <w:rsid w:val="00373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B49"/>
  </w:style>
  <w:style w:type="paragraph" w:styleId="ListParagraph">
    <w:name w:val="List Paragraph"/>
    <w:basedOn w:val="Normal"/>
    <w:uiPriority w:val="34"/>
    <w:qFormat/>
    <w:rsid w:val="0024555D"/>
    <w:pPr>
      <w:ind w:left="720"/>
      <w:contextualSpacing/>
    </w:pPr>
  </w:style>
  <w:style w:type="character" w:styleId="PlaceholderText">
    <w:name w:val="Placeholder Text"/>
    <w:basedOn w:val="DefaultParagraphFont"/>
    <w:uiPriority w:val="99"/>
    <w:semiHidden/>
    <w:rsid w:val="002002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58537">
      <w:bodyDiv w:val="1"/>
      <w:marLeft w:val="0"/>
      <w:marRight w:val="0"/>
      <w:marTop w:val="0"/>
      <w:marBottom w:val="0"/>
      <w:divBdr>
        <w:top w:val="none" w:sz="0" w:space="0" w:color="auto"/>
        <w:left w:val="none" w:sz="0" w:space="0" w:color="auto"/>
        <w:bottom w:val="none" w:sz="0" w:space="0" w:color="auto"/>
        <w:right w:val="none" w:sz="0" w:space="0" w:color="auto"/>
      </w:divBdr>
    </w:div>
    <w:div w:id="843713970">
      <w:bodyDiv w:val="1"/>
      <w:marLeft w:val="0"/>
      <w:marRight w:val="0"/>
      <w:marTop w:val="0"/>
      <w:marBottom w:val="0"/>
      <w:divBdr>
        <w:top w:val="none" w:sz="0" w:space="0" w:color="auto"/>
        <w:left w:val="none" w:sz="0" w:space="0" w:color="auto"/>
        <w:bottom w:val="none" w:sz="0" w:space="0" w:color="auto"/>
        <w:right w:val="none" w:sz="0" w:space="0" w:color="auto"/>
      </w:divBdr>
      <w:divsChild>
        <w:div w:id="1088505028">
          <w:marLeft w:val="0"/>
          <w:marRight w:val="0"/>
          <w:marTop w:val="0"/>
          <w:marBottom w:val="0"/>
          <w:divBdr>
            <w:top w:val="none" w:sz="0" w:space="0" w:color="auto"/>
            <w:left w:val="none" w:sz="0" w:space="0" w:color="auto"/>
            <w:bottom w:val="none" w:sz="0" w:space="0" w:color="auto"/>
            <w:right w:val="none" w:sz="0" w:space="0" w:color="auto"/>
          </w:divBdr>
          <w:divsChild>
            <w:div w:id="1050491656">
              <w:marLeft w:val="0"/>
              <w:marRight w:val="0"/>
              <w:marTop w:val="0"/>
              <w:marBottom w:val="0"/>
              <w:divBdr>
                <w:top w:val="none" w:sz="0" w:space="0" w:color="auto"/>
                <w:left w:val="none" w:sz="0" w:space="0" w:color="auto"/>
                <w:bottom w:val="none" w:sz="0" w:space="0" w:color="auto"/>
                <w:right w:val="none" w:sz="0" w:space="0" w:color="auto"/>
              </w:divBdr>
              <w:divsChild>
                <w:div w:id="1962833423">
                  <w:marLeft w:val="0"/>
                  <w:marRight w:val="0"/>
                  <w:marTop w:val="0"/>
                  <w:marBottom w:val="0"/>
                  <w:divBdr>
                    <w:top w:val="none" w:sz="0" w:space="0" w:color="auto"/>
                    <w:left w:val="none" w:sz="0" w:space="0" w:color="auto"/>
                    <w:bottom w:val="none" w:sz="0" w:space="0" w:color="auto"/>
                    <w:right w:val="none" w:sz="0" w:space="0" w:color="auto"/>
                  </w:divBdr>
                  <w:divsChild>
                    <w:div w:id="2034257358">
                      <w:marLeft w:val="0"/>
                      <w:marRight w:val="0"/>
                      <w:marTop w:val="0"/>
                      <w:marBottom w:val="0"/>
                      <w:divBdr>
                        <w:top w:val="none" w:sz="0" w:space="0" w:color="auto"/>
                        <w:left w:val="none" w:sz="0" w:space="0" w:color="auto"/>
                        <w:bottom w:val="none" w:sz="0" w:space="0" w:color="auto"/>
                        <w:right w:val="none" w:sz="0" w:space="0" w:color="auto"/>
                      </w:divBdr>
                      <w:divsChild>
                        <w:div w:id="1614753288">
                          <w:marLeft w:val="0"/>
                          <w:marRight w:val="0"/>
                          <w:marTop w:val="0"/>
                          <w:marBottom w:val="0"/>
                          <w:divBdr>
                            <w:top w:val="none" w:sz="0" w:space="0" w:color="auto"/>
                            <w:left w:val="none" w:sz="0" w:space="0" w:color="auto"/>
                            <w:bottom w:val="none" w:sz="0" w:space="0" w:color="auto"/>
                            <w:right w:val="none" w:sz="0" w:space="0" w:color="auto"/>
                          </w:divBdr>
                        </w:div>
                      </w:divsChild>
                    </w:div>
                    <w:div w:id="2061709198">
                      <w:marLeft w:val="0"/>
                      <w:marRight w:val="0"/>
                      <w:marTop w:val="0"/>
                      <w:marBottom w:val="0"/>
                      <w:divBdr>
                        <w:top w:val="single" w:sz="6" w:space="0" w:color="auto"/>
                        <w:left w:val="single" w:sz="2" w:space="0" w:color="auto"/>
                        <w:bottom w:val="single" w:sz="2" w:space="0" w:color="auto"/>
                        <w:right w:val="single" w:sz="2" w:space="0" w:color="auto"/>
                      </w:divBdr>
                    </w:div>
                  </w:divsChild>
                </w:div>
              </w:divsChild>
            </w:div>
            <w:div w:id="278486925">
              <w:marLeft w:val="0"/>
              <w:marRight w:val="0"/>
              <w:marTop w:val="0"/>
              <w:marBottom w:val="0"/>
              <w:divBdr>
                <w:top w:val="none" w:sz="0" w:space="0" w:color="auto"/>
                <w:left w:val="none" w:sz="0" w:space="0" w:color="auto"/>
                <w:bottom w:val="none" w:sz="0" w:space="0" w:color="auto"/>
                <w:right w:val="none" w:sz="0" w:space="0" w:color="auto"/>
              </w:divBdr>
              <w:divsChild>
                <w:div w:id="1321041689">
                  <w:marLeft w:val="0"/>
                  <w:marRight w:val="0"/>
                  <w:marTop w:val="0"/>
                  <w:marBottom w:val="0"/>
                  <w:divBdr>
                    <w:top w:val="none" w:sz="0" w:space="0" w:color="auto"/>
                    <w:left w:val="none" w:sz="0" w:space="0" w:color="auto"/>
                    <w:bottom w:val="none" w:sz="0" w:space="0" w:color="auto"/>
                    <w:right w:val="none" w:sz="0" w:space="0" w:color="auto"/>
                  </w:divBdr>
                  <w:divsChild>
                    <w:div w:id="611473775">
                      <w:marLeft w:val="0"/>
                      <w:marRight w:val="0"/>
                      <w:marTop w:val="0"/>
                      <w:marBottom w:val="0"/>
                      <w:divBdr>
                        <w:top w:val="single" w:sz="2" w:space="0" w:color="auto"/>
                        <w:left w:val="single" w:sz="2" w:space="0" w:color="auto"/>
                        <w:bottom w:val="single" w:sz="6" w:space="0" w:color="auto"/>
                        <w:right w:val="single" w:sz="2" w:space="0" w:color="auto"/>
                      </w:divBdr>
                      <w:divsChild>
                        <w:div w:id="1993024725">
                          <w:marLeft w:val="0"/>
                          <w:marRight w:val="0"/>
                          <w:marTop w:val="0"/>
                          <w:marBottom w:val="0"/>
                          <w:divBdr>
                            <w:top w:val="none" w:sz="0" w:space="0" w:color="auto"/>
                            <w:left w:val="none" w:sz="0" w:space="0" w:color="auto"/>
                            <w:bottom w:val="none" w:sz="0" w:space="0" w:color="auto"/>
                            <w:right w:val="none" w:sz="0" w:space="0" w:color="auto"/>
                          </w:divBdr>
                          <w:divsChild>
                            <w:div w:id="14500558">
                              <w:marLeft w:val="0"/>
                              <w:marRight w:val="0"/>
                              <w:marTop w:val="0"/>
                              <w:marBottom w:val="0"/>
                              <w:divBdr>
                                <w:top w:val="none" w:sz="0" w:space="0" w:color="auto"/>
                                <w:left w:val="none" w:sz="0" w:space="0" w:color="auto"/>
                                <w:bottom w:val="none" w:sz="0" w:space="0" w:color="auto"/>
                                <w:right w:val="none" w:sz="0" w:space="0" w:color="auto"/>
                              </w:divBdr>
                              <w:divsChild>
                                <w:div w:id="7511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09671">
                      <w:marLeft w:val="0"/>
                      <w:marRight w:val="0"/>
                      <w:marTop w:val="0"/>
                      <w:marBottom w:val="0"/>
                      <w:divBdr>
                        <w:top w:val="none" w:sz="0" w:space="0" w:color="auto"/>
                        <w:left w:val="none" w:sz="0" w:space="0" w:color="auto"/>
                        <w:bottom w:val="none" w:sz="0" w:space="0" w:color="auto"/>
                        <w:right w:val="none" w:sz="0" w:space="0" w:color="auto"/>
                      </w:divBdr>
                      <w:divsChild>
                        <w:div w:id="1481801614">
                          <w:marLeft w:val="0"/>
                          <w:marRight w:val="0"/>
                          <w:marTop w:val="0"/>
                          <w:marBottom w:val="0"/>
                          <w:divBdr>
                            <w:top w:val="none" w:sz="0" w:space="0" w:color="auto"/>
                            <w:left w:val="none" w:sz="0" w:space="0" w:color="auto"/>
                            <w:bottom w:val="none" w:sz="0" w:space="0" w:color="auto"/>
                            <w:right w:val="none" w:sz="0" w:space="0" w:color="auto"/>
                          </w:divBdr>
                          <w:divsChild>
                            <w:div w:id="1983196155">
                              <w:marLeft w:val="0"/>
                              <w:marRight w:val="0"/>
                              <w:marTop w:val="0"/>
                              <w:marBottom w:val="0"/>
                              <w:divBdr>
                                <w:top w:val="none" w:sz="0" w:space="0" w:color="auto"/>
                                <w:left w:val="none" w:sz="0" w:space="0" w:color="auto"/>
                                <w:bottom w:val="none" w:sz="0" w:space="0" w:color="auto"/>
                                <w:right w:val="none" w:sz="0" w:space="0" w:color="auto"/>
                              </w:divBdr>
                              <w:divsChild>
                                <w:div w:id="877818180">
                                  <w:marLeft w:val="0"/>
                                  <w:marRight w:val="0"/>
                                  <w:marTop w:val="0"/>
                                  <w:marBottom w:val="0"/>
                                  <w:divBdr>
                                    <w:top w:val="none" w:sz="0" w:space="0" w:color="auto"/>
                                    <w:left w:val="none" w:sz="0" w:space="0" w:color="auto"/>
                                    <w:bottom w:val="none" w:sz="0" w:space="0" w:color="auto"/>
                                    <w:right w:val="none" w:sz="0" w:space="0" w:color="auto"/>
                                  </w:divBdr>
                                  <w:divsChild>
                                    <w:div w:id="126506841">
                                      <w:marLeft w:val="0"/>
                                      <w:marRight w:val="0"/>
                                      <w:marTop w:val="0"/>
                                      <w:marBottom w:val="0"/>
                                      <w:divBdr>
                                        <w:top w:val="none" w:sz="0" w:space="0" w:color="auto"/>
                                        <w:left w:val="none" w:sz="0" w:space="0" w:color="auto"/>
                                        <w:bottom w:val="none" w:sz="0" w:space="0" w:color="auto"/>
                                        <w:right w:val="none" w:sz="0" w:space="0" w:color="auto"/>
                                      </w:divBdr>
                                    </w:div>
                                    <w:div w:id="534122641">
                                      <w:marLeft w:val="0"/>
                                      <w:marRight w:val="0"/>
                                      <w:marTop w:val="0"/>
                                      <w:marBottom w:val="0"/>
                                      <w:divBdr>
                                        <w:top w:val="none" w:sz="0" w:space="0" w:color="auto"/>
                                        <w:left w:val="none" w:sz="0" w:space="0" w:color="auto"/>
                                        <w:bottom w:val="none" w:sz="0" w:space="0" w:color="auto"/>
                                        <w:right w:val="none" w:sz="0" w:space="0" w:color="auto"/>
                                      </w:divBdr>
                                      <w:divsChild>
                                        <w:div w:id="614168185">
                                          <w:marLeft w:val="0"/>
                                          <w:marRight w:val="0"/>
                                          <w:marTop w:val="0"/>
                                          <w:marBottom w:val="0"/>
                                          <w:divBdr>
                                            <w:top w:val="none" w:sz="0" w:space="0" w:color="auto"/>
                                            <w:left w:val="none" w:sz="0" w:space="0" w:color="auto"/>
                                            <w:bottom w:val="none" w:sz="0" w:space="0" w:color="auto"/>
                                            <w:right w:val="none" w:sz="0" w:space="0" w:color="auto"/>
                                          </w:divBdr>
                                        </w:div>
                                      </w:divsChild>
                                    </w:div>
                                    <w:div w:id="3487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20530">
                      <w:marLeft w:val="0"/>
                      <w:marRight w:val="0"/>
                      <w:marTop w:val="0"/>
                      <w:marBottom w:val="0"/>
                      <w:divBdr>
                        <w:top w:val="single" w:sz="6" w:space="0" w:color="auto"/>
                        <w:left w:val="single" w:sz="2" w:space="0" w:color="auto"/>
                        <w:bottom w:val="single" w:sz="2" w:space="0" w:color="auto"/>
                        <w:right w:val="single" w:sz="2" w:space="0" w:color="auto"/>
                      </w:divBdr>
                    </w:div>
                  </w:divsChild>
                </w:div>
              </w:divsChild>
            </w:div>
          </w:divsChild>
        </w:div>
      </w:divsChild>
    </w:div>
    <w:div w:id="1242450115">
      <w:bodyDiv w:val="1"/>
      <w:marLeft w:val="0"/>
      <w:marRight w:val="0"/>
      <w:marTop w:val="0"/>
      <w:marBottom w:val="0"/>
      <w:divBdr>
        <w:top w:val="none" w:sz="0" w:space="0" w:color="auto"/>
        <w:left w:val="none" w:sz="0" w:space="0" w:color="auto"/>
        <w:bottom w:val="none" w:sz="0" w:space="0" w:color="auto"/>
        <w:right w:val="none" w:sz="0" w:space="0" w:color="auto"/>
      </w:divBdr>
    </w:div>
    <w:div w:id="1299922794">
      <w:bodyDiv w:val="1"/>
      <w:marLeft w:val="0"/>
      <w:marRight w:val="0"/>
      <w:marTop w:val="0"/>
      <w:marBottom w:val="0"/>
      <w:divBdr>
        <w:top w:val="none" w:sz="0" w:space="0" w:color="auto"/>
        <w:left w:val="none" w:sz="0" w:space="0" w:color="auto"/>
        <w:bottom w:val="none" w:sz="0" w:space="0" w:color="auto"/>
        <w:right w:val="none" w:sz="0" w:space="0" w:color="auto"/>
      </w:divBdr>
    </w:div>
    <w:div w:id="1486235923">
      <w:bodyDiv w:val="1"/>
      <w:marLeft w:val="0"/>
      <w:marRight w:val="0"/>
      <w:marTop w:val="0"/>
      <w:marBottom w:val="0"/>
      <w:divBdr>
        <w:top w:val="none" w:sz="0" w:space="0" w:color="auto"/>
        <w:left w:val="none" w:sz="0" w:space="0" w:color="auto"/>
        <w:bottom w:val="none" w:sz="0" w:space="0" w:color="auto"/>
        <w:right w:val="none" w:sz="0" w:space="0" w:color="auto"/>
      </w:divBdr>
    </w:div>
    <w:div w:id="1842742520">
      <w:bodyDiv w:val="1"/>
      <w:marLeft w:val="0"/>
      <w:marRight w:val="0"/>
      <w:marTop w:val="0"/>
      <w:marBottom w:val="0"/>
      <w:divBdr>
        <w:top w:val="none" w:sz="0" w:space="0" w:color="auto"/>
        <w:left w:val="none" w:sz="0" w:space="0" w:color="auto"/>
        <w:bottom w:val="none" w:sz="0" w:space="0" w:color="auto"/>
        <w:right w:val="none" w:sz="0" w:space="0" w:color="auto"/>
      </w:divBdr>
      <w:divsChild>
        <w:div w:id="1893997757">
          <w:marLeft w:val="0"/>
          <w:marRight w:val="0"/>
          <w:marTop w:val="240"/>
          <w:marBottom w:val="171"/>
          <w:divBdr>
            <w:top w:val="none" w:sz="0" w:space="0" w:color="auto"/>
            <w:left w:val="none" w:sz="0" w:space="0" w:color="auto"/>
            <w:bottom w:val="none" w:sz="0" w:space="0" w:color="auto"/>
            <w:right w:val="none" w:sz="0" w:space="0" w:color="auto"/>
          </w:divBdr>
          <w:divsChild>
            <w:div w:id="1301224116">
              <w:marLeft w:val="0"/>
              <w:marRight w:val="0"/>
              <w:marTop w:val="0"/>
              <w:marBottom w:val="0"/>
              <w:divBdr>
                <w:top w:val="none" w:sz="0" w:space="0" w:color="auto"/>
                <w:left w:val="none" w:sz="0" w:space="0" w:color="auto"/>
                <w:bottom w:val="none" w:sz="0" w:space="0" w:color="auto"/>
                <w:right w:val="none" w:sz="0" w:space="0" w:color="auto"/>
              </w:divBdr>
              <w:divsChild>
                <w:div w:id="1997416399">
                  <w:marLeft w:val="0"/>
                  <w:marRight w:val="0"/>
                  <w:marTop w:val="0"/>
                  <w:marBottom w:val="0"/>
                  <w:divBdr>
                    <w:top w:val="none" w:sz="0" w:space="0" w:color="auto"/>
                    <w:left w:val="none" w:sz="0" w:space="0" w:color="auto"/>
                    <w:bottom w:val="none" w:sz="0" w:space="0" w:color="auto"/>
                    <w:right w:val="none" w:sz="0" w:space="0" w:color="auto"/>
                  </w:divBdr>
                  <w:divsChild>
                    <w:div w:id="435903948">
                      <w:marLeft w:val="0"/>
                      <w:marRight w:val="0"/>
                      <w:marTop w:val="0"/>
                      <w:marBottom w:val="0"/>
                      <w:divBdr>
                        <w:top w:val="none" w:sz="0" w:space="0" w:color="auto"/>
                        <w:left w:val="none" w:sz="0" w:space="0" w:color="auto"/>
                        <w:bottom w:val="none" w:sz="0" w:space="0" w:color="auto"/>
                        <w:right w:val="none" w:sz="0" w:space="0" w:color="auto"/>
                      </w:divBdr>
                      <w:divsChild>
                        <w:div w:id="15662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6058">
          <w:marLeft w:val="0"/>
          <w:marRight w:val="0"/>
          <w:marTop w:val="0"/>
          <w:marBottom w:val="0"/>
          <w:divBdr>
            <w:top w:val="none" w:sz="0" w:space="0" w:color="auto"/>
            <w:left w:val="none" w:sz="0" w:space="0" w:color="auto"/>
            <w:bottom w:val="none" w:sz="0" w:space="0" w:color="auto"/>
            <w:right w:val="none" w:sz="0" w:space="0" w:color="auto"/>
          </w:divBdr>
        </w:div>
        <w:div w:id="1163817560">
          <w:marLeft w:val="0"/>
          <w:marRight w:val="0"/>
          <w:marTop w:val="240"/>
          <w:marBottom w:val="171"/>
          <w:divBdr>
            <w:top w:val="none" w:sz="0" w:space="0" w:color="auto"/>
            <w:left w:val="none" w:sz="0" w:space="0" w:color="auto"/>
            <w:bottom w:val="none" w:sz="0" w:space="0" w:color="auto"/>
            <w:right w:val="none" w:sz="0" w:space="0" w:color="auto"/>
          </w:divBdr>
          <w:divsChild>
            <w:div w:id="125398235">
              <w:marLeft w:val="0"/>
              <w:marRight w:val="0"/>
              <w:marTop w:val="0"/>
              <w:marBottom w:val="0"/>
              <w:divBdr>
                <w:top w:val="none" w:sz="0" w:space="0" w:color="auto"/>
                <w:left w:val="none" w:sz="0" w:space="0" w:color="auto"/>
                <w:bottom w:val="none" w:sz="0" w:space="0" w:color="auto"/>
                <w:right w:val="none" w:sz="0" w:space="0" w:color="auto"/>
              </w:divBdr>
              <w:divsChild>
                <w:div w:id="1138181685">
                  <w:marLeft w:val="0"/>
                  <w:marRight w:val="0"/>
                  <w:marTop w:val="0"/>
                  <w:marBottom w:val="0"/>
                  <w:divBdr>
                    <w:top w:val="none" w:sz="0" w:space="0" w:color="auto"/>
                    <w:left w:val="none" w:sz="0" w:space="0" w:color="auto"/>
                    <w:bottom w:val="none" w:sz="0" w:space="0" w:color="auto"/>
                    <w:right w:val="none" w:sz="0" w:space="0" w:color="auto"/>
                  </w:divBdr>
                  <w:divsChild>
                    <w:div w:id="13507928">
                      <w:marLeft w:val="0"/>
                      <w:marRight w:val="0"/>
                      <w:marTop w:val="0"/>
                      <w:marBottom w:val="0"/>
                      <w:divBdr>
                        <w:top w:val="none" w:sz="0" w:space="0" w:color="auto"/>
                        <w:left w:val="none" w:sz="0" w:space="0" w:color="auto"/>
                        <w:bottom w:val="none" w:sz="0" w:space="0" w:color="auto"/>
                        <w:right w:val="none" w:sz="0" w:space="0" w:color="auto"/>
                      </w:divBdr>
                      <w:divsChild>
                        <w:div w:id="3183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59951">
          <w:marLeft w:val="0"/>
          <w:marRight w:val="0"/>
          <w:marTop w:val="0"/>
          <w:marBottom w:val="0"/>
          <w:divBdr>
            <w:top w:val="none" w:sz="0" w:space="0" w:color="auto"/>
            <w:left w:val="none" w:sz="0" w:space="0" w:color="auto"/>
            <w:bottom w:val="none" w:sz="0" w:space="0" w:color="auto"/>
            <w:right w:val="none" w:sz="0" w:space="0" w:color="auto"/>
          </w:divBdr>
        </w:div>
        <w:div w:id="276722063">
          <w:marLeft w:val="0"/>
          <w:marRight w:val="0"/>
          <w:marTop w:val="240"/>
          <w:marBottom w:val="171"/>
          <w:divBdr>
            <w:top w:val="none" w:sz="0" w:space="0" w:color="auto"/>
            <w:left w:val="none" w:sz="0" w:space="0" w:color="auto"/>
            <w:bottom w:val="none" w:sz="0" w:space="0" w:color="auto"/>
            <w:right w:val="none" w:sz="0" w:space="0" w:color="auto"/>
          </w:divBdr>
          <w:divsChild>
            <w:div w:id="519125620">
              <w:marLeft w:val="0"/>
              <w:marRight w:val="0"/>
              <w:marTop w:val="0"/>
              <w:marBottom w:val="0"/>
              <w:divBdr>
                <w:top w:val="none" w:sz="0" w:space="0" w:color="auto"/>
                <w:left w:val="none" w:sz="0" w:space="0" w:color="auto"/>
                <w:bottom w:val="none" w:sz="0" w:space="0" w:color="auto"/>
                <w:right w:val="none" w:sz="0" w:space="0" w:color="auto"/>
              </w:divBdr>
              <w:divsChild>
                <w:div w:id="675110386">
                  <w:marLeft w:val="0"/>
                  <w:marRight w:val="0"/>
                  <w:marTop w:val="0"/>
                  <w:marBottom w:val="0"/>
                  <w:divBdr>
                    <w:top w:val="none" w:sz="0" w:space="0" w:color="auto"/>
                    <w:left w:val="none" w:sz="0" w:space="0" w:color="auto"/>
                    <w:bottom w:val="none" w:sz="0" w:space="0" w:color="auto"/>
                    <w:right w:val="none" w:sz="0" w:space="0" w:color="auto"/>
                  </w:divBdr>
                  <w:divsChild>
                    <w:div w:id="1668170197">
                      <w:marLeft w:val="0"/>
                      <w:marRight w:val="0"/>
                      <w:marTop w:val="0"/>
                      <w:marBottom w:val="0"/>
                      <w:divBdr>
                        <w:top w:val="none" w:sz="0" w:space="0" w:color="auto"/>
                        <w:left w:val="none" w:sz="0" w:space="0" w:color="auto"/>
                        <w:bottom w:val="none" w:sz="0" w:space="0" w:color="auto"/>
                        <w:right w:val="none" w:sz="0" w:space="0" w:color="auto"/>
                      </w:divBdr>
                      <w:divsChild>
                        <w:div w:id="6911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7639">
          <w:marLeft w:val="0"/>
          <w:marRight w:val="0"/>
          <w:marTop w:val="0"/>
          <w:marBottom w:val="0"/>
          <w:divBdr>
            <w:top w:val="none" w:sz="0" w:space="0" w:color="auto"/>
            <w:left w:val="none" w:sz="0" w:space="0" w:color="auto"/>
            <w:bottom w:val="none" w:sz="0" w:space="0" w:color="auto"/>
            <w:right w:val="none" w:sz="0" w:space="0" w:color="auto"/>
          </w:divBdr>
        </w:div>
        <w:div w:id="1130780809">
          <w:marLeft w:val="0"/>
          <w:marRight w:val="0"/>
          <w:marTop w:val="240"/>
          <w:marBottom w:val="171"/>
          <w:divBdr>
            <w:top w:val="none" w:sz="0" w:space="0" w:color="auto"/>
            <w:left w:val="none" w:sz="0" w:space="0" w:color="auto"/>
            <w:bottom w:val="none" w:sz="0" w:space="0" w:color="auto"/>
            <w:right w:val="none" w:sz="0" w:space="0" w:color="auto"/>
          </w:divBdr>
          <w:divsChild>
            <w:div w:id="164368053">
              <w:marLeft w:val="0"/>
              <w:marRight w:val="0"/>
              <w:marTop w:val="0"/>
              <w:marBottom w:val="0"/>
              <w:divBdr>
                <w:top w:val="none" w:sz="0" w:space="0" w:color="auto"/>
                <w:left w:val="none" w:sz="0" w:space="0" w:color="auto"/>
                <w:bottom w:val="none" w:sz="0" w:space="0" w:color="auto"/>
                <w:right w:val="none" w:sz="0" w:space="0" w:color="auto"/>
              </w:divBdr>
              <w:divsChild>
                <w:div w:id="1993483400">
                  <w:marLeft w:val="0"/>
                  <w:marRight w:val="0"/>
                  <w:marTop w:val="0"/>
                  <w:marBottom w:val="0"/>
                  <w:divBdr>
                    <w:top w:val="none" w:sz="0" w:space="0" w:color="auto"/>
                    <w:left w:val="none" w:sz="0" w:space="0" w:color="auto"/>
                    <w:bottom w:val="none" w:sz="0" w:space="0" w:color="auto"/>
                    <w:right w:val="none" w:sz="0" w:space="0" w:color="auto"/>
                  </w:divBdr>
                  <w:divsChild>
                    <w:div w:id="1334145158">
                      <w:marLeft w:val="0"/>
                      <w:marRight w:val="0"/>
                      <w:marTop w:val="0"/>
                      <w:marBottom w:val="0"/>
                      <w:divBdr>
                        <w:top w:val="none" w:sz="0" w:space="0" w:color="auto"/>
                        <w:left w:val="none" w:sz="0" w:space="0" w:color="auto"/>
                        <w:bottom w:val="none" w:sz="0" w:space="0" w:color="auto"/>
                        <w:right w:val="none" w:sz="0" w:space="0" w:color="auto"/>
                      </w:divBdr>
                      <w:divsChild>
                        <w:div w:id="11440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24851">
          <w:marLeft w:val="0"/>
          <w:marRight w:val="0"/>
          <w:marTop w:val="0"/>
          <w:marBottom w:val="0"/>
          <w:divBdr>
            <w:top w:val="none" w:sz="0" w:space="0" w:color="auto"/>
            <w:left w:val="none" w:sz="0" w:space="0" w:color="auto"/>
            <w:bottom w:val="none" w:sz="0" w:space="0" w:color="auto"/>
            <w:right w:val="none" w:sz="0" w:space="0" w:color="auto"/>
          </w:divBdr>
        </w:div>
      </w:divsChild>
    </w:div>
    <w:div w:id="191524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1510</TotalTime>
  <Pages>15</Pages>
  <Words>5526</Words>
  <Characters>31503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Moktar Hossain</dc:creator>
  <cp:keywords/>
  <dc:description/>
  <cp:lastModifiedBy>qwert</cp:lastModifiedBy>
  <cp:revision>74</cp:revision>
  <dcterms:created xsi:type="dcterms:W3CDTF">2026-05-03T05:03:00Z</dcterms:created>
  <dcterms:modified xsi:type="dcterms:W3CDTF">2026-05-06T11:02:00Z</dcterms:modified>
</cp:coreProperties>
</file>